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27536601"/>
    <w:bookmarkEnd w:id="0"/>
    <w:p w14:paraId="1DA186D3" w14:textId="6DB34893" w:rsidR="00F92E1C" w:rsidRDefault="0035163B" w:rsidP="0071221E">
      <w:pPr>
        <w:pStyle w:val="BodyText"/>
        <w:rPr>
          <w:rFonts w:ascii="Times New Roman"/>
          <w:sz w:val="20"/>
        </w:rPr>
      </w:pPr>
      <w:r>
        <w:rPr>
          <w:noProof/>
        </w:rPr>
        <mc:AlternateContent>
          <mc:Choice Requires="wpg">
            <w:drawing>
              <wp:anchor distT="0" distB="0" distL="114300" distR="114300" simplePos="0" relativeHeight="251656704" behindDoc="0" locked="0" layoutInCell="1" allowOverlap="1" wp14:anchorId="025F78CE" wp14:editId="6E5C2355">
                <wp:simplePos x="0" y="0"/>
                <wp:positionH relativeFrom="page">
                  <wp:posOffset>3498850</wp:posOffset>
                </wp:positionH>
                <wp:positionV relativeFrom="page">
                  <wp:posOffset>8839200</wp:posOffset>
                </wp:positionV>
                <wp:extent cx="561340" cy="1859280"/>
                <wp:effectExtent l="0" t="0" r="0" b="0"/>
                <wp:wrapNone/>
                <wp:docPr id="92"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340" cy="1859280"/>
                          <a:chOff x="5510" y="13920"/>
                          <a:chExt cx="884" cy="2928"/>
                        </a:xfrm>
                      </wpg:grpSpPr>
                      <pic:pic xmlns:pic="http://schemas.openxmlformats.org/drawingml/2006/picture">
                        <pic:nvPicPr>
                          <pic:cNvPr id="93" name="Picture 8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544" y="13934"/>
                            <a:ext cx="821" cy="29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4" name="Rectangle 83"/>
                        <wps:cNvSpPr>
                          <a:spLocks noChangeArrowheads="1"/>
                        </wps:cNvSpPr>
                        <wps:spPr bwMode="auto">
                          <a:xfrm>
                            <a:off x="5592" y="13960"/>
                            <a:ext cx="720" cy="2878"/>
                          </a:xfrm>
                          <a:prstGeom prst="rect">
                            <a:avLst/>
                          </a:prstGeom>
                          <a:solidFill>
                            <a:srgbClr val="F42A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5" name="Picture 8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5510" y="13929"/>
                            <a:ext cx="500" cy="29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6" name="Rectangle 81"/>
                        <wps:cNvSpPr>
                          <a:spLocks noChangeArrowheads="1"/>
                        </wps:cNvSpPr>
                        <wps:spPr bwMode="auto">
                          <a:xfrm>
                            <a:off x="5580" y="13960"/>
                            <a:ext cx="360" cy="2878"/>
                          </a:xfrm>
                          <a:prstGeom prst="rect">
                            <a:avLst/>
                          </a:prstGeom>
                          <a:solidFill>
                            <a:srgbClr val="F42A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7" name="Picture 8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5884" y="13920"/>
                            <a:ext cx="509" cy="29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8" name="Rectangle 79"/>
                        <wps:cNvSpPr>
                          <a:spLocks noChangeArrowheads="1"/>
                        </wps:cNvSpPr>
                        <wps:spPr bwMode="auto">
                          <a:xfrm>
                            <a:off x="5961" y="13960"/>
                            <a:ext cx="360" cy="28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 name="Rectangle 78"/>
                        <wps:cNvSpPr>
                          <a:spLocks noChangeArrowheads="1"/>
                        </wps:cNvSpPr>
                        <wps:spPr bwMode="auto">
                          <a:xfrm>
                            <a:off x="5961" y="13960"/>
                            <a:ext cx="360" cy="2880"/>
                          </a:xfrm>
                          <a:prstGeom prst="rect">
                            <a:avLst/>
                          </a:prstGeom>
                          <a:noFill/>
                          <a:ln w="9144">
                            <a:solidFill>
                              <a:srgbClr val="F42A4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63DC8496" id="Group 77" o:spid="_x0000_s1026" style="position:absolute;margin-left:275.5pt;margin-top:696pt;width:44.2pt;height:146.4pt;z-index:251656704;mso-position-horizontal-relative:page;mso-position-vertical-relative:page" coordorigin="5510,13920" coordsize="884,29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4" o:spid="_x0000_s1027" type="#_x0000_t75" style="position:absolute;left:5544;top:13934;width:821;height:2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">
                  <v:imagedata r:id="rId11" o:title=""/>
                </v:shape>
                <v:rect id="Rectangle 83" o:spid="_x0000_s1028" style="position:absolute;left:5592;top:13960;width:720;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" fillcolor="#f42a41" stroked="f"/>
                <v:shape id="Picture 82" o:spid="_x0000_s1029" type="#_x0000_t75" style="position:absolute;left:5510;top:13929;width:500;height:2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">
                  <v:imagedata r:id="rId12" o:title=""/>
                </v:shape>
                <v:rect id="Rectangle 81" o:spid="_x0000_s1030" style="position:absolute;left:5580;top:13960;width:360;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" fillcolor="#f42a41" stroked="f"/>
                <v:shape id="Picture 80" o:spid="_x0000_s1031" type="#_x0000_t75" style="position:absolute;left:5884;top:13920;width:509;height:2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">
                  <v:imagedata r:id="rId13" o:title=""/>
                </v:shape>
                <v:rect id="Rectangle 79" o:spid="_x0000_s1032" style="position:absolute;left:5961;top:13960;width:360;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" stroked="f"/>
                <v:rect id="Rectangle 78" o:spid="_x0000_s1033" style="position:absolute;left:5961;top:13960;width:36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" filled="f" strokecolor="#f42a41" strokeweight=".72pt"/>
                <w10:wrap anchorx="page" anchory="page"/>
              </v:group>
            </w:pict>
          </mc:Fallback>
        </mc:AlternateContent>
      </w:r>
      <w:r w:rsidR="00EA34EA">
        <w:rPr>
          <w:rFonts w:ascii="Times New Roman"/>
          <w:noProof/>
          <w:sz w:val="20"/>
        </w:rPr>
        <w:drawing>
          <wp:inline distT="0" distB="0" distL="0" distR="0" wp14:anchorId="6EBDE99E" wp14:editId="11F4281D">
            <wp:extent cx="1209675" cy="277106"/>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0230" t="33007" r="9700" b="33007"/>
                    <a:stretch/>
                  </pic:blipFill>
                  <pic:spPr bwMode="auto">
                    <a:xfrm>
                      <a:off x="0" y="0"/>
                      <a:ext cx="1280754" cy="293388"/>
                    </a:xfrm>
                    <a:prstGeom prst="rect">
                      <a:avLst/>
                    </a:prstGeom>
                    <a:noFill/>
                    <a:ln>
                      <a:noFill/>
                    </a:ln>
                    <a:extLst>
                      <a:ext uri="{53640926-AAD7-44D8-BBD7-CCE9431645EC}">
                        <a14:shadowObscured xmlns:a14="http://schemas.microsoft.com/office/drawing/2010/main"/>
                      </a:ext>
                    </a:extLst>
                  </pic:spPr>
                </pic:pic>
              </a:graphicData>
            </a:graphic>
          </wp:inline>
        </w:drawing>
      </w:r>
    </w:p>
    <w:p w14:paraId="58BE0260" w14:textId="77777777" w:rsidR="00F92E1C" w:rsidRDefault="00F92E1C" w:rsidP="0071221E">
      <w:pPr>
        <w:pStyle w:val="BodyText"/>
        <w:rPr>
          <w:rFonts w:ascii="Times New Roman"/>
          <w:sz w:val="20"/>
        </w:rPr>
      </w:pPr>
    </w:p>
    <w:p w14:paraId="0C6DFFC9" w14:textId="77777777" w:rsidR="00F92E1C" w:rsidRDefault="00F92E1C" w:rsidP="0071221E">
      <w:pPr>
        <w:pStyle w:val="BodyText"/>
        <w:rPr>
          <w:rFonts w:ascii="Times New Roman"/>
          <w:sz w:val="20"/>
        </w:rPr>
      </w:pPr>
    </w:p>
    <w:p w14:paraId="72FA6C80" w14:textId="77777777" w:rsidR="00F92E1C" w:rsidRDefault="00F92E1C" w:rsidP="0071221E">
      <w:pPr>
        <w:pStyle w:val="BodyText"/>
        <w:rPr>
          <w:rFonts w:ascii="Times New Roman"/>
          <w:sz w:val="20"/>
        </w:rPr>
      </w:pPr>
    </w:p>
    <w:p w14:paraId="0C216A55" w14:textId="77777777" w:rsidR="00F92E1C" w:rsidRDefault="00F92E1C" w:rsidP="0071221E">
      <w:pPr>
        <w:pStyle w:val="BodyText"/>
        <w:rPr>
          <w:rFonts w:ascii="Times New Roman"/>
          <w:sz w:val="20"/>
        </w:rPr>
      </w:pPr>
    </w:p>
    <w:p w14:paraId="78F8EDDB" w14:textId="77777777" w:rsidR="00F92E1C" w:rsidRDefault="00F92E1C" w:rsidP="0071221E">
      <w:pPr>
        <w:pStyle w:val="BodyText"/>
        <w:rPr>
          <w:rFonts w:ascii="Times New Roman"/>
          <w:sz w:val="20"/>
        </w:rPr>
      </w:pPr>
    </w:p>
    <w:p w14:paraId="00C9E67F" w14:textId="77777777" w:rsidR="00F92E1C" w:rsidRDefault="00F92E1C" w:rsidP="0071221E">
      <w:pPr>
        <w:pStyle w:val="BodyText"/>
        <w:rPr>
          <w:rFonts w:ascii="Times New Roman"/>
          <w:sz w:val="20"/>
        </w:rPr>
      </w:pPr>
    </w:p>
    <w:p w14:paraId="5C9C3408" w14:textId="77777777" w:rsidR="00F92E1C" w:rsidRDefault="00F92E1C" w:rsidP="0071221E">
      <w:pPr>
        <w:pStyle w:val="BodyText"/>
        <w:spacing w:before="1"/>
        <w:rPr>
          <w:rFonts w:ascii="Times New Roman"/>
          <w:sz w:val="26"/>
        </w:rPr>
      </w:pPr>
    </w:p>
    <w:p w14:paraId="6F8502F4" w14:textId="272DD31A" w:rsidR="00F92E1C" w:rsidRPr="004B1DE7" w:rsidRDefault="005319BB" w:rsidP="0071221E">
      <w:pPr>
        <w:spacing w:before="100"/>
        <w:rPr>
          <w:rFonts w:ascii="Gill Sans MT"/>
          <w:b/>
          <w:sz w:val="18"/>
          <w:lang w:val="en-GB"/>
        </w:rPr>
      </w:pPr>
      <w:r w:rsidRPr="004B1DE7">
        <w:rPr>
          <w:rFonts w:ascii="Gill Sans MT"/>
          <w:b/>
          <w:sz w:val="18"/>
          <w:lang w:val="en-GB"/>
        </w:rPr>
        <w:t>MASTER</w:t>
      </w:r>
    </w:p>
    <w:p w14:paraId="5CCF2D18" w14:textId="3C9DDAF4" w:rsidR="00F92E1C" w:rsidRPr="004B1DE7" w:rsidRDefault="005319BB" w:rsidP="0071221E">
      <w:pPr>
        <w:spacing w:before="41"/>
        <w:rPr>
          <w:rFonts w:ascii="Gill Sans MT" w:hAnsi="Gill Sans MT"/>
          <w:sz w:val="18"/>
          <w:lang w:val="en-GB"/>
        </w:rPr>
      </w:pPr>
      <w:r w:rsidRPr="004B1DE7">
        <w:rPr>
          <w:rFonts w:ascii="Gill Sans MT" w:hAnsi="Gill Sans MT"/>
          <w:sz w:val="18"/>
          <w:lang w:val="en-GB"/>
        </w:rPr>
        <w:t>ECONOMICS</w:t>
      </w:r>
    </w:p>
    <w:p w14:paraId="1301E5A3" w14:textId="77777777" w:rsidR="00F92E1C" w:rsidRPr="004B1DE7" w:rsidRDefault="00F92E1C" w:rsidP="0071221E">
      <w:pPr>
        <w:pStyle w:val="BodyText"/>
        <w:rPr>
          <w:rFonts w:ascii="Gill Sans MT"/>
          <w:sz w:val="20"/>
          <w:lang w:val="en-GB"/>
        </w:rPr>
      </w:pPr>
    </w:p>
    <w:p w14:paraId="4AD3519E" w14:textId="77777777" w:rsidR="00F92E1C" w:rsidRPr="004B1DE7" w:rsidRDefault="00F92E1C" w:rsidP="0071221E">
      <w:pPr>
        <w:pStyle w:val="BodyText"/>
        <w:rPr>
          <w:rFonts w:ascii="Gill Sans MT"/>
          <w:sz w:val="20"/>
          <w:lang w:val="en-GB"/>
        </w:rPr>
      </w:pPr>
    </w:p>
    <w:p w14:paraId="27EEE51B" w14:textId="77777777" w:rsidR="00F92E1C" w:rsidRPr="004B1DE7" w:rsidRDefault="00F92E1C" w:rsidP="0071221E">
      <w:pPr>
        <w:pStyle w:val="BodyText"/>
        <w:spacing w:before="2"/>
        <w:rPr>
          <w:rFonts w:ascii="Gill Sans MT"/>
          <w:sz w:val="25"/>
          <w:lang w:val="en-GB"/>
        </w:rPr>
      </w:pPr>
    </w:p>
    <w:p w14:paraId="59006BE7" w14:textId="08AA21BE" w:rsidR="005319BB" w:rsidRPr="005319BB" w:rsidRDefault="00834E70" w:rsidP="0071221E">
      <w:pPr>
        <w:spacing w:line="288" w:lineRule="auto"/>
        <w:ind w:right="1307"/>
        <w:rPr>
          <w:rFonts w:ascii="Gill Sans MT" w:hAnsi="Gill Sans MT"/>
          <w:b/>
          <w:sz w:val="48"/>
          <w:lang w:val="en-GB"/>
        </w:rPr>
      </w:pPr>
      <w:r w:rsidRPr="001767DA">
        <w:rPr>
          <w:rFonts w:ascii="Gill Sans MT" w:hAnsi="Gill Sans MT"/>
          <w:b/>
          <w:sz w:val="48"/>
          <w:lang w:val="en-GB"/>
        </w:rPr>
        <w:t>H</w:t>
      </w:r>
      <w:r w:rsidR="004B1DE7" w:rsidRPr="001767DA">
        <w:rPr>
          <w:rFonts w:ascii="Gill Sans MT" w:hAnsi="Gill Sans MT"/>
          <w:b/>
          <w:sz w:val="48"/>
          <w:lang w:val="en-GB"/>
        </w:rPr>
        <w:t xml:space="preserve">ysteresis </w:t>
      </w:r>
      <w:r w:rsidRPr="001767DA">
        <w:rPr>
          <w:rFonts w:ascii="Gill Sans MT" w:hAnsi="Gill Sans MT"/>
          <w:b/>
          <w:sz w:val="48"/>
          <w:lang w:val="en-GB"/>
        </w:rPr>
        <w:t xml:space="preserve">in the </w:t>
      </w:r>
      <w:r w:rsidR="00A75F9E">
        <w:rPr>
          <w:rFonts w:ascii="Gill Sans MT" w:hAnsi="Gill Sans MT"/>
          <w:b/>
          <w:sz w:val="48"/>
          <w:lang w:val="en-GB"/>
        </w:rPr>
        <w:t>D</w:t>
      </w:r>
      <w:r w:rsidRPr="001767DA">
        <w:rPr>
          <w:rFonts w:ascii="Gill Sans MT" w:hAnsi="Gill Sans MT"/>
          <w:b/>
          <w:sz w:val="48"/>
          <w:lang w:val="en-GB"/>
        </w:rPr>
        <w:t xml:space="preserve">ynamics of </w:t>
      </w:r>
      <w:r w:rsidR="00A75F9E">
        <w:rPr>
          <w:rFonts w:ascii="Gill Sans MT" w:hAnsi="Gill Sans MT"/>
          <w:b/>
          <w:sz w:val="48"/>
          <w:lang w:val="en-GB"/>
        </w:rPr>
        <w:t>I</w:t>
      </w:r>
      <w:r w:rsidRPr="001767DA">
        <w:rPr>
          <w:rFonts w:ascii="Gill Sans MT" w:hAnsi="Gill Sans MT"/>
          <w:b/>
          <w:sz w:val="48"/>
          <w:lang w:val="en-GB"/>
        </w:rPr>
        <w:t xml:space="preserve">nvestment: </w:t>
      </w:r>
      <w:r w:rsidR="00A75F9E">
        <w:rPr>
          <w:rFonts w:ascii="Gill Sans MT" w:hAnsi="Gill Sans MT"/>
          <w:b/>
          <w:sz w:val="48"/>
          <w:lang w:val="en-GB"/>
        </w:rPr>
        <w:t>T</w:t>
      </w:r>
      <w:r w:rsidRPr="001767DA">
        <w:rPr>
          <w:rFonts w:ascii="Gill Sans MT" w:hAnsi="Gill Sans MT"/>
          <w:b/>
          <w:sz w:val="48"/>
          <w:lang w:val="en-GB"/>
        </w:rPr>
        <w:t xml:space="preserve">angible vs </w:t>
      </w:r>
      <w:r w:rsidR="00A75F9E">
        <w:rPr>
          <w:rFonts w:ascii="Gill Sans MT" w:hAnsi="Gill Sans MT"/>
          <w:b/>
          <w:sz w:val="48"/>
          <w:lang w:val="en-GB"/>
        </w:rPr>
        <w:t>I</w:t>
      </w:r>
      <w:r w:rsidR="004B1DE7" w:rsidRPr="001767DA">
        <w:rPr>
          <w:rFonts w:ascii="Gill Sans MT" w:hAnsi="Gill Sans MT"/>
          <w:b/>
          <w:sz w:val="48"/>
          <w:lang w:val="en-GB"/>
        </w:rPr>
        <w:t xml:space="preserve">ntangible </w:t>
      </w:r>
      <w:r w:rsidR="00BF4375">
        <w:rPr>
          <w:rFonts w:ascii="Gill Sans MT" w:hAnsi="Gill Sans MT"/>
          <w:b/>
          <w:sz w:val="48"/>
          <w:lang w:val="en-GB"/>
        </w:rPr>
        <w:t>A</w:t>
      </w:r>
      <w:r w:rsidR="004B1DE7" w:rsidRPr="001767DA">
        <w:rPr>
          <w:rFonts w:ascii="Gill Sans MT" w:hAnsi="Gill Sans MT"/>
          <w:b/>
          <w:sz w:val="48"/>
          <w:lang w:val="en-GB"/>
        </w:rPr>
        <w:t>ssets</w:t>
      </w:r>
    </w:p>
    <w:p w14:paraId="12D7F3F5" w14:textId="2DA63E86" w:rsidR="00F92E1C" w:rsidRDefault="005319BB" w:rsidP="0071221E">
      <w:pPr>
        <w:spacing w:line="288" w:lineRule="auto"/>
        <w:ind w:right="1307"/>
        <w:rPr>
          <w:rFonts w:ascii="Gill Sans MT" w:hAnsi="Gill Sans MT"/>
          <w:sz w:val="48"/>
        </w:rPr>
      </w:pPr>
      <w:r>
        <w:rPr>
          <w:rFonts w:ascii="Gill Sans MT" w:hAnsi="Gill Sans MT"/>
          <w:sz w:val="48"/>
        </w:rPr>
        <w:t>Rodrigo Andrade Ribeirinho Soares</w:t>
      </w:r>
    </w:p>
    <w:p w14:paraId="01B6CBDC" w14:textId="77777777" w:rsidR="00F92E1C" w:rsidRDefault="005B7502" w:rsidP="0071221E">
      <w:pPr>
        <w:pStyle w:val="Title"/>
        <w:ind w:left="0"/>
      </w:pPr>
      <w:r>
        <w:t>M</w:t>
      </w:r>
    </w:p>
    <w:p w14:paraId="5CB75FD5" w14:textId="2E98456A" w:rsidR="00F92E1C" w:rsidRDefault="005B7502" w:rsidP="0071221E">
      <w:pPr>
        <w:spacing w:before="1"/>
        <w:rPr>
          <w:rFonts w:ascii="Gill Sans MT"/>
          <w:b/>
        </w:rPr>
      </w:pPr>
      <w:r>
        <w:rPr>
          <w:rFonts w:ascii="Gill Sans MT"/>
          <w:b/>
        </w:rPr>
        <w:t>202</w:t>
      </w:r>
      <w:r w:rsidR="005319BB">
        <w:rPr>
          <w:rFonts w:ascii="Gill Sans MT"/>
          <w:b/>
        </w:rPr>
        <w:t>3</w:t>
      </w:r>
    </w:p>
    <w:p w14:paraId="01E44EF8" w14:textId="77777777" w:rsidR="00F92E1C" w:rsidRDefault="00F92E1C" w:rsidP="0071221E">
      <w:pPr>
        <w:rPr>
          <w:rFonts w:ascii="Gill Sans MT"/>
        </w:rPr>
        <w:sectPr w:rsidR="00F92E1C" w:rsidSect="003333ED">
          <w:headerReference w:type="even" r:id="rId15"/>
          <w:headerReference w:type="default" r:id="rId16"/>
          <w:footerReference w:type="even" r:id="rId17"/>
          <w:footerReference w:type="default" r:id="rId18"/>
          <w:headerReference w:type="first" r:id="rId19"/>
          <w:footerReference w:type="first" r:id="rId20"/>
          <w:pgSz w:w="11910" w:h="16840"/>
          <w:pgMar w:top="1701" w:right="1418" w:bottom="1701" w:left="1985" w:header="0" w:footer="720" w:gutter="0"/>
          <w:cols w:space="720"/>
        </w:sectPr>
      </w:pPr>
    </w:p>
    <w:p w14:paraId="2EB62961" w14:textId="77777777" w:rsidR="00F92E1C" w:rsidRDefault="00F92E1C" w:rsidP="0071221E">
      <w:pPr>
        <w:pStyle w:val="BodyText"/>
        <w:spacing w:before="1"/>
        <w:rPr>
          <w:rFonts w:ascii="Gill Sans MT"/>
          <w:b/>
          <w:sz w:val="9"/>
        </w:rPr>
      </w:pPr>
    </w:p>
    <w:p w14:paraId="1D5E4B4E" w14:textId="77777777" w:rsidR="00F92E1C" w:rsidRDefault="005B7502" w:rsidP="0071221E">
      <w:pPr>
        <w:pStyle w:val="BodyText"/>
        <w:rPr>
          <w:rFonts w:ascii="Gill Sans MT"/>
          <w:sz w:val="20"/>
        </w:rPr>
      </w:pPr>
      <w:r>
        <w:rPr>
          <w:rFonts w:ascii="Gill Sans MT"/>
          <w:noProof/>
          <w:sz w:val="20"/>
        </w:rPr>
        <w:drawing>
          <wp:inline distT="0" distB="0" distL="0" distR="0" wp14:anchorId="4C6490BD" wp14:editId="491189E9">
            <wp:extent cx="2154808" cy="745235"/>
            <wp:effectExtent l="0" t="0" r="0" b="0"/>
            <wp:docPr id="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jpeg"/>
                    <pic:cNvPicPr/>
                  </pic:nvPicPr>
                  <pic:blipFill>
                    <a:blip r:embed="rId21" cstate="print"/>
                    <a:stretch>
                      <a:fillRect/>
                    </a:stretch>
                  </pic:blipFill>
                  <pic:spPr>
                    <a:xfrm>
                      <a:off x="0" y="0"/>
                      <a:ext cx="2154808" cy="745235"/>
                    </a:xfrm>
                    <a:prstGeom prst="rect">
                      <a:avLst/>
                    </a:prstGeom>
                  </pic:spPr>
                </pic:pic>
              </a:graphicData>
            </a:graphic>
          </wp:inline>
        </w:drawing>
      </w:r>
    </w:p>
    <w:p w14:paraId="457BAA61" w14:textId="77777777" w:rsidR="00F92E1C" w:rsidRDefault="00F92E1C" w:rsidP="0071221E">
      <w:pPr>
        <w:pStyle w:val="BodyText"/>
        <w:rPr>
          <w:rFonts w:ascii="Gill Sans MT"/>
          <w:b/>
          <w:sz w:val="20"/>
        </w:rPr>
      </w:pPr>
    </w:p>
    <w:p w14:paraId="34442A2C" w14:textId="77777777" w:rsidR="00F92E1C" w:rsidRDefault="00F92E1C" w:rsidP="0071221E">
      <w:pPr>
        <w:pStyle w:val="BodyText"/>
        <w:rPr>
          <w:rFonts w:ascii="Gill Sans MT"/>
          <w:b/>
          <w:sz w:val="20"/>
        </w:rPr>
      </w:pPr>
    </w:p>
    <w:p w14:paraId="3612B925" w14:textId="77777777" w:rsidR="00F92E1C" w:rsidRDefault="00F92E1C" w:rsidP="0071221E">
      <w:pPr>
        <w:pStyle w:val="BodyText"/>
        <w:rPr>
          <w:rFonts w:ascii="Gill Sans MT"/>
          <w:b/>
          <w:sz w:val="20"/>
        </w:rPr>
      </w:pPr>
    </w:p>
    <w:p w14:paraId="07558E25" w14:textId="77777777" w:rsidR="00F92E1C" w:rsidRDefault="00F92E1C" w:rsidP="0071221E">
      <w:pPr>
        <w:pStyle w:val="BodyText"/>
        <w:rPr>
          <w:rFonts w:ascii="Gill Sans MT"/>
          <w:b/>
          <w:sz w:val="20"/>
        </w:rPr>
      </w:pPr>
    </w:p>
    <w:p w14:paraId="783AE2C7" w14:textId="77777777" w:rsidR="00F92E1C" w:rsidRDefault="00F92E1C" w:rsidP="0071221E">
      <w:pPr>
        <w:pStyle w:val="BodyText"/>
        <w:rPr>
          <w:rFonts w:ascii="Gill Sans MT"/>
          <w:b/>
          <w:sz w:val="20"/>
        </w:rPr>
      </w:pPr>
    </w:p>
    <w:p w14:paraId="061AD51F" w14:textId="77777777" w:rsidR="00F92E1C" w:rsidRDefault="005B7502" w:rsidP="0071221E">
      <w:pPr>
        <w:pStyle w:val="BodyText"/>
        <w:spacing w:before="9"/>
        <w:rPr>
          <w:rFonts w:ascii="Gill Sans MT"/>
          <w:b/>
          <w:sz w:val="28"/>
        </w:rPr>
      </w:pPr>
      <w:r>
        <w:rPr>
          <w:noProof/>
        </w:rPr>
        <w:drawing>
          <wp:anchor distT="0" distB="0" distL="0" distR="0" simplePos="0" relativeHeight="251652608" behindDoc="0" locked="0" layoutInCell="1" allowOverlap="1" wp14:anchorId="40E49506" wp14:editId="1C35D7CE">
            <wp:simplePos x="0" y="0"/>
            <wp:positionH relativeFrom="page">
              <wp:posOffset>1261236</wp:posOffset>
            </wp:positionH>
            <wp:positionV relativeFrom="paragraph">
              <wp:posOffset>236990</wp:posOffset>
            </wp:positionV>
            <wp:extent cx="361614" cy="52387"/>
            <wp:effectExtent l="0" t="0" r="0" b="0"/>
            <wp:wrapTopAndBottom/>
            <wp:docPr id="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7.png"/>
                    <pic:cNvPicPr/>
                  </pic:nvPicPr>
                  <pic:blipFill>
                    <a:blip r:embed="rId22" cstate="print"/>
                    <a:stretch>
                      <a:fillRect/>
                    </a:stretch>
                  </pic:blipFill>
                  <pic:spPr>
                    <a:xfrm>
                      <a:off x="0" y="0"/>
                      <a:ext cx="361614" cy="52387"/>
                    </a:xfrm>
                    <a:prstGeom prst="rect">
                      <a:avLst/>
                    </a:prstGeom>
                  </pic:spPr>
                </pic:pic>
              </a:graphicData>
            </a:graphic>
          </wp:anchor>
        </w:drawing>
      </w:r>
    </w:p>
    <w:p w14:paraId="58280609" w14:textId="1AFB7748" w:rsidR="005319BB" w:rsidRPr="001767DA" w:rsidRDefault="001767DA" w:rsidP="0071221E">
      <w:pPr>
        <w:pStyle w:val="Heading3"/>
        <w:spacing w:before="161"/>
        <w:ind w:left="0" w:firstLine="0"/>
        <w:rPr>
          <w:b w:val="0"/>
          <w:bCs w:val="0"/>
          <w:sz w:val="28"/>
          <w:szCs w:val="22"/>
          <w:lang w:val="en-GB"/>
        </w:rPr>
      </w:pPr>
      <w:bookmarkStart w:id="1" w:name="_Hlk126836445"/>
      <w:r w:rsidRPr="001767DA">
        <w:rPr>
          <w:b w:val="0"/>
          <w:bCs w:val="0"/>
          <w:sz w:val="28"/>
          <w:szCs w:val="22"/>
          <w:lang w:val="en-GB"/>
        </w:rPr>
        <w:t xml:space="preserve">Hysteresis in the </w:t>
      </w:r>
      <w:r w:rsidR="00A75F9E">
        <w:rPr>
          <w:b w:val="0"/>
          <w:bCs w:val="0"/>
          <w:sz w:val="28"/>
          <w:szCs w:val="22"/>
          <w:lang w:val="en-GB"/>
        </w:rPr>
        <w:t>D</w:t>
      </w:r>
      <w:r w:rsidRPr="001767DA">
        <w:rPr>
          <w:b w:val="0"/>
          <w:bCs w:val="0"/>
          <w:sz w:val="28"/>
          <w:szCs w:val="22"/>
          <w:lang w:val="en-GB"/>
        </w:rPr>
        <w:t>ynamics o</w:t>
      </w:r>
      <w:r>
        <w:rPr>
          <w:b w:val="0"/>
          <w:bCs w:val="0"/>
          <w:sz w:val="28"/>
          <w:szCs w:val="22"/>
          <w:lang w:val="en-GB"/>
        </w:rPr>
        <w:t xml:space="preserve">f </w:t>
      </w:r>
      <w:r w:rsidR="00A75F9E">
        <w:rPr>
          <w:b w:val="0"/>
          <w:bCs w:val="0"/>
          <w:sz w:val="28"/>
          <w:szCs w:val="22"/>
          <w:lang w:val="en-GB"/>
        </w:rPr>
        <w:t>I</w:t>
      </w:r>
      <w:r>
        <w:rPr>
          <w:b w:val="0"/>
          <w:bCs w:val="0"/>
          <w:sz w:val="28"/>
          <w:szCs w:val="22"/>
          <w:lang w:val="en-GB"/>
        </w:rPr>
        <w:t xml:space="preserve">nvestment: </w:t>
      </w:r>
      <w:r w:rsidR="00A75F9E">
        <w:rPr>
          <w:b w:val="0"/>
          <w:bCs w:val="0"/>
          <w:sz w:val="28"/>
          <w:szCs w:val="22"/>
          <w:lang w:val="en-GB"/>
        </w:rPr>
        <w:t>T</w:t>
      </w:r>
      <w:r>
        <w:rPr>
          <w:b w:val="0"/>
          <w:bCs w:val="0"/>
          <w:sz w:val="28"/>
          <w:szCs w:val="22"/>
          <w:lang w:val="en-GB"/>
        </w:rPr>
        <w:t xml:space="preserve">angible vs </w:t>
      </w:r>
      <w:r w:rsidR="00A75F9E">
        <w:rPr>
          <w:b w:val="0"/>
          <w:bCs w:val="0"/>
          <w:sz w:val="28"/>
          <w:szCs w:val="22"/>
          <w:lang w:val="en-GB"/>
        </w:rPr>
        <w:t>I</w:t>
      </w:r>
      <w:r>
        <w:rPr>
          <w:b w:val="0"/>
          <w:bCs w:val="0"/>
          <w:sz w:val="28"/>
          <w:szCs w:val="22"/>
          <w:lang w:val="en-GB"/>
        </w:rPr>
        <w:t xml:space="preserve">ntangible </w:t>
      </w:r>
      <w:r w:rsidR="00BF4375">
        <w:rPr>
          <w:b w:val="0"/>
          <w:bCs w:val="0"/>
          <w:sz w:val="28"/>
          <w:szCs w:val="22"/>
          <w:lang w:val="en-GB"/>
        </w:rPr>
        <w:t>A</w:t>
      </w:r>
      <w:r>
        <w:rPr>
          <w:b w:val="0"/>
          <w:bCs w:val="0"/>
          <w:sz w:val="28"/>
          <w:szCs w:val="22"/>
          <w:lang w:val="en-GB"/>
        </w:rPr>
        <w:t>ssets</w:t>
      </w:r>
    </w:p>
    <w:p w14:paraId="0984D193" w14:textId="4561FC48" w:rsidR="00F92E1C" w:rsidRDefault="005319BB" w:rsidP="0071221E">
      <w:pPr>
        <w:pStyle w:val="Heading3"/>
        <w:spacing w:before="161"/>
        <w:ind w:left="0" w:firstLine="0"/>
      </w:pPr>
      <w:bookmarkStart w:id="2" w:name="_Toc126837230"/>
      <w:bookmarkStart w:id="3" w:name="_Toc126837458"/>
      <w:bookmarkEnd w:id="1"/>
      <w:r>
        <w:t>Rodrigo Andrade Ribeirinho Soares</w:t>
      </w:r>
      <w:bookmarkEnd w:id="2"/>
      <w:bookmarkEnd w:id="3"/>
    </w:p>
    <w:p w14:paraId="4768BCB5" w14:textId="77777777" w:rsidR="00F92E1C" w:rsidRDefault="00F92E1C" w:rsidP="0071221E">
      <w:pPr>
        <w:pStyle w:val="BodyText"/>
        <w:rPr>
          <w:b/>
          <w:sz w:val="20"/>
        </w:rPr>
      </w:pPr>
    </w:p>
    <w:p w14:paraId="181C5076" w14:textId="77777777" w:rsidR="00F92E1C" w:rsidRDefault="00F92E1C" w:rsidP="0071221E">
      <w:pPr>
        <w:pStyle w:val="BodyText"/>
        <w:rPr>
          <w:b/>
          <w:sz w:val="20"/>
        </w:rPr>
      </w:pPr>
    </w:p>
    <w:p w14:paraId="11477724" w14:textId="77777777" w:rsidR="00F92E1C" w:rsidRDefault="00F92E1C" w:rsidP="0071221E">
      <w:pPr>
        <w:pStyle w:val="BodyText"/>
        <w:rPr>
          <w:b/>
          <w:sz w:val="20"/>
        </w:rPr>
      </w:pPr>
    </w:p>
    <w:p w14:paraId="7DB2635C" w14:textId="77777777" w:rsidR="00F92E1C" w:rsidRDefault="00F92E1C" w:rsidP="0071221E">
      <w:pPr>
        <w:pStyle w:val="BodyText"/>
        <w:rPr>
          <w:b/>
          <w:sz w:val="20"/>
        </w:rPr>
      </w:pPr>
    </w:p>
    <w:p w14:paraId="3F9AC4F8" w14:textId="77777777" w:rsidR="00F92E1C" w:rsidRDefault="00F92E1C" w:rsidP="0071221E">
      <w:pPr>
        <w:pStyle w:val="BodyText"/>
        <w:rPr>
          <w:b/>
          <w:sz w:val="20"/>
        </w:rPr>
      </w:pPr>
    </w:p>
    <w:p w14:paraId="2F83445F" w14:textId="77777777" w:rsidR="00F92E1C" w:rsidRDefault="00F92E1C" w:rsidP="0071221E">
      <w:pPr>
        <w:pStyle w:val="BodyText"/>
        <w:rPr>
          <w:b/>
          <w:sz w:val="20"/>
        </w:rPr>
      </w:pPr>
    </w:p>
    <w:p w14:paraId="59E2C807" w14:textId="77777777" w:rsidR="00F92E1C" w:rsidRDefault="005B7502" w:rsidP="0071221E">
      <w:pPr>
        <w:pStyle w:val="BodyText"/>
        <w:spacing w:before="10"/>
        <w:rPr>
          <w:b/>
          <w:sz w:val="21"/>
        </w:rPr>
      </w:pPr>
      <w:r>
        <w:rPr>
          <w:noProof/>
        </w:rPr>
        <w:drawing>
          <wp:anchor distT="0" distB="0" distL="0" distR="0" simplePos="0" relativeHeight="251653632" behindDoc="0" locked="0" layoutInCell="1" allowOverlap="1" wp14:anchorId="58A4BE65" wp14:editId="43290A40">
            <wp:simplePos x="0" y="0"/>
            <wp:positionH relativeFrom="page">
              <wp:posOffset>1261236</wp:posOffset>
            </wp:positionH>
            <wp:positionV relativeFrom="paragraph">
              <wp:posOffset>181219</wp:posOffset>
            </wp:positionV>
            <wp:extent cx="361614" cy="52387"/>
            <wp:effectExtent l="0" t="0" r="0" b="0"/>
            <wp:wrapTopAndBottom/>
            <wp:docPr id="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png"/>
                    <pic:cNvPicPr/>
                  </pic:nvPicPr>
                  <pic:blipFill>
                    <a:blip r:embed="rId22" cstate="print"/>
                    <a:stretch>
                      <a:fillRect/>
                    </a:stretch>
                  </pic:blipFill>
                  <pic:spPr>
                    <a:xfrm>
                      <a:off x="0" y="0"/>
                      <a:ext cx="361614" cy="52387"/>
                    </a:xfrm>
                    <a:prstGeom prst="rect">
                      <a:avLst/>
                    </a:prstGeom>
                  </pic:spPr>
                </pic:pic>
              </a:graphicData>
            </a:graphic>
          </wp:anchor>
        </w:drawing>
      </w:r>
    </w:p>
    <w:p w14:paraId="6C209460" w14:textId="4E3DEE13" w:rsidR="00F92E1C" w:rsidRDefault="005319BB" w:rsidP="0071221E">
      <w:pPr>
        <w:pStyle w:val="BodyText"/>
        <w:spacing w:before="134"/>
      </w:pPr>
      <w:r>
        <w:t>Dissertation</w:t>
      </w:r>
    </w:p>
    <w:p w14:paraId="38E90CEE" w14:textId="2936712F" w:rsidR="00F92E1C" w:rsidRDefault="005B7502" w:rsidP="0071221E">
      <w:pPr>
        <w:pStyle w:val="BodyText"/>
        <w:spacing w:before="80"/>
      </w:pPr>
      <w:r>
        <w:t>M</w:t>
      </w:r>
      <w:r w:rsidR="005319BB">
        <w:t>aster in Economics</w:t>
      </w:r>
    </w:p>
    <w:p w14:paraId="5FA1C938" w14:textId="77777777" w:rsidR="00F92E1C" w:rsidRDefault="00F92E1C" w:rsidP="0071221E">
      <w:pPr>
        <w:pStyle w:val="BodyText"/>
        <w:rPr>
          <w:sz w:val="20"/>
        </w:rPr>
      </w:pPr>
    </w:p>
    <w:p w14:paraId="5CB1637A" w14:textId="77777777" w:rsidR="00F92E1C" w:rsidRDefault="00F92E1C" w:rsidP="0071221E">
      <w:pPr>
        <w:pStyle w:val="BodyText"/>
        <w:rPr>
          <w:sz w:val="20"/>
        </w:rPr>
      </w:pPr>
    </w:p>
    <w:p w14:paraId="1C421C02" w14:textId="77777777" w:rsidR="00F92E1C" w:rsidRDefault="00F92E1C" w:rsidP="0071221E">
      <w:pPr>
        <w:pStyle w:val="BodyText"/>
        <w:rPr>
          <w:sz w:val="20"/>
        </w:rPr>
      </w:pPr>
    </w:p>
    <w:p w14:paraId="2F3946A7" w14:textId="77777777" w:rsidR="00F92E1C" w:rsidRDefault="00F92E1C" w:rsidP="0071221E">
      <w:pPr>
        <w:pStyle w:val="BodyText"/>
        <w:rPr>
          <w:sz w:val="20"/>
        </w:rPr>
      </w:pPr>
    </w:p>
    <w:p w14:paraId="43584AE9" w14:textId="77777777" w:rsidR="00F92E1C" w:rsidRDefault="00F92E1C" w:rsidP="0071221E">
      <w:pPr>
        <w:pStyle w:val="BodyText"/>
        <w:rPr>
          <w:sz w:val="20"/>
        </w:rPr>
      </w:pPr>
    </w:p>
    <w:p w14:paraId="2D3EA91C" w14:textId="77777777" w:rsidR="00F92E1C" w:rsidRDefault="00F92E1C" w:rsidP="0071221E">
      <w:pPr>
        <w:pStyle w:val="BodyText"/>
        <w:rPr>
          <w:sz w:val="20"/>
        </w:rPr>
      </w:pPr>
    </w:p>
    <w:p w14:paraId="57EA5031" w14:textId="77777777" w:rsidR="00F92E1C" w:rsidRDefault="00F92E1C" w:rsidP="0071221E">
      <w:pPr>
        <w:pStyle w:val="BodyText"/>
        <w:rPr>
          <w:sz w:val="20"/>
        </w:rPr>
      </w:pPr>
    </w:p>
    <w:p w14:paraId="53134A68" w14:textId="77777777" w:rsidR="00F92E1C" w:rsidRDefault="00F92E1C" w:rsidP="0071221E">
      <w:pPr>
        <w:pStyle w:val="BodyText"/>
        <w:rPr>
          <w:sz w:val="20"/>
        </w:rPr>
      </w:pPr>
    </w:p>
    <w:p w14:paraId="261A531F" w14:textId="77777777" w:rsidR="00F92E1C" w:rsidRDefault="00F92E1C" w:rsidP="0071221E">
      <w:pPr>
        <w:pStyle w:val="BodyText"/>
        <w:rPr>
          <w:sz w:val="20"/>
        </w:rPr>
      </w:pPr>
    </w:p>
    <w:p w14:paraId="5AF38FD9" w14:textId="77777777" w:rsidR="00F92E1C" w:rsidRDefault="00F92E1C" w:rsidP="0071221E">
      <w:pPr>
        <w:pStyle w:val="BodyText"/>
        <w:rPr>
          <w:sz w:val="20"/>
        </w:rPr>
      </w:pPr>
    </w:p>
    <w:p w14:paraId="4CE24B87" w14:textId="77777777" w:rsidR="00F92E1C" w:rsidRDefault="00F92E1C" w:rsidP="0071221E">
      <w:pPr>
        <w:pStyle w:val="BodyText"/>
        <w:rPr>
          <w:sz w:val="20"/>
        </w:rPr>
      </w:pPr>
    </w:p>
    <w:p w14:paraId="20784FC3" w14:textId="77777777" w:rsidR="00F92E1C" w:rsidRDefault="00F92E1C" w:rsidP="0071221E">
      <w:pPr>
        <w:pStyle w:val="BodyText"/>
        <w:rPr>
          <w:sz w:val="20"/>
        </w:rPr>
      </w:pPr>
    </w:p>
    <w:p w14:paraId="4298BDE3" w14:textId="77777777" w:rsidR="00F92E1C" w:rsidRDefault="00F92E1C" w:rsidP="0071221E">
      <w:pPr>
        <w:pStyle w:val="BodyText"/>
        <w:rPr>
          <w:sz w:val="20"/>
        </w:rPr>
      </w:pPr>
    </w:p>
    <w:p w14:paraId="78B98354" w14:textId="77777777" w:rsidR="00F92E1C" w:rsidRDefault="005B7502" w:rsidP="0071221E">
      <w:pPr>
        <w:pStyle w:val="BodyText"/>
        <w:spacing w:before="1"/>
        <w:rPr>
          <w:sz w:val="16"/>
        </w:rPr>
      </w:pPr>
      <w:r>
        <w:rPr>
          <w:noProof/>
        </w:rPr>
        <w:drawing>
          <wp:anchor distT="0" distB="0" distL="0" distR="0" simplePos="0" relativeHeight="251654656" behindDoc="0" locked="0" layoutInCell="1" allowOverlap="1" wp14:anchorId="187AFFC3" wp14:editId="41B28C65">
            <wp:simplePos x="0" y="0"/>
            <wp:positionH relativeFrom="page">
              <wp:posOffset>1261236</wp:posOffset>
            </wp:positionH>
            <wp:positionV relativeFrom="paragraph">
              <wp:posOffset>139906</wp:posOffset>
            </wp:positionV>
            <wp:extent cx="358757" cy="51339"/>
            <wp:effectExtent l="0" t="0" r="0" b="0"/>
            <wp:wrapTopAndBottom/>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png"/>
                    <pic:cNvPicPr/>
                  </pic:nvPicPr>
                  <pic:blipFill>
                    <a:blip r:embed="rId22" cstate="print"/>
                    <a:stretch>
                      <a:fillRect/>
                    </a:stretch>
                  </pic:blipFill>
                  <pic:spPr>
                    <a:xfrm>
                      <a:off x="0" y="0"/>
                      <a:ext cx="358757" cy="51339"/>
                    </a:xfrm>
                    <a:prstGeom prst="rect">
                      <a:avLst/>
                    </a:prstGeom>
                  </pic:spPr>
                </pic:pic>
              </a:graphicData>
            </a:graphic>
          </wp:anchor>
        </w:drawing>
      </w:r>
    </w:p>
    <w:p w14:paraId="7FF033DC" w14:textId="499D3C67" w:rsidR="00F92E1C" w:rsidRDefault="005319BB" w:rsidP="0071221E">
      <w:pPr>
        <w:pStyle w:val="BodyText"/>
        <w:spacing w:before="133"/>
      </w:pPr>
      <w:r>
        <w:t>Supervised by</w:t>
      </w:r>
    </w:p>
    <w:p w14:paraId="3D0272FC" w14:textId="33672B25" w:rsidR="00F92E1C" w:rsidRDefault="005B7502" w:rsidP="0071221E">
      <w:pPr>
        <w:pStyle w:val="Heading3"/>
        <w:spacing w:before="3"/>
        <w:ind w:left="0" w:firstLine="0"/>
      </w:pPr>
      <w:bookmarkStart w:id="4" w:name="_Toc126837231"/>
      <w:bookmarkStart w:id="5" w:name="_Toc126837459"/>
      <w:r>
        <w:t>Professor</w:t>
      </w:r>
      <w:r w:rsidR="005319BB">
        <w:rPr>
          <w:spacing w:val="-1"/>
        </w:rPr>
        <w:t xml:space="preserve"> </w:t>
      </w:r>
      <w:r>
        <w:t>Paulo</w:t>
      </w:r>
      <w:r>
        <w:rPr>
          <w:spacing w:val="1"/>
        </w:rPr>
        <w:t xml:space="preserve"> </w:t>
      </w:r>
      <w:r>
        <w:t>Ricardo</w:t>
      </w:r>
      <w:r>
        <w:rPr>
          <w:spacing w:val="-2"/>
        </w:rPr>
        <w:t xml:space="preserve"> </w:t>
      </w:r>
      <w:r>
        <w:t>Tavares</w:t>
      </w:r>
      <w:r>
        <w:rPr>
          <w:spacing w:val="-1"/>
        </w:rPr>
        <w:t xml:space="preserve"> </w:t>
      </w:r>
      <w:r>
        <w:t>Mota</w:t>
      </w:r>
      <w:bookmarkEnd w:id="4"/>
      <w:bookmarkEnd w:id="5"/>
    </w:p>
    <w:p w14:paraId="22021553" w14:textId="77777777" w:rsidR="00F92E1C" w:rsidRDefault="00F92E1C" w:rsidP="0071221E">
      <w:pPr>
        <w:pStyle w:val="BodyText"/>
        <w:rPr>
          <w:b/>
          <w:sz w:val="20"/>
        </w:rPr>
      </w:pPr>
    </w:p>
    <w:p w14:paraId="44F8DA95" w14:textId="77777777" w:rsidR="00F92E1C" w:rsidRDefault="00F92E1C" w:rsidP="0071221E">
      <w:pPr>
        <w:pStyle w:val="BodyText"/>
        <w:rPr>
          <w:b/>
          <w:sz w:val="20"/>
        </w:rPr>
      </w:pPr>
    </w:p>
    <w:p w14:paraId="19E66045" w14:textId="77777777" w:rsidR="00F92E1C" w:rsidRDefault="00F92E1C" w:rsidP="0071221E">
      <w:pPr>
        <w:pStyle w:val="BodyText"/>
        <w:rPr>
          <w:b/>
          <w:sz w:val="20"/>
        </w:rPr>
      </w:pPr>
    </w:p>
    <w:p w14:paraId="3607FE40" w14:textId="77777777" w:rsidR="00F92E1C" w:rsidRDefault="00F92E1C" w:rsidP="0071221E">
      <w:pPr>
        <w:pStyle w:val="BodyText"/>
        <w:rPr>
          <w:b/>
          <w:sz w:val="20"/>
        </w:rPr>
      </w:pPr>
    </w:p>
    <w:p w14:paraId="6BB1A627" w14:textId="77777777" w:rsidR="00F92E1C" w:rsidRDefault="00F92E1C" w:rsidP="0071221E">
      <w:pPr>
        <w:pStyle w:val="BodyText"/>
        <w:rPr>
          <w:b/>
          <w:sz w:val="20"/>
        </w:rPr>
      </w:pPr>
    </w:p>
    <w:p w14:paraId="19401C42" w14:textId="77777777" w:rsidR="00F92E1C" w:rsidRDefault="00F92E1C" w:rsidP="0071221E">
      <w:pPr>
        <w:pStyle w:val="BodyText"/>
        <w:rPr>
          <w:b/>
          <w:sz w:val="20"/>
        </w:rPr>
      </w:pPr>
    </w:p>
    <w:p w14:paraId="4B88CDA4" w14:textId="77777777" w:rsidR="00F92E1C" w:rsidRDefault="00F92E1C" w:rsidP="0071221E">
      <w:pPr>
        <w:pStyle w:val="BodyText"/>
        <w:rPr>
          <w:b/>
          <w:sz w:val="20"/>
        </w:rPr>
      </w:pPr>
    </w:p>
    <w:p w14:paraId="5A45F939" w14:textId="77777777" w:rsidR="00F92E1C" w:rsidRDefault="00F92E1C" w:rsidP="0071221E">
      <w:pPr>
        <w:pStyle w:val="BodyText"/>
        <w:rPr>
          <w:b/>
          <w:sz w:val="20"/>
        </w:rPr>
      </w:pPr>
    </w:p>
    <w:p w14:paraId="7DADA2BE" w14:textId="77777777" w:rsidR="00F92E1C" w:rsidRDefault="00F92E1C" w:rsidP="0071221E">
      <w:pPr>
        <w:pStyle w:val="BodyText"/>
        <w:rPr>
          <w:b/>
          <w:sz w:val="20"/>
        </w:rPr>
      </w:pPr>
    </w:p>
    <w:p w14:paraId="09495374" w14:textId="77777777" w:rsidR="00F92E1C" w:rsidRDefault="005B7502" w:rsidP="0071221E">
      <w:pPr>
        <w:pStyle w:val="BodyText"/>
        <w:spacing w:before="4"/>
        <w:rPr>
          <w:b/>
          <w:sz w:val="22"/>
        </w:rPr>
      </w:pPr>
      <w:r>
        <w:rPr>
          <w:noProof/>
        </w:rPr>
        <w:drawing>
          <wp:anchor distT="0" distB="0" distL="0" distR="0" simplePos="0" relativeHeight="251655680" behindDoc="0" locked="0" layoutInCell="1" allowOverlap="1" wp14:anchorId="79C0CD23" wp14:editId="748ABEBC">
            <wp:simplePos x="0" y="0"/>
            <wp:positionH relativeFrom="page">
              <wp:posOffset>1261236</wp:posOffset>
            </wp:positionH>
            <wp:positionV relativeFrom="paragraph">
              <wp:posOffset>184801</wp:posOffset>
            </wp:positionV>
            <wp:extent cx="361614" cy="52387"/>
            <wp:effectExtent l="0" t="0" r="0" b="0"/>
            <wp:wrapTopAndBottom/>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png"/>
                    <pic:cNvPicPr/>
                  </pic:nvPicPr>
                  <pic:blipFill>
                    <a:blip r:embed="rId22" cstate="print"/>
                    <a:stretch>
                      <a:fillRect/>
                    </a:stretch>
                  </pic:blipFill>
                  <pic:spPr>
                    <a:xfrm>
                      <a:off x="0" y="0"/>
                      <a:ext cx="361614" cy="52387"/>
                    </a:xfrm>
                    <a:prstGeom prst="rect">
                      <a:avLst/>
                    </a:prstGeom>
                  </pic:spPr>
                </pic:pic>
              </a:graphicData>
            </a:graphic>
          </wp:anchor>
        </w:drawing>
      </w:r>
    </w:p>
    <w:p w14:paraId="5D134981" w14:textId="62DECAF1" w:rsidR="00F92E1C" w:rsidRDefault="005B7502" w:rsidP="0071221E">
      <w:pPr>
        <w:pStyle w:val="BodyText"/>
        <w:spacing w:before="132"/>
      </w:pPr>
      <w:r>
        <w:t>202</w:t>
      </w:r>
      <w:r w:rsidR="005319BB">
        <w:t>3</w:t>
      </w:r>
    </w:p>
    <w:p w14:paraId="47F7B4D3" w14:textId="77777777" w:rsidR="00F92E1C" w:rsidRDefault="00F92E1C" w:rsidP="0071221E">
      <w:pPr>
        <w:sectPr w:rsidR="00F92E1C" w:rsidSect="0071221E">
          <w:pgSz w:w="11910" w:h="16840"/>
          <w:pgMar w:top="1701" w:right="1418" w:bottom="1701" w:left="1985" w:header="0" w:footer="720" w:gutter="0"/>
          <w:cols w:space="720"/>
        </w:sectPr>
      </w:pPr>
    </w:p>
    <w:p w14:paraId="4468BD90" w14:textId="77777777" w:rsidR="00F92E1C" w:rsidRPr="006E1917" w:rsidRDefault="005B7502" w:rsidP="00A90895">
      <w:pPr>
        <w:pStyle w:val="Heading1"/>
        <w:spacing w:before="0"/>
        <w:ind w:left="0"/>
        <w:rPr>
          <w:b w:val="0"/>
          <w:bCs w:val="0"/>
          <w:sz w:val="24"/>
          <w:szCs w:val="24"/>
        </w:rPr>
      </w:pPr>
      <w:bookmarkStart w:id="6" w:name="_bookmark0"/>
      <w:bookmarkStart w:id="7" w:name="_Toc126837460"/>
      <w:bookmarkEnd w:id="6"/>
      <w:r>
        <w:lastRenderedPageBreak/>
        <w:t>Agradecimentos</w:t>
      </w:r>
      <w:bookmarkEnd w:id="7"/>
    </w:p>
    <w:p w14:paraId="013D1129" w14:textId="77777777" w:rsidR="00F92E1C" w:rsidRPr="006E1917" w:rsidRDefault="00F92E1C" w:rsidP="00A90895">
      <w:pPr>
        <w:pStyle w:val="BodyText"/>
        <w:spacing w:line="360" w:lineRule="auto"/>
        <w:jc w:val="both"/>
        <w:rPr>
          <w:szCs w:val="20"/>
        </w:rPr>
      </w:pPr>
    </w:p>
    <w:p w14:paraId="03C91AA4" w14:textId="47D5609C" w:rsidR="00D23A6E" w:rsidRDefault="0063438A" w:rsidP="00E014F7">
      <w:pPr>
        <w:pStyle w:val="BodyText"/>
        <w:spacing w:line="360" w:lineRule="auto"/>
        <w:ind w:firstLine="720"/>
        <w:jc w:val="both"/>
      </w:pPr>
      <w:r>
        <w:t xml:space="preserve">Esta dissertação é fruto de um esforço pessoal aliado ao acompanhamento e </w:t>
      </w:r>
      <w:r w:rsidR="009D113D">
        <w:t>apoio</w:t>
      </w:r>
      <w:r>
        <w:t xml:space="preserve"> de várias pessoas. Razão pela qual não lhes poderia deixar de agradecer.</w:t>
      </w:r>
    </w:p>
    <w:p w14:paraId="5881F8B0" w14:textId="4120CE09" w:rsidR="0063438A" w:rsidRDefault="0063438A" w:rsidP="00E014F7">
      <w:pPr>
        <w:pStyle w:val="BodyText"/>
        <w:spacing w:line="360" w:lineRule="auto"/>
        <w:ind w:firstLine="720"/>
        <w:jc w:val="both"/>
      </w:pPr>
      <w:r>
        <w:t>Agradeço ao Professor Paulo Mota, todo o acompanhamento, disponibilidade e</w:t>
      </w:r>
      <w:r w:rsidR="003E17B6">
        <w:t xml:space="preserve"> empenho</w:t>
      </w:r>
      <w:r>
        <w:t xml:space="preserve"> ao longo deste processo. Além de orientador desta dissertação, considero ser um Professor de excelência e alguém com quem tive </w:t>
      </w:r>
      <w:r w:rsidR="00201A01">
        <w:t xml:space="preserve">a felicidade </w:t>
      </w:r>
      <w:r>
        <w:t>de aprender nas unidades curriculares em que fui seu aluno.</w:t>
      </w:r>
    </w:p>
    <w:p w14:paraId="4BA33E6B" w14:textId="421EC0FB" w:rsidR="0063438A" w:rsidRDefault="0063438A" w:rsidP="00E014F7">
      <w:pPr>
        <w:pStyle w:val="BodyText"/>
        <w:spacing w:line="360" w:lineRule="auto"/>
        <w:ind w:firstLine="720"/>
        <w:jc w:val="both"/>
      </w:pPr>
      <w:r>
        <w:t>Agradeço à minha família por ter apoiado e incentivado todo o meu percurso académico e por me terem proporcionado a oportunidade de aprender. Aprender é algo de que verdadeiramente gosto e sinto-me com muita sorte de o poder ter feito na Faculdade de referência que é a Faculdade de Economia do Porto com o seu corpo docente de prestígio, a quem endereço também os meus agradecimentos, por todas as aulas que tive, todos os momentos de aprendizagem de que pude usufruir e pela disponibilidade que sempre demonstraram em esclarecer as minhas dúvidas.</w:t>
      </w:r>
    </w:p>
    <w:p w14:paraId="52B3AB9C" w14:textId="03643DA7" w:rsidR="0063438A" w:rsidRPr="00616EA5" w:rsidRDefault="0063438A" w:rsidP="00E014F7">
      <w:pPr>
        <w:pStyle w:val="BodyText"/>
        <w:spacing w:line="360" w:lineRule="auto"/>
        <w:ind w:firstLine="720"/>
        <w:jc w:val="both"/>
      </w:pPr>
      <w:r>
        <w:t>Agradeço à minha namorada por ser uma fonte inesgotável de felicidade e de apoio. Agradeço também aos meus amigos, pelo suporte contínuo.</w:t>
      </w:r>
    </w:p>
    <w:p w14:paraId="31BE5136" w14:textId="77777777" w:rsidR="00D23A6E" w:rsidRPr="00616EA5" w:rsidRDefault="00D23A6E">
      <w:pPr>
        <w:rPr>
          <w:sz w:val="24"/>
          <w:szCs w:val="24"/>
        </w:rPr>
      </w:pPr>
      <w:r w:rsidRPr="00616EA5">
        <w:br w:type="page"/>
      </w:r>
    </w:p>
    <w:p w14:paraId="720B3999" w14:textId="494F0224" w:rsidR="00D23A6E" w:rsidRPr="0046158D" w:rsidRDefault="00D23A6E" w:rsidP="00A90895">
      <w:pPr>
        <w:pStyle w:val="Heading1"/>
        <w:spacing w:before="0"/>
        <w:ind w:left="0"/>
        <w:jc w:val="both"/>
        <w:rPr>
          <w:b w:val="0"/>
          <w:bCs w:val="0"/>
          <w:sz w:val="24"/>
          <w:szCs w:val="24"/>
        </w:rPr>
      </w:pPr>
      <w:r w:rsidRPr="00616EA5">
        <w:lastRenderedPageBreak/>
        <w:t>Resumo</w:t>
      </w:r>
    </w:p>
    <w:p w14:paraId="5A5D62A6" w14:textId="77777777" w:rsidR="00C84A19" w:rsidRDefault="00C84A19" w:rsidP="00A90895">
      <w:pPr>
        <w:pStyle w:val="BodyText"/>
        <w:spacing w:line="360" w:lineRule="auto"/>
        <w:jc w:val="both"/>
      </w:pPr>
    </w:p>
    <w:p w14:paraId="0312F42F" w14:textId="4D81B8D6" w:rsidR="00B62ECF" w:rsidRPr="00616EA5" w:rsidRDefault="00EA7D3E" w:rsidP="00A90895">
      <w:pPr>
        <w:pStyle w:val="BodyText"/>
        <w:spacing w:line="360" w:lineRule="auto"/>
        <w:ind w:firstLine="720"/>
        <w:jc w:val="both"/>
      </w:pPr>
      <w:r w:rsidRPr="00616EA5">
        <w:t xml:space="preserve">Os efeitos de histerese </w:t>
      </w:r>
      <w:r w:rsidR="00C6628E" w:rsidRPr="00616EA5">
        <w:t xml:space="preserve">estão presentes num abrangente conjunto de áreas nas economias, </w:t>
      </w:r>
      <w:r w:rsidR="0039743F" w:rsidRPr="00616EA5">
        <w:t xml:space="preserve">no entanto nem sempres são bem compreendidos ou mensurados. </w:t>
      </w:r>
      <w:r w:rsidR="00295474">
        <w:t>H</w:t>
      </w:r>
      <w:r w:rsidR="0039743F" w:rsidRPr="00616EA5">
        <w:t xml:space="preserve">isterese </w:t>
      </w:r>
      <w:r w:rsidR="008E2410" w:rsidRPr="00616EA5">
        <w:t xml:space="preserve">refere-se à propriedade de um sistema de </w:t>
      </w:r>
      <w:r w:rsidR="008E2410" w:rsidRPr="00616EA5">
        <w:rPr>
          <w:i/>
          <w:iCs/>
        </w:rPr>
        <w:t>input-output</w:t>
      </w:r>
      <w:r w:rsidR="008E2410" w:rsidRPr="00616EA5">
        <w:t xml:space="preserve"> em que certos efeitos persistem mesmo após as causas que lhes deram origem terem sido removidas. </w:t>
      </w:r>
      <w:r w:rsidR="00881359" w:rsidRPr="00616EA5">
        <w:t xml:space="preserve">Na presença de um sistema histerético, não existe um equilíbrio </w:t>
      </w:r>
      <w:r w:rsidR="00722E78" w:rsidRPr="00616EA5">
        <w:t>único,</w:t>
      </w:r>
      <w:r w:rsidR="00881359" w:rsidRPr="00616EA5">
        <w:t xml:space="preserve"> mas ao invés existem múltiplos equilíbrios que são dependentes da história do sistema (</w:t>
      </w:r>
      <w:r w:rsidR="00881359" w:rsidRPr="00616EA5">
        <w:rPr>
          <w:i/>
          <w:iCs/>
        </w:rPr>
        <w:t>path-dependent</w:t>
      </w:r>
      <w:r w:rsidR="00881359" w:rsidRPr="00616EA5">
        <w:t xml:space="preserve">). </w:t>
      </w:r>
      <w:r w:rsidR="00BC13B2" w:rsidRPr="00616EA5">
        <w:t xml:space="preserve">Compreender os efeitos de histerese é de crucial importância para a melhor formulação de políticas económicas que </w:t>
      </w:r>
      <w:r w:rsidR="00D02959">
        <w:t>visam</w:t>
      </w:r>
      <w:r w:rsidR="00B62ECF" w:rsidRPr="00616EA5">
        <w:t xml:space="preserve"> contribuir para um aumento do bem-estar da sociedade.</w:t>
      </w:r>
    </w:p>
    <w:p w14:paraId="08FC5576" w14:textId="0BCDD7CF" w:rsidR="00D23A6E" w:rsidRPr="00616EA5" w:rsidRDefault="00B62ECF" w:rsidP="00E014F7">
      <w:pPr>
        <w:pStyle w:val="BodyText"/>
        <w:spacing w:line="360" w:lineRule="auto"/>
        <w:ind w:firstLine="720"/>
        <w:jc w:val="both"/>
      </w:pPr>
      <w:r w:rsidRPr="00616EA5">
        <w:t xml:space="preserve">Esta dissertação estuda a presença de histerese na dinâmica do investimento, mais especificamente os </w:t>
      </w:r>
      <w:r w:rsidR="00E11576" w:rsidRPr="00616EA5">
        <w:t xml:space="preserve">potenciais </w:t>
      </w:r>
      <w:r w:rsidRPr="00616EA5">
        <w:t>diferentes efeitos de histerese</w:t>
      </w:r>
      <w:r w:rsidR="00E11576" w:rsidRPr="00616EA5">
        <w:t xml:space="preserve"> no investimento entre ativos intangíveis e ativos tangíveis</w:t>
      </w:r>
      <w:r w:rsidR="003A662B" w:rsidRPr="00616EA5">
        <w:t xml:space="preserve">. Para tal </w:t>
      </w:r>
      <w:r w:rsidR="00295474">
        <w:t>usamos o</w:t>
      </w:r>
      <w:r w:rsidR="003A662B" w:rsidRPr="00616EA5">
        <w:t xml:space="preserve">, </w:t>
      </w:r>
      <w:r w:rsidR="00295474" w:rsidRPr="00295474">
        <w:rPr>
          <w:i/>
          <w:iCs/>
        </w:rPr>
        <w:t>l</w:t>
      </w:r>
      <w:r w:rsidR="003A662B" w:rsidRPr="00616EA5">
        <w:rPr>
          <w:i/>
          <w:iCs/>
        </w:rPr>
        <w:t xml:space="preserve">inear </w:t>
      </w:r>
      <w:r w:rsidR="00295474">
        <w:rPr>
          <w:i/>
          <w:iCs/>
        </w:rPr>
        <w:t>p</w:t>
      </w:r>
      <w:r w:rsidR="003A662B" w:rsidRPr="00616EA5">
        <w:rPr>
          <w:i/>
          <w:iCs/>
        </w:rPr>
        <w:t>lay</w:t>
      </w:r>
      <w:r w:rsidR="00295474">
        <w:rPr>
          <w:i/>
          <w:iCs/>
        </w:rPr>
        <w:t xml:space="preserve"> model</w:t>
      </w:r>
      <w:r w:rsidR="00295474">
        <w:t xml:space="preserve"> de histerese</w:t>
      </w:r>
      <w:r w:rsidR="003A662B" w:rsidRPr="00616EA5">
        <w:t xml:space="preserve">, </w:t>
      </w:r>
      <w:r w:rsidR="00295474">
        <w:t>implementado através de um tipo de equação de switching.</w:t>
      </w:r>
    </w:p>
    <w:p w14:paraId="282C46DC" w14:textId="572AB7DA" w:rsidR="00ED68A0" w:rsidRPr="00616EA5" w:rsidRDefault="00295474" w:rsidP="00E014F7">
      <w:pPr>
        <w:pStyle w:val="BodyText"/>
        <w:spacing w:line="360" w:lineRule="auto"/>
        <w:ind w:firstLine="720"/>
        <w:jc w:val="both"/>
      </w:pPr>
      <w:r>
        <w:t xml:space="preserve">No trabalho empírico utilizamos </w:t>
      </w:r>
      <w:r w:rsidR="00667248" w:rsidRPr="00616EA5">
        <w:t>dados</w:t>
      </w:r>
      <w:r w:rsidR="00ED68A0">
        <w:t xml:space="preserve"> trimestrais</w:t>
      </w:r>
      <w:r>
        <w:t xml:space="preserve"> para os países do G7, obtidos das bases de dados</w:t>
      </w:r>
      <w:r w:rsidR="00667248" w:rsidRPr="00616EA5">
        <w:t xml:space="preserve"> da OCDE, </w:t>
      </w:r>
      <w:r w:rsidR="00BB4D7C" w:rsidRPr="00616EA5">
        <w:t xml:space="preserve">no período </w:t>
      </w:r>
      <w:r>
        <w:t xml:space="preserve">compreendido </w:t>
      </w:r>
      <w:r w:rsidR="00BB4D7C" w:rsidRPr="00616EA5">
        <w:t xml:space="preserve">entre </w:t>
      </w:r>
      <w:r>
        <w:t xml:space="preserve">o primeiro trimestre de </w:t>
      </w:r>
      <w:r w:rsidR="00BB4D7C" w:rsidRPr="00616EA5">
        <w:t>2000 e</w:t>
      </w:r>
      <w:r>
        <w:t xml:space="preserve"> o último trimestre de</w:t>
      </w:r>
      <w:r w:rsidR="00BB4D7C" w:rsidRPr="00616EA5">
        <w:t xml:space="preserve"> 2022. Os resultados </w:t>
      </w:r>
      <w:r>
        <w:t xml:space="preserve">corroboram a existência </w:t>
      </w:r>
      <w:r w:rsidR="00A87E97">
        <w:t xml:space="preserve">de histerese </w:t>
      </w:r>
      <w:r>
        <w:t xml:space="preserve">na dinâmica do investimento em </w:t>
      </w:r>
      <w:r w:rsidR="00A87E97">
        <w:t xml:space="preserve">ativos tangíveis </w:t>
      </w:r>
      <w:r>
        <w:t>e</w:t>
      </w:r>
      <w:r w:rsidR="00A87E97">
        <w:t xml:space="preserve"> intangíveis</w:t>
      </w:r>
      <w:r>
        <w:t>. Concluímos que a magnitude dos efeitos de histerese é maior no caso do investimento em ativos intangíveis em quatro das sete economias analisadas.</w:t>
      </w:r>
    </w:p>
    <w:p w14:paraId="721706AD" w14:textId="77777777" w:rsidR="00D23A6E" w:rsidRPr="00CC3B0F" w:rsidRDefault="00D23A6E" w:rsidP="0089582D">
      <w:pPr>
        <w:pStyle w:val="BodyText"/>
        <w:spacing w:before="199" w:line="360" w:lineRule="auto"/>
        <w:jc w:val="both"/>
        <w:rPr>
          <w:bCs/>
        </w:rPr>
      </w:pPr>
    </w:p>
    <w:p w14:paraId="4B27E763" w14:textId="552EF2B2" w:rsidR="00D23A6E" w:rsidRPr="00616EA5" w:rsidRDefault="005A7BDC" w:rsidP="0089582D">
      <w:pPr>
        <w:widowControl/>
        <w:spacing w:line="360" w:lineRule="auto"/>
        <w:jc w:val="both"/>
        <w:rPr>
          <w:sz w:val="24"/>
          <w:szCs w:val="24"/>
        </w:rPr>
      </w:pPr>
      <w:r w:rsidRPr="00616EA5">
        <w:rPr>
          <w:b/>
          <w:sz w:val="24"/>
          <w:szCs w:val="24"/>
        </w:rPr>
        <w:t xml:space="preserve">Códigos </w:t>
      </w:r>
      <w:r w:rsidR="00D23A6E" w:rsidRPr="00616EA5">
        <w:rPr>
          <w:b/>
          <w:sz w:val="24"/>
          <w:szCs w:val="24"/>
        </w:rPr>
        <w:t>JEL</w:t>
      </w:r>
      <w:r w:rsidRPr="00616EA5">
        <w:rPr>
          <w:b/>
          <w:sz w:val="24"/>
          <w:szCs w:val="24"/>
        </w:rPr>
        <w:t>:</w:t>
      </w:r>
      <w:r w:rsidR="00D23A6E" w:rsidRPr="00616EA5">
        <w:rPr>
          <w:sz w:val="24"/>
          <w:szCs w:val="24"/>
        </w:rPr>
        <w:t xml:space="preserve"> </w:t>
      </w:r>
      <w:r w:rsidR="0063547D">
        <w:rPr>
          <w:sz w:val="24"/>
          <w:szCs w:val="24"/>
        </w:rPr>
        <w:t>C61, E22, E44</w:t>
      </w:r>
    </w:p>
    <w:p w14:paraId="431CB6A4" w14:textId="255B2FE0" w:rsidR="00F92E1C" w:rsidRPr="00616EA5" w:rsidRDefault="005A7BDC" w:rsidP="0089582D">
      <w:pPr>
        <w:pStyle w:val="BodyText"/>
        <w:spacing w:before="207" w:line="360" w:lineRule="auto"/>
        <w:ind w:right="279"/>
        <w:jc w:val="both"/>
        <w:sectPr w:rsidR="00F92E1C" w:rsidRPr="00616EA5" w:rsidSect="0071221E">
          <w:footerReference w:type="default" r:id="rId23"/>
          <w:pgSz w:w="11910" w:h="16840"/>
          <w:pgMar w:top="1701" w:right="1418" w:bottom="1701" w:left="1985" w:header="0" w:footer="634" w:gutter="0"/>
          <w:pgNumType w:start="1"/>
          <w:cols w:space="720"/>
        </w:sectPr>
      </w:pPr>
      <w:r w:rsidRPr="00616EA5">
        <w:rPr>
          <w:b/>
        </w:rPr>
        <w:t>Palavras-chave:</w:t>
      </w:r>
      <w:r w:rsidR="00D23A6E" w:rsidRPr="00616EA5">
        <w:rPr>
          <w:spacing w:val="-2"/>
        </w:rPr>
        <w:t xml:space="preserve"> </w:t>
      </w:r>
      <w:r w:rsidR="00915A45" w:rsidRPr="00616EA5">
        <w:rPr>
          <w:spacing w:val="-2"/>
        </w:rPr>
        <w:t>incerteza, custos de ajustamento não-convexos, investimento, histerese</w:t>
      </w:r>
      <w:r w:rsidR="00D23A6E" w:rsidRPr="00616EA5">
        <w:t>.</w:t>
      </w:r>
    </w:p>
    <w:p w14:paraId="30FA7282" w14:textId="77777777" w:rsidR="00F92E1C" w:rsidRPr="0046158D" w:rsidRDefault="005B7502" w:rsidP="00FB0BDF">
      <w:pPr>
        <w:pStyle w:val="Heading1"/>
        <w:ind w:left="0"/>
        <w:jc w:val="both"/>
        <w:rPr>
          <w:b w:val="0"/>
          <w:bCs w:val="0"/>
          <w:sz w:val="24"/>
          <w:szCs w:val="24"/>
          <w:lang w:val="en-GB"/>
        </w:rPr>
      </w:pPr>
      <w:bookmarkStart w:id="8" w:name="_bookmark1"/>
      <w:bookmarkStart w:id="9" w:name="_bookmark2"/>
      <w:bookmarkStart w:id="10" w:name="_Toc126837462"/>
      <w:bookmarkEnd w:id="8"/>
      <w:bookmarkEnd w:id="9"/>
      <w:r w:rsidRPr="00F2417A">
        <w:rPr>
          <w:lang w:val="en-GB"/>
        </w:rPr>
        <w:lastRenderedPageBreak/>
        <w:t>Abstract</w:t>
      </w:r>
      <w:bookmarkEnd w:id="10"/>
    </w:p>
    <w:p w14:paraId="582B7FAD" w14:textId="77777777" w:rsidR="008E590D" w:rsidRDefault="008E590D" w:rsidP="00A35328">
      <w:pPr>
        <w:pStyle w:val="BodyText"/>
        <w:spacing w:line="360" w:lineRule="auto"/>
        <w:jc w:val="both"/>
        <w:rPr>
          <w:lang w:val="en-GB"/>
        </w:rPr>
      </w:pPr>
    </w:p>
    <w:p w14:paraId="303571DC" w14:textId="549F4355" w:rsidR="00F92E1C" w:rsidRPr="00F2417A" w:rsidRDefault="006406B2" w:rsidP="0046158D">
      <w:pPr>
        <w:pStyle w:val="BodyText"/>
        <w:spacing w:before="201" w:line="360" w:lineRule="auto"/>
        <w:ind w:right="272" w:firstLine="720"/>
        <w:jc w:val="both"/>
        <w:rPr>
          <w:lang w:val="en-GB"/>
        </w:rPr>
      </w:pPr>
      <w:r w:rsidRPr="00F2417A">
        <w:rPr>
          <w:lang w:val="en-GB"/>
        </w:rPr>
        <w:t xml:space="preserve">Hysteresis effects present themselves in a broad scope of fields in economies yet are not always well measured or understood. </w:t>
      </w:r>
      <w:r w:rsidR="00D13455">
        <w:rPr>
          <w:lang w:val="en-GB"/>
        </w:rPr>
        <w:t>H</w:t>
      </w:r>
      <w:r w:rsidRPr="00F2417A">
        <w:rPr>
          <w:lang w:val="en-GB"/>
        </w:rPr>
        <w:t>ysteresis is a property of an input-output system where certain effects persist after the causes that have brought them about have been removed. Under a hysteretic system</w:t>
      </w:r>
      <w:r w:rsidR="004D71CE" w:rsidRPr="00F2417A">
        <w:rPr>
          <w:lang w:val="en-GB"/>
        </w:rPr>
        <w:t>,</w:t>
      </w:r>
      <w:r w:rsidRPr="00F2417A">
        <w:rPr>
          <w:lang w:val="en-GB"/>
        </w:rPr>
        <w:t xml:space="preserve"> there is no single point of equilibrium but rather multiple equilibria that are in turn path-dependent. </w:t>
      </w:r>
      <w:r w:rsidR="004D71CE" w:rsidRPr="00F2417A">
        <w:rPr>
          <w:lang w:val="en-GB"/>
        </w:rPr>
        <w:t>Understanding</w:t>
      </w:r>
      <w:r w:rsidRPr="00F2417A">
        <w:rPr>
          <w:lang w:val="en-GB"/>
        </w:rPr>
        <w:t xml:space="preserve"> hysteresis effects is of crucial importance for the better design of economic policies that </w:t>
      </w:r>
      <w:r w:rsidR="00696E03">
        <w:rPr>
          <w:lang w:val="en-GB"/>
        </w:rPr>
        <w:t>aim to</w:t>
      </w:r>
      <w:r w:rsidR="00AE0E1B" w:rsidRPr="00F2417A">
        <w:rPr>
          <w:lang w:val="en-GB"/>
        </w:rPr>
        <w:t xml:space="preserve"> contribut</w:t>
      </w:r>
      <w:r w:rsidR="00696E03">
        <w:rPr>
          <w:lang w:val="en-GB"/>
        </w:rPr>
        <w:t>e</w:t>
      </w:r>
      <w:r w:rsidR="00AE0E1B" w:rsidRPr="00F2417A">
        <w:rPr>
          <w:lang w:val="en-GB"/>
        </w:rPr>
        <w:t xml:space="preserve"> </w:t>
      </w:r>
      <w:r w:rsidRPr="00F2417A">
        <w:rPr>
          <w:lang w:val="en-GB"/>
        </w:rPr>
        <w:t xml:space="preserve">to </w:t>
      </w:r>
      <w:r w:rsidR="00AE0E1B" w:rsidRPr="00F2417A">
        <w:rPr>
          <w:lang w:val="en-GB"/>
        </w:rPr>
        <w:t>a greater</w:t>
      </w:r>
      <w:r w:rsidRPr="00F2417A">
        <w:rPr>
          <w:lang w:val="en-GB"/>
        </w:rPr>
        <w:t xml:space="preserve"> societ</w:t>
      </w:r>
      <w:r w:rsidR="004D71CE" w:rsidRPr="00F2417A">
        <w:rPr>
          <w:lang w:val="en-GB"/>
        </w:rPr>
        <w:t>y'</w:t>
      </w:r>
      <w:r w:rsidRPr="00F2417A">
        <w:rPr>
          <w:lang w:val="en-GB"/>
        </w:rPr>
        <w:t>s welfare.</w:t>
      </w:r>
    </w:p>
    <w:p w14:paraId="6BA47739" w14:textId="3A27B164" w:rsidR="006406B2" w:rsidRPr="00F2417A" w:rsidRDefault="006406B2" w:rsidP="0046158D">
      <w:pPr>
        <w:pStyle w:val="BodyText"/>
        <w:spacing w:before="201" w:line="360" w:lineRule="auto"/>
        <w:ind w:right="272" w:firstLine="720"/>
        <w:jc w:val="both"/>
        <w:rPr>
          <w:lang w:val="en-GB"/>
        </w:rPr>
      </w:pPr>
      <w:r w:rsidRPr="00F2417A">
        <w:rPr>
          <w:lang w:val="en-GB"/>
        </w:rPr>
        <w:t>Th</w:t>
      </w:r>
      <w:r w:rsidR="004D71CE" w:rsidRPr="00F2417A">
        <w:rPr>
          <w:lang w:val="en-GB"/>
        </w:rPr>
        <w:t xml:space="preserve">is thesis </w:t>
      </w:r>
      <w:r w:rsidRPr="00F2417A">
        <w:rPr>
          <w:lang w:val="en-GB"/>
        </w:rPr>
        <w:t>stud</w:t>
      </w:r>
      <w:r w:rsidR="00D24E5E">
        <w:rPr>
          <w:lang w:val="en-GB"/>
        </w:rPr>
        <w:t>ies</w:t>
      </w:r>
      <w:r w:rsidR="00005FE0">
        <w:rPr>
          <w:lang w:val="en-GB"/>
        </w:rPr>
        <w:t xml:space="preserve"> the</w:t>
      </w:r>
      <w:r w:rsidR="00D13455">
        <w:rPr>
          <w:lang w:val="en-GB"/>
        </w:rPr>
        <w:t xml:space="preserve"> presence of </w:t>
      </w:r>
      <w:r w:rsidRPr="00F2417A">
        <w:rPr>
          <w:lang w:val="en-GB"/>
        </w:rPr>
        <w:t xml:space="preserve">hysteresis in the dynamics of investment, more specifically the possible different hysteresis effects between intangible investment and tangible investment. To do so we apply </w:t>
      </w:r>
      <w:r w:rsidR="00D13455">
        <w:rPr>
          <w:lang w:val="en-GB"/>
        </w:rPr>
        <w:t>the l</w:t>
      </w:r>
      <w:r w:rsidRPr="00F2417A">
        <w:rPr>
          <w:lang w:val="en-GB"/>
        </w:rPr>
        <w:t xml:space="preserve">inear </w:t>
      </w:r>
      <w:r w:rsidR="00D13455">
        <w:rPr>
          <w:lang w:val="en-GB"/>
        </w:rPr>
        <w:t>p</w:t>
      </w:r>
      <w:r w:rsidRPr="00F2417A">
        <w:rPr>
          <w:lang w:val="en-GB"/>
        </w:rPr>
        <w:t>lay</w:t>
      </w:r>
      <w:r w:rsidR="00D13455">
        <w:rPr>
          <w:lang w:val="en-GB"/>
        </w:rPr>
        <w:t xml:space="preserve"> model of hysteresis, through a kind of switching equation</w:t>
      </w:r>
      <w:r w:rsidRPr="00F2417A">
        <w:rPr>
          <w:lang w:val="en-GB"/>
        </w:rPr>
        <w:t>.</w:t>
      </w:r>
    </w:p>
    <w:p w14:paraId="7B0E46D5" w14:textId="7D2107AF" w:rsidR="006406B2" w:rsidRPr="00F2417A" w:rsidRDefault="00D13455" w:rsidP="0046158D">
      <w:pPr>
        <w:pStyle w:val="BodyText"/>
        <w:spacing w:before="201" w:line="360" w:lineRule="auto"/>
        <w:ind w:right="272" w:firstLine="720"/>
        <w:jc w:val="both"/>
        <w:rPr>
          <w:lang w:val="en-GB"/>
        </w:rPr>
      </w:pPr>
      <w:r>
        <w:rPr>
          <w:lang w:val="en-GB"/>
        </w:rPr>
        <w:t xml:space="preserve">In the empirical work, we use </w:t>
      </w:r>
      <w:r w:rsidR="00ED68A0">
        <w:rPr>
          <w:lang w:val="en-GB"/>
        </w:rPr>
        <w:t xml:space="preserve">quarterly </w:t>
      </w:r>
      <w:r>
        <w:rPr>
          <w:lang w:val="en-GB"/>
        </w:rPr>
        <w:t>data for the G7</w:t>
      </w:r>
      <w:r w:rsidR="00A34FA8">
        <w:rPr>
          <w:lang w:val="en-GB"/>
        </w:rPr>
        <w:t xml:space="preserve"> countries</w:t>
      </w:r>
      <w:r>
        <w:rPr>
          <w:lang w:val="en-GB"/>
        </w:rPr>
        <w:t xml:space="preserve">, obtained from the </w:t>
      </w:r>
      <w:r w:rsidR="006406B2" w:rsidRPr="00F2417A">
        <w:rPr>
          <w:lang w:val="en-GB"/>
        </w:rPr>
        <w:t>OECD databases</w:t>
      </w:r>
      <w:r>
        <w:rPr>
          <w:lang w:val="en-GB"/>
        </w:rPr>
        <w:t xml:space="preserve">, in the </w:t>
      </w:r>
      <w:r w:rsidR="00A34FA8">
        <w:rPr>
          <w:lang w:val="en-GB"/>
        </w:rPr>
        <w:t>time span</w:t>
      </w:r>
      <w:r w:rsidR="006406B2" w:rsidRPr="00F2417A">
        <w:rPr>
          <w:lang w:val="en-GB"/>
        </w:rPr>
        <w:t xml:space="preserve"> between </w:t>
      </w:r>
      <w:r>
        <w:rPr>
          <w:lang w:val="en-GB"/>
        </w:rPr>
        <w:t xml:space="preserve">the first quarter of </w:t>
      </w:r>
      <w:r w:rsidR="006406B2" w:rsidRPr="00F2417A">
        <w:rPr>
          <w:lang w:val="en-GB"/>
        </w:rPr>
        <w:t>2000</w:t>
      </w:r>
      <w:r>
        <w:rPr>
          <w:lang w:val="en-GB"/>
        </w:rPr>
        <w:t xml:space="preserve"> and the last quarter of </w:t>
      </w:r>
      <w:r w:rsidR="006406B2" w:rsidRPr="00F2417A">
        <w:rPr>
          <w:lang w:val="en-GB"/>
        </w:rPr>
        <w:t>2022</w:t>
      </w:r>
      <w:r w:rsidR="007C278E" w:rsidRPr="00F2417A">
        <w:rPr>
          <w:lang w:val="en-GB"/>
        </w:rPr>
        <w:t xml:space="preserve">. </w:t>
      </w:r>
      <w:r>
        <w:rPr>
          <w:lang w:val="en-GB"/>
        </w:rPr>
        <w:t xml:space="preserve">The </w:t>
      </w:r>
      <w:r w:rsidR="007C278E" w:rsidRPr="00F2417A">
        <w:rPr>
          <w:lang w:val="en-GB"/>
        </w:rPr>
        <w:t xml:space="preserve">results </w:t>
      </w:r>
      <w:r>
        <w:rPr>
          <w:lang w:val="en-GB"/>
        </w:rPr>
        <w:t xml:space="preserve">corroborate the existence </w:t>
      </w:r>
      <w:r w:rsidR="00007A07">
        <w:rPr>
          <w:lang w:val="en-GB"/>
        </w:rPr>
        <w:t xml:space="preserve">of hysteresis </w:t>
      </w:r>
      <w:r>
        <w:rPr>
          <w:lang w:val="en-GB"/>
        </w:rPr>
        <w:t>in the dynamics of investment in tangible and intangible assets</w:t>
      </w:r>
      <w:r w:rsidR="00007A07">
        <w:rPr>
          <w:lang w:val="en-GB"/>
        </w:rPr>
        <w:t xml:space="preserve">. </w:t>
      </w:r>
      <w:r>
        <w:rPr>
          <w:lang w:val="en-GB"/>
        </w:rPr>
        <w:t>We conclude that the magnitude of hysteresis effects is greater in the case of the investment in intangible assets in four of the seven economies analysed.</w:t>
      </w:r>
    </w:p>
    <w:p w14:paraId="7F0008CF" w14:textId="77777777" w:rsidR="0089582D" w:rsidRPr="00FB0BDF" w:rsidRDefault="0089582D" w:rsidP="0089582D">
      <w:pPr>
        <w:widowControl/>
        <w:jc w:val="both"/>
        <w:rPr>
          <w:bCs/>
          <w:sz w:val="24"/>
          <w:szCs w:val="24"/>
          <w:lang w:val="en-GB"/>
        </w:rPr>
      </w:pPr>
    </w:p>
    <w:p w14:paraId="3E42819F" w14:textId="26289C47" w:rsidR="009C5A1C" w:rsidRPr="00936300" w:rsidRDefault="009C5A1C" w:rsidP="0046158D">
      <w:pPr>
        <w:widowControl/>
        <w:spacing w:line="360" w:lineRule="auto"/>
        <w:jc w:val="both"/>
        <w:rPr>
          <w:sz w:val="24"/>
          <w:szCs w:val="24"/>
          <w:lang w:val="en-GB"/>
        </w:rPr>
      </w:pPr>
      <w:r w:rsidRPr="00CD54BB">
        <w:rPr>
          <w:b/>
          <w:sz w:val="24"/>
          <w:szCs w:val="24"/>
          <w:lang w:val="en-GB"/>
        </w:rPr>
        <w:t>JEL codes</w:t>
      </w:r>
      <w:r w:rsidRPr="00CD54BB">
        <w:rPr>
          <w:sz w:val="24"/>
          <w:szCs w:val="24"/>
          <w:lang w:val="en-GB"/>
        </w:rPr>
        <w:t>:</w:t>
      </w:r>
      <w:r w:rsidRPr="00F2417A">
        <w:rPr>
          <w:lang w:val="en-GB"/>
        </w:rPr>
        <w:t xml:space="preserve"> </w:t>
      </w:r>
      <w:r w:rsidR="0063547D" w:rsidRPr="0063547D">
        <w:rPr>
          <w:sz w:val="24"/>
          <w:szCs w:val="24"/>
          <w:lang w:val="en-GB"/>
        </w:rPr>
        <w:t xml:space="preserve">C61, </w:t>
      </w:r>
      <w:r w:rsidRPr="0063547D">
        <w:rPr>
          <w:sz w:val="24"/>
          <w:szCs w:val="24"/>
          <w:lang w:val="en-GB"/>
        </w:rPr>
        <w:t xml:space="preserve">E22, </w:t>
      </w:r>
      <w:r w:rsidR="0063547D" w:rsidRPr="0063547D">
        <w:rPr>
          <w:sz w:val="24"/>
          <w:szCs w:val="24"/>
          <w:lang w:val="en-GB"/>
        </w:rPr>
        <w:t>E44</w:t>
      </w:r>
    </w:p>
    <w:p w14:paraId="61665C7B" w14:textId="395B873A" w:rsidR="00F92E1C" w:rsidRPr="0035163B" w:rsidRDefault="005B7502" w:rsidP="0046158D">
      <w:pPr>
        <w:pStyle w:val="BodyText"/>
        <w:spacing w:before="199" w:line="360" w:lineRule="auto"/>
        <w:jc w:val="both"/>
        <w:rPr>
          <w:lang w:val="en-GB"/>
        </w:rPr>
        <w:sectPr w:rsidR="00F92E1C" w:rsidRPr="0035163B" w:rsidSect="0071221E">
          <w:pgSz w:w="11910" w:h="16840"/>
          <w:pgMar w:top="1701" w:right="1418" w:bottom="1701" w:left="1985" w:header="0" w:footer="634" w:gutter="0"/>
          <w:cols w:space="720"/>
        </w:sectPr>
      </w:pPr>
      <w:r w:rsidRPr="0035163B">
        <w:rPr>
          <w:b/>
          <w:lang w:val="en-GB"/>
        </w:rPr>
        <w:t>Keywords</w:t>
      </w:r>
      <w:r w:rsidRPr="0035163B">
        <w:rPr>
          <w:lang w:val="en-GB"/>
        </w:rPr>
        <w:t>:</w:t>
      </w:r>
      <w:r w:rsidRPr="0035163B">
        <w:rPr>
          <w:spacing w:val="-2"/>
          <w:lang w:val="en-GB"/>
        </w:rPr>
        <w:t xml:space="preserve"> </w:t>
      </w:r>
      <w:r w:rsidRPr="0035163B">
        <w:rPr>
          <w:lang w:val="en-GB"/>
        </w:rPr>
        <w:t>uncertainty,</w:t>
      </w:r>
      <w:r w:rsidRPr="0035163B">
        <w:rPr>
          <w:spacing w:val="-4"/>
          <w:lang w:val="en-GB"/>
        </w:rPr>
        <w:t xml:space="preserve"> </w:t>
      </w:r>
      <w:r w:rsidR="00915A45">
        <w:rPr>
          <w:spacing w:val="-4"/>
          <w:lang w:val="en-GB"/>
        </w:rPr>
        <w:t xml:space="preserve">non-convex </w:t>
      </w:r>
      <w:r w:rsidRPr="0035163B">
        <w:rPr>
          <w:lang w:val="en-GB"/>
        </w:rPr>
        <w:t>adjustment</w:t>
      </w:r>
      <w:r w:rsidRPr="0035163B">
        <w:rPr>
          <w:spacing w:val="-1"/>
          <w:lang w:val="en-GB"/>
        </w:rPr>
        <w:t xml:space="preserve"> </w:t>
      </w:r>
      <w:r w:rsidRPr="0035163B">
        <w:rPr>
          <w:lang w:val="en-GB"/>
        </w:rPr>
        <w:t>costs,</w:t>
      </w:r>
      <w:r w:rsidRPr="0035163B">
        <w:rPr>
          <w:spacing w:val="-2"/>
          <w:lang w:val="en-GB"/>
        </w:rPr>
        <w:t xml:space="preserve"> </w:t>
      </w:r>
      <w:r w:rsidR="009C5A1C">
        <w:rPr>
          <w:lang w:val="en-GB"/>
        </w:rPr>
        <w:t>investment,</w:t>
      </w:r>
      <w:r w:rsidRPr="0035163B">
        <w:rPr>
          <w:spacing w:val="-1"/>
          <w:lang w:val="en-GB"/>
        </w:rPr>
        <w:t xml:space="preserve"> </w:t>
      </w:r>
      <w:r w:rsidRPr="0035163B">
        <w:rPr>
          <w:lang w:val="en-GB"/>
        </w:rPr>
        <w:t>hysteresis.</w:t>
      </w:r>
    </w:p>
    <w:sdt>
      <w:sdtPr>
        <w:rPr>
          <w:b w:val="0"/>
          <w:bCs w:val="0"/>
          <w:sz w:val="20"/>
          <w:szCs w:val="20"/>
        </w:rPr>
        <w:id w:val="-398513891"/>
        <w:docPartObj>
          <w:docPartGallery w:val="Table of Contents"/>
          <w:docPartUnique/>
        </w:docPartObj>
      </w:sdtPr>
      <w:sdtEndPr>
        <w:rPr>
          <w:b/>
          <w:bCs/>
        </w:rPr>
      </w:sdtEndPr>
      <w:sdtContent>
        <w:p w14:paraId="5A12092D" w14:textId="46FA00EA" w:rsidR="00D328BD" w:rsidRPr="00834306" w:rsidRDefault="00D328BD" w:rsidP="00C03655">
          <w:pPr>
            <w:pStyle w:val="Heading1"/>
            <w:ind w:left="0"/>
            <w:rPr>
              <w:b w:val="0"/>
              <w:bCs w:val="0"/>
              <w:sz w:val="24"/>
              <w:szCs w:val="24"/>
              <w:lang w:val="en-GB"/>
            </w:rPr>
          </w:pPr>
          <w:r w:rsidRPr="00834306">
            <w:rPr>
              <w:lang w:val="en-GB"/>
            </w:rPr>
            <w:t>Index</w:t>
          </w:r>
        </w:p>
        <w:p w14:paraId="64AC97BA" w14:textId="77777777" w:rsidR="00D328BD" w:rsidRPr="00834306" w:rsidRDefault="00D328BD" w:rsidP="00A35328">
          <w:pPr>
            <w:pStyle w:val="Heading1"/>
            <w:spacing w:before="0"/>
            <w:ind w:left="0"/>
            <w:rPr>
              <w:b w:val="0"/>
              <w:bCs w:val="0"/>
              <w:sz w:val="24"/>
              <w:szCs w:val="24"/>
              <w:lang w:val="en-GB"/>
            </w:rPr>
          </w:pPr>
        </w:p>
        <w:p w14:paraId="4A0EDCCE" w14:textId="5323B101" w:rsidR="00A27945" w:rsidRPr="00834306" w:rsidRDefault="00867B9E" w:rsidP="00C03655">
          <w:pPr>
            <w:pStyle w:val="TOC1"/>
            <w:ind w:left="0"/>
            <w:rPr>
              <w:sz w:val="24"/>
              <w:szCs w:val="24"/>
              <w:lang w:val="en-GB"/>
            </w:rPr>
          </w:pPr>
          <w:r w:rsidRPr="00834306">
            <w:rPr>
              <w:sz w:val="24"/>
              <w:szCs w:val="24"/>
              <w:lang w:val="en-GB"/>
            </w:rPr>
            <w:t>Agradecimentos</w:t>
          </w:r>
          <w:r w:rsidR="00A27945" w:rsidRPr="00677241">
            <w:rPr>
              <w:sz w:val="24"/>
              <w:szCs w:val="24"/>
            </w:rPr>
            <w:ptab w:relativeTo="margin" w:alignment="right" w:leader="dot"/>
          </w:r>
          <w:r w:rsidR="0039501C" w:rsidRPr="00834306">
            <w:rPr>
              <w:sz w:val="24"/>
              <w:szCs w:val="24"/>
              <w:lang w:val="en-GB"/>
            </w:rPr>
            <w:t>i</w:t>
          </w:r>
        </w:p>
        <w:p w14:paraId="0D6838C2" w14:textId="2FD26B09" w:rsidR="00123E05" w:rsidRPr="00834306" w:rsidRDefault="00123E05" w:rsidP="00C03655">
          <w:pPr>
            <w:pStyle w:val="TOC1"/>
            <w:ind w:left="0"/>
            <w:rPr>
              <w:sz w:val="24"/>
              <w:szCs w:val="24"/>
              <w:lang w:val="en-GB"/>
            </w:rPr>
          </w:pPr>
          <w:r w:rsidRPr="00834306">
            <w:rPr>
              <w:sz w:val="24"/>
              <w:szCs w:val="24"/>
              <w:lang w:val="en-GB"/>
            </w:rPr>
            <w:t>Resumo</w:t>
          </w:r>
          <w:r w:rsidRPr="00677241">
            <w:rPr>
              <w:sz w:val="24"/>
              <w:szCs w:val="24"/>
            </w:rPr>
            <w:ptab w:relativeTo="margin" w:alignment="right" w:leader="dot"/>
          </w:r>
          <w:r w:rsidRPr="00834306">
            <w:rPr>
              <w:sz w:val="24"/>
              <w:szCs w:val="24"/>
              <w:lang w:val="en-GB"/>
            </w:rPr>
            <w:t>ii</w:t>
          </w:r>
        </w:p>
        <w:p w14:paraId="54F85DEE" w14:textId="5AA3E8A2" w:rsidR="00A27945" w:rsidRPr="00834306" w:rsidRDefault="00867B9E" w:rsidP="00C03655">
          <w:pPr>
            <w:pStyle w:val="TOC1"/>
            <w:ind w:left="0"/>
            <w:rPr>
              <w:sz w:val="24"/>
              <w:szCs w:val="24"/>
              <w:lang w:val="en-GB"/>
            </w:rPr>
          </w:pPr>
          <w:r w:rsidRPr="00834306">
            <w:rPr>
              <w:sz w:val="24"/>
              <w:szCs w:val="24"/>
              <w:lang w:val="en-GB"/>
            </w:rPr>
            <w:t>Abstract</w:t>
          </w:r>
          <w:r w:rsidR="00A27945" w:rsidRPr="00677241">
            <w:rPr>
              <w:sz w:val="24"/>
              <w:szCs w:val="24"/>
            </w:rPr>
            <w:ptab w:relativeTo="margin" w:alignment="right" w:leader="dot"/>
          </w:r>
          <w:r w:rsidR="00E4413C" w:rsidRPr="00834306">
            <w:rPr>
              <w:sz w:val="24"/>
              <w:szCs w:val="24"/>
              <w:lang w:val="en-GB"/>
            </w:rPr>
            <w:t>ii</w:t>
          </w:r>
          <w:r w:rsidR="00123E05" w:rsidRPr="00834306">
            <w:rPr>
              <w:sz w:val="24"/>
              <w:szCs w:val="24"/>
              <w:lang w:val="en-GB"/>
            </w:rPr>
            <w:t>i</w:t>
          </w:r>
        </w:p>
        <w:p w14:paraId="465F23B1" w14:textId="77777777" w:rsidR="00B05A11" w:rsidRPr="00834306" w:rsidRDefault="00B05A11" w:rsidP="00C03655">
          <w:pPr>
            <w:pStyle w:val="TOC1"/>
            <w:ind w:left="0"/>
            <w:rPr>
              <w:sz w:val="24"/>
              <w:szCs w:val="24"/>
              <w:lang w:val="en-GB"/>
            </w:rPr>
          </w:pPr>
        </w:p>
        <w:p w14:paraId="00DD8A4E" w14:textId="66C50125" w:rsidR="00A27945" w:rsidRDefault="0039501C" w:rsidP="00C03655">
          <w:pPr>
            <w:pStyle w:val="TOC1"/>
            <w:ind w:left="0"/>
            <w:rPr>
              <w:sz w:val="24"/>
              <w:szCs w:val="24"/>
              <w:lang w:val="en-GB"/>
            </w:rPr>
          </w:pPr>
          <w:r w:rsidRPr="00677241">
            <w:rPr>
              <w:sz w:val="24"/>
              <w:szCs w:val="24"/>
              <w:lang w:val="en-GB"/>
            </w:rPr>
            <w:t>Introduction</w:t>
          </w:r>
          <w:r w:rsidR="00A27945" w:rsidRPr="00677241">
            <w:rPr>
              <w:sz w:val="24"/>
              <w:szCs w:val="24"/>
            </w:rPr>
            <w:ptab w:relativeTo="margin" w:alignment="right" w:leader="dot"/>
          </w:r>
          <w:r w:rsidR="00E4413C" w:rsidRPr="00677241">
            <w:rPr>
              <w:sz w:val="24"/>
              <w:szCs w:val="24"/>
              <w:lang w:val="en-GB"/>
            </w:rPr>
            <w:t>1</w:t>
          </w:r>
        </w:p>
        <w:p w14:paraId="1AC2FE6E" w14:textId="77777777" w:rsidR="00B05A11" w:rsidRPr="00677241" w:rsidRDefault="00B05A11" w:rsidP="00C03655">
          <w:pPr>
            <w:pStyle w:val="TOC1"/>
            <w:ind w:left="0"/>
            <w:rPr>
              <w:sz w:val="24"/>
              <w:szCs w:val="24"/>
              <w:lang w:val="en-GB"/>
            </w:rPr>
          </w:pPr>
        </w:p>
        <w:p w14:paraId="5378A5D6" w14:textId="11ACE21A" w:rsidR="00867B9E" w:rsidRPr="00677241" w:rsidRDefault="0039501C" w:rsidP="00C03655">
          <w:pPr>
            <w:pStyle w:val="TOC1"/>
            <w:ind w:left="0"/>
            <w:rPr>
              <w:sz w:val="24"/>
              <w:szCs w:val="24"/>
              <w:lang w:val="en-GB"/>
            </w:rPr>
          </w:pPr>
          <w:r w:rsidRPr="00677241">
            <w:rPr>
              <w:sz w:val="24"/>
              <w:szCs w:val="24"/>
              <w:lang w:val="en-GB"/>
            </w:rPr>
            <w:t xml:space="preserve">Chapter </w:t>
          </w:r>
          <w:r w:rsidR="00A34FA8">
            <w:rPr>
              <w:sz w:val="24"/>
              <w:szCs w:val="24"/>
              <w:lang w:val="en-GB"/>
            </w:rPr>
            <w:t>1</w:t>
          </w:r>
          <w:r w:rsidRPr="00677241">
            <w:rPr>
              <w:sz w:val="24"/>
              <w:szCs w:val="24"/>
              <w:lang w:val="en-GB"/>
            </w:rPr>
            <w:t xml:space="preserve">. Literature </w:t>
          </w:r>
          <w:r w:rsidR="00D36DAE" w:rsidRPr="00677241">
            <w:rPr>
              <w:sz w:val="24"/>
              <w:szCs w:val="24"/>
              <w:lang w:val="en-GB"/>
            </w:rPr>
            <w:t>R</w:t>
          </w:r>
          <w:r w:rsidRPr="00677241">
            <w:rPr>
              <w:sz w:val="24"/>
              <w:szCs w:val="24"/>
              <w:lang w:val="en-GB"/>
            </w:rPr>
            <w:t>eview</w:t>
          </w:r>
          <w:r w:rsidR="00867B9E" w:rsidRPr="00677241">
            <w:rPr>
              <w:sz w:val="24"/>
              <w:szCs w:val="24"/>
            </w:rPr>
            <w:ptab w:relativeTo="margin" w:alignment="right" w:leader="dot"/>
          </w:r>
          <w:r w:rsidR="00E85B35" w:rsidRPr="00677241">
            <w:rPr>
              <w:sz w:val="24"/>
              <w:szCs w:val="24"/>
              <w:lang w:val="en-GB"/>
            </w:rPr>
            <w:t>3</w:t>
          </w:r>
        </w:p>
        <w:p w14:paraId="4363BD27" w14:textId="77777777" w:rsidR="00095747" w:rsidRPr="00677241" w:rsidRDefault="00095747" w:rsidP="00C03655">
          <w:pPr>
            <w:pStyle w:val="TOC2"/>
            <w:ind w:left="0" w:firstLine="0"/>
            <w:rPr>
              <w:sz w:val="24"/>
              <w:szCs w:val="24"/>
              <w:lang w:val="en-GB"/>
            </w:rPr>
          </w:pPr>
        </w:p>
        <w:p w14:paraId="735027DF" w14:textId="0A6D26C1" w:rsidR="00E4413C" w:rsidRPr="00677241" w:rsidRDefault="00A34FA8" w:rsidP="00404D34">
          <w:pPr>
            <w:pStyle w:val="TOC2"/>
            <w:ind w:left="0" w:firstLine="567"/>
            <w:rPr>
              <w:sz w:val="24"/>
              <w:szCs w:val="24"/>
              <w:lang w:val="en-GB"/>
            </w:rPr>
          </w:pPr>
          <w:r>
            <w:rPr>
              <w:sz w:val="24"/>
              <w:szCs w:val="24"/>
              <w:lang w:val="en-GB"/>
            </w:rPr>
            <w:t>1</w:t>
          </w:r>
          <w:r w:rsidR="00E4413C" w:rsidRPr="00677241">
            <w:rPr>
              <w:sz w:val="24"/>
              <w:szCs w:val="24"/>
              <w:lang w:val="en-GB"/>
            </w:rPr>
            <w:t xml:space="preserve">.1 </w:t>
          </w:r>
          <w:r w:rsidR="00AB6B96" w:rsidRPr="00677241">
            <w:rPr>
              <w:sz w:val="24"/>
              <w:szCs w:val="24"/>
              <w:lang w:val="en-GB"/>
            </w:rPr>
            <w:t xml:space="preserve">The </w:t>
          </w:r>
          <w:r w:rsidR="00D36DAE" w:rsidRPr="00677241">
            <w:rPr>
              <w:sz w:val="24"/>
              <w:szCs w:val="24"/>
              <w:lang w:val="en-GB"/>
            </w:rPr>
            <w:t>C</w:t>
          </w:r>
          <w:r w:rsidR="00AB6B96" w:rsidRPr="00677241">
            <w:rPr>
              <w:sz w:val="24"/>
              <w:szCs w:val="24"/>
              <w:lang w:val="en-GB"/>
            </w:rPr>
            <w:t xml:space="preserve">oncept and the </w:t>
          </w:r>
          <w:r w:rsidR="00D36DAE" w:rsidRPr="00677241">
            <w:rPr>
              <w:sz w:val="24"/>
              <w:szCs w:val="24"/>
              <w:lang w:val="en-GB"/>
            </w:rPr>
            <w:t>P</w:t>
          </w:r>
          <w:r w:rsidR="00AB6B96" w:rsidRPr="00677241">
            <w:rPr>
              <w:sz w:val="24"/>
              <w:szCs w:val="24"/>
              <w:lang w:val="en-GB"/>
            </w:rPr>
            <w:t xml:space="preserve">roperties of </w:t>
          </w:r>
          <w:r w:rsidR="00D36DAE" w:rsidRPr="00677241">
            <w:rPr>
              <w:sz w:val="24"/>
              <w:szCs w:val="24"/>
              <w:lang w:val="en-GB"/>
            </w:rPr>
            <w:t>H</w:t>
          </w:r>
          <w:r w:rsidR="00AB6B96" w:rsidRPr="00677241">
            <w:rPr>
              <w:sz w:val="24"/>
              <w:szCs w:val="24"/>
              <w:lang w:val="en-GB"/>
            </w:rPr>
            <w:t>ysteresis</w:t>
          </w:r>
          <w:r w:rsidR="00E4413C" w:rsidRPr="00677241">
            <w:rPr>
              <w:sz w:val="24"/>
              <w:szCs w:val="24"/>
            </w:rPr>
            <w:ptab w:relativeTo="margin" w:alignment="right" w:leader="dot"/>
          </w:r>
          <w:r w:rsidR="00E85B35" w:rsidRPr="007A435A">
            <w:rPr>
              <w:sz w:val="24"/>
              <w:szCs w:val="24"/>
              <w:lang w:val="en-GB"/>
            </w:rPr>
            <w:t>3</w:t>
          </w:r>
        </w:p>
        <w:p w14:paraId="4DFC39E0" w14:textId="71E62D38" w:rsidR="00A8409C" w:rsidRPr="00677241" w:rsidRDefault="00A34FA8" w:rsidP="00404D34">
          <w:pPr>
            <w:pStyle w:val="TOC2"/>
            <w:ind w:left="567" w:firstLine="0"/>
            <w:rPr>
              <w:sz w:val="24"/>
              <w:szCs w:val="24"/>
              <w:lang w:val="en-GB"/>
            </w:rPr>
          </w:pPr>
          <w:r>
            <w:rPr>
              <w:sz w:val="24"/>
              <w:szCs w:val="24"/>
              <w:lang w:val="en-GB"/>
            </w:rPr>
            <w:t>1</w:t>
          </w:r>
          <w:r w:rsidR="00A8409C" w:rsidRPr="00677241">
            <w:rPr>
              <w:sz w:val="24"/>
              <w:szCs w:val="24"/>
              <w:lang w:val="en-GB"/>
            </w:rPr>
            <w:t xml:space="preserve">.2 </w:t>
          </w:r>
          <w:r w:rsidR="00AB6B96" w:rsidRPr="00677241">
            <w:rPr>
              <w:sz w:val="24"/>
              <w:szCs w:val="24"/>
              <w:lang w:val="en-GB"/>
            </w:rPr>
            <w:t xml:space="preserve">The </w:t>
          </w:r>
          <w:r w:rsidR="00D36DAE" w:rsidRPr="00677241">
            <w:rPr>
              <w:sz w:val="24"/>
              <w:szCs w:val="24"/>
              <w:lang w:val="en-GB"/>
            </w:rPr>
            <w:t>M</w:t>
          </w:r>
          <w:r w:rsidR="00AB6B96" w:rsidRPr="00677241">
            <w:rPr>
              <w:sz w:val="24"/>
              <w:szCs w:val="24"/>
              <w:lang w:val="en-GB"/>
            </w:rPr>
            <w:t>icro-</w:t>
          </w:r>
          <w:r w:rsidR="00D36DAE" w:rsidRPr="00677241">
            <w:rPr>
              <w:sz w:val="24"/>
              <w:szCs w:val="24"/>
              <w:lang w:val="en-GB"/>
            </w:rPr>
            <w:t>F</w:t>
          </w:r>
          <w:r w:rsidR="00AB6B96" w:rsidRPr="00677241">
            <w:rPr>
              <w:sz w:val="24"/>
              <w:szCs w:val="24"/>
              <w:lang w:val="en-GB"/>
            </w:rPr>
            <w:t xml:space="preserve">oundations of the </w:t>
          </w:r>
          <w:r w:rsidR="00D36DAE" w:rsidRPr="00677241">
            <w:rPr>
              <w:sz w:val="24"/>
              <w:szCs w:val="24"/>
              <w:lang w:val="en-GB"/>
            </w:rPr>
            <w:t>P</w:t>
          </w:r>
          <w:r w:rsidR="00AB6B96" w:rsidRPr="00677241">
            <w:rPr>
              <w:sz w:val="24"/>
              <w:szCs w:val="24"/>
              <w:lang w:val="en-GB"/>
            </w:rPr>
            <w:t xml:space="preserve">resence of </w:t>
          </w:r>
          <w:r w:rsidR="00D36DAE" w:rsidRPr="00677241">
            <w:rPr>
              <w:sz w:val="24"/>
              <w:szCs w:val="24"/>
              <w:lang w:val="en-GB"/>
            </w:rPr>
            <w:t>H</w:t>
          </w:r>
          <w:r w:rsidR="00AB6B96" w:rsidRPr="00677241">
            <w:rPr>
              <w:sz w:val="24"/>
              <w:szCs w:val="24"/>
              <w:lang w:val="en-GB"/>
            </w:rPr>
            <w:t>ysteresis</w:t>
          </w:r>
          <w:r w:rsidR="0010483F" w:rsidRPr="00677241">
            <w:rPr>
              <w:sz w:val="24"/>
              <w:szCs w:val="24"/>
              <w:lang w:val="en-GB"/>
            </w:rPr>
            <w:t xml:space="preserve"> in the </w:t>
          </w:r>
          <w:r w:rsidR="00D36DAE" w:rsidRPr="00677241">
            <w:rPr>
              <w:sz w:val="24"/>
              <w:szCs w:val="24"/>
              <w:lang w:val="en-GB"/>
            </w:rPr>
            <w:t>D</w:t>
          </w:r>
          <w:r w:rsidR="0010483F" w:rsidRPr="00677241">
            <w:rPr>
              <w:sz w:val="24"/>
              <w:szCs w:val="24"/>
              <w:lang w:val="en-GB"/>
            </w:rPr>
            <w:t xml:space="preserve">ynamics of </w:t>
          </w:r>
          <w:r w:rsidR="00D36DAE" w:rsidRPr="00677241">
            <w:rPr>
              <w:sz w:val="24"/>
              <w:szCs w:val="24"/>
              <w:lang w:val="en-GB"/>
            </w:rPr>
            <w:t>I</w:t>
          </w:r>
          <w:r w:rsidR="0010483F" w:rsidRPr="00677241">
            <w:rPr>
              <w:sz w:val="24"/>
              <w:szCs w:val="24"/>
              <w:lang w:val="en-GB"/>
            </w:rPr>
            <w:t>nvestment</w:t>
          </w:r>
          <w:r w:rsidR="00AB6B96" w:rsidRPr="00677241">
            <w:rPr>
              <w:sz w:val="24"/>
              <w:szCs w:val="24"/>
              <w:lang w:val="en-GB"/>
            </w:rPr>
            <w:t xml:space="preserve"> </w:t>
          </w:r>
          <w:r w:rsidR="00A8409C" w:rsidRPr="00677241">
            <w:rPr>
              <w:sz w:val="24"/>
              <w:szCs w:val="24"/>
            </w:rPr>
            <w:ptab w:relativeTo="margin" w:alignment="right" w:leader="dot"/>
          </w:r>
          <w:r w:rsidR="001A78B5" w:rsidRPr="007A435A">
            <w:rPr>
              <w:sz w:val="24"/>
              <w:szCs w:val="24"/>
              <w:lang w:val="en-GB"/>
            </w:rPr>
            <w:t>4</w:t>
          </w:r>
        </w:p>
        <w:p w14:paraId="51D441A0" w14:textId="744DF3AF" w:rsidR="00AB6B96" w:rsidRDefault="00A34FA8" w:rsidP="00404D34">
          <w:pPr>
            <w:pStyle w:val="TOC2"/>
            <w:ind w:left="0" w:firstLine="567"/>
            <w:rPr>
              <w:b/>
              <w:bCs/>
              <w:sz w:val="24"/>
              <w:szCs w:val="24"/>
              <w:lang w:val="en-GB"/>
            </w:rPr>
          </w:pPr>
          <w:r>
            <w:rPr>
              <w:sz w:val="24"/>
              <w:szCs w:val="24"/>
              <w:lang w:val="en-GB"/>
            </w:rPr>
            <w:t>1</w:t>
          </w:r>
          <w:r w:rsidR="00AB6B96" w:rsidRPr="00677241">
            <w:rPr>
              <w:sz w:val="24"/>
              <w:szCs w:val="24"/>
              <w:lang w:val="en-GB"/>
            </w:rPr>
            <w:t xml:space="preserve">.3 The </w:t>
          </w:r>
          <w:r w:rsidR="00D36DAE" w:rsidRPr="00677241">
            <w:rPr>
              <w:sz w:val="24"/>
              <w:szCs w:val="24"/>
              <w:lang w:val="en-GB"/>
            </w:rPr>
            <w:t>P</w:t>
          </w:r>
          <w:r w:rsidR="00AB6B96" w:rsidRPr="00677241">
            <w:rPr>
              <w:sz w:val="24"/>
              <w:szCs w:val="24"/>
              <w:lang w:val="en-GB"/>
            </w:rPr>
            <w:t xml:space="preserve">articular </w:t>
          </w:r>
          <w:r w:rsidR="00D36DAE" w:rsidRPr="00677241">
            <w:rPr>
              <w:sz w:val="24"/>
              <w:szCs w:val="24"/>
              <w:lang w:val="en-GB"/>
            </w:rPr>
            <w:t>C</w:t>
          </w:r>
          <w:r w:rsidR="00AB6B96" w:rsidRPr="00677241">
            <w:rPr>
              <w:sz w:val="24"/>
              <w:szCs w:val="24"/>
              <w:lang w:val="en-GB"/>
            </w:rPr>
            <w:t xml:space="preserve">haracteristics of </w:t>
          </w:r>
          <w:r w:rsidR="00D36DAE" w:rsidRPr="00677241">
            <w:rPr>
              <w:sz w:val="24"/>
              <w:szCs w:val="24"/>
              <w:lang w:val="en-GB"/>
            </w:rPr>
            <w:t>I</w:t>
          </w:r>
          <w:r w:rsidR="00AB6B96" w:rsidRPr="00677241">
            <w:rPr>
              <w:sz w:val="24"/>
              <w:szCs w:val="24"/>
              <w:lang w:val="en-GB"/>
            </w:rPr>
            <w:t xml:space="preserve">ntangible </w:t>
          </w:r>
          <w:r w:rsidR="00D36DAE" w:rsidRPr="00677241">
            <w:rPr>
              <w:sz w:val="24"/>
              <w:szCs w:val="24"/>
              <w:lang w:val="en-GB"/>
            </w:rPr>
            <w:t>A</w:t>
          </w:r>
          <w:r w:rsidR="00AB6B96" w:rsidRPr="00677241">
            <w:rPr>
              <w:sz w:val="24"/>
              <w:szCs w:val="24"/>
              <w:lang w:val="en-GB"/>
            </w:rPr>
            <w:t>ssets</w:t>
          </w:r>
          <w:r w:rsidR="00AB6B96" w:rsidRPr="00677241">
            <w:rPr>
              <w:sz w:val="24"/>
              <w:szCs w:val="24"/>
            </w:rPr>
            <w:ptab w:relativeTo="margin" w:alignment="right" w:leader="dot"/>
          </w:r>
          <w:r w:rsidR="00D363A0" w:rsidRPr="007A435A">
            <w:rPr>
              <w:sz w:val="24"/>
              <w:szCs w:val="24"/>
              <w:lang w:val="en-GB"/>
            </w:rPr>
            <w:t>6</w:t>
          </w:r>
        </w:p>
        <w:p w14:paraId="34DE4394" w14:textId="77777777" w:rsidR="00404D34" w:rsidRPr="00677241" w:rsidRDefault="00404D34" w:rsidP="00404D34">
          <w:pPr>
            <w:pStyle w:val="TOC2"/>
            <w:ind w:left="0" w:firstLine="567"/>
            <w:rPr>
              <w:sz w:val="24"/>
              <w:szCs w:val="24"/>
              <w:lang w:val="en-GB"/>
            </w:rPr>
          </w:pPr>
        </w:p>
        <w:p w14:paraId="5796C803" w14:textId="087B981E" w:rsidR="00867B9E" w:rsidRPr="00677241" w:rsidRDefault="0039501C" w:rsidP="00C03655">
          <w:pPr>
            <w:pStyle w:val="TOC1"/>
            <w:ind w:left="0"/>
            <w:rPr>
              <w:sz w:val="24"/>
              <w:szCs w:val="24"/>
              <w:lang w:val="en-GB"/>
            </w:rPr>
          </w:pPr>
          <w:r w:rsidRPr="00677241">
            <w:rPr>
              <w:sz w:val="24"/>
              <w:szCs w:val="24"/>
              <w:lang w:val="en-GB"/>
            </w:rPr>
            <w:t xml:space="preserve">Chapter </w:t>
          </w:r>
          <w:r w:rsidR="00A34FA8">
            <w:rPr>
              <w:sz w:val="24"/>
              <w:szCs w:val="24"/>
              <w:lang w:val="en-GB"/>
            </w:rPr>
            <w:t>2</w:t>
          </w:r>
          <w:r w:rsidRPr="00677241">
            <w:rPr>
              <w:sz w:val="24"/>
              <w:szCs w:val="24"/>
              <w:lang w:val="en-GB"/>
            </w:rPr>
            <w:t xml:space="preserve">. </w:t>
          </w:r>
          <w:r w:rsidR="00AB6B96" w:rsidRPr="00677241">
            <w:rPr>
              <w:sz w:val="24"/>
              <w:szCs w:val="24"/>
              <w:lang w:val="en-GB"/>
            </w:rPr>
            <w:t>The Model of Hysteresis</w:t>
          </w:r>
          <w:r w:rsidR="00867B9E" w:rsidRPr="00677241">
            <w:rPr>
              <w:sz w:val="24"/>
              <w:szCs w:val="24"/>
            </w:rPr>
            <w:ptab w:relativeTo="margin" w:alignment="right" w:leader="dot"/>
          </w:r>
          <w:r w:rsidR="00F51106" w:rsidRPr="00677241">
            <w:rPr>
              <w:sz w:val="24"/>
              <w:szCs w:val="24"/>
              <w:lang w:val="en-GB"/>
            </w:rPr>
            <w:t>1</w:t>
          </w:r>
          <w:r w:rsidR="00461569">
            <w:rPr>
              <w:sz w:val="24"/>
              <w:szCs w:val="24"/>
              <w:lang w:val="en-GB"/>
            </w:rPr>
            <w:t>5</w:t>
          </w:r>
        </w:p>
        <w:p w14:paraId="706483A1" w14:textId="77777777" w:rsidR="00AB6B96" w:rsidRPr="00677241" w:rsidRDefault="00AB6B96" w:rsidP="00C03655">
          <w:pPr>
            <w:pStyle w:val="TOC2"/>
            <w:ind w:left="0" w:firstLine="0"/>
            <w:rPr>
              <w:sz w:val="24"/>
              <w:szCs w:val="24"/>
              <w:lang w:val="en-GB"/>
            </w:rPr>
          </w:pPr>
        </w:p>
        <w:p w14:paraId="57FC09AE" w14:textId="0A0E8802" w:rsidR="00901EAE" w:rsidRPr="00677241" w:rsidRDefault="00A34FA8" w:rsidP="00404D34">
          <w:pPr>
            <w:pStyle w:val="TOC2"/>
            <w:ind w:left="567" w:firstLine="0"/>
            <w:rPr>
              <w:sz w:val="24"/>
              <w:szCs w:val="24"/>
              <w:lang w:val="en-GB"/>
            </w:rPr>
          </w:pPr>
          <w:r>
            <w:rPr>
              <w:sz w:val="24"/>
              <w:szCs w:val="24"/>
              <w:lang w:val="en-GB"/>
            </w:rPr>
            <w:t>2</w:t>
          </w:r>
          <w:r w:rsidR="00901EAE" w:rsidRPr="00677241">
            <w:rPr>
              <w:sz w:val="24"/>
              <w:szCs w:val="24"/>
              <w:lang w:val="en-GB"/>
            </w:rPr>
            <w:t xml:space="preserve">.1 </w:t>
          </w:r>
          <w:r w:rsidR="00AB6B96" w:rsidRPr="00677241">
            <w:rPr>
              <w:sz w:val="24"/>
              <w:szCs w:val="24"/>
              <w:lang w:val="en-GB"/>
            </w:rPr>
            <w:t xml:space="preserve">The </w:t>
          </w:r>
          <w:r w:rsidR="00D36DAE" w:rsidRPr="00677241">
            <w:rPr>
              <w:sz w:val="24"/>
              <w:szCs w:val="24"/>
              <w:lang w:val="en-GB"/>
            </w:rPr>
            <w:t>N</w:t>
          </w:r>
          <w:r w:rsidR="00901EAE" w:rsidRPr="00677241">
            <w:rPr>
              <w:sz w:val="24"/>
              <w:szCs w:val="24"/>
              <w:lang w:val="en-GB"/>
            </w:rPr>
            <w:t>on-</w:t>
          </w:r>
          <w:r w:rsidR="00D36DAE" w:rsidRPr="00677241">
            <w:rPr>
              <w:sz w:val="24"/>
              <w:szCs w:val="24"/>
              <w:lang w:val="en-GB"/>
            </w:rPr>
            <w:t>I</w:t>
          </w:r>
          <w:r w:rsidR="00901EAE" w:rsidRPr="00677241">
            <w:rPr>
              <w:sz w:val="24"/>
              <w:szCs w:val="24"/>
              <w:lang w:val="en-GB"/>
            </w:rPr>
            <w:t xml:space="preserve">deal </w:t>
          </w:r>
          <w:r w:rsidR="00D36DAE" w:rsidRPr="00677241">
            <w:rPr>
              <w:sz w:val="24"/>
              <w:szCs w:val="24"/>
              <w:lang w:val="en-GB"/>
            </w:rPr>
            <w:t>R</w:t>
          </w:r>
          <w:r w:rsidR="00901EAE" w:rsidRPr="00677241">
            <w:rPr>
              <w:sz w:val="24"/>
              <w:szCs w:val="24"/>
              <w:lang w:val="en-GB"/>
            </w:rPr>
            <w:t xml:space="preserve">elay </w:t>
          </w:r>
          <w:r w:rsidR="00D36DAE" w:rsidRPr="00677241">
            <w:rPr>
              <w:sz w:val="24"/>
              <w:szCs w:val="24"/>
              <w:lang w:val="en-GB"/>
            </w:rPr>
            <w:t>M</w:t>
          </w:r>
          <w:r w:rsidR="00901EAE" w:rsidRPr="00677241">
            <w:rPr>
              <w:sz w:val="24"/>
              <w:szCs w:val="24"/>
              <w:lang w:val="en-GB"/>
            </w:rPr>
            <w:t>odel</w:t>
          </w:r>
          <w:r w:rsidR="00901EAE" w:rsidRPr="00677241">
            <w:rPr>
              <w:sz w:val="24"/>
              <w:szCs w:val="24"/>
            </w:rPr>
            <w:ptab w:relativeTo="margin" w:alignment="right" w:leader="dot"/>
          </w:r>
          <w:r w:rsidR="00F51106" w:rsidRPr="0012668D">
            <w:rPr>
              <w:sz w:val="24"/>
              <w:szCs w:val="24"/>
              <w:lang w:val="en-GB"/>
            </w:rPr>
            <w:t>1</w:t>
          </w:r>
          <w:r w:rsidR="00461569">
            <w:rPr>
              <w:sz w:val="24"/>
              <w:szCs w:val="24"/>
              <w:lang w:val="en-GB"/>
            </w:rPr>
            <w:t>5</w:t>
          </w:r>
        </w:p>
        <w:p w14:paraId="7B0C381E" w14:textId="64A74C40" w:rsidR="00901EAE" w:rsidRDefault="00A34FA8" w:rsidP="00404D34">
          <w:pPr>
            <w:pStyle w:val="TOC2"/>
            <w:ind w:left="567" w:firstLine="0"/>
            <w:rPr>
              <w:b/>
              <w:bCs/>
              <w:sz w:val="24"/>
              <w:szCs w:val="24"/>
              <w:lang w:val="en-GB"/>
            </w:rPr>
          </w:pPr>
          <w:r>
            <w:rPr>
              <w:sz w:val="24"/>
              <w:szCs w:val="24"/>
              <w:lang w:val="en-GB"/>
            </w:rPr>
            <w:t>2</w:t>
          </w:r>
          <w:r w:rsidR="00901EAE" w:rsidRPr="00677241">
            <w:rPr>
              <w:sz w:val="24"/>
              <w:szCs w:val="24"/>
              <w:lang w:val="en-GB"/>
            </w:rPr>
            <w:t xml:space="preserve">.2 </w:t>
          </w:r>
          <w:r w:rsidR="00AB6B96" w:rsidRPr="00677241">
            <w:rPr>
              <w:sz w:val="24"/>
              <w:szCs w:val="24"/>
              <w:lang w:val="en-GB"/>
            </w:rPr>
            <w:t xml:space="preserve">The </w:t>
          </w:r>
          <w:r w:rsidR="00901EAE" w:rsidRPr="00677241">
            <w:rPr>
              <w:sz w:val="24"/>
              <w:szCs w:val="24"/>
              <w:lang w:val="en-GB"/>
            </w:rPr>
            <w:t xml:space="preserve">Preisach </w:t>
          </w:r>
          <w:r w:rsidR="00D36DAE" w:rsidRPr="00677241">
            <w:rPr>
              <w:sz w:val="24"/>
              <w:szCs w:val="24"/>
              <w:lang w:val="en-GB"/>
            </w:rPr>
            <w:t>M</w:t>
          </w:r>
          <w:r w:rsidR="00901EAE" w:rsidRPr="00677241">
            <w:rPr>
              <w:sz w:val="24"/>
              <w:szCs w:val="24"/>
              <w:lang w:val="en-GB"/>
            </w:rPr>
            <w:t>odel</w:t>
          </w:r>
          <w:r w:rsidR="00901EAE" w:rsidRPr="00677241">
            <w:rPr>
              <w:sz w:val="24"/>
              <w:szCs w:val="24"/>
            </w:rPr>
            <w:ptab w:relativeTo="margin" w:alignment="right" w:leader="dot"/>
          </w:r>
          <w:r w:rsidR="00461569">
            <w:rPr>
              <w:sz w:val="24"/>
              <w:szCs w:val="24"/>
              <w:lang w:val="en-GB"/>
            </w:rPr>
            <w:t>19</w:t>
          </w:r>
        </w:p>
        <w:p w14:paraId="3DA83719" w14:textId="77777777" w:rsidR="00404D34" w:rsidRPr="00677241" w:rsidRDefault="00404D34" w:rsidP="00404D34">
          <w:pPr>
            <w:pStyle w:val="TOC2"/>
            <w:ind w:left="567" w:firstLine="0"/>
            <w:rPr>
              <w:sz w:val="24"/>
              <w:szCs w:val="24"/>
              <w:lang w:val="en-GB"/>
            </w:rPr>
          </w:pPr>
        </w:p>
        <w:p w14:paraId="4722830B" w14:textId="4D8A3C3D" w:rsidR="00AB6B96" w:rsidRPr="00677241" w:rsidRDefault="00AB6B96" w:rsidP="00C03655">
          <w:pPr>
            <w:pStyle w:val="TOC1"/>
            <w:ind w:left="0"/>
            <w:rPr>
              <w:sz w:val="24"/>
              <w:szCs w:val="24"/>
              <w:lang w:val="en-GB"/>
            </w:rPr>
          </w:pPr>
          <w:r w:rsidRPr="00677241">
            <w:rPr>
              <w:sz w:val="24"/>
              <w:szCs w:val="24"/>
              <w:lang w:val="en-GB"/>
            </w:rPr>
            <w:t xml:space="preserve">Chapter </w:t>
          </w:r>
          <w:r w:rsidR="00A34FA8">
            <w:rPr>
              <w:sz w:val="24"/>
              <w:szCs w:val="24"/>
              <w:lang w:val="en-GB"/>
            </w:rPr>
            <w:t>3</w:t>
          </w:r>
          <w:r w:rsidRPr="00677241">
            <w:rPr>
              <w:sz w:val="24"/>
              <w:szCs w:val="24"/>
              <w:lang w:val="en-GB"/>
            </w:rPr>
            <w:t>. The Empirical Strategy</w:t>
          </w:r>
          <w:r w:rsidRPr="00677241">
            <w:rPr>
              <w:sz w:val="24"/>
              <w:szCs w:val="24"/>
            </w:rPr>
            <w:ptab w:relativeTo="margin" w:alignment="right" w:leader="dot"/>
          </w:r>
          <w:r w:rsidR="00E85B35" w:rsidRPr="00677241">
            <w:rPr>
              <w:sz w:val="24"/>
              <w:szCs w:val="24"/>
              <w:lang w:val="en-GB"/>
            </w:rPr>
            <w:t>2</w:t>
          </w:r>
          <w:r w:rsidR="00461569">
            <w:rPr>
              <w:sz w:val="24"/>
              <w:szCs w:val="24"/>
              <w:lang w:val="en-GB"/>
            </w:rPr>
            <w:t>4</w:t>
          </w:r>
        </w:p>
        <w:p w14:paraId="2BD4C9BD" w14:textId="77777777" w:rsidR="00AB6B96" w:rsidRPr="00677241" w:rsidRDefault="00AB6B96" w:rsidP="00C03655">
          <w:pPr>
            <w:pStyle w:val="TOC2"/>
            <w:ind w:left="0" w:firstLine="0"/>
            <w:rPr>
              <w:sz w:val="24"/>
              <w:szCs w:val="24"/>
              <w:lang w:val="en-GB"/>
            </w:rPr>
          </w:pPr>
        </w:p>
        <w:p w14:paraId="4B92D145" w14:textId="2D802A54" w:rsidR="00AB6B96" w:rsidRPr="00677241" w:rsidRDefault="00A34FA8" w:rsidP="00404D34">
          <w:pPr>
            <w:pStyle w:val="TOC2"/>
            <w:ind w:left="567" w:firstLine="0"/>
            <w:rPr>
              <w:sz w:val="24"/>
              <w:szCs w:val="24"/>
              <w:lang w:val="en-GB"/>
            </w:rPr>
          </w:pPr>
          <w:r>
            <w:rPr>
              <w:sz w:val="24"/>
              <w:szCs w:val="24"/>
              <w:lang w:val="en-GB"/>
            </w:rPr>
            <w:t>3</w:t>
          </w:r>
          <w:r w:rsidR="00AB6B96" w:rsidRPr="00677241">
            <w:rPr>
              <w:sz w:val="24"/>
              <w:szCs w:val="24"/>
              <w:lang w:val="en-GB"/>
            </w:rPr>
            <w:t>.1 The Play Model of Hysteresis</w:t>
          </w:r>
          <w:r w:rsidR="00AB6B96" w:rsidRPr="00677241">
            <w:rPr>
              <w:sz w:val="24"/>
              <w:szCs w:val="24"/>
            </w:rPr>
            <w:ptab w:relativeTo="margin" w:alignment="right" w:leader="dot"/>
          </w:r>
          <w:r w:rsidR="00E85B35" w:rsidRPr="007A435A">
            <w:rPr>
              <w:sz w:val="24"/>
              <w:szCs w:val="24"/>
              <w:lang w:val="en-GB"/>
            </w:rPr>
            <w:t>2</w:t>
          </w:r>
          <w:r w:rsidR="00461569">
            <w:rPr>
              <w:sz w:val="24"/>
              <w:szCs w:val="24"/>
              <w:lang w:val="en-GB"/>
            </w:rPr>
            <w:t>4</w:t>
          </w:r>
        </w:p>
        <w:p w14:paraId="2C5EC3FC" w14:textId="720CF260" w:rsidR="00AB6B96" w:rsidRDefault="00A34FA8" w:rsidP="00404D34">
          <w:pPr>
            <w:pStyle w:val="TOC2"/>
            <w:ind w:left="567" w:firstLine="0"/>
            <w:rPr>
              <w:b/>
              <w:bCs/>
              <w:sz w:val="24"/>
              <w:szCs w:val="24"/>
              <w:lang w:val="en-GB"/>
            </w:rPr>
          </w:pPr>
          <w:r>
            <w:rPr>
              <w:sz w:val="24"/>
              <w:szCs w:val="24"/>
              <w:lang w:val="en-GB"/>
            </w:rPr>
            <w:t>3</w:t>
          </w:r>
          <w:r w:rsidR="00AB6B96" w:rsidRPr="00677241">
            <w:rPr>
              <w:sz w:val="24"/>
              <w:szCs w:val="24"/>
              <w:lang w:val="en-GB"/>
            </w:rPr>
            <w:t>.2 The Data</w:t>
          </w:r>
          <w:r w:rsidR="00AB6B96" w:rsidRPr="00677241">
            <w:rPr>
              <w:sz w:val="24"/>
              <w:szCs w:val="24"/>
            </w:rPr>
            <w:ptab w:relativeTo="margin" w:alignment="right" w:leader="dot"/>
          </w:r>
          <w:r w:rsidR="00752506">
            <w:rPr>
              <w:sz w:val="24"/>
              <w:szCs w:val="24"/>
              <w:lang w:val="en-GB"/>
            </w:rPr>
            <w:t>2</w:t>
          </w:r>
          <w:r w:rsidR="00461569">
            <w:rPr>
              <w:sz w:val="24"/>
              <w:szCs w:val="24"/>
              <w:lang w:val="en-GB"/>
            </w:rPr>
            <w:t>8</w:t>
          </w:r>
        </w:p>
        <w:p w14:paraId="086A4270" w14:textId="77777777" w:rsidR="00404D34" w:rsidRPr="00677241" w:rsidRDefault="00404D34" w:rsidP="00404D34">
          <w:pPr>
            <w:pStyle w:val="TOC2"/>
            <w:ind w:left="567" w:firstLine="0"/>
            <w:rPr>
              <w:sz w:val="24"/>
              <w:szCs w:val="24"/>
              <w:lang w:val="en-GB"/>
            </w:rPr>
          </w:pPr>
        </w:p>
        <w:p w14:paraId="35195E91" w14:textId="67EF868D" w:rsidR="00AB6B96" w:rsidRDefault="00AB6B96" w:rsidP="00C03655">
          <w:pPr>
            <w:pStyle w:val="TOC1"/>
            <w:ind w:left="0"/>
            <w:rPr>
              <w:sz w:val="24"/>
              <w:szCs w:val="24"/>
              <w:lang w:val="en-GB"/>
            </w:rPr>
          </w:pPr>
          <w:r w:rsidRPr="00677241">
            <w:rPr>
              <w:sz w:val="24"/>
              <w:szCs w:val="24"/>
              <w:lang w:val="en-GB"/>
            </w:rPr>
            <w:t xml:space="preserve">Chapter </w:t>
          </w:r>
          <w:r w:rsidR="00A34FA8">
            <w:rPr>
              <w:sz w:val="24"/>
              <w:szCs w:val="24"/>
              <w:lang w:val="en-GB"/>
            </w:rPr>
            <w:t>4</w:t>
          </w:r>
          <w:r w:rsidRPr="00677241">
            <w:rPr>
              <w:sz w:val="24"/>
              <w:szCs w:val="24"/>
              <w:lang w:val="en-GB"/>
            </w:rPr>
            <w:t>. Results of the Estimation</w:t>
          </w:r>
          <w:r w:rsidRPr="00677241">
            <w:rPr>
              <w:sz w:val="24"/>
              <w:szCs w:val="24"/>
            </w:rPr>
            <w:ptab w:relativeTo="margin" w:alignment="right" w:leader="dot"/>
          </w:r>
          <w:r w:rsidR="001A78B5" w:rsidRPr="00677241">
            <w:rPr>
              <w:sz w:val="24"/>
              <w:szCs w:val="24"/>
              <w:lang w:val="en-GB"/>
            </w:rPr>
            <w:t>3</w:t>
          </w:r>
          <w:r w:rsidR="00461569">
            <w:rPr>
              <w:sz w:val="24"/>
              <w:szCs w:val="24"/>
              <w:lang w:val="en-GB"/>
            </w:rPr>
            <w:t>4</w:t>
          </w:r>
        </w:p>
        <w:p w14:paraId="63FCACB2" w14:textId="77777777" w:rsidR="00B05A11" w:rsidRPr="00677241" w:rsidRDefault="00B05A11" w:rsidP="00C03655">
          <w:pPr>
            <w:pStyle w:val="TOC1"/>
            <w:ind w:left="0"/>
            <w:rPr>
              <w:sz w:val="24"/>
              <w:szCs w:val="24"/>
              <w:lang w:val="en-GB"/>
            </w:rPr>
          </w:pPr>
        </w:p>
        <w:p w14:paraId="294DA084" w14:textId="6570E42C" w:rsidR="00AB6B96" w:rsidRDefault="00AB6B96" w:rsidP="00C03655">
          <w:pPr>
            <w:pStyle w:val="TOC1"/>
            <w:ind w:left="0"/>
            <w:rPr>
              <w:sz w:val="24"/>
              <w:szCs w:val="24"/>
              <w:lang w:val="en-GB"/>
            </w:rPr>
          </w:pPr>
          <w:r w:rsidRPr="00677241">
            <w:rPr>
              <w:sz w:val="24"/>
              <w:szCs w:val="24"/>
              <w:lang w:val="en-GB"/>
            </w:rPr>
            <w:t>Conclusion</w:t>
          </w:r>
          <w:r w:rsidRPr="00677241">
            <w:rPr>
              <w:sz w:val="24"/>
              <w:szCs w:val="24"/>
            </w:rPr>
            <w:ptab w:relativeTo="margin" w:alignment="right" w:leader="dot"/>
          </w:r>
          <w:r w:rsidR="002F4384" w:rsidRPr="00677241">
            <w:rPr>
              <w:sz w:val="24"/>
              <w:szCs w:val="24"/>
              <w:lang w:val="en-GB"/>
            </w:rPr>
            <w:t>4</w:t>
          </w:r>
          <w:r w:rsidR="00461569">
            <w:rPr>
              <w:sz w:val="24"/>
              <w:szCs w:val="24"/>
              <w:lang w:val="en-GB"/>
            </w:rPr>
            <w:t>3</w:t>
          </w:r>
        </w:p>
        <w:p w14:paraId="37659909" w14:textId="77777777" w:rsidR="00B05A11" w:rsidRPr="00677241" w:rsidRDefault="00B05A11" w:rsidP="00C03655">
          <w:pPr>
            <w:pStyle w:val="TOC1"/>
            <w:ind w:left="0"/>
            <w:rPr>
              <w:b w:val="0"/>
              <w:bCs w:val="0"/>
              <w:sz w:val="24"/>
              <w:szCs w:val="24"/>
              <w:lang w:val="en-GB"/>
            </w:rPr>
          </w:pPr>
        </w:p>
        <w:p w14:paraId="596670E8" w14:textId="77A26099" w:rsidR="001A78B5" w:rsidRDefault="001A78B5" w:rsidP="00C03655">
          <w:pPr>
            <w:pStyle w:val="TOC1"/>
            <w:ind w:left="0"/>
            <w:rPr>
              <w:sz w:val="24"/>
              <w:szCs w:val="24"/>
              <w:lang w:val="en-GB"/>
            </w:rPr>
          </w:pPr>
          <w:r w:rsidRPr="00677241">
            <w:rPr>
              <w:sz w:val="24"/>
              <w:szCs w:val="24"/>
              <w:lang w:val="en-GB"/>
            </w:rPr>
            <w:t>Appendix</w:t>
          </w:r>
          <w:r w:rsidRPr="00677241">
            <w:rPr>
              <w:sz w:val="24"/>
              <w:szCs w:val="24"/>
            </w:rPr>
            <w:ptab w:relativeTo="margin" w:alignment="right" w:leader="dot"/>
          </w:r>
          <w:r w:rsidR="002F4384" w:rsidRPr="00677241">
            <w:rPr>
              <w:sz w:val="24"/>
              <w:szCs w:val="24"/>
              <w:lang w:val="en-GB"/>
            </w:rPr>
            <w:t>4</w:t>
          </w:r>
          <w:r w:rsidR="00461569">
            <w:rPr>
              <w:sz w:val="24"/>
              <w:szCs w:val="24"/>
              <w:lang w:val="en-GB"/>
            </w:rPr>
            <w:t>4</w:t>
          </w:r>
        </w:p>
        <w:p w14:paraId="31213BE2" w14:textId="77777777" w:rsidR="00B05A11" w:rsidRPr="00677241" w:rsidRDefault="00B05A11" w:rsidP="00C03655">
          <w:pPr>
            <w:pStyle w:val="TOC1"/>
            <w:ind w:left="0"/>
            <w:rPr>
              <w:sz w:val="24"/>
              <w:szCs w:val="24"/>
              <w:lang w:val="en-GB"/>
            </w:rPr>
          </w:pPr>
        </w:p>
        <w:p w14:paraId="56FF3FB8" w14:textId="37C6F79A" w:rsidR="00EA1A61" w:rsidRPr="006518DE" w:rsidRDefault="00AB6B96" w:rsidP="006518DE">
          <w:pPr>
            <w:pStyle w:val="TOC1"/>
            <w:ind w:left="0"/>
            <w:rPr>
              <w:sz w:val="24"/>
              <w:szCs w:val="24"/>
              <w:lang w:val="en-GB"/>
            </w:rPr>
          </w:pPr>
          <w:r w:rsidRPr="00677241">
            <w:rPr>
              <w:sz w:val="24"/>
              <w:szCs w:val="24"/>
              <w:lang w:val="en-GB"/>
            </w:rPr>
            <w:t>References</w:t>
          </w:r>
          <w:r w:rsidRPr="00677241">
            <w:rPr>
              <w:sz w:val="24"/>
              <w:szCs w:val="24"/>
            </w:rPr>
            <w:ptab w:relativeTo="margin" w:alignment="right" w:leader="dot"/>
          </w:r>
          <w:r w:rsidR="002F014D">
            <w:rPr>
              <w:sz w:val="24"/>
              <w:szCs w:val="24"/>
              <w:lang w:val="en-GB"/>
            </w:rPr>
            <w:t>4</w:t>
          </w:r>
          <w:r w:rsidR="00461569">
            <w:rPr>
              <w:sz w:val="24"/>
              <w:szCs w:val="24"/>
              <w:lang w:val="en-GB"/>
            </w:rPr>
            <w:t>8</w:t>
          </w:r>
        </w:p>
      </w:sdtContent>
    </w:sdt>
    <w:p w14:paraId="038295D8" w14:textId="00F9ED1E" w:rsidR="00261674" w:rsidRPr="001B5B16" w:rsidRDefault="00261674" w:rsidP="0071221E">
      <w:pPr>
        <w:rPr>
          <w:lang w:val="en-GB"/>
        </w:rPr>
      </w:pPr>
    </w:p>
    <w:p w14:paraId="6D836EC5" w14:textId="0621FD20" w:rsidR="006518DE" w:rsidRDefault="006518DE">
      <w:pPr>
        <w:rPr>
          <w:b/>
          <w:bCs/>
          <w:lang w:val="en-GB"/>
        </w:rPr>
      </w:pPr>
      <w:r>
        <w:rPr>
          <w:lang w:val="en-GB"/>
        </w:rPr>
        <w:br w:type="page"/>
      </w:r>
    </w:p>
    <w:sdt>
      <w:sdtPr>
        <w:rPr>
          <w:b/>
          <w:bCs/>
          <w:sz w:val="20"/>
          <w:szCs w:val="20"/>
        </w:rPr>
        <w:id w:val="-261144310"/>
        <w:docPartObj>
          <w:docPartGallery w:val="Table of Contents"/>
          <w:docPartUnique/>
        </w:docPartObj>
      </w:sdtPr>
      <w:sdtEndPr>
        <w:rPr>
          <w:b w:val="0"/>
          <w:bCs w:val="0"/>
        </w:rPr>
      </w:sdtEndPr>
      <w:sdtContent>
        <w:p w14:paraId="2E3F2288" w14:textId="77777777" w:rsidR="00141F29" w:rsidRPr="0063438A" w:rsidRDefault="00141F29" w:rsidP="00A35328">
          <w:pPr>
            <w:spacing w:before="100" w:beforeAutospacing="1"/>
            <w:rPr>
              <w:bCs/>
              <w:sz w:val="24"/>
              <w:szCs w:val="20"/>
              <w:lang w:val="en-GB"/>
            </w:rPr>
          </w:pPr>
          <w:r w:rsidRPr="001B5B16">
            <w:rPr>
              <w:b/>
              <w:sz w:val="28"/>
              <w:lang w:val="en-GB"/>
            </w:rPr>
            <w:t>Index of Figures</w:t>
          </w:r>
        </w:p>
        <w:p w14:paraId="60C2A3E8" w14:textId="471C83A3" w:rsidR="00141F29" w:rsidRPr="0063438A" w:rsidRDefault="00141F29" w:rsidP="00A35328">
          <w:pPr>
            <w:pStyle w:val="Heading1"/>
            <w:spacing w:before="100" w:beforeAutospacing="1" w:line="360" w:lineRule="auto"/>
            <w:ind w:left="0"/>
            <w:rPr>
              <w:b w:val="0"/>
              <w:sz w:val="24"/>
              <w:szCs w:val="24"/>
              <w:lang w:val="en-GB"/>
            </w:rPr>
          </w:pPr>
        </w:p>
        <w:p w14:paraId="2616DF76" w14:textId="17B81C81" w:rsidR="00141F29" w:rsidRPr="00795FDC" w:rsidRDefault="00141F29" w:rsidP="00A35328">
          <w:pPr>
            <w:pStyle w:val="TOC1"/>
            <w:spacing w:before="100" w:beforeAutospacing="1"/>
            <w:ind w:left="0"/>
            <w:rPr>
              <w:b w:val="0"/>
              <w:bCs w:val="0"/>
              <w:sz w:val="24"/>
              <w:szCs w:val="24"/>
              <w:lang w:val="en-GB"/>
            </w:rPr>
          </w:pPr>
          <w:r w:rsidRPr="00795FDC">
            <w:rPr>
              <w:b w:val="0"/>
              <w:bCs w:val="0"/>
              <w:sz w:val="24"/>
              <w:szCs w:val="24"/>
              <w:lang w:val="en-GB"/>
            </w:rPr>
            <w:t xml:space="preserve">Figure </w:t>
          </w:r>
          <w:r w:rsidRPr="00795FDC">
            <w:rPr>
              <w:b w:val="0"/>
              <w:bCs w:val="0"/>
              <w:sz w:val="24"/>
              <w:szCs w:val="24"/>
            </w:rPr>
            <w:fldChar w:fldCharType="begin"/>
          </w:r>
          <w:r w:rsidRPr="00795FDC">
            <w:rPr>
              <w:b w:val="0"/>
              <w:bCs w:val="0"/>
              <w:sz w:val="24"/>
              <w:szCs w:val="24"/>
              <w:lang w:val="en-GB"/>
            </w:rPr>
            <w:instrText xml:space="preserve"> SEQ Figure \* ARABIC </w:instrText>
          </w:r>
          <w:r w:rsidRPr="00795FDC">
            <w:rPr>
              <w:b w:val="0"/>
              <w:bCs w:val="0"/>
              <w:sz w:val="24"/>
              <w:szCs w:val="24"/>
            </w:rPr>
            <w:fldChar w:fldCharType="separate"/>
          </w:r>
          <w:r w:rsidR="00D1020A">
            <w:rPr>
              <w:b w:val="0"/>
              <w:bCs w:val="0"/>
              <w:noProof/>
              <w:sz w:val="24"/>
              <w:szCs w:val="24"/>
              <w:lang w:val="en-GB"/>
            </w:rPr>
            <w:t>1</w:t>
          </w:r>
          <w:r w:rsidRPr="00795FDC">
            <w:rPr>
              <w:b w:val="0"/>
              <w:bCs w:val="0"/>
              <w:sz w:val="24"/>
              <w:szCs w:val="24"/>
              <w:lang w:val="en-GB"/>
            </w:rPr>
            <w:fldChar w:fldCharType="end"/>
          </w:r>
          <w:r w:rsidRPr="00795FDC">
            <w:rPr>
              <w:b w:val="0"/>
              <w:bCs w:val="0"/>
              <w:sz w:val="24"/>
              <w:szCs w:val="24"/>
              <w:lang w:val="en-GB"/>
            </w:rPr>
            <w:t xml:space="preserve">- Relationship between </w:t>
          </w:r>
          <w:r w:rsidR="00D36DAE" w:rsidRPr="00795FDC">
            <w:rPr>
              <w:b w:val="0"/>
              <w:bCs w:val="0"/>
              <w:sz w:val="24"/>
              <w:szCs w:val="24"/>
              <w:lang w:val="en-GB"/>
            </w:rPr>
            <w:t>I</w:t>
          </w:r>
          <w:r w:rsidRPr="00795FDC">
            <w:rPr>
              <w:b w:val="0"/>
              <w:bCs w:val="0"/>
              <w:sz w:val="24"/>
              <w:szCs w:val="24"/>
              <w:lang w:val="en-GB"/>
            </w:rPr>
            <w:t xml:space="preserve">nvestment and </w:t>
          </w:r>
          <w:r w:rsidR="00D36DAE" w:rsidRPr="00795FDC">
            <w:rPr>
              <w:b w:val="0"/>
              <w:bCs w:val="0"/>
              <w:sz w:val="24"/>
              <w:szCs w:val="24"/>
              <w:lang w:val="en-GB"/>
            </w:rPr>
            <w:t>P</w:t>
          </w:r>
          <w:r w:rsidRPr="00795FDC">
            <w:rPr>
              <w:b w:val="0"/>
              <w:bCs w:val="0"/>
              <w:sz w:val="24"/>
              <w:szCs w:val="24"/>
              <w:lang w:val="en-GB"/>
            </w:rPr>
            <w:t xml:space="preserve">roductivity. </w:t>
          </w:r>
          <w:r w:rsidRPr="00795FDC">
            <w:rPr>
              <w:b w:val="0"/>
              <w:bCs w:val="0"/>
              <w:sz w:val="24"/>
              <w:szCs w:val="24"/>
            </w:rPr>
            <w:ptab w:relativeTo="margin" w:alignment="right" w:leader="dot"/>
          </w:r>
          <w:r w:rsidR="0020489D" w:rsidRPr="00834306">
            <w:rPr>
              <w:b w:val="0"/>
              <w:bCs w:val="0"/>
              <w:sz w:val="24"/>
              <w:szCs w:val="24"/>
              <w:lang w:val="en-GB"/>
            </w:rPr>
            <w:t>9</w:t>
          </w:r>
        </w:p>
        <w:p w14:paraId="61BE635F" w14:textId="5FBA452C" w:rsidR="00043733" w:rsidRPr="00795FDC" w:rsidRDefault="00043733" w:rsidP="00A35328">
          <w:pPr>
            <w:pStyle w:val="TOC1"/>
            <w:spacing w:before="100" w:beforeAutospacing="1"/>
            <w:ind w:left="0"/>
            <w:rPr>
              <w:b w:val="0"/>
              <w:bCs w:val="0"/>
              <w:sz w:val="24"/>
              <w:szCs w:val="24"/>
              <w:lang w:val="en-GB"/>
            </w:rPr>
          </w:pPr>
          <w:r w:rsidRPr="00795FDC">
            <w:rPr>
              <w:b w:val="0"/>
              <w:bCs w:val="0"/>
              <w:sz w:val="24"/>
              <w:szCs w:val="24"/>
              <w:lang w:val="en-GB"/>
            </w:rPr>
            <w:t xml:space="preserve">Figure 2- Ratio of </w:t>
          </w:r>
          <w:r w:rsidR="00D36DAE" w:rsidRPr="00795FDC">
            <w:rPr>
              <w:b w:val="0"/>
              <w:bCs w:val="0"/>
              <w:sz w:val="24"/>
              <w:szCs w:val="24"/>
              <w:lang w:val="en-GB"/>
            </w:rPr>
            <w:t>I</w:t>
          </w:r>
          <w:r w:rsidRPr="00795FDC">
            <w:rPr>
              <w:b w:val="0"/>
              <w:bCs w:val="0"/>
              <w:sz w:val="24"/>
              <w:szCs w:val="24"/>
              <w:lang w:val="en-GB"/>
            </w:rPr>
            <w:t xml:space="preserve">ntangible to </w:t>
          </w:r>
          <w:r w:rsidR="00D36DAE" w:rsidRPr="00795FDC">
            <w:rPr>
              <w:b w:val="0"/>
              <w:bCs w:val="0"/>
              <w:sz w:val="24"/>
              <w:szCs w:val="24"/>
              <w:lang w:val="en-GB"/>
            </w:rPr>
            <w:t>T</w:t>
          </w:r>
          <w:r w:rsidRPr="00795FDC">
            <w:rPr>
              <w:b w:val="0"/>
              <w:bCs w:val="0"/>
              <w:sz w:val="24"/>
              <w:szCs w:val="24"/>
              <w:lang w:val="en-GB"/>
            </w:rPr>
            <w:t xml:space="preserve">angible </w:t>
          </w:r>
          <w:r w:rsidR="00D36DAE" w:rsidRPr="00795FDC">
            <w:rPr>
              <w:b w:val="0"/>
              <w:bCs w:val="0"/>
              <w:sz w:val="24"/>
              <w:szCs w:val="24"/>
              <w:lang w:val="en-GB"/>
            </w:rPr>
            <w:t>A</w:t>
          </w:r>
          <w:r w:rsidRPr="00795FDC">
            <w:rPr>
              <w:b w:val="0"/>
              <w:bCs w:val="0"/>
              <w:sz w:val="24"/>
              <w:szCs w:val="24"/>
              <w:lang w:val="en-GB"/>
            </w:rPr>
            <w:t>ssets</w:t>
          </w:r>
          <w:r w:rsidR="003A2CC5" w:rsidRPr="00795FDC">
            <w:rPr>
              <w:b w:val="0"/>
              <w:bCs w:val="0"/>
              <w:sz w:val="24"/>
              <w:szCs w:val="24"/>
              <w:lang w:val="en-GB"/>
            </w:rPr>
            <w:t xml:space="preserve"> for US public firms, 1975-2021</w:t>
          </w:r>
          <w:r w:rsidRPr="00795FDC">
            <w:rPr>
              <w:b w:val="0"/>
              <w:bCs w:val="0"/>
              <w:sz w:val="24"/>
              <w:szCs w:val="24"/>
              <w:lang w:val="en-GB"/>
            </w:rPr>
            <w:t xml:space="preserve">. </w:t>
          </w:r>
          <w:r w:rsidRPr="00795FDC">
            <w:rPr>
              <w:b w:val="0"/>
              <w:bCs w:val="0"/>
              <w:sz w:val="24"/>
              <w:szCs w:val="24"/>
            </w:rPr>
            <w:ptab w:relativeTo="margin" w:alignment="right" w:leader="dot"/>
          </w:r>
          <w:r w:rsidR="005B7615" w:rsidRPr="00795FDC">
            <w:rPr>
              <w:b w:val="0"/>
              <w:bCs w:val="0"/>
              <w:sz w:val="24"/>
              <w:szCs w:val="24"/>
              <w:lang w:val="en-GB"/>
            </w:rPr>
            <w:t>1</w:t>
          </w:r>
          <w:r w:rsidR="0020489D">
            <w:rPr>
              <w:b w:val="0"/>
              <w:bCs w:val="0"/>
              <w:sz w:val="24"/>
              <w:szCs w:val="24"/>
              <w:lang w:val="en-GB"/>
            </w:rPr>
            <w:t>1</w:t>
          </w:r>
        </w:p>
        <w:p w14:paraId="5FF713DE" w14:textId="7DAF44C2" w:rsidR="00043733" w:rsidRPr="00795FDC" w:rsidRDefault="00043733" w:rsidP="00A35328">
          <w:pPr>
            <w:pStyle w:val="TOC1"/>
            <w:spacing w:before="100" w:beforeAutospacing="1"/>
            <w:ind w:left="0"/>
            <w:rPr>
              <w:b w:val="0"/>
              <w:bCs w:val="0"/>
              <w:sz w:val="24"/>
              <w:szCs w:val="24"/>
              <w:lang w:val="en-GB"/>
            </w:rPr>
          </w:pPr>
          <w:r w:rsidRPr="00795FDC">
            <w:rPr>
              <w:b w:val="0"/>
              <w:bCs w:val="0"/>
              <w:sz w:val="24"/>
              <w:szCs w:val="24"/>
              <w:lang w:val="en-GB"/>
            </w:rPr>
            <w:t xml:space="preserve">Figure 3- </w:t>
          </w:r>
          <w:r w:rsidR="00EE1E7C" w:rsidRPr="00795FDC">
            <w:rPr>
              <w:b w:val="0"/>
              <w:bCs w:val="0"/>
              <w:sz w:val="24"/>
              <w:szCs w:val="24"/>
              <w:lang w:val="en-GB"/>
            </w:rPr>
            <w:t xml:space="preserve">Tangible vs </w:t>
          </w:r>
          <w:r w:rsidR="00D36DAE" w:rsidRPr="00795FDC">
            <w:rPr>
              <w:b w:val="0"/>
              <w:bCs w:val="0"/>
              <w:sz w:val="24"/>
              <w:szCs w:val="24"/>
              <w:lang w:val="en-GB"/>
            </w:rPr>
            <w:t>I</w:t>
          </w:r>
          <w:r w:rsidR="00EE1E7C" w:rsidRPr="00795FDC">
            <w:rPr>
              <w:b w:val="0"/>
              <w:bCs w:val="0"/>
              <w:sz w:val="24"/>
              <w:szCs w:val="24"/>
              <w:lang w:val="en-GB"/>
            </w:rPr>
            <w:t xml:space="preserve">ntangible </w:t>
          </w:r>
          <w:r w:rsidR="00D36DAE" w:rsidRPr="00795FDC">
            <w:rPr>
              <w:b w:val="0"/>
              <w:bCs w:val="0"/>
              <w:sz w:val="24"/>
              <w:szCs w:val="24"/>
              <w:lang w:val="en-GB"/>
            </w:rPr>
            <w:t>I</w:t>
          </w:r>
          <w:r w:rsidR="00EE1E7C" w:rsidRPr="00795FDC">
            <w:rPr>
              <w:b w:val="0"/>
              <w:bCs w:val="0"/>
              <w:sz w:val="24"/>
              <w:szCs w:val="24"/>
              <w:lang w:val="en-GB"/>
            </w:rPr>
            <w:t xml:space="preserve">nvestment’s </w:t>
          </w:r>
          <w:r w:rsidR="00D363A0" w:rsidRPr="00795FDC">
            <w:rPr>
              <w:b w:val="0"/>
              <w:bCs w:val="0"/>
              <w:sz w:val="24"/>
              <w:szCs w:val="24"/>
              <w:lang w:val="en-GB"/>
            </w:rPr>
            <w:t>S</w:t>
          </w:r>
          <w:r w:rsidR="00EE1E7C" w:rsidRPr="00795FDC">
            <w:rPr>
              <w:b w:val="0"/>
              <w:bCs w:val="0"/>
              <w:sz w:val="24"/>
              <w:szCs w:val="24"/>
              <w:lang w:val="en-GB"/>
            </w:rPr>
            <w:t>hare of GDP</w:t>
          </w:r>
          <w:r w:rsidR="003A2CC5" w:rsidRPr="00795FDC">
            <w:rPr>
              <w:b w:val="0"/>
              <w:bCs w:val="0"/>
              <w:sz w:val="24"/>
              <w:szCs w:val="24"/>
              <w:lang w:val="en-GB"/>
            </w:rPr>
            <w:t>.</w:t>
          </w:r>
          <w:r w:rsidRPr="00795FDC">
            <w:rPr>
              <w:b w:val="0"/>
              <w:bCs w:val="0"/>
              <w:sz w:val="24"/>
              <w:szCs w:val="24"/>
              <w:lang w:val="en-GB"/>
            </w:rPr>
            <w:t xml:space="preserve"> </w:t>
          </w:r>
          <w:r w:rsidRPr="00795FDC">
            <w:rPr>
              <w:b w:val="0"/>
              <w:bCs w:val="0"/>
              <w:sz w:val="24"/>
              <w:szCs w:val="24"/>
            </w:rPr>
            <w:ptab w:relativeTo="margin" w:alignment="right" w:leader="dot"/>
          </w:r>
          <w:r w:rsidR="00711AFB" w:rsidRPr="00795FDC">
            <w:rPr>
              <w:b w:val="0"/>
              <w:bCs w:val="0"/>
              <w:sz w:val="24"/>
              <w:szCs w:val="24"/>
              <w:lang w:val="en-GB"/>
            </w:rPr>
            <w:t>1</w:t>
          </w:r>
          <w:r w:rsidR="0020489D">
            <w:rPr>
              <w:b w:val="0"/>
              <w:bCs w:val="0"/>
              <w:sz w:val="24"/>
              <w:szCs w:val="24"/>
              <w:lang w:val="en-GB"/>
            </w:rPr>
            <w:t>2</w:t>
          </w:r>
        </w:p>
        <w:p w14:paraId="088FFF0C" w14:textId="0A0B1A72" w:rsidR="003A2CC5" w:rsidRPr="00795FDC" w:rsidRDefault="003A2CC5" w:rsidP="00A35328">
          <w:pPr>
            <w:pStyle w:val="TOC1"/>
            <w:spacing w:before="100" w:beforeAutospacing="1"/>
            <w:ind w:left="0"/>
            <w:rPr>
              <w:b w:val="0"/>
              <w:bCs w:val="0"/>
              <w:sz w:val="24"/>
              <w:szCs w:val="24"/>
              <w:lang w:val="en-GB"/>
            </w:rPr>
          </w:pPr>
          <w:r w:rsidRPr="00795FDC">
            <w:rPr>
              <w:b w:val="0"/>
              <w:bCs w:val="0"/>
              <w:sz w:val="24"/>
              <w:szCs w:val="24"/>
              <w:lang w:val="en-GB"/>
            </w:rPr>
            <w:t xml:space="preserve">Figure 4- Financial </w:t>
          </w:r>
          <w:r w:rsidR="00D363A0" w:rsidRPr="00795FDC">
            <w:rPr>
              <w:b w:val="0"/>
              <w:bCs w:val="0"/>
              <w:sz w:val="24"/>
              <w:szCs w:val="24"/>
              <w:lang w:val="en-GB"/>
            </w:rPr>
            <w:t>S</w:t>
          </w:r>
          <w:r w:rsidRPr="00795FDC">
            <w:rPr>
              <w:b w:val="0"/>
              <w:bCs w:val="0"/>
              <w:sz w:val="24"/>
              <w:szCs w:val="24"/>
              <w:lang w:val="en-GB"/>
            </w:rPr>
            <w:t xml:space="preserve">tructure of different regions. </w:t>
          </w:r>
          <w:r w:rsidRPr="00795FDC">
            <w:rPr>
              <w:b w:val="0"/>
              <w:bCs w:val="0"/>
              <w:sz w:val="24"/>
              <w:szCs w:val="24"/>
            </w:rPr>
            <w:ptab w:relativeTo="margin" w:alignment="right" w:leader="dot"/>
          </w:r>
          <w:r w:rsidR="005B7615" w:rsidRPr="00795FDC">
            <w:rPr>
              <w:b w:val="0"/>
              <w:bCs w:val="0"/>
              <w:sz w:val="24"/>
              <w:szCs w:val="24"/>
              <w:lang w:val="en-GB"/>
            </w:rPr>
            <w:t>1</w:t>
          </w:r>
          <w:r w:rsidR="0020489D">
            <w:rPr>
              <w:b w:val="0"/>
              <w:bCs w:val="0"/>
              <w:sz w:val="24"/>
              <w:szCs w:val="24"/>
              <w:lang w:val="en-GB"/>
            </w:rPr>
            <w:t>4</w:t>
          </w:r>
        </w:p>
        <w:p w14:paraId="1738278F" w14:textId="14AB3B1B" w:rsidR="003A2CC5" w:rsidRPr="00795FDC" w:rsidRDefault="003A2CC5" w:rsidP="00A35328">
          <w:pPr>
            <w:pStyle w:val="TOC1"/>
            <w:spacing w:before="100" w:beforeAutospacing="1"/>
            <w:ind w:left="0"/>
            <w:rPr>
              <w:b w:val="0"/>
              <w:bCs w:val="0"/>
              <w:sz w:val="24"/>
              <w:szCs w:val="24"/>
              <w:lang w:val="en-GB"/>
            </w:rPr>
          </w:pPr>
          <w:r w:rsidRPr="00795FDC">
            <w:rPr>
              <w:b w:val="0"/>
              <w:bCs w:val="0"/>
              <w:sz w:val="24"/>
              <w:szCs w:val="24"/>
              <w:lang w:val="en-GB"/>
            </w:rPr>
            <w:t xml:space="preserve">Figure 5- </w:t>
          </w:r>
          <w:r w:rsidR="00D363A0" w:rsidRPr="00795FDC">
            <w:rPr>
              <w:b w:val="0"/>
              <w:bCs w:val="0"/>
              <w:sz w:val="24"/>
              <w:szCs w:val="24"/>
              <w:lang w:val="en-GB"/>
            </w:rPr>
            <w:t xml:space="preserve">Graphic Representation of the </w:t>
          </w:r>
          <w:r w:rsidRPr="00795FDC">
            <w:rPr>
              <w:b w:val="0"/>
              <w:bCs w:val="0"/>
              <w:sz w:val="24"/>
              <w:szCs w:val="24"/>
              <w:lang w:val="en-GB"/>
            </w:rPr>
            <w:t>Non-</w:t>
          </w:r>
          <w:r w:rsidR="00D36DAE" w:rsidRPr="00795FDC">
            <w:rPr>
              <w:b w:val="0"/>
              <w:bCs w:val="0"/>
              <w:sz w:val="24"/>
              <w:szCs w:val="24"/>
              <w:lang w:val="en-GB"/>
            </w:rPr>
            <w:t>I</w:t>
          </w:r>
          <w:r w:rsidRPr="00795FDC">
            <w:rPr>
              <w:b w:val="0"/>
              <w:bCs w:val="0"/>
              <w:sz w:val="24"/>
              <w:szCs w:val="24"/>
              <w:lang w:val="en-GB"/>
            </w:rPr>
            <w:t xml:space="preserve">deal </w:t>
          </w:r>
          <w:r w:rsidR="00D36DAE" w:rsidRPr="00795FDC">
            <w:rPr>
              <w:b w:val="0"/>
              <w:bCs w:val="0"/>
              <w:sz w:val="24"/>
              <w:szCs w:val="24"/>
              <w:lang w:val="en-GB"/>
            </w:rPr>
            <w:t>R</w:t>
          </w:r>
          <w:r w:rsidRPr="00795FDC">
            <w:rPr>
              <w:b w:val="0"/>
              <w:bCs w:val="0"/>
              <w:sz w:val="24"/>
              <w:szCs w:val="24"/>
              <w:lang w:val="en-GB"/>
            </w:rPr>
            <w:t xml:space="preserve">elay </w:t>
          </w:r>
          <w:r w:rsidR="00D36DAE" w:rsidRPr="00795FDC">
            <w:rPr>
              <w:b w:val="0"/>
              <w:bCs w:val="0"/>
              <w:sz w:val="24"/>
              <w:szCs w:val="24"/>
              <w:lang w:val="en-GB"/>
            </w:rPr>
            <w:t>M</w:t>
          </w:r>
          <w:r w:rsidRPr="00795FDC">
            <w:rPr>
              <w:b w:val="0"/>
              <w:bCs w:val="0"/>
              <w:sz w:val="24"/>
              <w:szCs w:val="24"/>
              <w:lang w:val="en-GB"/>
            </w:rPr>
            <w:t xml:space="preserve">odel. </w:t>
          </w:r>
          <w:r w:rsidRPr="00795FDC">
            <w:rPr>
              <w:b w:val="0"/>
              <w:bCs w:val="0"/>
              <w:sz w:val="24"/>
              <w:szCs w:val="24"/>
            </w:rPr>
            <w:ptab w:relativeTo="margin" w:alignment="right" w:leader="dot"/>
          </w:r>
          <w:r w:rsidR="005B7615" w:rsidRPr="00795FDC">
            <w:rPr>
              <w:b w:val="0"/>
              <w:bCs w:val="0"/>
              <w:sz w:val="24"/>
              <w:szCs w:val="24"/>
              <w:lang w:val="en-GB"/>
            </w:rPr>
            <w:t>1</w:t>
          </w:r>
          <w:r w:rsidR="00CE5CF2">
            <w:rPr>
              <w:b w:val="0"/>
              <w:bCs w:val="0"/>
              <w:sz w:val="24"/>
              <w:szCs w:val="24"/>
              <w:lang w:val="en-GB"/>
            </w:rPr>
            <w:t>7</w:t>
          </w:r>
        </w:p>
        <w:p w14:paraId="108C1000" w14:textId="17A6EB43" w:rsidR="00043733" w:rsidRPr="00795FDC" w:rsidRDefault="00043733" w:rsidP="00A35328">
          <w:pPr>
            <w:pStyle w:val="TOC1"/>
            <w:spacing w:before="100" w:beforeAutospacing="1"/>
            <w:ind w:left="0"/>
            <w:rPr>
              <w:b w:val="0"/>
              <w:bCs w:val="0"/>
              <w:sz w:val="24"/>
              <w:szCs w:val="24"/>
              <w:lang w:val="en-GB"/>
            </w:rPr>
          </w:pPr>
          <w:r w:rsidRPr="00795FDC">
            <w:rPr>
              <w:b w:val="0"/>
              <w:bCs w:val="0"/>
              <w:sz w:val="24"/>
              <w:szCs w:val="24"/>
              <w:lang w:val="en-GB"/>
            </w:rPr>
            <w:t xml:space="preserve">Figure </w:t>
          </w:r>
          <w:r w:rsidR="00693796" w:rsidRPr="00795FDC">
            <w:rPr>
              <w:b w:val="0"/>
              <w:bCs w:val="0"/>
              <w:sz w:val="24"/>
              <w:szCs w:val="24"/>
              <w:lang w:val="en-GB"/>
            </w:rPr>
            <w:t>6</w:t>
          </w:r>
          <w:r w:rsidRPr="00795FDC">
            <w:rPr>
              <w:b w:val="0"/>
              <w:bCs w:val="0"/>
              <w:sz w:val="24"/>
              <w:szCs w:val="24"/>
              <w:lang w:val="en-GB"/>
            </w:rPr>
            <w:t xml:space="preserve">- </w:t>
          </w:r>
          <w:r w:rsidR="00D363A0" w:rsidRPr="00795FDC">
            <w:rPr>
              <w:b w:val="0"/>
              <w:bCs w:val="0"/>
              <w:sz w:val="24"/>
              <w:szCs w:val="24"/>
              <w:lang w:val="en-GB"/>
            </w:rPr>
            <w:t>Hysteretic</w:t>
          </w:r>
          <w:r w:rsidR="003A2CC5" w:rsidRPr="00795FDC">
            <w:rPr>
              <w:b w:val="0"/>
              <w:bCs w:val="0"/>
              <w:sz w:val="24"/>
              <w:szCs w:val="24"/>
              <w:lang w:val="en-GB"/>
            </w:rPr>
            <w:t xml:space="preserve"> Investment Dynamics</w:t>
          </w:r>
          <w:r w:rsidRPr="00795FDC">
            <w:rPr>
              <w:b w:val="0"/>
              <w:bCs w:val="0"/>
              <w:sz w:val="24"/>
              <w:szCs w:val="24"/>
            </w:rPr>
            <w:ptab w:relativeTo="margin" w:alignment="right" w:leader="dot"/>
          </w:r>
          <w:r w:rsidR="005B7615" w:rsidRPr="00795FDC">
            <w:rPr>
              <w:b w:val="0"/>
              <w:bCs w:val="0"/>
              <w:sz w:val="24"/>
              <w:szCs w:val="24"/>
              <w:lang w:val="en-GB"/>
            </w:rPr>
            <w:t>2</w:t>
          </w:r>
          <w:r w:rsidR="00CE5CF2">
            <w:rPr>
              <w:b w:val="0"/>
              <w:bCs w:val="0"/>
              <w:sz w:val="24"/>
              <w:szCs w:val="24"/>
              <w:lang w:val="en-GB"/>
            </w:rPr>
            <w:t>0</w:t>
          </w:r>
        </w:p>
        <w:p w14:paraId="79782861" w14:textId="76747F4D" w:rsidR="000E2885" w:rsidRPr="00795FDC" w:rsidRDefault="000E2885" w:rsidP="00A35328">
          <w:pPr>
            <w:pStyle w:val="TOC1"/>
            <w:spacing w:before="100" w:beforeAutospacing="1"/>
            <w:ind w:left="0"/>
            <w:rPr>
              <w:b w:val="0"/>
              <w:bCs w:val="0"/>
              <w:sz w:val="24"/>
              <w:szCs w:val="24"/>
              <w:lang w:val="en-GB"/>
            </w:rPr>
          </w:pPr>
          <w:r w:rsidRPr="00795FDC">
            <w:rPr>
              <w:b w:val="0"/>
              <w:bCs w:val="0"/>
              <w:sz w:val="24"/>
              <w:szCs w:val="24"/>
              <w:lang w:val="en-GB"/>
            </w:rPr>
            <w:t xml:space="preserve">Figure 7- Preisach </w:t>
          </w:r>
          <w:r w:rsidR="00D363A0" w:rsidRPr="00795FDC">
            <w:rPr>
              <w:b w:val="0"/>
              <w:bCs w:val="0"/>
              <w:sz w:val="24"/>
              <w:szCs w:val="24"/>
              <w:lang w:val="en-GB"/>
            </w:rPr>
            <w:t>L</w:t>
          </w:r>
          <w:r w:rsidRPr="00795FDC">
            <w:rPr>
              <w:b w:val="0"/>
              <w:bCs w:val="0"/>
              <w:sz w:val="24"/>
              <w:szCs w:val="24"/>
              <w:lang w:val="en-GB"/>
            </w:rPr>
            <w:t>oop</w:t>
          </w:r>
          <w:r w:rsidR="003A2CC5" w:rsidRPr="00795FDC">
            <w:rPr>
              <w:b w:val="0"/>
              <w:bCs w:val="0"/>
              <w:sz w:val="24"/>
              <w:szCs w:val="24"/>
              <w:lang w:val="en-GB"/>
            </w:rPr>
            <w:t xml:space="preserve"> of Hysteresis</w:t>
          </w:r>
          <w:r w:rsidRPr="00795FDC">
            <w:rPr>
              <w:b w:val="0"/>
              <w:bCs w:val="0"/>
              <w:sz w:val="24"/>
              <w:szCs w:val="24"/>
            </w:rPr>
            <w:ptab w:relativeTo="margin" w:alignment="right" w:leader="dot"/>
          </w:r>
          <w:r w:rsidR="005B7615" w:rsidRPr="00795FDC">
            <w:rPr>
              <w:b w:val="0"/>
              <w:bCs w:val="0"/>
              <w:sz w:val="24"/>
              <w:szCs w:val="24"/>
              <w:lang w:val="en-GB"/>
            </w:rPr>
            <w:t>2</w:t>
          </w:r>
          <w:r w:rsidR="00CE5CF2">
            <w:rPr>
              <w:b w:val="0"/>
              <w:bCs w:val="0"/>
              <w:sz w:val="24"/>
              <w:szCs w:val="24"/>
              <w:lang w:val="en-GB"/>
            </w:rPr>
            <w:t>2</w:t>
          </w:r>
        </w:p>
        <w:p w14:paraId="087B5654" w14:textId="588F8D4E" w:rsidR="0064730C" w:rsidRPr="00795FDC" w:rsidRDefault="0064730C" w:rsidP="00A35328">
          <w:pPr>
            <w:pStyle w:val="TOC1"/>
            <w:spacing w:before="100" w:beforeAutospacing="1"/>
            <w:ind w:left="0"/>
            <w:rPr>
              <w:b w:val="0"/>
              <w:bCs w:val="0"/>
              <w:sz w:val="24"/>
              <w:szCs w:val="24"/>
              <w:lang w:val="en-GB"/>
            </w:rPr>
          </w:pPr>
          <w:r w:rsidRPr="00795FDC">
            <w:rPr>
              <w:b w:val="0"/>
              <w:bCs w:val="0"/>
              <w:sz w:val="24"/>
              <w:szCs w:val="24"/>
              <w:lang w:val="en-GB"/>
            </w:rPr>
            <w:t>Figure 8- Linear Play loop</w:t>
          </w:r>
          <w:r w:rsidRPr="00795FDC">
            <w:rPr>
              <w:b w:val="0"/>
              <w:bCs w:val="0"/>
              <w:sz w:val="24"/>
              <w:szCs w:val="24"/>
            </w:rPr>
            <w:ptab w:relativeTo="margin" w:alignment="right" w:leader="dot"/>
          </w:r>
          <w:r w:rsidR="005B7615" w:rsidRPr="00795FDC">
            <w:rPr>
              <w:b w:val="0"/>
              <w:bCs w:val="0"/>
              <w:sz w:val="24"/>
              <w:szCs w:val="24"/>
              <w:lang w:val="en-GB"/>
            </w:rPr>
            <w:t>2</w:t>
          </w:r>
          <w:r w:rsidR="00CE5CF2">
            <w:rPr>
              <w:b w:val="0"/>
              <w:bCs w:val="0"/>
              <w:sz w:val="24"/>
              <w:szCs w:val="24"/>
              <w:lang w:val="en-GB"/>
            </w:rPr>
            <w:t>5</w:t>
          </w:r>
        </w:p>
        <w:p w14:paraId="12AA333B" w14:textId="5DC74D6F" w:rsidR="006A15E2" w:rsidRPr="00795FDC" w:rsidRDefault="006A15E2" w:rsidP="00A35328">
          <w:pPr>
            <w:pStyle w:val="TOC1"/>
            <w:spacing w:before="100" w:beforeAutospacing="1"/>
            <w:ind w:left="0"/>
            <w:rPr>
              <w:b w:val="0"/>
              <w:bCs w:val="0"/>
              <w:sz w:val="24"/>
              <w:szCs w:val="24"/>
              <w:lang w:val="en-GB"/>
            </w:rPr>
          </w:pPr>
          <w:r w:rsidRPr="00795FDC">
            <w:rPr>
              <w:b w:val="0"/>
              <w:bCs w:val="0"/>
              <w:sz w:val="24"/>
              <w:szCs w:val="24"/>
              <w:lang w:val="en-GB"/>
            </w:rPr>
            <w:t xml:space="preserve">Figure 9- </w:t>
          </w:r>
          <w:r w:rsidR="00D36DAE" w:rsidRPr="00795FDC">
            <w:rPr>
              <w:b w:val="0"/>
              <w:bCs w:val="0"/>
              <w:sz w:val="24"/>
              <w:szCs w:val="24"/>
              <w:lang w:val="en-GB"/>
            </w:rPr>
            <w:t>T</w:t>
          </w:r>
          <w:r w:rsidRPr="00795FDC">
            <w:rPr>
              <w:b w:val="0"/>
              <w:bCs w:val="0"/>
              <w:sz w:val="24"/>
              <w:szCs w:val="24"/>
              <w:lang w:val="en-GB"/>
            </w:rPr>
            <w:t xml:space="preserve">angible and </w:t>
          </w:r>
          <w:r w:rsidR="00D36DAE" w:rsidRPr="00795FDC">
            <w:rPr>
              <w:b w:val="0"/>
              <w:bCs w:val="0"/>
              <w:sz w:val="24"/>
              <w:szCs w:val="24"/>
              <w:lang w:val="en-GB"/>
            </w:rPr>
            <w:t>I</w:t>
          </w:r>
          <w:r w:rsidRPr="00795FDC">
            <w:rPr>
              <w:b w:val="0"/>
              <w:bCs w:val="0"/>
              <w:sz w:val="24"/>
              <w:szCs w:val="24"/>
              <w:lang w:val="en-GB"/>
            </w:rPr>
            <w:t xml:space="preserve">ntangible </w:t>
          </w:r>
          <w:r w:rsidR="00D36DAE" w:rsidRPr="00795FDC">
            <w:rPr>
              <w:b w:val="0"/>
              <w:bCs w:val="0"/>
              <w:sz w:val="24"/>
              <w:szCs w:val="24"/>
              <w:lang w:val="en-GB"/>
            </w:rPr>
            <w:t>I</w:t>
          </w:r>
          <w:r w:rsidRPr="00795FDC">
            <w:rPr>
              <w:b w:val="0"/>
              <w:bCs w:val="0"/>
              <w:sz w:val="24"/>
              <w:szCs w:val="24"/>
              <w:lang w:val="en-GB"/>
            </w:rPr>
            <w:t>nvestment</w:t>
          </w:r>
          <w:r w:rsidR="00D363A0" w:rsidRPr="00795FDC">
            <w:rPr>
              <w:b w:val="0"/>
              <w:bCs w:val="0"/>
              <w:sz w:val="24"/>
              <w:szCs w:val="24"/>
              <w:lang w:val="en-GB"/>
            </w:rPr>
            <w:t xml:space="preserve"> Dynamics</w:t>
          </w:r>
          <w:r w:rsidRPr="00795FDC">
            <w:rPr>
              <w:b w:val="0"/>
              <w:bCs w:val="0"/>
              <w:sz w:val="24"/>
              <w:szCs w:val="24"/>
              <w:lang w:val="en-GB"/>
            </w:rPr>
            <w:t xml:space="preserve"> </w:t>
          </w:r>
          <w:r w:rsidRPr="00795FDC">
            <w:rPr>
              <w:b w:val="0"/>
              <w:bCs w:val="0"/>
              <w:sz w:val="24"/>
              <w:szCs w:val="24"/>
            </w:rPr>
            <w:ptab w:relativeTo="margin" w:alignment="right" w:leader="dot"/>
          </w:r>
          <w:r w:rsidR="00CE5CF2">
            <w:rPr>
              <w:b w:val="0"/>
              <w:bCs w:val="0"/>
              <w:sz w:val="24"/>
              <w:szCs w:val="24"/>
              <w:lang w:val="en-GB"/>
            </w:rPr>
            <w:t>29</w:t>
          </w:r>
        </w:p>
        <w:p w14:paraId="19BEC050" w14:textId="0CD925B1" w:rsidR="00D363A0" w:rsidRPr="00795FDC" w:rsidRDefault="00D363A0" w:rsidP="00A35328">
          <w:pPr>
            <w:pStyle w:val="TOC1"/>
            <w:spacing w:before="100" w:beforeAutospacing="1"/>
            <w:ind w:left="0"/>
            <w:rPr>
              <w:b w:val="0"/>
              <w:bCs w:val="0"/>
              <w:sz w:val="24"/>
              <w:szCs w:val="24"/>
              <w:lang w:val="en-GB"/>
            </w:rPr>
          </w:pPr>
          <w:r w:rsidRPr="00795FDC">
            <w:rPr>
              <w:b w:val="0"/>
              <w:bCs w:val="0"/>
              <w:sz w:val="24"/>
              <w:szCs w:val="24"/>
              <w:lang w:val="en-GB"/>
            </w:rPr>
            <w:t>Figure 10- Rate of Capacity Utilization, Manufacturing (2000-2022)</w:t>
          </w:r>
          <w:r w:rsidRPr="00795FDC">
            <w:rPr>
              <w:b w:val="0"/>
              <w:bCs w:val="0"/>
              <w:lang w:val="en-GB"/>
            </w:rPr>
            <w:t>.</w:t>
          </w:r>
          <w:r w:rsidRPr="00795FDC">
            <w:rPr>
              <w:b w:val="0"/>
              <w:bCs w:val="0"/>
              <w:sz w:val="24"/>
              <w:szCs w:val="24"/>
            </w:rPr>
            <w:ptab w:relativeTo="margin" w:alignment="right" w:leader="dot"/>
          </w:r>
          <w:r w:rsidRPr="00795FDC">
            <w:rPr>
              <w:b w:val="0"/>
              <w:bCs w:val="0"/>
              <w:sz w:val="24"/>
              <w:szCs w:val="24"/>
              <w:lang w:val="en-GB"/>
            </w:rPr>
            <w:t>3</w:t>
          </w:r>
          <w:r w:rsidR="00CE5CF2">
            <w:rPr>
              <w:b w:val="0"/>
              <w:bCs w:val="0"/>
              <w:sz w:val="24"/>
              <w:szCs w:val="24"/>
              <w:lang w:val="en-GB"/>
            </w:rPr>
            <w:t>2</w:t>
          </w:r>
        </w:p>
        <w:p w14:paraId="3664BD72" w14:textId="346481BD" w:rsidR="00691A09" w:rsidRPr="00795FDC" w:rsidRDefault="00691A09" w:rsidP="00A35328">
          <w:pPr>
            <w:pStyle w:val="TOC1"/>
            <w:spacing w:before="100" w:beforeAutospacing="1"/>
            <w:ind w:left="0"/>
            <w:rPr>
              <w:b w:val="0"/>
              <w:bCs w:val="0"/>
              <w:sz w:val="24"/>
              <w:szCs w:val="24"/>
              <w:lang w:val="en-GB"/>
            </w:rPr>
          </w:pPr>
          <w:r w:rsidRPr="00795FDC">
            <w:rPr>
              <w:b w:val="0"/>
              <w:bCs w:val="0"/>
              <w:sz w:val="24"/>
              <w:szCs w:val="24"/>
              <w:lang w:val="en-GB"/>
            </w:rPr>
            <w:t>Figure 1</w:t>
          </w:r>
          <w:r w:rsidR="00D363A0" w:rsidRPr="00795FDC">
            <w:rPr>
              <w:b w:val="0"/>
              <w:bCs w:val="0"/>
              <w:sz w:val="24"/>
              <w:szCs w:val="24"/>
              <w:lang w:val="en-GB"/>
            </w:rPr>
            <w:t>1</w:t>
          </w:r>
          <w:r w:rsidRPr="00795FDC">
            <w:rPr>
              <w:b w:val="0"/>
              <w:bCs w:val="0"/>
              <w:sz w:val="24"/>
              <w:szCs w:val="24"/>
              <w:lang w:val="en-GB"/>
            </w:rPr>
            <w:t>- R</w:t>
          </w:r>
          <w:r w:rsidRPr="00795FDC">
            <w:rPr>
              <w:b w:val="0"/>
              <w:bCs w:val="0"/>
              <w:sz w:val="24"/>
              <w:szCs w:val="24"/>
              <w:vertAlign w:val="superscript"/>
              <w:lang w:val="en-GB"/>
            </w:rPr>
            <w:t>2</w:t>
          </w:r>
          <w:r w:rsidRPr="00795FDC">
            <w:rPr>
              <w:b w:val="0"/>
              <w:bCs w:val="0"/>
              <w:sz w:val="24"/>
              <w:szCs w:val="24"/>
              <w:lang w:val="en-GB"/>
            </w:rPr>
            <w:t xml:space="preserve"> of the Investment Equation (for the USA) for each Play </w:t>
          </w:r>
          <w:r w:rsidR="00D363A0" w:rsidRPr="00795FDC">
            <w:rPr>
              <w:b w:val="0"/>
              <w:bCs w:val="0"/>
              <w:sz w:val="24"/>
              <w:szCs w:val="24"/>
              <w:lang w:val="en-GB"/>
            </w:rPr>
            <w:t>V</w:t>
          </w:r>
          <w:r w:rsidRPr="00795FDC">
            <w:rPr>
              <w:b w:val="0"/>
              <w:bCs w:val="0"/>
              <w:sz w:val="24"/>
              <w:szCs w:val="24"/>
              <w:lang w:val="en-GB"/>
            </w:rPr>
            <w:t xml:space="preserve">alue </w:t>
          </w:r>
          <w:r w:rsidR="00D363A0" w:rsidRPr="00795FDC">
            <w:rPr>
              <w:b w:val="0"/>
              <w:bCs w:val="0"/>
              <w:sz w:val="24"/>
              <w:szCs w:val="24"/>
              <w:lang w:val="en-GB"/>
            </w:rPr>
            <w:t>C</w:t>
          </w:r>
          <w:r w:rsidRPr="00795FDC">
            <w:rPr>
              <w:b w:val="0"/>
              <w:bCs w:val="0"/>
              <w:sz w:val="24"/>
              <w:szCs w:val="24"/>
              <w:lang w:val="en-GB"/>
            </w:rPr>
            <w:t xml:space="preserve">hosen from the </w:t>
          </w:r>
          <w:r w:rsidR="00D363A0" w:rsidRPr="00795FDC">
            <w:rPr>
              <w:b w:val="0"/>
              <w:bCs w:val="0"/>
              <w:sz w:val="24"/>
              <w:szCs w:val="24"/>
              <w:lang w:val="en-GB"/>
            </w:rPr>
            <w:t>G</w:t>
          </w:r>
          <w:r w:rsidRPr="00795FDC">
            <w:rPr>
              <w:b w:val="0"/>
              <w:bCs w:val="0"/>
              <w:sz w:val="24"/>
              <w:szCs w:val="24"/>
              <w:lang w:val="en-GB"/>
            </w:rPr>
            <w:t>rid.</w:t>
          </w:r>
          <w:r w:rsidRPr="00795FDC">
            <w:rPr>
              <w:b w:val="0"/>
              <w:bCs w:val="0"/>
              <w:sz w:val="24"/>
              <w:szCs w:val="24"/>
            </w:rPr>
            <w:ptab w:relativeTo="margin" w:alignment="right" w:leader="dot"/>
          </w:r>
          <w:r w:rsidR="00D363A0" w:rsidRPr="00795FDC">
            <w:rPr>
              <w:b w:val="0"/>
              <w:bCs w:val="0"/>
              <w:sz w:val="24"/>
              <w:szCs w:val="24"/>
              <w:lang w:val="en-GB"/>
            </w:rPr>
            <w:t>4</w:t>
          </w:r>
          <w:r w:rsidR="00CE5CF2">
            <w:rPr>
              <w:b w:val="0"/>
              <w:bCs w:val="0"/>
              <w:sz w:val="24"/>
              <w:szCs w:val="24"/>
              <w:lang w:val="en-GB"/>
            </w:rPr>
            <w:t>0</w:t>
          </w:r>
        </w:p>
        <w:p w14:paraId="6BB7EB60" w14:textId="27FD451E" w:rsidR="006A15E2" w:rsidRPr="00795FDC" w:rsidRDefault="006A15E2" w:rsidP="00A35328">
          <w:pPr>
            <w:pStyle w:val="TOC1"/>
            <w:spacing w:before="100" w:beforeAutospacing="1"/>
            <w:ind w:left="0"/>
            <w:rPr>
              <w:b w:val="0"/>
              <w:bCs w:val="0"/>
              <w:sz w:val="24"/>
              <w:szCs w:val="24"/>
              <w:lang w:val="en-GB"/>
            </w:rPr>
          </w:pPr>
          <w:r w:rsidRPr="00795FDC">
            <w:rPr>
              <w:b w:val="0"/>
              <w:bCs w:val="0"/>
              <w:sz w:val="24"/>
              <w:szCs w:val="24"/>
              <w:lang w:val="en-GB"/>
            </w:rPr>
            <w:t>Figure 1</w:t>
          </w:r>
          <w:r w:rsidR="00D363A0" w:rsidRPr="00795FDC">
            <w:rPr>
              <w:b w:val="0"/>
              <w:bCs w:val="0"/>
              <w:sz w:val="24"/>
              <w:szCs w:val="24"/>
              <w:lang w:val="en-GB"/>
            </w:rPr>
            <w:t>2</w:t>
          </w:r>
          <w:r w:rsidRPr="00795FDC">
            <w:rPr>
              <w:b w:val="0"/>
              <w:bCs w:val="0"/>
              <w:sz w:val="24"/>
              <w:szCs w:val="24"/>
              <w:lang w:val="en-GB"/>
            </w:rPr>
            <w:t>- Original Forcing Variable of the Investment Equation and the Hysteresis Variable for the USA</w:t>
          </w:r>
          <w:r w:rsidRPr="00795FDC">
            <w:rPr>
              <w:b w:val="0"/>
              <w:bCs w:val="0"/>
              <w:sz w:val="28"/>
              <w:szCs w:val="28"/>
              <w:lang w:val="en-GB"/>
            </w:rPr>
            <w:t xml:space="preserve"> </w:t>
          </w:r>
          <w:r w:rsidRPr="00795FDC">
            <w:rPr>
              <w:b w:val="0"/>
              <w:bCs w:val="0"/>
              <w:sz w:val="24"/>
              <w:szCs w:val="24"/>
            </w:rPr>
            <w:ptab w:relativeTo="margin" w:alignment="right" w:leader="dot"/>
          </w:r>
          <w:r w:rsidR="00B03B3A" w:rsidRPr="00795FDC">
            <w:rPr>
              <w:b w:val="0"/>
              <w:bCs w:val="0"/>
              <w:sz w:val="24"/>
              <w:szCs w:val="24"/>
              <w:lang w:val="en-GB"/>
            </w:rPr>
            <w:t>4</w:t>
          </w:r>
          <w:r w:rsidR="00CE5CF2">
            <w:rPr>
              <w:b w:val="0"/>
              <w:bCs w:val="0"/>
              <w:sz w:val="24"/>
              <w:szCs w:val="24"/>
              <w:lang w:val="en-GB"/>
            </w:rPr>
            <w:t>1</w:t>
          </w:r>
        </w:p>
        <w:p w14:paraId="2FF5D51F" w14:textId="5D920904" w:rsidR="00691A09" w:rsidRPr="00795FDC" w:rsidRDefault="00691A09" w:rsidP="00A35328">
          <w:pPr>
            <w:pStyle w:val="TOC1"/>
            <w:spacing w:before="100" w:beforeAutospacing="1"/>
            <w:ind w:left="0"/>
            <w:rPr>
              <w:b w:val="0"/>
              <w:bCs w:val="0"/>
              <w:sz w:val="24"/>
              <w:szCs w:val="24"/>
              <w:lang w:val="en-GB"/>
            </w:rPr>
          </w:pPr>
          <w:r w:rsidRPr="00795FDC">
            <w:rPr>
              <w:b w:val="0"/>
              <w:bCs w:val="0"/>
              <w:sz w:val="24"/>
              <w:szCs w:val="24"/>
              <w:lang w:val="en-GB"/>
            </w:rPr>
            <w:t xml:space="preserve">Figure 13- Investment </w:t>
          </w:r>
          <w:r w:rsidR="00D36DAE" w:rsidRPr="00795FDC">
            <w:rPr>
              <w:b w:val="0"/>
              <w:bCs w:val="0"/>
              <w:sz w:val="24"/>
              <w:szCs w:val="24"/>
              <w:lang w:val="en-GB"/>
            </w:rPr>
            <w:t>B</w:t>
          </w:r>
          <w:r w:rsidRPr="00795FDC">
            <w:rPr>
              <w:b w:val="0"/>
              <w:bCs w:val="0"/>
              <w:sz w:val="24"/>
              <w:szCs w:val="24"/>
              <w:lang w:val="en-GB"/>
            </w:rPr>
            <w:t xml:space="preserve">and of </w:t>
          </w:r>
          <w:r w:rsidR="00D36DAE" w:rsidRPr="00795FDC">
            <w:rPr>
              <w:b w:val="0"/>
              <w:bCs w:val="0"/>
              <w:sz w:val="24"/>
              <w:szCs w:val="24"/>
              <w:lang w:val="en-GB"/>
            </w:rPr>
            <w:t>I</w:t>
          </w:r>
          <w:r w:rsidRPr="00795FDC">
            <w:rPr>
              <w:b w:val="0"/>
              <w:bCs w:val="0"/>
              <w:sz w:val="24"/>
              <w:szCs w:val="24"/>
              <w:lang w:val="en-GB"/>
            </w:rPr>
            <w:t xml:space="preserve">naction for the G7, </w:t>
          </w:r>
          <w:r w:rsidR="00D36DAE" w:rsidRPr="00795FDC">
            <w:rPr>
              <w:b w:val="0"/>
              <w:bCs w:val="0"/>
              <w:sz w:val="24"/>
              <w:szCs w:val="24"/>
              <w:lang w:val="en-GB"/>
            </w:rPr>
            <w:t>T</w:t>
          </w:r>
          <w:r w:rsidRPr="00795FDC">
            <w:rPr>
              <w:b w:val="0"/>
              <w:bCs w:val="0"/>
              <w:sz w:val="24"/>
              <w:szCs w:val="24"/>
              <w:lang w:val="en-GB"/>
            </w:rPr>
            <w:t>angible</w:t>
          </w:r>
          <w:r w:rsidR="00F4392F" w:rsidRPr="00795FDC">
            <w:rPr>
              <w:b w:val="0"/>
              <w:bCs w:val="0"/>
              <w:sz w:val="24"/>
              <w:szCs w:val="24"/>
              <w:lang w:val="en-GB"/>
            </w:rPr>
            <w:t>s</w:t>
          </w:r>
          <w:r w:rsidRPr="00795FDC">
            <w:rPr>
              <w:b w:val="0"/>
              <w:bCs w:val="0"/>
              <w:sz w:val="24"/>
              <w:szCs w:val="24"/>
              <w:lang w:val="en-GB"/>
            </w:rPr>
            <w:t xml:space="preserve"> vs </w:t>
          </w:r>
          <w:r w:rsidR="00D36DAE" w:rsidRPr="00795FDC">
            <w:rPr>
              <w:b w:val="0"/>
              <w:bCs w:val="0"/>
              <w:sz w:val="24"/>
              <w:szCs w:val="24"/>
              <w:lang w:val="en-GB"/>
            </w:rPr>
            <w:t>I</w:t>
          </w:r>
          <w:r w:rsidRPr="00795FDC">
            <w:rPr>
              <w:b w:val="0"/>
              <w:bCs w:val="0"/>
              <w:sz w:val="24"/>
              <w:szCs w:val="24"/>
              <w:lang w:val="en-GB"/>
            </w:rPr>
            <w:t>ntangible</w:t>
          </w:r>
          <w:r w:rsidR="00F4392F" w:rsidRPr="00795FDC">
            <w:rPr>
              <w:b w:val="0"/>
              <w:bCs w:val="0"/>
              <w:sz w:val="24"/>
              <w:szCs w:val="24"/>
              <w:lang w:val="en-GB"/>
            </w:rPr>
            <w:t>s</w:t>
          </w:r>
          <w:r w:rsidRPr="00795FDC">
            <w:rPr>
              <w:b w:val="0"/>
              <w:bCs w:val="0"/>
              <w:sz w:val="24"/>
              <w:szCs w:val="24"/>
              <w:lang w:val="en-GB"/>
            </w:rPr>
            <w:t xml:space="preserve"> </w:t>
          </w:r>
          <w:r w:rsidRPr="00795FDC">
            <w:rPr>
              <w:b w:val="0"/>
              <w:bCs w:val="0"/>
              <w:sz w:val="24"/>
              <w:szCs w:val="24"/>
            </w:rPr>
            <w:ptab w:relativeTo="margin" w:alignment="right" w:leader="dot"/>
          </w:r>
          <w:r w:rsidR="005A751C" w:rsidRPr="00795FDC">
            <w:rPr>
              <w:b w:val="0"/>
              <w:bCs w:val="0"/>
              <w:sz w:val="24"/>
              <w:szCs w:val="24"/>
              <w:lang w:val="en-GB"/>
            </w:rPr>
            <w:t>4</w:t>
          </w:r>
          <w:r w:rsidR="00CE5CF2">
            <w:rPr>
              <w:b w:val="0"/>
              <w:bCs w:val="0"/>
              <w:sz w:val="24"/>
              <w:szCs w:val="24"/>
              <w:lang w:val="en-GB"/>
            </w:rPr>
            <w:t>2</w:t>
          </w:r>
        </w:p>
        <w:p w14:paraId="59810F6A" w14:textId="77777777" w:rsidR="000E2885" w:rsidRPr="00D328BD" w:rsidRDefault="000E2885" w:rsidP="00A35328">
          <w:pPr>
            <w:pStyle w:val="TOC1"/>
            <w:spacing w:before="0"/>
            <w:ind w:left="0"/>
            <w:rPr>
              <w:lang w:val="en-GB"/>
            </w:rPr>
          </w:pPr>
        </w:p>
        <w:p w14:paraId="7D633366" w14:textId="490B06E7" w:rsidR="00141F29" w:rsidRPr="00043733" w:rsidRDefault="00000000" w:rsidP="00A35328">
          <w:pPr>
            <w:pStyle w:val="TOC2"/>
            <w:spacing w:before="0"/>
            <w:ind w:left="0" w:firstLine="0"/>
            <w:rPr>
              <w:sz w:val="20"/>
              <w:szCs w:val="20"/>
              <w:lang w:val="en-GB"/>
            </w:rPr>
          </w:pPr>
        </w:p>
      </w:sdtContent>
    </w:sdt>
    <w:p w14:paraId="05060E17" w14:textId="77777777" w:rsidR="00F92E1C" w:rsidRPr="001B5B16" w:rsidRDefault="00F92E1C" w:rsidP="0071221E">
      <w:pPr>
        <w:pStyle w:val="BodyText"/>
        <w:spacing w:before="3"/>
        <w:rPr>
          <w:sz w:val="28"/>
          <w:lang w:val="en-GB"/>
        </w:rPr>
      </w:pPr>
    </w:p>
    <w:sdt>
      <w:sdtPr>
        <w:rPr>
          <w:sz w:val="24"/>
          <w:szCs w:val="24"/>
        </w:rPr>
        <w:id w:val="-1437131269"/>
        <w:docPartObj>
          <w:docPartGallery w:val="Table of Contents"/>
          <w:docPartUnique/>
        </w:docPartObj>
      </w:sdtPr>
      <w:sdtContent>
        <w:p w14:paraId="3E21C439" w14:textId="0C674A9C" w:rsidR="008075A6" w:rsidRPr="0063438A" w:rsidRDefault="008075A6" w:rsidP="00C03655">
          <w:pPr>
            <w:spacing w:before="81"/>
            <w:rPr>
              <w:sz w:val="24"/>
              <w:szCs w:val="24"/>
              <w:lang w:val="en-GB"/>
            </w:rPr>
          </w:pPr>
          <w:r w:rsidRPr="006518DE">
            <w:rPr>
              <w:b/>
              <w:bCs/>
              <w:sz w:val="28"/>
              <w:szCs w:val="28"/>
              <w:lang w:val="en-GB"/>
            </w:rPr>
            <w:t>Index of Tables</w:t>
          </w:r>
        </w:p>
        <w:p w14:paraId="30718777" w14:textId="77777777" w:rsidR="008075A6" w:rsidRPr="0063438A" w:rsidRDefault="008075A6" w:rsidP="00C03655">
          <w:pPr>
            <w:pStyle w:val="Heading1"/>
            <w:ind w:left="0"/>
            <w:rPr>
              <w:b w:val="0"/>
              <w:bCs w:val="0"/>
              <w:sz w:val="22"/>
              <w:szCs w:val="22"/>
              <w:lang w:val="en-GB"/>
            </w:rPr>
          </w:pPr>
        </w:p>
        <w:p w14:paraId="0E66A205" w14:textId="20BA6B66" w:rsidR="008075A6" w:rsidRPr="00795FDC" w:rsidRDefault="008075A6" w:rsidP="00C03655">
          <w:pPr>
            <w:pStyle w:val="TOC1"/>
            <w:ind w:left="0"/>
            <w:rPr>
              <w:b w:val="0"/>
              <w:bCs w:val="0"/>
              <w:sz w:val="24"/>
              <w:szCs w:val="24"/>
              <w:lang w:val="en-GB"/>
            </w:rPr>
          </w:pPr>
          <w:r w:rsidRPr="00795FDC">
            <w:rPr>
              <w:b w:val="0"/>
              <w:bCs w:val="0"/>
              <w:sz w:val="24"/>
              <w:szCs w:val="24"/>
              <w:lang w:val="en-GB"/>
            </w:rPr>
            <w:t xml:space="preserve">Table </w:t>
          </w:r>
          <w:r w:rsidR="0059370E" w:rsidRPr="00795FDC">
            <w:rPr>
              <w:b w:val="0"/>
              <w:bCs w:val="0"/>
              <w:sz w:val="24"/>
              <w:szCs w:val="24"/>
              <w:lang w:val="en-GB"/>
            </w:rPr>
            <w:t>1</w:t>
          </w:r>
          <w:r w:rsidR="0098021F" w:rsidRPr="00795FDC">
            <w:rPr>
              <w:b w:val="0"/>
              <w:bCs w:val="0"/>
              <w:sz w:val="24"/>
              <w:szCs w:val="24"/>
              <w:lang w:val="en-GB"/>
            </w:rPr>
            <w:t>-</w:t>
          </w:r>
          <w:r w:rsidRPr="00795FDC">
            <w:rPr>
              <w:b w:val="0"/>
              <w:bCs w:val="0"/>
              <w:sz w:val="24"/>
              <w:szCs w:val="24"/>
              <w:lang w:val="en-GB"/>
            </w:rPr>
            <w:t xml:space="preserve"> Components of </w:t>
          </w:r>
          <w:r w:rsidR="003A6546" w:rsidRPr="00795FDC">
            <w:rPr>
              <w:b w:val="0"/>
              <w:bCs w:val="0"/>
              <w:sz w:val="24"/>
              <w:szCs w:val="24"/>
              <w:lang w:val="en-GB"/>
            </w:rPr>
            <w:t>I</w:t>
          </w:r>
          <w:r w:rsidRPr="00795FDC">
            <w:rPr>
              <w:b w:val="0"/>
              <w:bCs w:val="0"/>
              <w:sz w:val="24"/>
              <w:szCs w:val="24"/>
              <w:lang w:val="en-GB"/>
            </w:rPr>
            <w:t>ntangible investment</w:t>
          </w:r>
          <w:r w:rsidRPr="00795FDC">
            <w:rPr>
              <w:b w:val="0"/>
              <w:bCs w:val="0"/>
              <w:sz w:val="24"/>
              <w:szCs w:val="24"/>
            </w:rPr>
            <w:ptab w:relativeTo="margin" w:alignment="right" w:leader="dot"/>
          </w:r>
          <w:r w:rsidR="00D363A0" w:rsidRPr="00795FDC">
            <w:rPr>
              <w:b w:val="0"/>
              <w:bCs w:val="0"/>
              <w:sz w:val="24"/>
              <w:szCs w:val="24"/>
              <w:lang w:val="en-GB"/>
            </w:rPr>
            <w:t>7</w:t>
          </w:r>
        </w:p>
        <w:p w14:paraId="5D854C8B" w14:textId="4F2D8941" w:rsidR="00D535AB" w:rsidRPr="00795FDC" w:rsidRDefault="00D535AB" w:rsidP="00C03655">
          <w:pPr>
            <w:pStyle w:val="TOC1"/>
            <w:ind w:left="0"/>
            <w:rPr>
              <w:b w:val="0"/>
              <w:bCs w:val="0"/>
              <w:sz w:val="24"/>
              <w:szCs w:val="24"/>
              <w:lang w:val="en-GB"/>
            </w:rPr>
          </w:pPr>
          <w:r w:rsidRPr="00795FDC">
            <w:rPr>
              <w:b w:val="0"/>
              <w:bCs w:val="0"/>
              <w:sz w:val="24"/>
              <w:szCs w:val="24"/>
              <w:lang w:val="en-GB"/>
            </w:rPr>
            <w:t>Table 2</w:t>
          </w:r>
          <w:r w:rsidR="0098021F" w:rsidRPr="00795FDC">
            <w:rPr>
              <w:b w:val="0"/>
              <w:bCs w:val="0"/>
              <w:sz w:val="24"/>
              <w:szCs w:val="24"/>
              <w:lang w:val="en-GB"/>
            </w:rPr>
            <w:t>-</w:t>
          </w:r>
          <w:r w:rsidRPr="00795FDC">
            <w:rPr>
              <w:b w:val="0"/>
              <w:bCs w:val="0"/>
              <w:sz w:val="24"/>
              <w:szCs w:val="24"/>
              <w:lang w:val="en-GB"/>
            </w:rPr>
            <w:t xml:space="preserve"> </w:t>
          </w:r>
          <w:r w:rsidRPr="00795FDC">
            <w:rPr>
              <w:b w:val="0"/>
              <w:bCs w:val="0"/>
              <w:color w:val="000000" w:themeColor="text1"/>
              <w:sz w:val="24"/>
              <w:szCs w:val="24"/>
              <w:lang w:val="en-GB"/>
            </w:rPr>
            <w:t>Unit Root Tests</w:t>
          </w:r>
          <w:r w:rsidRPr="00795FDC">
            <w:rPr>
              <w:b w:val="0"/>
              <w:bCs w:val="0"/>
              <w:sz w:val="24"/>
              <w:szCs w:val="24"/>
              <w:lang w:val="en-GB"/>
            </w:rPr>
            <w:t xml:space="preserve"> </w:t>
          </w:r>
          <w:r w:rsidRPr="00795FDC">
            <w:rPr>
              <w:b w:val="0"/>
              <w:bCs w:val="0"/>
              <w:sz w:val="24"/>
              <w:szCs w:val="24"/>
            </w:rPr>
            <w:ptab w:relativeTo="margin" w:alignment="right" w:leader="dot"/>
          </w:r>
          <w:r w:rsidR="001931B4" w:rsidRPr="00795FDC">
            <w:rPr>
              <w:b w:val="0"/>
              <w:bCs w:val="0"/>
              <w:sz w:val="24"/>
              <w:szCs w:val="24"/>
              <w:lang w:val="en-GB"/>
            </w:rPr>
            <w:t>3</w:t>
          </w:r>
          <w:r w:rsidR="00CE5CF2">
            <w:rPr>
              <w:b w:val="0"/>
              <w:bCs w:val="0"/>
              <w:sz w:val="24"/>
              <w:szCs w:val="24"/>
              <w:lang w:val="en-GB"/>
            </w:rPr>
            <w:t>5</w:t>
          </w:r>
        </w:p>
        <w:p w14:paraId="619ECB53" w14:textId="4D71A1F7" w:rsidR="00937301" w:rsidRPr="00795FDC" w:rsidRDefault="00937301" w:rsidP="00C03655">
          <w:pPr>
            <w:pStyle w:val="TOC1"/>
            <w:ind w:left="0"/>
            <w:rPr>
              <w:b w:val="0"/>
              <w:bCs w:val="0"/>
              <w:sz w:val="24"/>
              <w:szCs w:val="24"/>
              <w:lang w:val="en-GB"/>
            </w:rPr>
          </w:pPr>
          <w:r w:rsidRPr="00795FDC">
            <w:rPr>
              <w:b w:val="0"/>
              <w:bCs w:val="0"/>
              <w:sz w:val="24"/>
              <w:szCs w:val="24"/>
              <w:lang w:val="en-GB"/>
            </w:rPr>
            <w:t xml:space="preserve">Table </w:t>
          </w:r>
          <w:r w:rsidR="00D535AB" w:rsidRPr="00795FDC">
            <w:rPr>
              <w:b w:val="0"/>
              <w:bCs w:val="0"/>
              <w:sz w:val="24"/>
              <w:szCs w:val="24"/>
              <w:lang w:val="en-GB"/>
            </w:rPr>
            <w:t>3</w:t>
          </w:r>
          <w:r w:rsidR="0098021F" w:rsidRPr="00795FDC">
            <w:rPr>
              <w:b w:val="0"/>
              <w:bCs w:val="0"/>
              <w:sz w:val="24"/>
              <w:szCs w:val="24"/>
              <w:lang w:val="en-GB"/>
            </w:rPr>
            <w:t>-</w:t>
          </w:r>
          <w:r w:rsidRPr="00795FDC">
            <w:rPr>
              <w:b w:val="0"/>
              <w:bCs w:val="0"/>
              <w:sz w:val="24"/>
              <w:szCs w:val="24"/>
              <w:lang w:val="en-GB"/>
            </w:rPr>
            <w:t xml:space="preserve"> </w:t>
          </w:r>
          <w:r w:rsidR="00937748" w:rsidRPr="00795FDC">
            <w:rPr>
              <w:rFonts w:cs="Times New Roman"/>
              <w:b w:val="0"/>
              <w:bCs w:val="0"/>
              <w:iCs/>
              <w:sz w:val="24"/>
              <w:szCs w:val="24"/>
              <w:lang w:val="en-GB"/>
            </w:rPr>
            <w:t>FM-OLS Estimation Results of the Investment Hysteresis Equation</w:t>
          </w:r>
          <w:r w:rsidRPr="00795FDC">
            <w:rPr>
              <w:b w:val="0"/>
              <w:bCs w:val="0"/>
              <w:sz w:val="24"/>
              <w:szCs w:val="24"/>
            </w:rPr>
            <w:ptab w:relativeTo="margin" w:alignment="right" w:leader="dot"/>
          </w:r>
          <w:r w:rsidR="00D768C2">
            <w:rPr>
              <w:b w:val="0"/>
              <w:bCs w:val="0"/>
              <w:sz w:val="24"/>
              <w:szCs w:val="24"/>
              <w:lang w:val="en-GB"/>
            </w:rPr>
            <w:t>3</w:t>
          </w:r>
          <w:r w:rsidR="00CE5CF2">
            <w:rPr>
              <w:b w:val="0"/>
              <w:bCs w:val="0"/>
              <w:sz w:val="24"/>
              <w:szCs w:val="24"/>
              <w:lang w:val="en-GB"/>
            </w:rPr>
            <w:t>8</w:t>
          </w:r>
        </w:p>
        <w:p w14:paraId="64ADFE58" w14:textId="77777777" w:rsidR="008075A6" w:rsidRPr="00795FDC" w:rsidRDefault="00000000" w:rsidP="00C03655">
          <w:pPr>
            <w:pStyle w:val="TOC2"/>
            <w:ind w:left="0" w:firstLine="0"/>
            <w:rPr>
              <w:sz w:val="24"/>
              <w:szCs w:val="24"/>
            </w:rPr>
          </w:pPr>
        </w:p>
      </w:sdtContent>
    </w:sdt>
    <w:p w14:paraId="32D59E16" w14:textId="77777777" w:rsidR="00F92E1C" w:rsidRPr="00FB0BDF" w:rsidRDefault="00F92E1C" w:rsidP="0071221E">
      <w:pPr>
        <w:pStyle w:val="BodyText"/>
        <w:spacing w:before="8"/>
        <w:rPr>
          <w:bCs/>
          <w:szCs w:val="20"/>
          <w:lang w:val="en-GB"/>
        </w:rPr>
      </w:pPr>
    </w:p>
    <w:p w14:paraId="26717A59" w14:textId="77777777" w:rsidR="00F92E1C" w:rsidRPr="00592072" w:rsidRDefault="00F92E1C" w:rsidP="0071221E">
      <w:pPr>
        <w:spacing w:line="250" w:lineRule="exact"/>
        <w:rPr>
          <w:sz w:val="24"/>
          <w:lang w:val="en-GB"/>
        </w:rPr>
        <w:sectPr w:rsidR="00F92E1C" w:rsidRPr="00592072" w:rsidSect="0071221E">
          <w:footerReference w:type="default" r:id="rId24"/>
          <w:pgSz w:w="11910" w:h="16840"/>
          <w:pgMar w:top="1701" w:right="1418" w:bottom="1701" w:left="1985" w:header="0" w:footer="1004" w:gutter="0"/>
          <w:cols w:space="720"/>
        </w:sectPr>
      </w:pPr>
      <w:bookmarkStart w:id="11" w:name="_bookmark3"/>
      <w:bookmarkStart w:id="12" w:name="_bookmark4"/>
      <w:bookmarkEnd w:id="11"/>
      <w:bookmarkEnd w:id="12"/>
    </w:p>
    <w:p w14:paraId="4E0ABB65" w14:textId="7FDE104D" w:rsidR="00F92E1C" w:rsidRPr="0063438A" w:rsidRDefault="00E74ADE" w:rsidP="0071221E">
      <w:pPr>
        <w:pStyle w:val="Heading1"/>
        <w:spacing w:before="100"/>
        <w:ind w:left="0"/>
        <w:rPr>
          <w:b w:val="0"/>
          <w:bCs w:val="0"/>
          <w:sz w:val="24"/>
          <w:szCs w:val="24"/>
          <w:lang w:val="en-GB"/>
        </w:rPr>
      </w:pPr>
      <w:r w:rsidRPr="00162833">
        <w:rPr>
          <w:lang w:val="en-GB"/>
        </w:rPr>
        <w:lastRenderedPageBreak/>
        <w:t>Introduction</w:t>
      </w:r>
    </w:p>
    <w:p w14:paraId="61F36FFE" w14:textId="77777777" w:rsidR="00A75F9E" w:rsidRPr="008E590D" w:rsidRDefault="00A75F9E" w:rsidP="00A35328">
      <w:pPr>
        <w:pStyle w:val="Heading1"/>
        <w:spacing w:before="0" w:line="360" w:lineRule="auto"/>
        <w:ind w:left="0"/>
        <w:jc w:val="both"/>
        <w:rPr>
          <w:b w:val="0"/>
          <w:bCs w:val="0"/>
          <w:sz w:val="24"/>
          <w:szCs w:val="24"/>
          <w:lang w:val="en-GB"/>
        </w:rPr>
      </w:pPr>
    </w:p>
    <w:p w14:paraId="73510B3E" w14:textId="61B72AC7" w:rsidR="008600CE" w:rsidRPr="00834306" w:rsidRDefault="00132F33" w:rsidP="008600CE">
      <w:pPr>
        <w:spacing w:line="360" w:lineRule="auto"/>
        <w:ind w:firstLine="720"/>
        <w:jc w:val="both"/>
        <w:rPr>
          <w:sz w:val="24"/>
          <w:szCs w:val="24"/>
          <w:lang w:val="en-GB"/>
        </w:rPr>
      </w:pPr>
      <w:bookmarkStart w:id="13" w:name="_Toc126837467"/>
      <w:r w:rsidRPr="002F351D">
        <w:rPr>
          <w:sz w:val="24"/>
          <w:szCs w:val="24"/>
          <w:lang w:val="en-GB"/>
        </w:rPr>
        <w:t>The recent Covid-19 pandemic crisis, as well as the global financial crisis</w:t>
      </w:r>
      <w:r w:rsidR="00A75F9E">
        <w:rPr>
          <w:sz w:val="24"/>
          <w:szCs w:val="24"/>
          <w:lang w:val="en-GB"/>
        </w:rPr>
        <w:t xml:space="preserve"> that started in August 2007 in the USA,</w:t>
      </w:r>
      <w:r w:rsidRPr="002F351D">
        <w:rPr>
          <w:sz w:val="24"/>
          <w:szCs w:val="24"/>
          <w:lang w:val="en-GB"/>
        </w:rPr>
        <w:t xml:space="preserve"> were major disruptions in economic activity. Crises of this dimension can in turn have long-term consequences, such as </w:t>
      </w:r>
      <w:r w:rsidR="00492EF2" w:rsidRPr="002F351D">
        <w:rPr>
          <w:sz w:val="24"/>
          <w:szCs w:val="24"/>
          <w:lang w:val="en-GB"/>
        </w:rPr>
        <w:t xml:space="preserve">a </w:t>
      </w:r>
      <w:r w:rsidR="00454D3A">
        <w:rPr>
          <w:sz w:val="24"/>
          <w:szCs w:val="24"/>
          <w:lang w:val="en-GB"/>
        </w:rPr>
        <w:t xml:space="preserve">sub-optimal persistent level of </w:t>
      </w:r>
      <w:r w:rsidRPr="002F351D">
        <w:rPr>
          <w:sz w:val="24"/>
          <w:szCs w:val="24"/>
          <w:lang w:val="en-GB"/>
        </w:rPr>
        <w:t>investment</w:t>
      </w:r>
      <w:r w:rsidR="00454D3A">
        <w:rPr>
          <w:sz w:val="24"/>
          <w:szCs w:val="24"/>
          <w:lang w:val="en-GB"/>
        </w:rPr>
        <w:t>.</w:t>
      </w:r>
      <w:r w:rsidR="00492EF2" w:rsidRPr="002F351D">
        <w:rPr>
          <w:sz w:val="24"/>
          <w:szCs w:val="24"/>
          <w:lang w:val="en-GB"/>
        </w:rPr>
        <w:t xml:space="preserve"> A lower level of investment </w:t>
      </w:r>
      <w:r w:rsidR="00454D3A">
        <w:rPr>
          <w:sz w:val="24"/>
          <w:szCs w:val="24"/>
          <w:lang w:val="en-GB"/>
        </w:rPr>
        <w:t xml:space="preserve">originates </w:t>
      </w:r>
      <w:r w:rsidR="00492EF2" w:rsidRPr="002F351D">
        <w:rPr>
          <w:sz w:val="24"/>
          <w:szCs w:val="24"/>
          <w:lang w:val="en-GB"/>
        </w:rPr>
        <w:t xml:space="preserve">a lower quality of </w:t>
      </w:r>
      <w:r w:rsidR="007C4178" w:rsidRPr="002F351D">
        <w:rPr>
          <w:sz w:val="24"/>
          <w:szCs w:val="24"/>
          <w:lang w:val="en-GB"/>
        </w:rPr>
        <w:t>the capital stock of firms</w:t>
      </w:r>
      <w:r w:rsidR="00492EF2" w:rsidRPr="002F351D">
        <w:rPr>
          <w:sz w:val="24"/>
          <w:szCs w:val="24"/>
          <w:lang w:val="en-GB"/>
        </w:rPr>
        <w:t xml:space="preserve">, as over time the capital stock </w:t>
      </w:r>
      <w:r w:rsidR="007C4178" w:rsidRPr="002F351D">
        <w:rPr>
          <w:sz w:val="24"/>
          <w:szCs w:val="24"/>
          <w:lang w:val="en-GB"/>
        </w:rPr>
        <w:t>degrade</w:t>
      </w:r>
      <w:r w:rsidR="00492EF2" w:rsidRPr="002F351D">
        <w:rPr>
          <w:sz w:val="24"/>
          <w:szCs w:val="24"/>
          <w:lang w:val="en-GB"/>
        </w:rPr>
        <w:t>s</w:t>
      </w:r>
      <w:r w:rsidR="007C4178" w:rsidRPr="002F351D">
        <w:rPr>
          <w:sz w:val="24"/>
          <w:szCs w:val="24"/>
          <w:lang w:val="en-GB"/>
        </w:rPr>
        <w:t xml:space="preserve"> becoming outdated, ineffici</w:t>
      </w:r>
      <w:r w:rsidR="007C4178" w:rsidRPr="00834306">
        <w:rPr>
          <w:sz w:val="24"/>
          <w:szCs w:val="24"/>
          <w:lang w:val="en-GB"/>
        </w:rPr>
        <w:t>ent or unusable. By investing</w:t>
      </w:r>
      <w:r w:rsidR="00454D3A" w:rsidRPr="00834306">
        <w:rPr>
          <w:sz w:val="24"/>
          <w:szCs w:val="24"/>
          <w:lang w:val="en-GB"/>
        </w:rPr>
        <w:t>,</w:t>
      </w:r>
      <w:r w:rsidR="007C4178" w:rsidRPr="00834306">
        <w:rPr>
          <w:sz w:val="24"/>
          <w:szCs w:val="24"/>
          <w:lang w:val="en-GB"/>
        </w:rPr>
        <w:t xml:space="preserve"> firms can better suit their production needs, lower their production costs and even expand their production capacity, resulting in an increased, or more efficient, production of goods and services.</w:t>
      </w:r>
      <w:r w:rsidR="00454D3A" w:rsidRPr="00834306">
        <w:rPr>
          <w:sz w:val="24"/>
          <w:szCs w:val="24"/>
          <w:lang w:val="en-GB"/>
        </w:rPr>
        <w:t xml:space="preserve"> As a consequence, prolonged low levels of investment have long-term consequences on economic growth.</w:t>
      </w:r>
    </w:p>
    <w:p w14:paraId="4E0D4D77" w14:textId="717C5BFC" w:rsidR="00D702C0" w:rsidRDefault="00D702C0" w:rsidP="008600CE">
      <w:pPr>
        <w:spacing w:line="360" w:lineRule="auto"/>
        <w:ind w:firstLine="720"/>
        <w:jc w:val="both"/>
        <w:rPr>
          <w:sz w:val="24"/>
          <w:szCs w:val="24"/>
          <w:lang w:val="en-GB"/>
        </w:rPr>
      </w:pPr>
      <w:r>
        <w:rPr>
          <w:sz w:val="24"/>
          <w:szCs w:val="24"/>
          <w:lang w:val="en-GB"/>
        </w:rPr>
        <w:t>The</w:t>
      </w:r>
      <w:r w:rsidR="00454D3A">
        <w:rPr>
          <w:sz w:val="24"/>
          <w:szCs w:val="24"/>
          <w:lang w:val="en-GB"/>
        </w:rPr>
        <w:t>refore the</w:t>
      </w:r>
      <w:r>
        <w:rPr>
          <w:sz w:val="24"/>
          <w:szCs w:val="24"/>
          <w:lang w:val="en-GB"/>
        </w:rPr>
        <w:t xml:space="preserve"> dynamics of </w:t>
      </w:r>
      <w:r w:rsidR="00454D3A">
        <w:rPr>
          <w:sz w:val="24"/>
          <w:szCs w:val="24"/>
          <w:lang w:val="en-GB"/>
        </w:rPr>
        <w:t xml:space="preserve">the </w:t>
      </w:r>
      <w:r>
        <w:rPr>
          <w:sz w:val="24"/>
          <w:szCs w:val="24"/>
          <w:lang w:val="en-GB"/>
        </w:rPr>
        <w:t xml:space="preserve">investment </w:t>
      </w:r>
      <w:r w:rsidR="00454D3A">
        <w:rPr>
          <w:sz w:val="24"/>
          <w:szCs w:val="24"/>
          <w:lang w:val="en-GB"/>
        </w:rPr>
        <w:t xml:space="preserve">may </w:t>
      </w:r>
      <w:r w:rsidR="00F0443C">
        <w:rPr>
          <w:sz w:val="24"/>
          <w:szCs w:val="24"/>
          <w:lang w:val="en-GB"/>
        </w:rPr>
        <w:t>display</w:t>
      </w:r>
      <w:r>
        <w:rPr>
          <w:sz w:val="24"/>
          <w:szCs w:val="24"/>
          <w:lang w:val="en-GB"/>
        </w:rPr>
        <w:t xml:space="preserve"> hysteresis</w:t>
      </w:r>
      <w:r w:rsidR="00454D3A">
        <w:rPr>
          <w:sz w:val="24"/>
          <w:szCs w:val="24"/>
          <w:lang w:val="en-GB"/>
        </w:rPr>
        <w:t xml:space="preserve">, defined as a property of an input-output system in which some temporary shocks have permanent effects. Under a hysteretic system, the reversion of a negative shock (that harms the investment), does not lead the system back to its original position, </w:t>
      </w:r>
      <w:r w:rsidR="00454D3A">
        <w:rPr>
          <w:i/>
          <w:iCs/>
          <w:sz w:val="24"/>
          <w:szCs w:val="24"/>
          <w:lang w:val="en-GB"/>
        </w:rPr>
        <w:t>i.e.</w:t>
      </w:r>
      <w:r w:rsidR="00454D3A">
        <w:rPr>
          <w:sz w:val="24"/>
          <w:szCs w:val="24"/>
          <w:lang w:val="en-GB"/>
        </w:rPr>
        <w:t>, the shock’s effects remain even after the initial causes have been removed.</w:t>
      </w:r>
    </w:p>
    <w:p w14:paraId="6F61BAE0" w14:textId="431E648F" w:rsidR="00D702C0" w:rsidRDefault="00D702C0" w:rsidP="00D702C0">
      <w:pPr>
        <w:spacing w:line="360" w:lineRule="auto"/>
        <w:ind w:firstLine="720"/>
        <w:jc w:val="both"/>
        <w:rPr>
          <w:sz w:val="24"/>
          <w:szCs w:val="24"/>
          <w:lang w:val="en-GB"/>
        </w:rPr>
      </w:pPr>
      <w:r>
        <w:rPr>
          <w:sz w:val="24"/>
          <w:szCs w:val="24"/>
          <w:lang w:val="en-GB"/>
        </w:rPr>
        <w:t xml:space="preserve">As technology evolves and human capital stock levels rise, developed economies become more reliant on the use of intangible assets that are seen as increasing labour productivity </w:t>
      </w:r>
      <w:r>
        <w:rPr>
          <w:rFonts w:eastAsia="SimSun"/>
          <w:kern w:val="1"/>
          <w:sz w:val="24"/>
          <w:szCs w:val="24"/>
          <w:lang w:val="en-GB" w:eastAsia="pt-PT"/>
        </w:rPr>
        <w:t>(Roth &amp; Thum, 2013) and firms’ sales growth (Cucculel</w:t>
      </w:r>
      <w:r w:rsidR="00E41C60">
        <w:rPr>
          <w:rFonts w:eastAsia="SimSun"/>
          <w:kern w:val="1"/>
          <w:sz w:val="24"/>
          <w:szCs w:val="24"/>
          <w:lang w:val="en-GB" w:eastAsia="pt-PT"/>
        </w:rPr>
        <w:t>l</w:t>
      </w:r>
      <w:r>
        <w:rPr>
          <w:rFonts w:eastAsia="SimSun"/>
          <w:kern w:val="1"/>
          <w:sz w:val="24"/>
          <w:szCs w:val="24"/>
          <w:lang w:val="en-GB" w:eastAsia="pt-PT"/>
        </w:rPr>
        <w:t>i &amp; Betinelli, 2015</w:t>
      </w:r>
      <w:r>
        <w:rPr>
          <w:sz w:val="24"/>
          <w:szCs w:val="24"/>
          <w:lang w:val="en-GB"/>
        </w:rPr>
        <w:t>). In turn</w:t>
      </w:r>
      <w:r w:rsidR="00F0443C">
        <w:rPr>
          <w:sz w:val="24"/>
          <w:szCs w:val="24"/>
          <w:lang w:val="en-GB"/>
        </w:rPr>
        <w:t>,</w:t>
      </w:r>
      <w:r>
        <w:rPr>
          <w:sz w:val="24"/>
          <w:szCs w:val="24"/>
          <w:lang w:val="en-GB"/>
        </w:rPr>
        <w:t xml:space="preserve"> this dynamic leads to greater investment in </w:t>
      </w:r>
      <w:r w:rsidR="00444D37">
        <w:rPr>
          <w:sz w:val="24"/>
          <w:szCs w:val="24"/>
          <w:lang w:val="en-GB"/>
        </w:rPr>
        <w:t>th</w:t>
      </w:r>
      <w:r w:rsidR="00F05B2D">
        <w:rPr>
          <w:sz w:val="24"/>
          <w:szCs w:val="24"/>
          <w:lang w:val="en-GB"/>
        </w:rPr>
        <w:t xml:space="preserve">is </w:t>
      </w:r>
      <w:r w:rsidR="00444D37">
        <w:rPr>
          <w:sz w:val="24"/>
          <w:szCs w:val="24"/>
          <w:lang w:val="en-GB"/>
        </w:rPr>
        <w:t xml:space="preserve">type of </w:t>
      </w:r>
      <w:r>
        <w:rPr>
          <w:sz w:val="24"/>
          <w:szCs w:val="24"/>
          <w:lang w:val="en-GB"/>
        </w:rPr>
        <w:t>asset.</w:t>
      </w:r>
    </w:p>
    <w:p w14:paraId="0A6788A9" w14:textId="4AE1CE41" w:rsidR="00D702C0" w:rsidRDefault="00526DD9" w:rsidP="00D47833">
      <w:pPr>
        <w:spacing w:line="360" w:lineRule="auto"/>
        <w:ind w:firstLine="720"/>
        <w:jc w:val="both"/>
        <w:rPr>
          <w:sz w:val="24"/>
          <w:szCs w:val="24"/>
          <w:lang w:val="en-GB"/>
        </w:rPr>
      </w:pPr>
      <w:r>
        <w:rPr>
          <w:sz w:val="24"/>
          <w:szCs w:val="24"/>
          <w:lang w:val="en-GB"/>
        </w:rPr>
        <w:t>I</w:t>
      </w:r>
      <w:r w:rsidR="00434DB4" w:rsidRPr="002F351D">
        <w:rPr>
          <w:sz w:val="24"/>
          <w:szCs w:val="24"/>
          <w:lang w:val="en-GB"/>
        </w:rPr>
        <w:t xml:space="preserve">ntangible assets </w:t>
      </w:r>
      <w:r w:rsidR="00454D3A">
        <w:rPr>
          <w:sz w:val="24"/>
          <w:szCs w:val="24"/>
          <w:lang w:val="en-GB"/>
        </w:rPr>
        <w:t>are more firm-specific</w:t>
      </w:r>
      <w:r w:rsidR="00492EF2" w:rsidRPr="002F351D">
        <w:rPr>
          <w:sz w:val="24"/>
          <w:szCs w:val="24"/>
          <w:lang w:val="en-GB"/>
        </w:rPr>
        <w:t xml:space="preserve"> </w:t>
      </w:r>
      <w:r w:rsidR="00434DB4" w:rsidRPr="002F351D">
        <w:rPr>
          <w:sz w:val="24"/>
          <w:szCs w:val="24"/>
          <w:lang w:val="en-GB"/>
        </w:rPr>
        <w:t>in comparison with tangible assets</w:t>
      </w:r>
      <w:r w:rsidR="00454D3A">
        <w:rPr>
          <w:sz w:val="24"/>
          <w:szCs w:val="24"/>
          <w:lang w:val="en-GB"/>
        </w:rPr>
        <w:t xml:space="preserve">. That is why it is more difficult to resell them, </w:t>
      </w:r>
      <w:r w:rsidR="00454D3A">
        <w:rPr>
          <w:i/>
          <w:iCs/>
          <w:sz w:val="24"/>
          <w:szCs w:val="24"/>
          <w:lang w:val="en-GB"/>
        </w:rPr>
        <w:t>i.e.</w:t>
      </w:r>
      <w:r w:rsidR="00454D3A">
        <w:rPr>
          <w:sz w:val="24"/>
          <w:szCs w:val="24"/>
          <w:lang w:val="en-GB"/>
        </w:rPr>
        <w:t>, they have significant sunk costs. As a consequence, the investment in intangible assets is more prone to display hysteresis effects</w:t>
      </w:r>
      <w:r w:rsidR="00D702C0">
        <w:rPr>
          <w:sz w:val="24"/>
          <w:szCs w:val="24"/>
          <w:lang w:val="en-GB"/>
        </w:rPr>
        <w:t>.</w:t>
      </w:r>
    </w:p>
    <w:p w14:paraId="3BB29985" w14:textId="77777777" w:rsidR="00886532" w:rsidRPr="00834306" w:rsidRDefault="00D47833" w:rsidP="008600CE">
      <w:pPr>
        <w:spacing w:line="360" w:lineRule="auto"/>
        <w:ind w:firstLine="720"/>
        <w:jc w:val="both"/>
        <w:rPr>
          <w:sz w:val="24"/>
          <w:szCs w:val="24"/>
          <w:lang w:val="en-GB"/>
        </w:rPr>
      </w:pPr>
      <w:r w:rsidRPr="00834306">
        <w:rPr>
          <w:sz w:val="24"/>
          <w:szCs w:val="24"/>
          <w:lang w:val="en-GB"/>
        </w:rPr>
        <w:t>Over the last decades, the analysis of</w:t>
      </w:r>
      <w:r w:rsidR="00C52F51" w:rsidRPr="00834306">
        <w:rPr>
          <w:sz w:val="24"/>
          <w:szCs w:val="24"/>
          <w:lang w:val="en-GB"/>
        </w:rPr>
        <w:t xml:space="preserve"> the presence of</w:t>
      </w:r>
      <w:r w:rsidRPr="00834306">
        <w:rPr>
          <w:sz w:val="24"/>
          <w:szCs w:val="24"/>
          <w:lang w:val="en-GB"/>
        </w:rPr>
        <w:t xml:space="preserve"> hysteresis effects </w:t>
      </w:r>
      <w:r w:rsidR="00C52F51" w:rsidRPr="00834306">
        <w:rPr>
          <w:sz w:val="24"/>
          <w:szCs w:val="24"/>
          <w:lang w:val="en-GB"/>
        </w:rPr>
        <w:t>in the dynamics of investment</w:t>
      </w:r>
      <w:r w:rsidRPr="00834306">
        <w:rPr>
          <w:sz w:val="24"/>
          <w:szCs w:val="24"/>
          <w:lang w:val="en-GB"/>
        </w:rPr>
        <w:t xml:space="preserve"> has flourished. Notably, Pyndick (1991), Dixit (1992) and later Dixit and Pyndick (1994) laid the groundwork for other researchers to build upon</w:t>
      </w:r>
      <w:r w:rsidR="00444D37" w:rsidRPr="00834306">
        <w:rPr>
          <w:sz w:val="24"/>
          <w:szCs w:val="24"/>
          <w:lang w:val="en-GB"/>
        </w:rPr>
        <w:t xml:space="preserve"> (see</w:t>
      </w:r>
      <w:r w:rsidR="00444D37" w:rsidRPr="00444D37">
        <w:rPr>
          <w:rFonts w:eastAsia="SimSun"/>
          <w:kern w:val="1"/>
          <w:sz w:val="24"/>
          <w:szCs w:val="24"/>
          <w:lang w:val="en-GB" w:eastAsia="pt-PT"/>
        </w:rPr>
        <w:t xml:space="preserve"> </w:t>
      </w:r>
      <w:r w:rsidR="00444D37">
        <w:rPr>
          <w:rFonts w:eastAsia="SimSun"/>
          <w:kern w:val="1"/>
          <w:sz w:val="24"/>
          <w:szCs w:val="24"/>
          <w:lang w:val="en-GB" w:eastAsia="pt-PT"/>
        </w:rPr>
        <w:t xml:space="preserve">Dias &amp; Shackleton, 2011, Bassi &amp; Lang, 2016, Belke </w:t>
      </w:r>
      <w:r w:rsidR="00444D37">
        <w:rPr>
          <w:rFonts w:eastAsia="SimSun"/>
          <w:i/>
          <w:iCs/>
          <w:kern w:val="1"/>
          <w:sz w:val="24"/>
          <w:szCs w:val="24"/>
          <w:lang w:val="en-GB" w:eastAsia="pt-PT"/>
        </w:rPr>
        <w:t>et al.</w:t>
      </w:r>
      <w:r w:rsidR="00444D37">
        <w:rPr>
          <w:rFonts w:eastAsia="SimSun"/>
          <w:kern w:val="1"/>
          <w:sz w:val="24"/>
          <w:szCs w:val="24"/>
          <w:lang w:val="en-GB" w:eastAsia="pt-PT"/>
        </w:rPr>
        <w:t>, 2019 and Mota &amp; Vasconcelos 2022a)</w:t>
      </w:r>
      <w:r w:rsidRPr="00834306">
        <w:rPr>
          <w:sz w:val="24"/>
          <w:szCs w:val="24"/>
          <w:lang w:val="en-GB"/>
        </w:rPr>
        <w:t xml:space="preserve">. However, </w:t>
      </w:r>
      <w:r w:rsidR="00C52F51" w:rsidRPr="00834306">
        <w:rPr>
          <w:sz w:val="24"/>
          <w:szCs w:val="24"/>
          <w:lang w:val="en-GB"/>
        </w:rPr>
        <w:t xml:space="preserve">as far as we know there are no studies that compare the magnitude of hysteresis effects between tangible and intangible investment, </w:t>
      </w:r>
      <w:r w:rsidR="00444D37" w:rsidRPr="00834306">
        <w:rPr>
          <w:sz w:val="24"/>
          <w:szCs w:val="24"/>
          <w:lang w:val="en-GB"/>
        </w:rPr>
        <w:t>at least with methodologies that follow close</w:t>
      </w:r>
      <w:r w:rsidR="00323AE4" w:rsidRPr="00834306">
        <w:rPr>
          <w:sz w:val="24"/>
          <w:szCs w:val="24"/>
          <w:lang w:val="en-GB"/>
        </w:rPr>
        <w:t>ly</w:t>
      </w:r>
      <w:r w:rsidR="00444D37" w:rsidRPr="00834306">
        <w:rPr>
          <w:sz w:val="24"/>
          <w:szCs w:val="24"/>
          <w:lang w:val="en-GB"/>
        </w:rPr>
        <w:t xml:space="preserve"> t</w:t>
      </w:r>
      <w:r w:rsidR="00C52F51" w:rsidRPr="00834306">
        <w:rPr>
          <w:sz w:val="24"/>
          <w:szCs w:val="24"/>
          <w:lang w:val="en-GB"/>
        </w:rPr>
        <w:t>o t</w:t>
      </w:r>
      <w:r w:rsidR="00444D37" w:rsidRPr="00834306">
        <w:rPr>
          <w:sz w:val="24"/>
          <w:szCs w:val="24"/>
          <w:lang w:val="en-GB"/>
        </w:rPr>
        <w:t>he original definition of hysteresis</w:t>
      </w:r>
      <w:r w:rsidR="00C52F51">
        <w:rPr>
          <w:rStyle w:val="FootnoteReference"/>
          <w:sz w:val="24"/>
          <w:szCs w:val="24"/>
        </w:rPr>
        <w:footnoteReference w:id="1"/>
      </w:r>
      <w:r w:rsidRPr="00834306">
        <w:rPr>
          <w:sz w:val="24"/>
          <w:szCs w:val="24"/>
          <w:lang w:val="en-GB"/>
        </w:rPr>
        <w:t>.</w:t>
      </w:r>
      <w:r w:rsidR="00E65BC4" w:rsidRPr="00834306">
        <w:rPr>
          <w:sz w:val="24"/>
          <w:szCs w:val="24"/>
          <w:lang w:val="en-GB"/>
        </w:rPr>
        <w:t xml:space="preserve"> </w:t>
      </w:r>
    </w:p>
    <w:p w14:paraId="53376CF7" w14:textId="030D98FB" w:rsidR="00434DB4" w:rsidRPr="002F351D" w:rsidRDefault="00444D37" w:rsidP="008600CE">
      <w:pPr>
        <w:spacing w:line="360" w:lineRule="auto"/>
        <w:ind w:firstLine="720"/>
        <w:jc w:val="both"/>
        <w:rPr>
          <w:sz w:val="24"/>
          <w:szCs w:val="24"/>
          <w:lang w:val="en-GB"/>
        </w:rPr>
      </w:pPr>
      <w:r w:rsidRPr="00834306">
        <w:rPr>
          <w:sz w:val="24"/>
          <w:szCs w:val="24"/>
          <w:lang w:val="en-GB"/>
        </w:rPr>
        <w:t>The purpose of our study is to shed some light on the following</w:t>
      </w:r>
      <w:r w:rsidR="00434DB4" w:rsidRPr="002F351D">
        <w:rPr>
          <w:sz w:val="24"/>
          <w:szCs w:val="24"/>
          <w:lang w:val="en-GB"/>
        </w:rPr>
        <w:t xml:space="preserve"> research question</w:t>
      </w:r>
      <w:r>
        <w:rPr>
          <w:sz w:val="24"/>
          <w:szCs w:val="24"/>
          <w:lang w:val="en-GB"/>
        </w:rPr>
        <w:t>:</w:t>
      </w:r>
      <w:r w:rsidR="00434DB4" w:rsidRPr="002F351D">
        <w:rPr>
          <w:sz w:val="24"/>
          <w:szCs w:val="24"/>
          <w:lang w:val="en-GB"/>
        </w:rPr>
        <w:t xml:space="preserve"> </w:t>
      </w:r>
      <w:r w:rsidR="008A2C67" w:rsidRPr="002F351D">
        <w:rPr>
          <w:sz w:val="24"/>
          <w:szCs w:val="24"/>
          <w:lang w:val="en-GB"/>
        </w:rPr>
        <w:lastRenderedPageBreak/>
        <w:t>Does the intangible investment have associated greater hysteresis effects than the tangible investment</w:t>
      </w:r>
      <w:r w:rsidR="00434DB4" w:rsidRPr="002F351D">
        <w:rPr>
          <w:sz w:val="24"/>
          <w:szCs w:val="24"/>
          <w:lang w:val="en-GB"/>
        </w:rPr>
        <w:t>?</w:t>
      </w:r>
    </w:p>
    <w:p w14:paraId="53DEAF5E" w14:textId="4490D783" w:rsidR="00434DB4" w:rsidRPr="002F351D" w:rsidRDefault="000E784F" w:rsidP="008600CE">
      <w:pPr>
        <w:spacing w:line="360" w:lineRule="auto"/>
        <w:ind w:firstLine="720"/>
        <w:jc w:val="both"/>
        <w:rPr>
          <w:sz w:val="24"/>
          <w:szCs w:val="24"/>
          <w:lang w:val="en-GB"/>
        </w:rPr>
      </w:pPr>
      <w:r>
        <w:rPr>
          <w:sz w:val="24"/>
          <w:szCs w:val="24"/>
          <w:lang w:val="en-GB"/>
        </w:rPr>
        <w:t>This topic has also important policy implications. Indeed, the presence of hysteresis in the dynamics of investment works as an argument for the application of policies designed to protect the investment from falling following major recessions</w:t>
      </w:r>
      <w:r w:rsidR="00287964" w:rsidRPr="002F351D">
        <w:rPr>
          <w:sz w:val="24"/>
          <w:szCs w:val="24"/>
          <w:lang w:val="en-GB"/>
        </w:rPr>
        <w:t>.</w:t>
      </w:r>
    </w:p>
    <w:p w14:paraId="7CCC3264" w14:textId="2E4FC945" w:rsidR="009C4A1A" w:rsidRPr="00CD26A3" w:rsidRDefault="009C4A1A" w:rsidP="008600CE">
      <w:pPr>
        <w:spacing w:line="360" w:lineRule="auto"/>
        <w:ind w:firstLine="720"/>
        <w:jc w:val="both"/>
        <w:rPr>
          <w:sz w:val="24"/>
          <w:szCs w:val="24"/>
          <w:lang w:val="en-GB"/>
        </w:rPr>
      </w:pPr>
      <w:r>
        <w:rPr>
          <w:sz w:val="24"/>
          <w:szCs w:val="24"/>
          <w:lang w:val="en-GB"/>
        </w:rPr>
        <w:t>To describe the hysteretic dynamics of investment at the firm level we apply t</w:t>
      </w:r>
      <w:r w:rsidR="002F351D" w:rsidRPr="001F6A79">
        <w:rPr>
          <w:sz w:val="24"/>
          <w:szCs w:val="24"/>
          <w:lang w:val="en-GB"/>
        </w:rPr>
        <w:t xml:space="preserve">he </w:t>
      </w:r>
      <w:r>
        <w:rPr>
          <w:sz w:val="24"/>
          <w:szCs w:val="24"/>
          <w:lang w:val="en-GB"/>
        </w:rPr>
        <w:t>n</w:t>
      </w:r>
      <w:r w:rsidR="00287964" w:rsidRPr="001F6A79">
        <w:rPr>
          <w:sz w:val="24"/>
          <w:szCs w:val="24"/>
          <w:lang w:val="en-GB"/>
        </w:rPr>
        <w:t>on-</w:t>
      </w:r>
      <w:r>
        <w:rPr>
          <w:sz w:val="24"/>
          <w:szCs w:val="24"/>
          <w:lang w:val="en-GB"/>
        </w:rPr>
        <w:t>i</w:t>
      </w:r>
      <w:r w:rsidR="00287964" w:rsidRPr="001F6A79">
        <w:rPr>
          <w:sz w:val="24"/>
          <w:szCs w:val="24"/>
          <w:lang w:val="en-GB"/>
        </w:rPr>
        <w:t xml:space="preserve">deal </w:t>
      </w:r>
      <w:r>
        <w:rPr>
          <w:sz w:val="24"/>
          <w:szCs w:val="24"/>
          <w:lang w:val="en-GB"/>
        </w:rPr>
        <w:t>r</w:t>
      </w:r>
      <w:r w:rsidR="00287964" w:rsidRPr="001F6A79">
        <w:rPr>
          <w:sz w:val="24"/>
          <w:szCs w:val="24"/>
          <w:lang w:val="en-GB"/>
        </w:rPr>
        <w:t>elay model</w:t>
      </w:r>
      <w:r>
        <w:rPr>
          <w:sz w:val="24"/>
          <w:szCs w:val="24"/>
          <w:lang w:val="en-GB"/>
        </w:rPr>
        <w:t xml:space="preserve"> of hysteresis, and </w:t>
      </w:r>
      <w:r w:rsidR="00886532">
        <w:rPr>
          <w:sz w:val="24"/>
          <w:szCs w:val="24"/>
          <w:lang w:val="en-GB"/>
        </w:rPr>
        <w:t xml:space="preserve">we </w:t>
      </w:r>
      <w:r>
        <w:rPr>
          <w:sz w:val="24"/>
          <w:szCs w:val="24"/>
          <w:lang w:val="en-GB"/>
        </w:rPr>
        <w:t>use the well-known</w:t>
      </w:r>
      <w:r w:rsidR="00287964" w:rsidRPr="001F6A79">
        <w:rPr>
          <w:sz w:val="24"/>
          <w:szCs w:val="24"/>
          <w:lang w:val="en-GB"/>
        </w:rPr>
        <w:t xml:space="preserve"> Preisach </w:t>
      </w:r>
      <w:r>
        <w:rPr>
          <w:sz w:val="24"/>
          <w:szCs w:val="24"/>
          <w:lang w:val="en-GB"/>
        </w:rPr>
        <w:t>operator to aggregate firms’ behaviour up to the macro level</w:t>
      </w:r>
      <w:r w:rsidR="002F351D" w:rsidRPr="001F6A79">
        <w:rPr>
          <w:sz w:val="24"/>
          <w:szCs w:val="24"/>
          <w:lang w:val="en-GB"/>
        </w:rPr>
        <w:t xml:space="preserve">. </w:t>
      </w:r>
      <w:r>
        <w:rPr>
          <w:sz w:val="24"/>
          <w:szCs w:val="24"/>
          <w:lang w:val="en-GB"/>
        </w:rPr>
        <w:t>In t</w:t>
      </w:r>
      <w:r w:rsidR="002F351D" w:rsidRPr="001F6A79">
        <w:rPr>
          <w:sz w:val="24"/>
          <w:szCs w:val="24"/>
          <w:lang w:val="en-GB"/>
        </w:rPr>
        <w:t>he</w:t>
      </w:r>
      <w:r w:rsidR="00287964" w:rsidRPr="001F6A79">
        <w:rPr>
          <w:sz w:val="24"/>
          <w:szCs w:val="24"/>
          <w:lang w:val="en-GB"/>
        </w:rPr>
        <w:t xml:space="preserve"> empirical </w:t>
      </w:r>
      <w:r>
        <w:rPr>
          <w:sz w:val="24"/>
          <w:szCs w:val="24"/>
          <w:lang w:val="en-GB"/>
        </w:rPr>
        <w:t>work, we use the</w:t>
      </w:r>
      <w:r w:rsidR="002F351D" w:rsidRPr="001F6A79">
        <w:rPr>
          <w:sz w:val="24"/>
          <w:szCs w:val="24"/>
          <w:lang w:val="en-GB"/>
        </w:rPr>
        <w:t xml:space="preserve"> </w:t>
      </w:r>
      <w:r>
        <w:rPr>
          <w:sz w:val="24"/>
          <w:szCs w:val="24"/>
          <w:lang w:val="en-GB"/>
        </w:rPr>
        <w:t>l</w:t>
      </w:r>
      <w:r w:rsidR="00287964" w:rsidRPr="001F6A79">
        <w:rPr>
          <w:sz w:val="24"/>
          <w:szCs w:val="24"/>
          <w:lang w:val="en-GB"/>
        </w:rPr>
        <w:t xml:space="preserve">inear </w:t>
      </w:r>
      <w:r>
        <w:rPr>
          <w:sz w:val="24"/>
          <w:szCs w:val="24"/>
          <w:lang w:val="en-GB"/>
        </w:rPr>
        <w:t>p</w:t>
      </w:r>
      <w:r w:rsidR="00287964" w:rsidRPr="001F6A79">
        <w:rPr>
          <w:sz w:val="24"/>
          <w:szCs w:val="24"/>
          <w:lang w:val="en-GB"/>
        </w:rPr>
        <w:t>lay</w:t>
      </w:r>
      <w:r>
        <w:rPr>
          <w:sz w:val="24"/>
          <w:szCs w:val="24"/>
          <w:lang w:val="en-GB"/>
        </w:rPr>
        <w:t xml:space="preserve"> model of hysteresis </w:t>
      </w:r>
      <w:r w:rsidR="00D83EA9">
        <w:rPr>
          <w:sz w:val="24"/>
          <w:szCs w:val="24"/>
          <w:lang w:val="en-GB"/>
        </w:rPr>
        <w:t>which</w:t>
      </w:r>
      <w:r>
        <w:rPr>
          <w:sz w:val="24"/>
          <w:szCs w:val="24"/>
          <w:lang w:val="en-GB"/>
        </w:rPr>
        <w:t xml:space="preserve"> can be viewed as a linearization of the Preisach loop (see</w:t>
      </w:r>
      <w:r w:rsidR="006755C5">
        <w:rPr>
          <w:sz w:val="24"/>
          <w:szCs w:val="24"/>
          <w:lang w:val="en-GB"/>
        </w:rPr>
        <w:t>,</w:t>
      </w:r>
      <w:r>
        <w:rPr>
          <w:sz w:val="24"/>
          <w:szCs w:val="24"/>
          <w:lang w:val="en-GB"/>
        </w:rPr>
        <w:t xml:space="preserve"> Visintin, </w:t>
      </w:r>
      <w:r w:rsidR="00D83EA9">
        <w:rPr>
          <w:sz w:val="24"/>
          <w:szCs w:val="24"/>
          <w:lang w:val="en-GB"/>
        </w:rPr>
        <w:t>1994</w:t>
      </w:r>
      <w:r>
        <w:rPr>
          <w:sz w:val="24"/>
          <w:szCs w:val="24"/>
          <w:lang w:val="en-GB"/>
        </w:rPr>
        <w:t>)</w:t>
      </w:r>
      <w:r w:rsidR="001F6A79">
        <w:rPr>
          <w:sz w:val="24"/>
          <w:szCs w:val="24"/>
          <w:lang w:val="en-GB"/>
        </w:rPr>
        <w:t>.</w:t>
      </w:r>
    </w:p>
    <w:p w14:paraId="214C2F84" w14:textId="4C1CA4CA" w:rsidR="00287964" w:rsidRDefault="002F351D" w:rsidP="008600CE">
      <w:pPr>
        <w:spacing w:line="360" w:lineRule="auto"/>
        <w:ind w:firstLine="720"/>
        <w:jc w:val="both"/>
        <w:rPr>
          <w:sz w:val="24"/>
          <w:szCs w:val="24"/>
          <w:lang w:val="en-GB"/>
        </w:rPr>
      </w:pPr>
      <w:r w:rsidRPr="002F351D">
        <w:rPr>
          <w:sz w:val="24"/>
          <w:szCs w:val="24"/>
          <w:lang w:val="en-GB"/>
        </w:rPr>
        <w:t>The</w:t>
      </w:r>
      <w:r w:rsidR="009C4A1A">
        <w:rPr>
          <w:sz w:val="24"/>
          <w:szCs w:val="24"/>
          <w:lang w:val="en-GB"/>
        </w:rPr>
        <w:t xml:space="preserve"> linear play model is implemented by means of a kind of investment switching equation in which for relatively large changes in aggregate demand there is a strong response of aggregate investment, whereas for relatively small changes of aggregate demand there is a weak reaction of aggregate investment. Within this framework the estimated switching parameter of the investment equation is used as a proxy of the magnitude of the hysteresis effects.</w:t>
      </w:r>
    </w:p>
    <w:p w14:paraId="07EC398A" w14:textId="7228D6D3" w:rsidR="001F6A79" w:rsidRPr="002F351D" w:rsidRDefault="001F6A79" w:rsidP="008600CE">
      <w:pPr>
        <w:spacing w:line="360" w:lineRule="auto"/>
        <w:ind w:firstLine="720"/>
        <w:jc w:val="both"/>
        <w:rPr>
          <w:sz w:val="24"/>
          <w:szCs w:val="24"/>
          <w:lang w:val="en-GB"/>
        </w:rPr>
      </w:pPr>
      <w:r>
        <w:rPr>
          <w:sz w:val="24"/>
          <w:szCs w:val="24"/>
          <w:lang w:val="en-GB"/>
        </w:rPr>
        <w:t xml:space="preserve">We use </w:t>
      </w:r>
      <w:r w:rsidR="00886532">
        <w:rPr>
          <w:sz w:val="24"/>
          <w:szCs w:val="24"/>
          <w:lang w:val="en-GB"/>
        </w:rPr>
        <w:t xml:space="preserve">OECD </w:t>
      </w:r>
      <w:r w:rsidR="009C4A1A">
        <w:rPr>
          <w:sz w:val="24"/>
          <w:szCs w:val="24"/>
          <w:lang w:val="en-GB"/>
        </w:rPr>
        <w:t xml:space="preserve">quarterly </w:t>
      </w:r>
      <w:r>
        <w:rPr>
          <w:sz w:val="24"/>
          <w:szCs w:val="24"/>
          <w:lang w:val="en-GB"/>
        </w:rPr>
        <w:t xml:space="preserve">data </w:t>
      </w:r>
      <w:r w:rsidR="00886532">
        <w:rPr>
          <w:sz w:val="24"/>
          <w:szCs w:val="24"/>
          <w:lang w:val="en-GB"/>
        </w:rPr>
        <w:t>for the G7 countries,</w:t>
      </w:r>
      <w:r>
        <w:rPr>
          <w:sz w:val="24"/>
          <w:szCs w:val="24"/>
          <w:lang w:val="en-GB"/>
        </w:rPr>
        <w:t xml:space="preserve"> from the first quarter of 2000 to the last quarter of 2022.</w:t>
      </w:r>
    </w:p>
    <w:p w14:paraId="04F685F1" w14:textId="720F3EFE" w:rsidR="003333ED" w:rsidRPr="002F351D" w:rsidRDefault="00287964" w:rsidP="00B6248E">
      <w:pPr>
        <w:spacing w:line="360" w:lineRule="auto"/>
        <w:ind w:firstLine="720"/>
        <w:jc w:val="both"/>
        <w:rPr>
          <w:sz w:val="24"/>
          <w:szCs w:val="24"/>
          <w:lang w:val="en-GB"/>
        </w:rPr>
      </w:pPr>
      <w:r w:rsidRPr="002F351D">
        <w:rPr>
          <w:sz w:val="24"/>
          <w:szCs w:val="24"/>
          <w:lang w:val="en-GB"/>
        </w:rPr>
        <w:t>This thesis is organized as follows</w:t>
      </w:r>
      <w:r w:rsidR="008A2C67" w:rsidRPr="002F351D">
        <w:rPr>
          <w:sz w:val="24"/>
          <w:szCs w:val="24"/>
          <w:lang w:val="en-GB"/>
        </w:rPr>
        <w:t xml:space="preserve">. Chapter </w:t>
      </w:r>
      <w:r w:rsidR="00886532">
        <w:rPr>
          <w:sz w:val="24"/>
          <w:szCs w:val="24"/>
          <w:lang w:val="en-GB"/>
        </w:rPr>
        <w:t>1</w:t>
      </w:r>
      <w:r w:rsidR="008A2C67" w:rsidRPr="002F351D">
        <w:rPr>
          <w:sz w:val="24"/>
          <w:szCs w:val="24"/>
          <w:lang w:val="en-GB"/>
        </w:rPr>
        <w:t xml:space="preserve"> presents</w:t>
      </w:r>
      <w:r w:rsidRPr="002F351D">
        <w:rPr>
          <w:sz w:val="24"/>
          <w:szCs w:val="24"/>
          <w:lang w:val="en-GB"/>
        </w:rPr>
        <w:t xml:space="preserve"> the concept of hysteresis, its properties and an adequate literature review</w:t>
      </w:r>
      <w:r w:rsidR="008A2C67" w:rsidRPr="002F351D">
        <w:rPr>
          <w:sz w:val="24"/>
          <w:szCs w:val="24"/>
          <w:lang w:val="en-GB"/>
        </w:rPr>
        <w:t xml:space="preserve">. Chapter </w:t>
      </w:r>
      <w:r w:rsidR="00886532">
        <w:rPr>
          <w:sz w:val="24"/>
          <w:szCs w:val="24"/>
          <w:lang w:val="en-GB"/>
        </w:rPr>
        <w:t>2</w:t>
      </w:r>
      <w:r w:rsidR="008A2C67" w:rsidRPr="002F351D">
        <w:rPr>
          <w:sz w:val="24"/>
          <w:szCs w:val="24"/>
          <w:lang w:val="en-GB"/>
        </w:rPr>
        <w:t xml:space="preserve"> presents a model of weak (microeconomic) and strong (macroeconomic) hysteresis. Chapter </w:t>
      </w:r>
      <w:r w:rsidR="00886532">
        <w:rPr>
          <w:sz w:val="24"/>
          <w:szCs w:val="24"/>
          <w:lang w:val="en-GB"/>
        </w:rPr>
        <w:t>3</w:t>
      </w:r>
      <w:r w:rsidR="008A2C67" w:rsidRPr="002F351D">
        <w:rPr>
          <w:sz w:val="24"/>
          <w:szCs w:val="24"/>
          <w:lang w:val="en-GB"/>
        </w:rPr>
        <w:t xml:space="preserve"> presents the empirical strategy and the data set. Chapter </w:t>
      </w:r>
      <w:r w:rsidR="00886532">
        <w:rPr>
          <w:sz w:val="24"/>
          <w:szCs w:val="24"/>
          <w:lang w:val="en-GB"/>
        </w:rPr>
        <w:t>4</w:t>
      </w:r>
      <w:r w:rsidR="008A2C67" w:rsidRPr="002F351D">
        <w:rPr>
          <w:sz w:val="24"/>
          <w:szCs w:val="24"/>
          <w:lang w:val="en-GB"/>
        </w:rPr>
        <w:t xml:space="preserve"> presents our empirical results and</w:t>
      </w:r>
      <w:r w:rsidR="00887F37">
        <w:rPr>
          <w:sz w:val="24"/>
          <w:szCs w:val="24"/>
          <w:lang w:val="en-GB"/>
        </w:rPr>
        <w:t xml:space="preserve"> afterwards,</w:t>
      </w:r>
      <w:r w:rsidR="00784A1C">
        <w:rPr>
          <w:sz w:val="24"/>
          <w:szCs w:val="24"/>
          <w:lang w:val="en-GB"/>
        </w:rPr>
        <w:t xml:space="preserve"> </w:t>
      </w:r>
      <w:r w:rsidR="00886532">
        <w:rPr>
          <w:sz w:val="24"/>
          <w:szCs w:val="24"/>
          <w:lang w:val="en-GB"/>
        </w:rPr>
        <w:t>we then c</w:t>
      </w:r>
      <w:r w:rsidR="008A2C67" w:rsidRPr="002F351D">
        <w:rPr>
          <w:sz w:val="24"/>
          <w:szCs w:val="24"/>
          <w:lang w:val="en-GB"/>
        </w:rPr>
        <w:t>onclude.</w:t>
      </w:r>
    </w:p>
    <w:p w14:paraId="41B39141" w14:textId="0DEA0122" w:rsidR="00B6248E" w:rsidRPr="00287964" w:rsidRDefault="003333ED" w:rsidP="003333ED">
      <w:pPr>
        <w:rPr>
          <w:sz w:val="24"/>
          <w:szCs w:val="24"/>
          <w:lang w:val="en-GB"/>
        </w:rPr>
      </w:pPr>
      <w:r>
        <w:rPr>
          <w:sz w:val="24"/>
          <w:szCs w:val="24"/>
          <w:lang w:val="en-GB"/>
        </w:rPr>
        <w:br w:type="page"/>
      </w:r>
    </w:p>
    <w:bookmarkEnd w:id="13"/>
    <w:p w14:paraId="32782954" w14:textId="79BAEE69" w:rsidR="00227ED5" w:rsidRPr="0063438A" w:rsidRDefault="00974D76" w:rsidP="00FB0BDF">
      <w:pPr>
        <w:pStyle w:val="Heading1"/>
        <w:ind w:left="0"/>
        <w:jc w:val="both"/>
        <w:rPr>
          <w:b w:val="0"/>
          <w:bCs w:val="0"/>
          <w:sz w:val="24"/>
          <w:szCs w:val="24"/>
        </w:rPr>
      </w:pPr>
      <w:r>
        <w:lastRenderedPageBreak/>
        <w:t xml:space="preserve">Chapter </w:t>
      </w:r>
      <w:r w:rsidR="00F13999">
        <w:t>1</w:t>
      </w:r>
      <w:r>
        <w:t xml:space="preserve">. </w:t>
      </w:r>
      <w:r w:rsidR="00227ED5">
        <w:t xml:space="preserve">Literature </w:t>
      </w:r>
      <w:r w:rsidR="00022456">
        <w:t>R</w:t>
      </w:r>
      <w:r w:rsidR="00227ED5">
        <w:t>eview</w:t>
      </w:r>
    </w:p>
    <w:p w14:paraId="2F55698F" w14:textId="6C118165" w:rsidR="00F92E1C" w:rsidRPr="0063438A" w:rsidRDefault="00AB6B96" w:rsidP="00F13999">
      <w:pPr>
        <w:pStyle w:val="Heading3"/>
        <w:numPr>
          <w:ilvl w:val="1"/>
          <w:numId w:val="24"/>
        </w:numPr>
        <w:tabs>
          <w:tab w:val="left" w:pos="426"/>
        </w:tabs>
        <w:spacing w:before="279"/>
        <w:jc w:val="both"/>
        <w:rPr>
          <w:b w:val="0"/>
          <w:bCs w:val="0"/>
          <w:lang w:val="en-GB"/>
        </w:rPr>
      </w:pPr>
      <w:bookmarkStart w:id="14" w:name="_bookmark6"/>
      <w:bookmarkEnd w:id="14"/>
      <w:r w:rsidRPr="00AB6B96">
        <w:rPr>
          <w:lang w:val="en-GB"/>
        </w:rPr>
        <w:t xml:space="preserve">The </w:t>
      </w:r>
      <w:r w:rsidR="00022456">
        <w:rPr>
          <w:lang w:val="en-GB"/>
        </w:rPr>
        <w:t>C</w:t>
      </w:r>
      <w:r w:rsidRPr="00AB6B96">
        <w:rPr>
          <w:lang w:val="en-GB"/>
        </w:rPr>
        <w:t xml:space="preserve">oncept and the </w:t>
      </w:r>
      <w:r w:rsidR="00022456">
        <w:rPr>
          <w:lang w:val="en-GB"/>
        </w:rPr>
        <w:t>P</w:t>
      </w:r>
      <w:r>
        <w:rPr>
          <w:lang w:val="en-GB"/>
        </w:rPr>
        <w:t xml:space="preserve">roperties of </w:t>
      </w:r>
      <w:r w:rsidR="00022456">
        <w:rPr>
          <w:lang w:val="en-GB"/>
        </w:rPr>
        <w:t>H</w:t>
      </w:r>
      <w:r>
        <w:rPr>
          <w:lang w:val="en-GB"/>
        </w:rPr>
        <w:t>ysteresis</w:t>
      </w:r>
    </w:p>
    <w:p w14:paraId="1CDA11C4" w14:textId="77777777" w:rsidR="00F92E1C" w:rsidRPr="0063438A" w:rsidRDefault="00F92E1C" w:rsidP="00FB0BDF">
      <w:pPr>
        <w:pStyle w:val="BodyText"/>
        <w:jc w:val="both"/>
        <w:rPr>
          <w:sz w:val="26"/>
          <w:lang w:val="en-GB"/>
        </w:rPr>
      </w:pPr>
    </w:p>
    <w:p w14:paraId="2AAD8FB6" w14:textId="6FA44038" w:rsidR="0071221E" w:rsidRPr="00936884" w:rsidRDefault="0071221E" w:rsidP="00A3169E">
      <w:pPr>
        <w:pStyle w:val="Estilo1"/>
        <w:ind w:firstLine="720"/>
        <w:rPr>
          <w:rFonts w:ascii="Garamond" w:eastAsia="SimSun" w:hAnsi="Garamond"/>
          <w:b w:val="0"/>
          <w:kern w:val="1"/>
          <w:sz w:val="24"/>
          <w:szCs w:val="24"/>
          <w:lang w:val="en-GB" w:eastAsia="pt-PT"/>
        </w:rPr>
      </w:pPr>
      <w:r w:rsidRPr="00936884">
        <w:rPr>
          <w:rFonts w:ascii="Garamond" w:eastAsia="SimSun" w:hAnsi="Garamond"/>
          <w:b w:val="0"/>
          <w:kern w:val="1"/>
          <w:sz w:val="24"/>
          <w:szCs w:val="24"/>
          <w:lang w:val="en-GB" w:eastAsia="pt-PT"/>
        </w:rPr>
        <w:t xml:space="preserve">The term “hysteresis” derives from the ancient </w:t>
      </w:r>
      <w:r w:rsidR="000A7D51" w:rsidRPr="00936884">
        <w:rPr>
          <w:rFonts w:ascii="Garamond" w:eastAsia="SimSun" w:hAnsi="Garamond"/>
          <w:b w:val="0"/>
          <w:kern w:val="1"/>
          <w:sz w:val="24"/>
          <w:szCs w:val="24"/>
          <w:lang w:val="en-GB" w:eastAsia="pt-PT"/>
        </w:rPr>
        <w:t>Greek</w:t>
      </w:r>
      <w:r w:rsidRPr="00936884">
        <w:rPr>
          <w:rFonts w:ascii="Garamond" w:eastAsia="SimSun" w:hAnsi="Garamond"/>
          <w:b w:val="0"/>
          <w:kern w:val="1"/>
          <w:sz w:val="24"/>
          <w:szCs w:val="24"/>
          <w:lang w:val="en-GB" w:eastAsia="pt-PT"/>
        </w:rPr>
        <w:t xml:space="preserve"> term “</w:t>
      </w:r>
      <w:r w:rsidRPr="00936884">
        <w:rPr>
          <w:rFonts w:ascii="Garamond" w:eastAsia="SimSun" w:hAnsi="Garamond"/>
          <w:b w:val="0"/>
          <w:kern w:val="1"/>
          <w:sz w:val="24"/>
          <w:szCs w:val="24"/>
          <w:lang w:eastAsia="pt-PT"/>
        </w:rPr>
        <w:t>ύστερέω</w:t>
      </w:r>
      <w:r w:rsidRPr="00936884">
        <w:rPr>
          <w:rFonts w:ascii="Garamond" w:eastAsia="SimSun" w:hAnsi="Garamond"/>
          <w:b w:val="0"/>
          <w:kern w:val="1"/>
          <w:sz w:val="24"/>
          <w:szCs w:val="24"/>
          <w:lang w:val="en-GB" w:eastAsia="pt-PT"/>
        </w:rPr>
        <w:t>" which means, “that which comes later”</w:t>
      </w:r>
      <w:r w:rsidR="001767DA" w:rsidRPr="00936884">
        <w:rPr>
          <w:rFonts w:ascii="Garamond" w:eastAsia="SimSun" w:hAnsi="Garamond"/>
          <w:b w:val="0"/>
          <w:kern w:val="1"/>
          <w:sz w:val="24"/>
          <w:szCs w:val="24"/>
          <w:lang w:val="en-GB" w:eastAsia="pt-PT"/>
        </w:rPr>
        <w:t>,</w:t>
      </w:r>
      <w:r w:rsidRPr="00936884">
        <w:rPr>
          <w:rFonts w:ascii="Garamond" w:eastAsia="SimSun" w:hAnsi="Garamond"/>
          <w:b w:val="0"/>
          <w:kern w:val="1"/>
          <w:sz w:val="24"/>
          <w:szCs w:val="24"/>
          <w:lang w:val="en-GB" w:eastAsia="pt-PT"/>
        </w:rPr>
        <w:t xml:space="preserve"> </w:t>
      </w:r>
      <w:r w:rsidR="001767DA" w:rsidRPr="00936884">
        <w:rPr>
          <w:rFonts w:ascii="Garamond" w:eastAsia="SimSun" w:hAnsi="Garamond"/>
          <w:b w:val="0"/>
          <w:kern w:val="1"/>
          <w:sz w:val="24"/>
          <w:szCs w:val="24"/>
          <w:lang w:val="en-GB" w:eastAsia="pt-PT"/>
        </w:rPr>
        <w:t>h</w:t>
      </w:r>
      <w:r w:rsidRPr="00936884">
        <w:rPr>
          <w:rFonts w:ascii="Garamond" w:eastAsia="SimSun" w:hAnsi="Garamond"/>
          <w:b w:val="0"/>
          <w:kern w:val="1"/>
          <w:sz w:val="24"/>
          <w:szCs w:val="24"/>
          <w:lang w:val="en-GB" w:eastAsia="pt-PT"/>
        </w:rPr>
        <w:t xml:space="preserve">aving been coined by </w:t>
      </w:r>
      <w:r w:rsidR="00616EA5" w:rsidRPr="00936884">
        <w:rPr>
          <w:rFonts w:ascii="Garamond" w:eastAsia="SimSun" w:hAnsi="Garamond"/>
          <w:b w:val="0"/>
          <w:kern w:val="1"/>
          <w:sz w:val="24"/>
          <w:szCs w:val="24"/>
          <w:lang w:val="en-GB" w:eastAsia="pt-PT"/>
        </w:rPr>
        <w:t xml:space="preserve">James Alfred Ewing, a </w:t>
      </w:r>
      <w:r w:rsidR="00945E9F" w:rsidRPr="00936884">
        <w:rPr>
          <w:rFonts w:ascii="Garamond" w:eastAsia="SimSun" w:hAnsi="Garamond"/>
          <w:b w:val="0"/>
          <w:kern w:val="1"/>
          <w:sz w:val="24"/>
          <w:szCs w:val="24"/>
          <w:lang w:val="en-GB" w:eastAsia="pt-PT"/>
        </w:rPr>
        <w:t>Scottish</w:t>
      </w:r>
      <w:r w:rsidRPr="00936884">
        <w:rPr>
          <w:rFonts w:ascii="Garamond" w:eastAsia="SimSun" w:hAnsi="Garamond"/>
          <w:b w:val="0"/>
          <w:kern w:val="1"/>
          <w:sz w:val="24"/>
          <w:szCs w:val="24"/>
          <w:lang w:val="en-GB" w:eastAsia="pt-PT"/>
        </w:rPr>
        <w:t xml:space="preserve"> </w:t>
      </w:r>
      <w:r w:rsidR="00616EA5" w:rsidRPr="00936884">
        <w:rPr>
          <w:rFonts w:ascii="Garamond" w:eastAsia="SimSun" w:hAnsi="Garamond"/>
          <w:b w:val="0"/>
          <w:kern w:val="1"/>
          <w:sz w:val="24"/>
          <w:szCs w:val="24"/>
          <w:lang w:val="en-GB" w:eastAsia="pt-PT"/>
        </w:rPr>
        <w:t xml:space="preserve">engineer and </w:t>
      </w:r>
      <w:r w:rsidRPr="00936884">
        <w:rPr>
          <w:rFonts w:ascii="Garamond" w:eastAsia="SimSun" w:hAnsi="Garamond"/>
          <w:b w:val="0"/>
          <w:kern w:val="1"/>
          <w:sz w:val="24"/>
          <w:szCs w:val="24"/>
          <w:lang w:val="en-GB" w:eastAsia="pt-PT"/>
        </w:rPr>
        <w:t>university professor</w:t>
      </w:r>
      <w:r w:rsidR="00616EA5" w:rsidRPr="00936884">
        <w:rPr>
          <w:rFonts w:ascii="Garamond" w:eastAsia="SimSun" w:hAnsi="Garamond"/>
          <w:b w:val="0"/>
          <w:kern w:val="1"/>
          <w:sz w:val="24"/>
          <w:szCs w:val="24"/>
          <w:lang w:val="en-GB" w:eastAsia="pt-PT"/>
        </w:rPr>
        <w:t>,</w:t>
      </w:r>
      <w:r w:rsidRPr="00936884">
        <w:rPr>
          <w:rFonts w:ascii="Garamond" w:eastAsia="SimSun" w:hAnsi="Garamond"/>
          <w:b w:val="0"/>
          <w:kern w:val="1"/>
          <w:sz w:val="24"/>
          <w:szCs w:val="24"/>
          <w:lang w:val="en-GB" w:eastAsia="pt-PT"/>
        </w:rPr>
        <w:t xml:space="preserve"> in the field of </w:t>
      </w:r>
      <w:r w:rsidR="00022456">
        <w:rPr>
          <w:rFonts w:ascii="Garamond" w:eastAsia="SimSun" w:hAnsi="Garamond"/>
          <w:b w:val="0"/>
          <w:kern w:val="1"/>
          <w:sz w:val="24"/>
          <w:szCs w:val="24"/>
          <w:lang w:val="en-GB" w:eastAsia="pt-PT"/>
        </w:rPr>
        <w:t xml:space="preserve">physics of </w:t>
      </w:r>
      <w:r w:rsidRPr="00936884">
        <w:rPr>
          <w:rFonts w:ascii="Garamond" w:eastAsia="SimSun" w:hAnsi="Garamond"/>
          <w:b w:val="0"/>
          <w:kern w:val="1"/>
          <w:sz w:val="24"/>
          <w:szCs w:val="24"/>
          <w:lang w:val="en-GB" w:eastAsia="pt-PT"/>
        </w:rPr>
        <w:t>magnetism in 1881 (</w:t>
      </w:r>
      <w:r w:rsidR="00022456">
        <w:rPr>
          <w:rFonts w:ascii="Garamond" w:eastAsia="SimSun" w:hAnsi="Garamond"/>
          <w:b w:val="0"/>
          <w:kern w:val="1"/>
          <w:sz w:val="24"/>
          <w:szCs w:val="24"/>
          <w:lang w:val="en-GB" w:eastAsia="pt-PT"/>
        </w:rPr>
        <w:t xml:space="preserve">see </w:t>
      </w:r>
      <w:r w:rsidRPr="00936884">
        <w:rPr>
          <w:rFonts w:ascii="Garamond" w:eastAsia="SimSun" w:hAnsi="Garamond"/>
          <w:b w:val="0"/>
          <w:kern w:val="1"/>
          <w:sz w:val="24"/>
          <w:szCs w:val="24"/>
          <w:lang w:val="en-GB" w:eastAsia="pt-PT"/>
        </w:rPr>
        <w:t>Cross, 1993).</w:t>
      </w:r>
    </w:p>
    <w:p w14:paraId="403A7514" w14:textId="35619742" w:rsidR="0071221E" w:rsidRPr="00936884" w:rsidRDefault="0071221E" w:rsidP="00A3169E">
      <w:pPr>
        <w:pStyle w:val="Estilo1"/>
        <w:ind w:firstLine="720"/>
        <w:rPr>
          <w:rFonts w:ascii="Garamond" w:eastAsia="SimSun" w:hAnsi="Garamond"/>
          <w:b w:val="0"/>
          <w:kern w:val="1"/>
          <w:sz w:val="24"/>
          <w:szCs w:val="24"/>
          <w:lang w:val="en-GB" w:eastAsia="pt-PT"/>
        </w:rPr>
      </w:pPr>
      <w:r w:rsidRPr="00936884">
        <w:rPr>
          <w:rFonts w:ascii="Garamond" w:eastAsia="SimSun" w:hAnsi="Garamond"/>
          <w:b w:val="0"/>
          <w:kern w:val="1"/>
          <w:sz w:val="24"/>
          <w:szCs w:val="24"/>
          <w:lang w:val="en-GB" w:eastAsia="pt-PT"/>
        </w:rPr>
        <w:t>However, the concept of hysteresis is far from merely applying to the field of physics and engineering. In Ewing’s own words (1885</w:t>
      </w:r>
      <w:r w:rsidR="008600CE" w:rsidRPr="00936884">
        <w:rPr>
          <w:rFonts w:ascii="Garamond" w:eastAsia="SimSun" w:hAnsi="Garamond"/>
          <w:b w:val="0"/>
          <w:kern w:val="1"/>
          <w:sz w:val="24"/>
          <w:szCs w:val="24"/>
          <w:lang w:val="en-GB" w:eastAsia="pt-PT"/>
        </w:rPr>
        <w:t>, p.526</w:t>
      </w:r>
      <w:r w:rsidRPr="00936884">
        <w:rPr>
          <w:rFonts w:ascii="Garamond" w:eastAsia="SimSun" w:hAnsi="Garamond"/>
          <w:b w:val="0"/>
          <w:kern w:val="1"/>
          <w:sz w:val="24"/>
          <w:szCs w:val="24"/>
          <w:lang w:val="en-GB" w:eastAsia="pt-PT"/>
        </w:rPr>
        <w:t>):</w:t>
      </w:r>
      <w:r w:rsidR="00CF63BA">
        <w:rPr>
          <w:rFonts w:ascii="Garamond" w:eastAsia="SimSun" w:hAnsi="Garamond"/>
          <w:b w:val="0"/>
          <w:kern w:val="1"/>
          <w:sz w:val="24"/>
          <w:szCs w:val="24"/>
          <w:lang w:val="en-GB" w:eastAsia="pt-PT"/>
        </w:rPr>
        <w:t xml:space="preserve"> </w:t>
      </w:r>
      <w:r w:rsidRPr="00936884">
        <w:rPr>
          <w:rFonts w:ascii="Garamond" w:eastAsia="SimSun" w:hAnsi="Garamond"/>
          <w:b w:val="0"/>
          <w:kern w:val="1"/>
          <w:sz w:val="24"/>
          <w:szCs w:val="24"/>
          <w:lang w:val="en-GB" w:eastAsia="pt-PT"/>
        </w:rPr>
        <w:t>“(…) there are cases of hysteresis which have, as far as can be seen, nothing to do with magnetic condition, (…) I have therefore found it convenient and even necessary to employ a new term, which merely designates this peculiar action without implying any theory as to its cause”</w:t>
      </w:r>
      <w:r w:rsidR="008600CE" w:rsidRPr="00936884">
        <w:rPr>
          <w:rFonts w:ascii="Garamond" w:eastAsia="SimSun" w:hAnsi="Garamond"/>
          <w:b w:val="0"/>
          <w:kern w:val="1"/>
          <w:sz w:val="24"/>
          <w:szCs w:val="24"/>
          <w:lang w:val="en-GB" w:eastAsia="pt-PT"/>
        </w:rPr>
        <w:t>.</w:t>
      </w:r>
    </w:p>
    <w:p w14:paraId="1DAA4953" w14:textId="03BE3FEE" w:rsidR="0071221E" w:rsidRDefault="00022456" w:rsidP="00A3169E">
      <w:pPr>
        <w:pStyle w:val="Estilo1"/>
        <w:ind w:firstLine="720"/>
        <w:rPr>
          <w:rFonts w:ascii="Garamond" w:eastAsia="SimSun" w:hAnsi="Garamond"/>
          <w:b w:val="0"/>
          <w:kern w:val="1"/>
          <w:sz w:val="24"/>
          <w:szCs w:val="24"/>
          <w:lang w:val="en-GB" w:eastAsia="pt-PT"/>
        </w:rPr>
      </w:pPr>
      <w:r>
        <w:rPr>
          <w:rFonts w:ascii="Garamond" w:eastAsia="SimSun" w:hAnsi="Garamond"/>
          <w:b w:val="0"/>
          <w:kern w:val="1"/>
          <w:sz w:val="24"/>
          <w:szCs w:val="24"/>
          <w:lang w:val="en-GB" w:eastAsia="pt-PT"/>
        </w:rPr>
        <w:t>Hysteresis</w:t>
      </w:r>
      <w:r w:rsidR="0071221E" w:rsidRPr="00936884">
        <w:rPr>
          <w:rFonts w:ascii="Garamond" w:eastAsia="SimSun" w:hAnsi="Garamond"/>
          <w:b w:val="0"/>
          <w:kern w:val="1"/>
          <w:sz w:val="24"/>
          <w:szCs w:val="24"/>
          <w:lang w:val="en-GB" w:eastAsia="pt-PT"/>
        </w:rPr>
        <w:t xml:space="preserve"> </w:t>
      </w:r>
      <w:r w:rsidR="00067EDD">
        <w:rPr>
          <w:rFonts w:ascii="Garamond" w:eastAsia="SimSun" w:hAnsi="Garamond"/>
          <w:b w:val="0"/>
          <w:kern w:val="1"/>
          <w:sz w:val="24"/>
          <w:szCs w:val="24"/>
          <w:lang w:val="en-GB" w:eastAsia="pt-PT"/>
        </w:rPr>
        <w:t>can be</w:t>
      </w:r>
      <w:r w:rsidR="0071221E" w:rsidRPr="00936884">
        <w:rPr>
          <w:rFonts w:ascii="Garamond" w:eastAsia="SimSun" w:hAnsi="Garamond"/>
          <w:b w:val="0"/>
          <w:kern w:val="1"/>
          <w:sz w:val="24"/>
          <w:szCs w:val="24"/>
          <w:lang w:val="en-GB" w:eastAsia="pt-PT"/>
        </w:rPr>
        <w:t xml:space="preserve"> </w:t>
      </w:r>
      <w:r w:rsidR="00616EA5" w:rsidRPr="00936884">
        <w:rPr>
          <w:rFonts w:ascii="Garamond" w:eastAsia="SimSun" w:hAnsi="Garamond"/>
          <w:b w:val="0"/>
          <w:kern w:val="1"/>
          <w:sz w:val="24"/>
          <w:szCs w:val="24"/>
          <w:lang w:val="en-GB" w:eastAsia="pt-PT"/>
        </w:rPr>
        <w:t xml:space="preserve">defined as a property of an </w:t>
      </w:r>
      <w:r w:rsidR="0071221E" w:rsidRPr="00936884">
        <w:rPr>
          <w:rFonts w:ascii="Garamond" w:eastAsia="SimSun" w:hAnsi="Garamond"/>
          <w:b w:val="0"/>
          <w:kern w:val="1"/>
          <w:sz w:val="24"/>
          <w:szCs w:val="24"/>
          <w:lang w:val="en-GB" w:eastAsia="pt-PT"/>
        </w:rPr>
        <w:t>input-output system</w:t>
      </w:r>
      <w:r w:rsidR="00616EA5" w:rsidRPr="00936884">
        <w:rPr>
          <w:rFonts w:ascii="Garamond" w:eastAsia="SimSun" w:hAnsi="Garamond"/>
          <w:b w:val="0"/>
          <w:kern w:val="1"/>
          <w:sz w:val="24"/>
          <w:szCs w:val="24"/>
          <w:lang w:val="en-GB" w:eastAsia="pt-PT"/>
        </w:rPr>
        <w:t xml:space="preserve"> in which some temporary shocks may have permanent effects</w:t>
      </w:r>
      <w:r>
        <w:rPr>
          <w:rFonts w:ascii="Garamond" w:eastAsia="SimSun" w:hAnsi="Garamond"/>
          <w:b w:val="0"/>
          <w:kern w:val="1"/>
          <w:sz w:val="24"/>
          <w:szCs w:val="24"/>
          <w:lang w:val="en-GB" w:eastAsia="pt-PT"/>
        </w:rPr>
        <w:t xml:space="preserve"> (</w:t>
      </w:r>
      <w:r w:rsidR="000A511A">
        <w:rPr>
          <w:rFonts w:ascii="Garamond" w:eastAsia="SimSun" w:hAnsi="Garamond"/>
          <w:b w:val="0"/>
          <w:kern w:val="1"/>
          <w:sz w:val="24"/>
          <w:szCs w:val="24"/>
          <w:lang w:val="en-GB" w:eastAsia="pt-PT"/>
        </w:rPr>
        <w:t>see</w:t>
      </w:r>
      <w:r w:rsidR="001D1CFE">
        <w:rPr>
          <w:rFonts w:ascii="Garamond" w:eastAsia="SimSun" w:hAnsi="Garamond"/>
          <w:b w:val="0"/>
          <w:kern w:val="1"/>
          <w:sz w:val="24"/>
          <w:szCs w:val="24"/>
          <w:lang w:val="en-GB" w:eastAsia="pt-PT"/>
        </w:rPr>
        <w:t>,</w:t>
      </w:r>
      <w:r w:rsidR="000A511A">
        <w:rPr>
          <w:rFonts w:ascii="Garamond" w:eastAsia="SimSun" w:hAnsi="Garamond"/>
          <w:b w:val="0"/>
          <w:kern w:val="1"/>
          <w:sz w:val="24"/>
          <w:szCs w:val="24"/>
          <w:lang w:val="en-GB" w:eastAsia="pt-PT"/>
        </w:rPr>
        <w:t xml:space="preserve"> </w:t>
      </w:r>
      <w:r>
        <w:rPr>
          <w:rFonts w:ascii="Garamond" w:eastAsia="SimSun" w:hAnsi="Garamond"/>
          <w:b w:val="0"/>
          <w:kern w:val="1"/>
          <w:sz w:val="24"/>
          <w:szCs w:val="24"/>
          <w:lang w:val="en-GB" w:eastAsia="pt-PT"/>
        </w:rPr>
        <w:t>Mayergoyz, 1986; 2003)</w:t>
      </w:r>
      <w:r w:rsidR="0071221E" w:rsidRPr="00936884">
        <w:rPr>
          <w:rFonts w:ascii="Garamond" w:eastAsia="SimSun" w:hAnsi="Garamond"/>
          <w:b w:val="0"/>
          <w:kern w:val="1"/>
          <w:sz w:val="24"/>
          <w:szCs w:val="24"/>
          <w:lang w:val="en-GB" w:eastAsia="pt-PT"/>
        </w:rPr>
        <w:t>.</w:t>
      </w:r>
      <w:r w:rsidR="00616EA5" w:rsidRPr="00936884">
        <w:rPr>
          <w:rFonts w:ascii="Garamond" w:eastAsia="SimSun" w:hAnsi="Garamond"/>
          <w:b w:val="0"/>
          <w:kern w:val="1"/>
          <w:sz w:val="24"/>
          <w:szCs w:val="24"/>
          <w:lang w:val="en-GB" w:eastAsia="pt-PT"/>
        </w:rPr>
        <w:t xml:space="preserve"> In other words, a hysteretic system exhibits path dependence.</w:t>
      </w:r>
      <w:r w:rsidR="0071221E" w:rsidRPr="00936884">
        <w:rPr>
          <w:rFonts w:ascii="Garamond" w:eastAsia="SimSun" w:hAnsi="Garamond"/>
          <w:b w:val="0"/>
          <w:kern w:val="1"/>
          <w:sz w:val="24"/>
          <w:szCs w:val="24"/>
          <w:lang w:val="en-GB" w:eastAsia="pt-PT"/>
        </w:rPr>
        <w:t xml:space="preserve"> According to </w:t>
      </w:r>
      <w:r w:rsidR="00FC7985" w:rsidRPr="00936884">
        <w:rPr>
          <w:rFonts w:ascii="Garamond" w:eastAsia="SimSun" w:hAnsi="Garamond"/>
          <w:b w:val="0"/>
          <w:kern w:val="1"/>
          <w:sz w:val="24"/>
          <w:szCs w:val="24"/>
          <w:lang w:val="en-GB" w:eastAsia="pt-PT"/>
        </w:rPr>
        <w:t>Mayergoyz (1986; 2003)</w:t>
      </w:r>
      <w:r w:rsidR="009065CD" w:rsidRPr="00936884">
        <w:rPr>
          <w:rFonts w:ascii="Garamond" w:eastAsia="SimSun" w:hAnsi="Garamond"/>
          <w:b w:val="0"/>
          <w:kern w:val="1"/>
          <w:sz w:val="24"/>
          <w:szCs w:val="24"/>
          <w:lang w:val="en-GB" w:eastAsia="pt-PT"/>
        </w:rPr>
        <w:t>,</w:t>
      </w:r>
      <w:r w:rsidR="0071221E" w:rsidRPr="00936884">
        <w:rPr>
          <w:rFonts w:ascii="Garamond" w:eastAsia="SimSun" w:hAnsi="Garamond"/>
          <w:b w:val="0"/>
          <w:kern w:val="1"/>
          <w:sz w:val="24"/>
          <w:szCs w:val="24"/>
          <w:lang w:val="en-GB" w:eastAsia="pt-PT"/>
        </w:rPr>
        <w:t xml:space="preserve"> </w:t>
      </w:r>
      <w:r w:rsidR="00616EA5" w:rsidRPr="00936884">
        <w:rPr>
          <w:rFonts w:ascii="Garamond" w:eastAsia="SimSun" w:hAnsi="Garamond"/>
          <w:b w:val="0"/>
          <w:kern w:val="1"/>
          <w:sz w:val="24"/>
          <w:szCs w:val="24"/>
          <w:lang w:val="en-GB" w:eastAsia="pt-PT"/>
        </w:rPr>
        <w:t>a hysteretic system has the properties of</w:t>
      </w:r>
      <w:r w:rsidR="0071221E" w:rsidRPr="00936884">
        <w:rPr>
          <w:rFonts w:ascii="Garamond" w:eastAsia="SimSun" w:hAnsi="Garamond"/>
          <w:b w:val="0"/>
          <w:kern w:val="1"/>
          <w:sz w:val="24"/>
          <w:szCs w:val="24"/>
          <w:lang w:val="en-GB" w:eastAsia="pt-PT"/>
        </w:rPr>
        <w:t xml:space="preserve"> nonlinearity, remanence, and selectivity. Nonlinearity refers to the notion that reversing the original shock would not bring the system</w:t>
      </w:r>
      <w:r>
        <w:rPr>
          <w:rFonts w:ascii="Garamond" w:eastAsia="SimSun" w:hAnsi="Garamond"/>
          <w:b w:val="0"/>
          <w:kern w:val="1"/>
          <w:sz w:val="24"/>
          <w:szCs w:val="24"/>
          <w:lang w:val="en-GB" w:eastAsia="pt-PT"/>
        </w:rPr>
        <w:t xml:space="preserve"> back</w:t>
      </w:r>
      <w:r w:rsidR="0071221E" w:rsidRPr="00936884">
        <w:rPr>
          <w:rFonts w:ascii="Garamond" w:eastAsia="SimSun" w:hAnsi="Garamond"/>
          <w:b w:val="0"/>
          <w:kern w:val="1"/>
          <w:sz w:val="24"/>
          <w:szCs w:val="24"/>
          <w:lang w:val="en-GB" w:eastAsia="pt-PT"/>
        </w:rPr>
        <w:t xml:space="preserve"> to its original path. Remanence implies that there can be permanent effects due to temporary shocks. Finally, selectivity entails that only </w:t>
      </w:r>
      <w:r w:rsidR="00874000" w:rsidRPr="00936884">
        <w:rPr>
          <w:rFonts w:ascii="Garamond" w:eastAsia="SimSun" w:hAnsi="Garamond"/>
          <w:b w:val="0"/>
          <w:kern w:val="1"/>
          <w:sz w:val="24"/>
          <w:szCs w:val="24"/>
          <w:lang w:val="en-GB" w:eastAsia="pt-PT"/>
        </w:rPr>
        <w:t xml:space="preserve">large and non-dominated </w:t>
      </w:r>
      <w:r w:rsidR="0071221E" w:rsidRPr="00936884">
        <w:rPr>
          <w:rFonts w:ascii="Garamond" w:eastAsia="SimSun" w:hAnsi="Garamond"/>
          <w:b w:val="0"/>
          <w:kern w:val="1"/>
          <w:sz w:val="24"/>
          <w:szCs w:val="24"/>
          <w:lang w:val="en-GB" w:eastAsia="pt-PT"/>
        </w:rPr>
        <w:t xml:space="preserve">shocks can </w:t>
      </w:r>
      <w:r w:rsidR="00874000" w:rsidRPr="00936884">
        <w:rPr>
          <w:rFonts w:ascii="Garamond" w:eastAsia="SimSun" w:hAnsi="Garamond"/>
          <w:b w:val="0"/>
          <w:kern w:val="1"/>
          <w:sz w:val="24"/>
          <w:szCs w:val="24"/>
          <w:lang w:val="en-GB" w:eastAsia="pt-PT"/>
        </w:rPr>
        <w:t xml:space="preserve">originate </w:t>
      </w:r>
      <w:r w:rsidR="0071221E" w:rsidRPr="00936884">
        <w:rPr>
          <w:rFonts w:ascii="Garamond" w:eastAsia="SimSun" w:hAnsi="Garamond"/>
          <w:b w:val="0"/>
          <w:kern w:val="1"/>
          <w:sz w:val="24"/>
          <w:szCs w:val="24"/>
          <w:lang w:val="en-GB" w:eastAsia="pt-PT"/>
        </w:rPr>
        <w:t>permanent effects</w:t>
      </w:r>
      <w:r>
        <w:rPr>
          <w:rFonts w:ascii="Garamond" w:eastAsia="SimSun" w:hAnsi="Garamond"/>
          <w:b w:val="0"/>
          <w:kern w:val="1"/>
          <w:sz w:val="24"/>
          <w:szCs w:val="24"/>
          <w:lang w:val="en-GB" w:eastAsia="pt-PT"/>
        </w:rPr>
        <w:t>.</w:t>
      </w:r>
      <w:r>
        <w:rPr>
          <w:rStyle w:val="FootnoteReference"/>
          <w:rFonts w:ascii="Garamond" w:eastAsia="SimSun" w:hAnsi="Garamond"/>
          <w:b w:val="0"/>
          <w:kern w:val="1"/>
          <w:sz w:val="24"/>
          <w:szCs w:val="24"/>
          <w:lang w:val="en-GB" w:eastAsia="pt-PT"/>
        </w:rPr>
        <w:footnoteReference w:id="2"/>
      </w:r>
      <w:r w:rsidR="00851412" w:rsidRPr="00936884">
        <w:rPr>
          <w:rFonts w:ascii="Garamond" w:eastAsia="SimSun" w:hAnsi="Garamond"/>
          <w:b w:val="0"/>
          <w:kern w:val="1"/>
          <w:sz w:val="24"/>
          <w:szCs w:val="24"/>
          <w:lang w:val="en-GB" w:eastAsia="pt-PT"/>
        </w:rPr>
        <w:t xml:space="preserve"> Under hysteresis</w:t>
      </w:r>
      <w:r w:rsidR="009065CD" w:rsidRPr="00936884">
        <w:rPr>
          <w:rFonts w:ascii="Garamond" w:eastAsia="SimSun" w:hAnsi="Garamond"/>
          <w:b w:val="0"/>
          <w:kern w:val="1"/>
          <w:sz w:val="24"/>
          <w:szCs w:val="24"/>
          <w:lang w:val="en-GB" w:eastAsia="pt-PT"/>
        </w:rPr>
        <w:t>,</w:t>
      </w:r>
      <w:r w:rsidR="00851412" w:rsidRPr="00936884">
        <w:rPr>
          <w:rFonts w:ascii="Garamond" w:eastAsia="SimSun" w:hAnsi="Garamond"/>
          <w:b w:val="0"/>
          <w:kern w:val="1"/>
          <w:sz w:val="24"/>
          <w:szCs w:val="24"/>
          <w:lang w:val="en-GB" w:eastAsia="pt-PT"/>
        </w:rPr>
        <w:t xml:space="preserve"> </w:t>
      </w:r>
      <w:r w:rsidR="00B232A1" w:rsidRPr="00936884">
        <w:rPr>
          <w:rFonts w:ascii="Garamond" w:eastAsia="SimSun" w:hAnsi="Garamond"/>
          <w:b w:val="0"/>
          <w:kern w:val="1"/>
          <w:sz w:val="24"/>
          <w:szCs w:val="24"/>
          <w:lang w:val="en-GB" w:eastAsia="pt-PT"/>
        </w:rPr>
        <w:t>there</w:t>
      </w:r>
      <w:r>
        <w:rPr>
          <w:rFonts w:ascii="Garamond" w:eastAsia="SimSun" w:hAnsi="Garamond"/>
          <w:b w:val="0"/>
          <w:kern w:val="1"/>
          <w:sz w:val="24"/>
          <w:szCs w:val="24"/>
          <w:lang w:val="en-GB" w:eastAsia="pt-PT"/>
        </w:rPr>
        <w:t xml:space="preserve"> are</w:t>
      </w:r>
      <w:r w:rsidR="00B232A1" w:rsidRPr="00936884">
        <w:rPr>
          <w:rFonts w:ascii="Garamond" w:eastAsia="SimSun" w:hAnsi="Garamond"/>
          <w:b w:val="0"/>
          <w:kern w:val="1"/>
          <w:sz w:val="24"/>
          <w:szCs w:val="24"/>
          <w:lang w:val="en-GB" w:eastAsia="pt-PT"/>
        </w:rPr>
        <w:t xml:space="preserve"> multiple equilibria </w:t>
      </w:r>
      <w:r w:rsidR="009065CD" w:rsidRPr="00936884">
        <w:rPr>
          <w:rFonts w:ascii="Garamond" w:eastAsia="SimSun" w:hAnsi="Garamond"/>
          <w:b w:val="0"/>
          <w:kern w:val="1"/>
          <w:sz w:val="24"/>
          <w:szCs w:val="24"/>
          <w:lang w:val="en-GB" w:eastAsia="pt-PT"/>
        </w:rPr>
        <w:t>that</w:t>
      </w:r>
      <w:r w:rsidR="00B232A1" w:rsidRPr="00936884">
        <w:rPr>
          <w:rFonts w:ascii="Garamond" w:eastAsia="SimSun" w:hAnsi="Garamond"/>
          <w:b w:val="0"/>
          <w:kern w:val="1"/>
          <w:sz w:val="24"/>
          <w:szCs w:val="24"/>
          <w:lang w:val="en-GB" w:eastAsia="pt-PT"/>
        </w:rPr>
        <w:t xml:space="preserve"> are</w:t>
      </w:r>
      <w:r w:rsidR="006F00C5" w:rsidRPr="00936884">
        <w:rPr>
          <w:rFonts w:ascii="Garamond" w:eastAsia="SimSun" w:hAnsi="Garamond"/>
          <w:b w:val="0"/>
          <w:kern w:val="1"/>
          <w:sz w:val="24"/>
          <w:szCs w:val="24"/>
          <w:lang w:val="en-GB" w:eastAsia="pt-PT"/>
        </w:rPr>
        <w:t xml:space="preserve"> path dependent,</w:t>
      </w:r>
      <w:r w:rsidR="000F5D5E" w:rsidRPr="00936884">
        <w:rPr>
          <w:rFonts w:ascii="Garamond" w:eastAsia="SimSun" w:hAnsi="Garamond"/>
          <w:b w:val="0"/>
          <w:kern w:val="1"/>
          <w:sz w:val="24"/>
          <w:szCs w:val="24"/>
          <w:lang w:val="en-GB" w:eastAsia="pt-PT"/>
        </w:rPr>
        <w:t xml:space="preserve"> </w:t>
      </w:r>
      <w:r>
        <w:rPr>
          <w:rFonts w:ascii="Garamond" w:eastAsia="SimSun" w:hAnsi="Garamond"/>
          <w:b w:val="0"/>
          <w:i/>
          <w:iCs/>
          <w:kern w:val="1"/>
          <w:sz w:val="24"/>
          <w:szCs w:val="24"/>
          <w:lang w:val="en-GB" w:eastAsia="pt-PT"/>
        </w:rPr>
        <w:t>i.e.</w:t>
      </w:r>
      <w:r w:rsidR="001F0773">
        <w:rPr>
          <w:rFonts w:ascii="Garamond" w:eastAsia="SimSun" w:hAnsi="Garamond"/>
          <w:b w:val="0"/>
          <w:kern w:val="1"/>
          <w:sz w:val="24"/>
          <w:szCs w:val="24"/>
          <w:lang w:val="en-GB" w:eastAsia="pt-PT"/>
        </w:rPr>
        <w:t>,</w:t>
      </w:r>
      <w:r>
        <w:rPr>
          <w:rFonts w:ascii="Garamond" w:eastAsia="SimSun" w:hAnsi="Garamond"/>
          <w:b w:val="0"/>
          <w:kern w:val="1"/>
          <w:sz w:val="24"/>
          <w:szCs w:val="24"/>
          <w:lang w:val="en-GB" w:eastAsia="pt-PT"/>
        </w:rPr>
        <w:t xml:space="preserve"> the equilibrium value of the system </w:t>
      </w:r>
      <w:r w:rsidR="000F5D5E" w:rsidRPr="00936884">
        <w:rPr>
          <w:rFonts w:ascii="Garamond" w:eastAsia="SimSun" w:hAnsi="Garamond"/>
          <w:b w:val="0"/>
          <w:kern w:val="1"/>
          <w:sz w:val="24"/>
          <w:szCs w:val="24"/>
          <w:lang w:val="en-GB" w:eastAsia="pt-PT"/>
        </w:rPr>
        <w:t>depend</w:t>
      </w:r>
      <w:r w:rsidR="00067EDD">
        <w:rPr>
          <w:rFonts w:ascii="Garamond" w:eastAsia="SimSun" w:hAnsi="Garamond"/>
          <w:b w:val="0"/>
          <w:kern w:val="1"/>
          <w:sz w:val="24"/>
          <w:szCs w:val="24"/>
          <w:lang w:val="en-GB" w:eastAsia="pt-PT"/>
        </w:rPr>
        <w:t>s</w:t>
      </w:r>
      <w:r w:rsidR="000F5D5E" w:rsidRPr="00936884">
        <w:rPr>
          <w:rFonts w:ascii="Garamond" w:eastAsia="SimSun" w:hAnsi="Garamond"/>
          <w:b w:val="0"/>
          <w:kern w:val="1"/>
          <w:sz w:val="24"/>
          <w:szCs w:val="24"/>
          <w:lang w:val="en-GB" w:eastAsia="pt-PT"/>
        </w:rPr>
        <w:t xml:space="preserve"> on</w:t>
      </w:r>
      <w:r w:rsidR="006F00C5" w:rsidRPr="00936884">
        <w:rPr>
          <w:rFonts w:ascii="Garamond" w:eastAsia="SimSun" w:hAnsi="Garamond"/>
          <w:b w:val="0"/>
          <w:kern w:val="1"/>
          <w:sz w:val="24"/>
          <w:szCs w:val="24"/>
          <w:lang w:val="en-GB" w:eastAsia="pt-PT"/>
        </w:rPr>
        <w:t xml:space="preserve"> the</w:t>
      </w:r>
      <w:r w:rsidR="0098248A" w:rsidRPr="00936884">
        <w:rPr>
          <w:rFonts w:ascii="Garamond" w:eastAsia="SimSun" w:hAnsi="Garamond"/>
          <w:b w:val="0"/>
          <w:kern w:val="1"/>
          <w:sz w:val="24"/>
          <w:szCs w:val="24"/>
          <w:lang w:val="en-GB" w:eastAsia="pt-PT"/>
        </w:rPr>
        <w:t xml:space="preserve"> sequence of </w:t>
      </w:r>
      <w:r>
        <w:rPr>
          <w:rFonts w:ascii="Garamond" w:eastAsia="SimSun" w:hAnsi="Garamond"/>
          <w:b w:val="0"/>
          <w:kern w:val="1"/>
          <w:sz w:val="24"/>
          <w:szCs w:val="24"/>
          <w:lang w:val="en-GB" w:eastAsia="pt-PT"/>
        </w:rPr>
        <w:t xml:space="preserve">the historical </w:t>
      </w:r>
      <w:r w:rsidR="0098248A" w:rsidRPr="00936884">
        <w:rPr>
          <w:rFonts w:ascii="Garamond" w:eastAsia="SimSun" w:hAnsi="Garamond"/>
          <w:b w:val="0"/>
          <w:kern w:val="1"/>
          <w:sz w:val="24"/>
          <w:szCs w:val="24"/>
          <w:lang w:val="en-GB" w:eastAsia="pt-PT"/>
        </w:rPr>
        <w:t>values</w:t>
      </w:r>
      <w:r w:rsidR="00B232A1" w:rsidRPr="00936884">
        <w:rPr>
          <w:rFonts w:ascii="Garamond" w:eastAsia="SimSun" w:hAnsi="Garamond"/>
          <w:b w:val="0"/>
          <w:kern w:val="1"/>
          <w:sz w:val="24"/>
          <w:szCs w:val="24"/>
          <w:lang w:val="en-GB" w:eastAsia="pt-PT"/>
        </w:rPr>
        <w:t xml:space="preserve"> </w:t>
      </w:r>
      <w:r w:rsidR="00067F65" w:rsidRPr="00936884">
        <w:rPr>
          <w:rFonts w:ascii="Garamond" w:eastAsia="SimSun" w:hAnsi="Garamond"/>
          <w:b w:val="0"/>
          <w:kern w:val="1"/>
          <w:sz w:val="24"/>
          <w:szCs w:val="24"/>
          <w:lang w:val="en-GB" w:eastAsia="pt-PT"/>
        </w:rPr>
        <w:t>of the</w:t>
      </w:r>
      <w:r>
        <w:rPr>
          <w:rFonts w:ascii="Garamond" w:eastAsia="SimSun" w:hAnsi="Garamond"/>
          <w:b w:val="0"/>
          <w:kern w:val="1"/>
          <w:sz w:val="24"/>
          <w:szCs w:val="24"/>
          <w:lang w:val="en-GB" w:eastAsia="pt-PT"/>
        </w:rPr>
        <w:t xml:space="preserve"> input</w:t>
      </w:r>
      <w:r w:rsidR="00067F65" w:rsidRPr="00936884">
        <w:rPr>
          <w:rFonts w:ascii="Garamond" w:eastAsia="SimSun" w:hAnsi="Garamond"/>
          <w:b w:val="0"/>
          <w:kern w:val="1"/>
          <w:sz w:val="24"/>
          <w:szCs w:val="24"/>
          <w:lang w:val="en-GB" w:eastAsia="pt-PT"/>
        </w:rPr>
        <w:t xml:space="preserve"> </w:t>
      </w:r>
      <w:r>
        <w:rPr>
          <w:rFonts w:ascii="Garamond" w:eastAsia="SimSun" w:hAnsi="Garamond"/>
          <w:b w:val="0"/>
          <w:kern w:val="1"/>
          <w:sz w:val="24"/>
          <w:szCs w:val="24"/>
          <w:lang w:val="en-GB" w:eastAsia="pt-PT"/>
        </w:rPr>
        <w:t>(</w:t>
      </w:r>
      <w:r w:rsidR="00067F65" w:rsidRPr="00936884">
        <w:rPr>
          <w:rFonts w:ascii="Garamond" w:eastAsia="SimSun" w:hAnsi="Garamond"/>
          <w:b w:val="0"/>
          <w:kern w:val="1"/>
          <w:sz w:val="24"/>
          <w:szCs w:val="24"/>
          <w:lang w:val="en-GB" w:eastAsia="pt-PT"/>
        </w:rPr>
        <w:t>explanatory</w:t>
      </w:r>
      <w:r>
        <w:rPr>
          <w:rFonts w:ascii="Garamond" w:eastAsia="SimSun" w:hAnsi="Garamond"/>
          <w:b w:val="0"/>
          <w:kern w:val="1"/>
          <w:sz w:val="24"/>
          <w:szCs w:val="24"/>
          <w:lang w:val="en-GB" w:eastAsia="pt-PT"/>
        </w:rPr>
        <w:t>)</w:t>
      </w:r>
      <w:r w:rsidR="00067F65" w:rsidRPr="00936884">
        <w:rPr>
          <w:rFonts w:ascii="Garamond" w:eastAsia="SimSun" w:hAnsi="Garamond"/>
          <w:b w:val="0"/>
          <w:kern w:val="1"/>
          <w:sz w:val="24"/>
          <w:szCs w:val="24"/>
          <w:lang w:val="en-GB" w:eastAsia="pt-PT"/>
        </w:rPr>
        <w:t xml:space="preserve"> variable</w:t>
      </w:r>
      <w:r>
        <w:rPr>
          <w:rFonts w:ascii="Garamond" w:eastAsia="SimSun" w:hAnsi="Garamond"/>
          <w:b w:val="0"/>
          <w:kern w:val="1"/>
          <w:sz w:val="24"/>
          <w:szCs w:val="24"/>
          <w:lang w:val="en-GB" w:eastAsia="pt-PT"/>
        </w:rPr>
        <w:t>.</w:t>
      </w:r>
    </w:p>
    <w:p w14:paraId="46406179" w14:textId="5AA1003B" w:rsidR="00C95917" w:rsidRPr="00D65CCB" w:rsidRDefault="00D65CCB" w:rsidP="00D65CCB">
      <w:pPr>
        <w:spacing w:line="360" w:lineRule="auto"/>
        <w:ind w:firstLine="720"/>
        <w:jc w:val="both"/>
        <w:rPr>
          <w:rFonts w:eastAsia="SimSun"/>
          <w:kern w:val="1"/>
          <w:sz w:val="24"/>
          <w:szCs w:val="24"/>
          <w:lang w:val="en-GB" w:eastAsia="pt-PT"/>
        </w:rPr>
      </w:pPr>
      <w:r w:rsidRPr="002F351D">
        <w:rPr>
          <w:sz w:val="24"/>
          <w:szCs w:val="24"/>
          <w:lang w:val="en-GB"/>
        </w:rPr>
        <w:t xml:space="preserve">Hysteresis was introduced in labour economics by Phelps (1972) </w:t>
      </w:r>
      <w:r w:rsidR="00067EDD">
        <w:rPr>
          <w:sz w:val="24"/>
          <w:szCs w:val="24"/>
          <w:lang w:val="en-GB"/>
        </w:rPr>
        <w:t>that recognized that the equilibrium rate of unemployment could depend upon the actual unemployment rate, rather than being stable</w:t>
      </w:r>
      <w:r w:rsidR="00395266">
        <w:rPr>
          <w:sz w:val="24"/>
          <w:szCs w:val="24"/>
          <w:lang w:val="en-GB"/>
        </w:rPr>
        <w:t xml:space="preserve"> as before theorized</w:t>
      </w:r>
      <w:r w:rsidR="00067EDD">
        <w:rPr>
          <w:sz w:val="24"/>
          <w:szCs w:val="24"/>
          <w:lang w:val="en-GB"/>
        </w:rPr>
        <w:t xml:space="preserve">. </w:t>
      </w:r>
      <w:r w:rsidR="00395266">
        <w:rPr>
          <w:sz w:val="24"/>
          <w:szCs w:val="24"/>
          <w:lang w:val="en-GB"/>
        </w:rPr>
        <w:t>Since then unemployment and employment hysteresis has attracted considerable interest in the economic literature</w:t>
      </w:r>
      <w:r w:rsidRPr="002F351D">
        <w:rPr>
          <w:sz w:val="24"/>
          <w:szCs w:val="24"/>
          <w:lang w:val="en-GB"/>
        </w:rPr>
        <w:t xml:space="preserve"> </w:t>
      </w:r>
      <w:r w:rsidRPr="002F351D">
        <w:rPr>
          <w:rFonts w:eastAsia="SimSun"/>
          <w:kern w:val="1"/>
          <w:sz w:val="24"/>
          <w:szCs w:val="24"/>
          <w:lang w:val="en-GB" w:eastAsia="pt-PT"/>
        </w:rPr>
        <w:t>(see</w:t>
      </w:r>
      <w:r w:rsidR="00395266">
        <w:rPr>
          <w:rFonts w:eastAsia="SimSun"/>
          <w:kern w:val="1"/>
          <w:sz w:val="24"/>
          <w:szCs w:val="24"/>
          <w:lang w:val="en-GB" w:eastAsia="pt-PT"/>
        </w:rPr>
        <w:t>,</w:t>
      </w:r>
      <w:r w:rsidRPr="002F351D">
        <w:rPr>
          <w:rFonts w:eastAsia="SimSun"/>
          <w:kern w:val="1"/>
          <w:sz w:val="24"/>
          <w:szCs w:val="24"/>
          <w:lang w:val="en-GB" w:eastAsia="pt-PT"/>
        </w:rPr>
        <w:t xml:space="preserve"> </w:t>
      </w:r>
      <w:r w:rsidRPr="00395266">
        <w:rPr>
          <w:rFonts w:eastAsia="SimSun"/>
          <w:i/>
          <w:iCs/>
          <w:kern w:val="1"/>
          <w:sz w:val="24"/>
          <w:szCs w:val="24"/>
          <w:lang w:val="en-GB" w:eastAsia="pt-PT"/>
        </w:rPr>
        <w:t>e.g.</w:t>
      </w:r>
      <w:r w:rsidRPr="002F351D">
        <w:rPr>
          <w:rFonts w:eastAsia="SimSun"/>
          <w:kern w:val="1"/>
          <w:sz w:val="24"/>
          <w:szCs w:val="24"/>
          <w:lang w:val="en-GB" w:eastAsia="pt-PT"/>
        </w:rPr>
        <w:t xml:space="preserve">, Blanchard &amp; Summers, 1986, </w:t>
      </w:r>
      <w:r>
        <w:rPr>
          <w:rFonts w:eastAsia="SimSun"/>
          <w:kern w:val="1"/>
          <w:sz w:val="24"/>
          <w:szCs w:val="24"/>
          <w:lang w:val="en-GB" w:eastAsia="pt-PT"/>
        </w:rPr>
        <w:t xml:space="preserve">Amable </w:t>
      </w:r>
      <w:r w:rsidRPr="0095181F">
        <w:rPr>
          <w:rFonts w:eastAsia="SimSun"/>
          <w:i/>
          <w:iCs/>
          <w:kern w:val="1"/>
          <w:sz w:val="24"/>
          <w:szCs w:val="24"/>
          <w:lang w:val="en-GB" w:eastAsia="pt-PT"/>
        </w:rPr>
        <w:t>et al</w:t>
      </w:r>
      <w:r>
        <w:rPr>
          <w:rFonts w:eastAsia="SimSun"/>
          <w:kern w:val="1"/>
          <w:sz w:val="24"/>
          <w:szCs w:val="24"/>
          <w:lang w:val="en-GB" w:eastAsia="pt-PT"/>
        </w:rPr>
        <w:t>.</w:t>
      </w:r>
      <w:r w:rsidR="00D05A72">
        <w:rPr>
          <w:rFonts w:eastAsia="SimSun"/>
          <w:kern w:val="1"/>
          <w:sz w:val="24"/>
          <w:szCs w:val="24"/>
          <w:lang w:val="en-GB" w:eastAsia="pt-PT"/>
        </w:rPr>
        <w:t>,</w:t>
      </w:r>
      <w:r>
        <w:rPr>
          <w:rFonts w:eastAsia="SimSun"/>
          <w:kern w:val="1"/>
          <w:sz w:val="24"/>
          <w:szCs w:val="24"/>
          <w:lang w:val="en-GB" w:eastAsia="pt-PT"/>
        </w:rPr>
        <w:t xml:space="preserve"> 1995, </w:t>
      </w:r>
      <w:r w:rsidRPr="002F351D">
        <w:rPr>
          <w:rFonts w:eastAsia="SimSun"/>
          <w:kern w:val="1"/>
          <w:sz w:val="24"/>
          <w:szCs w:val="24"/>
          <w:lang w:val="en-GB" w:eastAsia="pt-PT"/>
        </w:rPr>
        <w:t>Cross, 1995, Belke &amp; Göcke, 1999</w:t>
      </w:r>
      <w:r>
        <w:rPr>
          <w:rFonts w:eastAsia="SimSun"/>
          <w:kern w:val="1"/>
          <w:sz w:val="24"/>
          <w:szCs w:val="24"/>
          <w:lang w:val="en-GB" w:eastAsia="pt-PT"/>
        </w:rPr>
        <w:t>; 2001a; b</w:t>
      </w:r>
      <w:r w:rsidRPr="002F351D">
        <w:rPr>
          <w:rFonts w:eastAsia="SimSun"/>
          <w:kern w:val="1"/>
          <w:sz w:val="24"/>
          <w:szCs w:val="24"/>
          <w:lang w:val="en-GB" w:eastAsia="pt-PT"/>
        </w:rPr>
        <w:t>,</w:t>
      </w:r>
      <w:r>
        <w:rPr>
          <w:rFonts w:eastAsia="SimSun"/>
          <w:kern w:val="1"/>
          <w:sz w:val="24"/>
          <w:szCs w:val="24"/>
          <w:lang w:val="en-GB" w:eastAsia="pt-PT"/>
        </w:rPr>
        <w:t xml:space="preserve"> Darby </w:t>
      </w:r>
      <w:r w:rsidRPr="0095181F">
        <w:rPr>
          <w:rFonts w:eastAsia="SimSun"/>
          <w:i/>
          <w:iCs/>
          <w:kern w:val="1"/>
          <w:sz w:val="24"/>
          <w:szCs w:val="24"/>
          <w:lang w:val="en-GB" w:eastAsia="pt-PT"/>
        </w:rPr>
        <w:t>et al</w:t>
      </w:r>
      <w:r>
        <w:rPr>
          <w:rFonts w:eastAsia="SimSun"/>
          <w:kern w:val="1"/>
          <w:sz w:val="24"/>
          <w:szCs w:val="24"/>
          <w:lang w:val="en-GB" w:eastAsia="pt-PT"/>
        </w:rPr>
        <w:t xml:space="preserve">., 2005, Mota </w:t>
      </w:r>
      <w:r>
        <w:rPr>
          <w:rFonts w:eastAsia="SimSun"/>
          <w:i/>
          <w:iCs/>
          <w:kern w:val="1"/>
          <w:sz w:val="24"/>
          <w:szCs w:val="24"/>
          <w:lang w:val="en-GB" w:eastAsia="pt-PT"/>
        </w:rPr>
        <w:t>et al.</w:t>
      </w:r>
      <w:r>
        <w:rPr>
          <w:rFonts w:eastAsia="SimSun"/>
          <w:kern w:val="1"/>
          <w:sz w:val="24"/>
          <w:szCs w:val="24"/>
          <w:lang w:val="en-GB" w:eastAsia="pt-PT"/>
        </w:rPr>
        <w:t xml:space="preserve">, 2012; 2015, Mota &amp; Vasconcelos, 2012; 2015; </w:t>
      </w:r>
      <w:r w:rsidRPr="002F351D">
        <w:rPr>
          <w:rFonts w:eastAsia="SimSun"/>
          <w:kern w:val="1"/>
          <w:sz w:val="24"/>
          <w:szCs w:val="24"/>
          <w:lang w:val="en-GB" w:eastAsia="pt-PT"/>
        </w:rPr>
        <w:t>2020</w:t>
      </w:r>
      <w:r>
        <w:rPr>
          <w:rFonts w:eastAsia="SimSun"/>
          <w:kern w:val="1"/>
          <w:sz w:val="24"/>
          <w:szCs w:val="24"/>
          <w:lang w:val="en-GB" w:eastAsia="pt-PT"/>
        </w:rPr>
        <w:t xml:space="preserve">; 2021, </w:t>
      </w:r>
      <w:r w:rsidRPr="00305EA2">
        <w:rPr>
          <w:rFonts w:eastAsia="SimSun"/>
          <w:kern w:val="1"/>
          <w:sz w:val="24"/>
          <w:szCs w:val="24"/>
          <w:lang w:val="en-GB" w:eastAsia="pt-PT"/>
        </w:rPr>
        <w:t>Cuestas &amp; Gil-Alana, 2023,</w:t>
      </w:r>
      <w:r>
        <w:rPr>
          <w:rFonts w:eastAsia="SimSun"/>
          <w:b/>
          <w:kern w:val="1"/>
          <w:sz w:val="24"/>
          <w:szCs w:val="24"/>
          <w:lang w:val="en-GB" w:eastAsia="pt-PT"/>
        </w:rPr>
        <w:t xml:space="preserve"> </w:t>
      </w:r>
      <w:r w:rsidRPr="00D65CCB">
        <w:rPr>
          <w:rFonts w:eastAsia="SimSun"/>
          <w:bCs/>
          <w:kern w:val="1"/>
          <w:sz w:val="24"/>
          <w:szCs w:val="24"/>
          <w:lang w:val="en-GB" w:eastAsia="pt-PT"/>
        </w:rPr>
        <w:t>and</w:t>
      </w:r>
      <w:r w:rsidRPr="00305EA2">
        <w:rPr>
          <w:rFonts w:eastAsia="SimSun"/>
          <w:kern w:val="1"/>
          <w:sz w:val="24"/>
          <w:szCs w:val="24"/>
          <w:lang w:val="en-GB" w:eastAsia="pt-PT"/>
        </w:rPr>
        <w:t xml:space="preserve"> Konstantinos, 2023</w:t>
      </w:r>
      <w:r w:rsidRPr="002F351D">
        <w:rPr>
          <w:rFonts w:eastAsia="SimSun"/>
          <w:kern w:val="1"/>
          <w:sz w:val="24"/>
          <w:szCs w:val="24"/>
          <w:lang w:val="en-GB" w:eastAsia="pt-PT"/>
        </w:rPr>
        <w:t>).</w:t>
      </w:r>
      <w:r w:rsidRPr="002F351D">
        <w:rPr>
          <w:sz w:val="24"/>
          <w:szCs w:val="24"/>
          <w:lang w:val="en-GB"/>
        </w:rPr>
        <w:t xml:space="preserve"> </w:t>
      </w:r>
      <w:r w:rsidR="00E543F1">
        <w:rPr>
          <w:sz w:val="24"/>
          <w:szCs w:val="24"/>
          <w:lang w:val="en-GB"/>
        </w:rPr>
        <w:t>H</w:t>
      </w:r>
      <w:r w:rsidRPr="002F351D">
        <w:rPr>
          <w:sz w:val="24"/>
          <w:szCs w:val="24"/>
          <w:lang w:val="en-GB"/>
        </w:rPr>
        <w:t>ysteresis</w:t>
      </w:r>
      <w:r w:rsidR="00E543F1">
        <w:rPr>
          <w:sz w:val="24"/>
          <w:szCs w:val="24"/>
          <w:lang w:val="en-GB"/>
        </w:rPr>
        <w:t xml:space="preserve"> is also being studied in</w:t>
      </w:r>
      <w:r w:rsidRPr="002F351D">
        <w:rPr>
          <w:sz w:val="24"/>
          <w:szCs w:val="24"/>
          <w:lang w:val="en-GB"/>
        </w:rPr>
        <w:t xml:space="preserve"> other economic domains, such as international trade </w:t>
      </w:r>
      <w:r w:rsidRPr="002F351D">
        <w:rPr>
          <w:rFonts w:eastAsia="SimSun"/>
          <w:kern w:val="1"/>
          <w:sz w:val="24"/>
          <w:szCs w:val="24"/>
          <w:lang w:val="en-GB" w:eastAsia="pt-PT"/>
        </w:rPr>
        <w:t>(see</w:t>
      </w:r>
      <w:r w:rsidR="00395266">
        <w:rPr>
          <w:rFonts w:eastAsia="SimSun"/>
          <w:kern w:val="1"/>
          <w:sz w:val="24"/>
          <w:szCs w:val="24"/>
          <w:lang w:val="en-GB" w:eastAsia="pt-PT"/>
        </w:rPr>
        <w:t>,</w:t>
      </w:r>
      <w:r w:rsidRPr="002F351D">
        <w:rPr>
          <w:rFonts w:eastAsia="SimSun"/>
          <w:kern w:val="1"/>
          <w:sz w:val="24"/>
          <w:szCs w:val="24"/>
          <w:lang w:val="en-GB" w:eastAsia="pt-PT"/>
        </w:rPr>
        <w:t xml:space="preserve"> </w:t>
      </w:r>
      <w:r w:rsidRPr="00395266">
        <w:rPr>
          <w:rFonts w:eastAsia="SimSun"/>
          <w:i/>
          <w:iCs/>
          <w:kern w:val="1"/>
          <w:sz w:val="24"/>
          <w:szCs w:val="24"/>
          <w:lang w:val="en-GB" w:eastAsia="pt-PT"/>
        </w:rPr>
        <w:t>e.g.</w:t>
      </w:r>
      <w:r w:rsidRPr="002F351D">
        <w:rPr>
          <w:rFonts w:eastAsia="SimSun"/>
          <w:kern w:val="1"/>
          <w:sz w:val="24"/>
          <w:szCs w:val="24"/>
          <w:lang w:val="en-GB" w:eastAsia="pt-PT"/>
        </w:rPr>
        <w:t>, Baldwin, 1988</w:t>
      </w:r>
      <w:r>
        <w:rPr>
          <w:rFonts w:eastAsia="SimSun"/>
          <w:kern w:val="1"/>
          <w:sz w:val="24"/>
          <w:szCs w:val="24"/>
          <w:lang w:val="en-GB" w:eastAsia="pt-PT"/>
        </w:rPr>
        <w:t>,</w:t>
      </w:r>
      <w:r w:rsidRPr="002F351D">
        <w:rPr>
          <w:rFonts w:eastAsia="SimSun"/>
          <w:kern w:val="1"/>
          <w:sz w:val="24"/>
          <w:szCs w:val="24"/>
          <w:lang w:val="en-GB" w:eastAsia="pt-PT"/>
        </w:rPr>
        <w:t xml:space="preserve"> Baldwin &amp; Krugman, 1989</w:t>
      </w:r>
      <w:r>
        <w:rPr>
          <w:rFonts w:eastAsia="SimSun"/>
          <w:kern w:val="1"/>
          <w:sz w:val="24"/>
          <w:szCs w:val="24"/>
          <w:lang w:val="en-GB" w:eastAsia="pt-PT"/>
        </w:rPr>
        <w:t>,</w:t>
      </w:r>
      <w:r w:rsidRPr="002F351D">
        <w:rPr>
          <w:rFonts w:eastAsia="SimSun"/>
          <w:kern w:val="1"/>
          <w:sz w:val="24"/>
          <w:szCs w:val="24"/>
          <w:lang w:val="en-GB" w:eastAsia="pt-PT"/>
        </w:rPr>
        <w:t xml:space="preserve"> Dixit, 1989</w:t>
      </w:r>
      <w:r>
        <w:rPr>
          <w:rFonts w:eastAsia="SimSun"/>
          <w:kern w:val="1"/>
          <w:sz w:val="24"/>
          <w:szCs w:val="24"/>
          <w:lang w:val="en-GB" w:eastAsia="pt-PT"/>
        </w:rPr>
        <w:t xml:space="preserve">, </w:t>
      </w:r>
      <w:r w:rsidRPr="00305EA2">
        <w:rPr>
          <w:rFonts w:eastAsia="SimSun"/>
          <w:kern w:val="1"/>
          <w:sz w:val="24"/>
          <w:szCs w:val="24"/>
          <w:lang w:val="en-GB" w:eastAsia="pt-PT"/>
        </w:rPr>
        <w:t>Kannebley Jr</w:t>
      </w:r>
      <w:r w:rsidRPr="00861AE9">
        <w:rPr>
          <w:rFonts w:eastAsia="SimSun"/>
          <w:bCs/>
          <w:kern w:val="1"/>
          <w:sz w:val="24"/>
          <w:szCs w:val="24"/>
          <w:lang w:val="en-GB" w:eastAsia="pt-PT"/>
        </w:rPr>
        <w:t>.</w:t>
      </w:r>
      <w:r w:rsidRPr="00305EA2">
        <w:rPr>
          <w:rFonts w:eastAsia="SimSun"/>
          <w:kern w:val="1"/>
          <w:sz w:val="24"/>
          <w:szCs w:val="24"/>
          <w:lang w:val="en-GB" w:eastAsia="pt-PT"/>
        </w:rPr>
        <w:t>, 2008</w:t>
      </w:r>
      <w:r w:rsidR="00C66379">
        <w:rPr>
          <w:rFonts w:eastAsia="SimSun"/>
          <w:kern w:val="1"/>
          <w:sz w:val="24"/>
          <w:szCs w:val="24"/>
          <w:lang w:val="en-GB" w:eastAsia="pt-PT"/>
        </w:rPr>
        <w:t>,</w:t>
      </w:r>
      <w:r>
        <w:rPr>
          <w:rFonts w:eastAsia="SimSun"/>
          <w:kern w:val="1"/>
          <w:sz w:val="24"/>
          <w:szCs w:val="24"/>
          <w:lang w:val="en-GB" w:eastAsia="pt-PT"/>
        </w:rPr>
        <w:t xml:space="preserve"> and</w:t>
      </w:r>
      <w:r w:rsidRPr="00305EA2">
        <w:rPr>
          <w:rFonts w:eastAsia="SimSun"/>
          <w:kern w:val="1"/>
          <w:sz w:val="24"/>
          <w:szCs w:val="24"/>
          <w:lang w:val="en-GB" w:eastAsia="pt-PT"/>
        </w:rPr>
        <w:t xml:space="preserve"> Campbell, 2020</w:t>
      </w:r>
      <w:r w:rsidRPr="002F351D">
        <w:rPr>
          <w:rFonts w:eastAsia="SimSun"/>
          <w:kern w:val="1"/>
          <w:sz w:val="24"/>
          <w:szCs w:val="24"/>
          <w:lang w:val="en-GB" w:eastAsia="pt-PT"/>
        </w:rPr>
        <w:t>)</w:t>
      </w:r>
      <w:r w:rsidR="00E543F1">
        <w:rPr>
          <w:rFonts w:eastAsia="SimSun"/>
          <w:kern w:val="1"/>
          <w:sz w:val="24"/>
          <w:szCs w:val="24"/>
          <w:lang w:val="en-GB" w:eastAsia="pt-PT"/>
        </w:rPr>
        <w:t>,</w:t>
      </w:r>
      <w:r w:rsidRPr="002F351D">
        <w:rPr>
          <w:sz w:val="24"/>
          <w:szCs w:val="24"/>
          <w:lang w:val="en-GB"/>
        </w:rPr>
        <w:t xml:space="preserve"> and </w:t>
      </w:r>
      <w:r w:rsidRPr="002F351D">
        <w:rPr>
          <w:rFonts w:eastAsia="SimSun"/>
          <w:kern w:val="1"/>
          <w:sz w:val="24"/>
          <w:szCs w:val="24"/>
          <w:lang w:val="en-GB" w:eastAsia="pt-PT"/>
        </w:rPr>
        <w:t>investment (see</w:t>
      </w:r>
      <w:r w:rsidR="00395266">
        <w:rPr>
          <w:rFonts w:eastAsia="SimSun"/>
          <w:kern w:val="1"/>
          <w:sz w:val="24"/>
          <w:szCs w:val="24"/>
          <w:lang w:val="en-GB" w:eastAsia="pt-PT"/>
        </w:rPr>
        <w:t>,</w:t>
      </w:r>
      <w:r w:rsidRPr="002F351D">
        <w:rPr>
          <w:rFonts w:eastAsia="SimSun"/>
          <w:kern w:val="1"/>
          <w:sz w:val="24"/>
          <w:szCs w:val="24"/>
          <w:lang w:val="en-GB" w:eastAsia="pt-PT"/>
        </w:rPr>
        <w:t xml:space="preserve"> </w:t>
      </w:r>
      <w:r w:rsidRPr="00395266">
        <w:rPr>
          <w:rFonts w:eastAsia="SimSun"/>
          <w:i/>
          <w:iCs/>
          <w:kern w:val="1"/>
          <w:sz w:val="24"/>
          <w:szCs w:val="24"/>
          <w:lang w:val="en-GB" w:eastAsia="pt-PT"/>
        </w:rPr>
        <w:t>e.g.</w:t>
      </w:r>
      <w:r w:rsidRPr="002F351D">
        <w:rPr>
          <w:rFonts w:eastAsia="SimSun"/>
          <w:kern w:val="1"/>
          <w:sz w:val="24"/>
          <w:szCs w:val="24"/>
          <w:lang w:val="en-GB" w:eastAsia="pt-PT"/>
        </w:rPr>
        <w:t>, Pyndick, 1991</w:t>
      </w:r>
      <w:r>
        <w:rPr>
          <w:rFonts w:eastAsia="SimSun"/>
          <w:kern w:val="1"/>
          <w:sz w:val="24"/>
          <w:szCs w:val="24"/>
          <w:lang w:val="en-GB" w:eastAsia="pt-PT"/>
        </w:rPr>
        <w:t>,</w:t>
      </w:r>
      <w:r w:rsidRPr="002F351D">
        <w:rPr>
          <w:rFonts w:eastAsia="SimSun"/>
          <w:kern w:val="1"/>
          <w:sz w:val="24"/>
          <w:szCs w:val="24"/>
          <w:lang w:val="en-GB" w:eastAsia="pt-PT"/>
        </w:rPr>
        <w:t xml:space="preserve"> Dixit, 1992</w:t>
      </w:r>
      <w:r>
        <w:rPr>
          <w:rFonts w:eastAsia="SimSun"/>
          <w:kern w:val="1"/>
          <w:sz w:val="24"/>
          <w:szCs w:val="24"/>
          <w:lang w:val="en-GB" w:eastAsia="pt-PT"/>
        </w:rPr>
        <w:t>,</w:t>
      </w:r>
      <w:r w:rsidRPr="002F351D">
        <w:rPr>
          <w:rFonts w:eastAsia="SimSun"/>
          <w:kern w:val="1"/>
          <w:sz w:val="24"/>
          <w:szCs w:val="24"/>
          <w:lang w:val="en-GB" w:eastAsia="pt-PT"/>
        </w:rPr>
        <w:t xml:space="preserve"> Dixit &amp; Pyndick, 1994</w:t>
      </w:r>
      <w:r>
        <w:rPr>
          <w:rFonts w:eastAsia="SimSun"/>
          <w:kern w:val="1"/>
          <w:sz w:val="24"/>
          <w:szCs w:val="24"/>
          <w:lang w:val="en-GB" w:eastAsia="pt-PT"/>
        </w:rPr>
        <w:t>, Dias &amp; Shackleton, 2011, Bassi &amp; Lang, 2016,</w:t>
      </w:r>
      <w:r w:rsidRPr="002F351D">
        <w:rPr>
          <w:rFonts w:eastAsia="SimSun"/>
          <w:kern w:val="1"/>
          <w:sz w:val="24"/>
          <w:szCs w:val="24"/>
          <w:lang w:val="en-GB" w:eastAsia="pt-PT"/>
        </w:rPr>
        <w:t xml:space="preserve"> Belke &amp; Göcke</w:t>
      </w:r>
      <w:r>
        <w:rPr>
          <w:rFonts w:eastAsia="SimSun"/>
          <w:kern w:val="1"/>
          <w:sz w:val="24"/>
          <w:szCs w:val="24"/>
          <w:lang w:val="en-GB" w:eastAsia="pt-PT"/>
        </w:rPr>
        <w:t>,</w:t>
      </w:r>
      <w:r w:rsidRPr="002F351D">
        <w:rPr>
          <w:rFonts w:eastAsia="SimSun"/>
          <w:kern w:val="1"/>
          <w:sz w:val="24"/>
          <w:szCs w:val="24"/>
          <w:lang w:val="en-GB" w:eastAsia="pt-PT"/>
        </w:rPr>
        <w:t xml:space="preserve"> 2019</w:t>
      </w:r>
      <w:r>
        <w:rPr>
          <w:rFonts w:eastAsia="SimSun"/>
          <w:kern w:val="1"/>
          <w:sz w:val="24"/>
          <w:szCs w:val="24"/>
          <w:lang w:val="en-GB" w:eastAsia="pt-PT"/>
        </w:rPr>
        <w:t xml:space="preserve">, </w:t>
      </w:r>
      <w:r w:rsidRPr="00305EA2">
        <w:rPr>
          <w:rFonts w:eastAsia="SimSun"/>
          <w:kern w:val="1"/>
          <w:sz w:val="24"/>
          <w:szCs w:val="24"/>
          <w:lang w:val="en-GB" w:eastAsia="pt-PT"/>
        </w:rPr>
        <w:t>Mota &amp; Vasconcelos</w:t>
      </w:r>
      <w:r>
        <w:rPr>
          <w:rFonts w:eastAsia="SimSun"/>
          <w:kern w:val="1"/>
          <w:sz w:val="24"/>
          <w:szCs w:val="24"/>
          <w:lang w:val="en-GB" w:eastAsia="pt-PT"/>
        </w:rPr>
        <w:t>,</w:t>
      </w:r>
      <w:r w:rsidRPr="00305EA2">
        <w:rPr>
          <w:rFonts w:eastAsia="SimSun"/>
          <w:kern w:val="1"/>
          <w:sz w:val="24"/>
          <w:szCs w:val="24"/>
          <w:lang w:val="en-GB" w:eastAsia="pt-PT"/>
        </w:rPr>
        <w:t xml:space="preserve"> 2022a</w:t>
      </w:r>
      <w:r w:rsidR="00E543F1">
        <w:rPr>
          <w:rFonts w:eastAsia="SimSun"/>
          <w:kern w:val="1"/>
          <w:sz w:val="24"/>
          <w:szCs w:val="24"/>
          <w:lang w:val="en-GB" w:eastAsia="pt-PT"/>
        </w:rPr>
        <w:t>,</w:t>
      </w:r>
      <w:r>
        <w:rPr>
          <w:rFonts w:eastAsia="SimSun"/>
          <w:kern w:val="1"/>
          <w:sz w:val="24"/>
          <w:szCs w:val="24"/>
          <w:lang w:val="en-GB" w:eastAsia="pt-PT"/>
        </w:rPr>
        <w:t xml:space="preserve"> and </w:t>
      </w:r>
      <w:r w:rsidRPr="00305EA2">
        <w:rPr>
          <w:rFonts w:eastAsia="SimSun"/>
          <w:kern w:val="1"/>
          <w:sz w:val="24"/>
          <w:szCs w:val="24"/>
          <w:lang w:val="en-GB" w:eastAsia="pt-PT"/>
        </w:rPr>
        <w:t>Fornaro &amp; Wolf, 2023</w:t>
      </w:r>
      <w:r w:rsidRPr="002F351D">
        <w:rPr>
          <w:sz w:val="24"/>
          <w:szCs w:val="24"/>
          <w:lang w:val="en-GB"/>
        </w:rPr>
        <w:t>).</w:t>
      </w:r>
      <w:r w:rsidR="00C95917">
        <w:rPr>
          <w:rFonts w:eastAsia="SimSun"/>
          <w:b/>
          <w:kern w:val="1"/>
          <w:sz w:val="24"/>
          <w:szCs w:val="24"/>
          <w:lang w:val="en-GB" w:eastAsia="pt-PT"/>
        </w:rPr>
        <w:br w:type="page"/>
      </w:r>
    </w:p>
    <w:p w14:paraId="279D7DD9" w14:textId="543E5DB7" w:rsidR="00400171" w:rsidRPr="0063438A" w:rsidRDefault="00673A3D" w:rsidP="00F13999">
      <w:pPr>
        <w:pStyle w:val="Heading3"/>
        <w:numPr>
          <w:ilvl w:val="1"/>
          <w:numId w:val="24"/>
        </w:numPr>
        <w:tabs>
          <w:tab w:val="left" w:pos="426"/>
        </w:tabs>
        <w:spacing w:before="1"/>
        <w:rPr>
          <w:b w:val="0"/>
          <w:bCs w:val="0"/>
          <w:lang w:val="en-GB"/>
        </w:rPr>
      </w:pPr>
      <w:r>
        <w:rPr>
          <w:lang w:val="en-GB"/>
        </w:rPr>
        <w:lastRenderedPageBreak/>
        <w:t xml:space="preserve">The </w:t>
      </w:r>
      <w:r w:rsidR="00A3122E">
        <w:rPr>
          <w:lang w:val="en-GB"/>
        </w:rPr>
        <w:t>M</w:t>
      </w:r>
      <w:r>
        <w:rPr>
          <w:lang w:val="en-GB"/>
        </w:rPr>
        <w:t>icro-</w:t>
      </w:r>
      <w:r w:rsidR="00A3122E">
        <w:rPr>
          <w:lang w:val="en-GB"/>
        </w:rPr>
        <w:t>F</w:t>
      </w:r>
      <w:r>
        <w:rPr>
          <w:lang w:val="en-GB"/>
        </w:rPr>
        <w:t xml:space="preserve">oundations of the </w:t>
      </w:r>
      <w:r w:rsidR="00A3122E">
        <w:rPr>
          <w:lang w:val="en-GB"/>
        </w:rPr>
        <w:t>P</w:t>
      </w:r>
      <w:r>
        <w:rPr>
          <w:lang w:val="en-GB"/>
        </w:rPr>
        <w:t xml:space="preserve">resence of </w:t>
      </w:r>
      <w:r w:rsidR="00A3122E">
        <w:rPr>
          <w:lang w:val="en-GB"/>
        </w:rPr>
        <w:t>H</w:t>
      </w:r>
      <w:r>
        <w:rPr>
          <w:lang w:val="en-GB"/>
        </w:rPr>
        <w:t>ysteresis</w:t>
      </w:r>
      <w:r w:rsidR="00A3122E">
        <w:rPr>
          <w:lang w:val="en-GB"/>
        </w:rPr>
        <w:t xml:space="preserve"> in the Dynamics of Investment</w:t>
      </w:r>
    </w:p>
    <w:p w14:paraId="0262F3BF" w14:textId="77777777" w:rsidR="00FE510A" w:rsidRPr="0063438A" w:rsidRDefault="00FE510A" w:rsidP="00A35328">
      <w:pPr>
        <w:pStyle w:val="Heading3"/>
        <w:tabs>
          <w:tab w:val="left" w:pos="934"/>
        </w:tabs>
        <w:spacing w:line="360" w:lineRule="auto"/>
        <w:ind w:left="0" w:firstLine="0"/>
        <w:rPr>
          <w:b w:val="0"/>
          <w:bCs w:val="0"/>
          <w:lang w:val="en-GB"/>
        </w:rPr>
      </w:pPr>
    </w:p>
    <w:p w14:paraId="24DEBA74" w14:textId="118294A1" w:rsidR="002C0394" w:rsidRDefault="00B965AD" w:rsidP="00A3169E">
      <w:pPr>
        <w:pStyle w:val="Heading3"/>
        <w:tabs>
          <w:tab w:val="left" w:pos="934"/>
        </w:tabs>
        <w:spacing w:line="360" w:lineRule="auto"/>
        <w:ind w:left="0" w:firstLine="720"/>
        <w:jc w:val="both"/>
        <w:rPr>
          <w:rFonts w:eastAsia="SimSun"/>
          <w:b w:val="0"/>
          <w:kern w:val="1"/>
          <w:lang w:val="en-GB" w:eastAsia="pt-PT"/>
        </w:rPr>
      </w:pPr>
      <w:r w:rsidRPr="001767DA">
        <w:rPr>
          <w:rFonts w:eastAsia="SimSun"/>
          <w:b w:val="0"/>
          <w:kern w:val="1"/>
          <w:lang w:val="en-GB" w:eastAsia="pt-PT"/>
        </w:rPr>
        <w:t>Hysteresis</w:t>
      </w:r>
      <w:r w:rsidR="006A78E4" w:rsidRPr="001767DA">
        <w:rPr>
          <w:rFonts w:eastAsia="SimSun"/>
          <w:b w:val="0"/>
          <w:kern w:val="1"/>
          <w:lang w:val="en-GB" w:eastAsia="pt-PT"/>
        </w:rPr>
        <w:t xml:space="preserve"> </w:t>
      </w:r>
      <w:r w:rsidR="002C0394">
        <w:rPr>
          <w:rFonts w:eastAsia="SimSun"/>
          <w:b w:val="0"/>
          <w:kern w:val="1"/>
          <w:lang w:val="en-GB" w:eastAsia="pt-PT"/>
        </w:rPr>
        <w:t xml:space="preserve">in the dynamics of aggregate investment </w:t>
      </w:r>
      <w:r w:rsidR="003D4EE5" w:rsidRPr="001767DA">
        <w:rPr>
          <w:rFonts w:eastAsia="SimSun"/>
          <w:b w:val="0"/>
          <w:kern w:val="1"/>
          <w:lang w:val="en-GB" w:eastAsia="pt-PT"/>
        </w:rPr>
        <w:t>is</w:t>
      </w:r>
      <w:r w:rsidR="00886573">
        <w:rPr>
          <w:rFonts w:eastAsia="SimSun"/>
          <w:b w:val="0"/>
          <w:kern w:val="1"/>
          <w:lang w:val="en-GB" w:eastAsia="pt-PT"/>
        </w:rPr>
        <w:t xml:space="preserve"> mainly</w:t>
      </w:r>
      <w:r w:rsidR="003D4EE5">
        <w:rPr>
          <w:rFonts w:eastAsia="SimSun"/>
          <w:b w:val="0"/>
          <w:kern w:val="1"/>
          <w:lang w:val="en-GB" w:eastAsia="pt-PT"/>
        </w:rPr>
        <w:t xml:space="preserve"> caused </w:t>
      </w:r>
      <w:r w:rsidR="00654E97">
        <w:rPr>
          <w:rFonts w:eastAsia="SimSun"/>
          <w:b w:val="0"/>
          <w:kern w:val="1"/>
          <w:lang w:val="en-GB" w:eastAsia="pt-PT"/>
        </w:rPr>
        <w:t xml:space="preserve">by </w:t>
      </w:r>
      <w:r w:rsidR="008948C1">
        <w:rPr>
          <w:rFonts w:eastAsia="SimSun"/>
          <w:b w:val="0"/>
          <w:kern w:val="1"/>
          <w:lang w:val="en-GB" w:eastAsia="pt-PT"/>
        </w:rPr>
        <w:t>the</w:t>
      </w:r>
      <w:r w:rsidR="00886573">
        <w:rPr>
          <w:rFonts w:eastAsia="SimSun"/>
          <w:b w:val="0"/>
          <w:kern w:val="1"/>
          <w:lang w:val="en-GB" w:eastAsia="pt-PT"/>
        </w:rPr>
        <w:t xml:space="preserve"> presence</w:t>
      </w:r>
      <w:r w:rsidR="008948C1">
        <w:rPr>
          <w:rFonts w:eastAsia="SimSun"/>
          <w:b w:val="0"/>
          <w:kern w:val="1"/>
          <w:lang w:val="en-GB" w:eastAsia="pt-PT"/>
        </w:rPr>
        <w:t xml:space="preserve"> of </w:t>
      </w:r>
      <w:r w:rsidR="000E77F7" w:rsidRPr="000E77F7">
        <w:rPr>
          <w:rFonts w:eastAsia="SimSun"/>
          <w:b w:val="0"/>
          <w:kern w:val="1"/>
          <w:lang w:val="en-GB" w:eastAsia="pt-PT"/>
        </w:rPr>
        <w:t>non-convex</w:t>
      </w:r>
      <w:r w:rsidR="002C0394">
        <w:rPr>
          <w:rFonts w:eastAsia="SimSun"/>
          <w:b w:val="0"/>
          <w:kern w:val="1"/>
          <w:lang w:val="en-GB" w:eastAsia="pt-PT"/>
        </w:rPr>
        <w:t xml:space="preserve"> investment</w:t>
      </w:r>
      <w:r w:rsidR="000E77F7" w:rsidRPr="000E77F7">
        <w:rPr>
          <w:rFonts w:eastAsia="SimSun"/>
          <w:b w:val="0"/>
          <w:kern w:val="1"/>
          <w:lang w:val="en-GB" w:eastAsia="pt-PT"/>
        </w:rPr>
        <w:t xml:space="preserve"> adjustment costs </w:t>
      </w:r>
      <w:r w:rsidR="002C0394">
        <w:rPr>
          <w:rFonts w:eastAsia="SimSun"/>
          <w:b w:val="0"/>
          <w:kern w:val="1"/>
          <w:lang w:val="en-GB" w:eastAsia="pt-PT"/>
        </w:rPr>
        <w:t>at the firm level.</w:t>
      </w:r>
    </w:p>
    <w:p w14:paraId="14E086FC" w14:textId="34A743A3" w:rsidR="00E574A0" w:rsidRDefault="003B192F" w:rsidP="00A3169E">
      <w:pPr>
        <w:pStyle w:val="Heading3"/>
        <w:tabs>
          <w:tab w:val="left" w:pos="934"/>
        </w:tabs>
        <w:spacing w:line="360" w:lineRule="auto"/>
        <w:ind w:left="0" w:firstLine="720"/>
        <w:jc w:val="both"/>
        <w:rPr>
          <w:rFonts w:eastAsia="SimSun"/>
          <w:b w:val="0"/>
          <w:kern w:val="1"/>
          <w:lang w:val="en-GB" w:eastAsia="pt-PT"/>
        </w:rPr>
      </w:pPr>
      <w:r w:rsidRPr="00FB71B8">
        <w:rPr>
          <w:b w:val="0"/>
          <w:bCs w:val="0"/>
          <w:lang w:val="en-GB"/>
        </w:rPr>
        <w:t xml:space="preserve">Adjustment costs are classified as </w:t>
      </w:r>
      <w:r w:rsidR="00540DA6">
        <w:rPr>
          <w:b w:val="0"/>
          <w:bCs w:val="0"/>
          <w:lang w:val="en-GB"/>
        </w:rPr>
        <w:t>convex (</w:t>
      </w:r>
      <w:r w:rsidR="00AA12C4" w:rsidRPr="00FB71B8">
        <w:rPr>
          <w:b w:val="0"/>
          <w:bCs w:val="0"/>
          <w:lang w:val="en-GB"/>
        </w:rPr>
        <w:t>variable</w:t>
      </w:r>
      <w:r w:rsidR="00540DA6">
        <w:rPr>
          <w:b w:val="0"/>
          <w:bCs w:val="0"/>
          <w:lang w:val="en-GB"/>
        </w:rPr>
        <w:t>)</w:t>
      </w:r>
      <w:r w:rsidR="009A646C">
        <w:rPr>
          <w:b w:val="0"/>
          <w:bCs w:val="0"/>
          <w:lang w:val="en-GB"/>
        </w:rPr>
        <w:t xml:space="preserve"> </w:t>
      </w:r>
      <w:r w:rsidRPr="00FB71B8">
        <w:rPr>
          <w:b w:val="0"/>
          <w:bCs w:val="0"/>
          <w:lang w:val="en-GB"/>
        </w:rPr>
        <w:t>or</w:t>
      </w:r>
      <w:r w:rsidR="009A646C">
        <w:rPr>
          <w:b w:val="0"/>
          <w:bCs w:val="0"/>
          <w:lang w:val="en-GB"/>
        </w:rPr>
        <w:t xml:space="preserve"> non-convex (fixed or linear)</w:t>
      </w:r>
      <w:r w:rsidRPr="00FB71B8">
        <w:rPr>
          <w:b w:val="0"/>
          <w:bCs w:val="0"/>
          <w:lang w:val="en-GB"/>
        </w:rPr>
        <w:t xml:space="preserve">, depending on how they vary with the size of </w:t>
      </w:r>
      <w:r w:rsidR="005A2D68" w:rsidRPr="00FB71B8">
        <w:rPr>
          <w:b w:val="0"/>
          <w:bCs w:val="0"/>
          <w:lang w:val="en-GB"/>
        </w:rPr>
        <w:t xml:space="preserve">the </w:t>
      </w:r>
      <w:r w:rsidRPr="00FB71B8">
        <w:rPr>
          <w:b w:val="0"/>
          <w:bCs w:val="0"/>
          <w:lang w:val="en-GB"/>
        </w:rPr>
        <w:t>investment adjustment</w:t>
      </w:r>
      <w:r w:rsidR="00A77EFD">
        <w:rPr>
          <w:rStyle w:val="FootnoteReference"/>
          <w:b w:val="0"/>
          <w:bCs w:val="0"/>
          <w:lang w:val="en-GB"/>
        </w:rPr>
        <w:footnoteReference w:id="3"/>
      </w:r>
      <w:r w:rsidRPr="003B192F">
        <w:rPr>
          <w:b w:val="0"/>
          <w:bCs w:val="0"/>
          <w:lang w:val="en-GB"/>
        </w:rPr>
        <w:t>.</w:t>
      </w:r>
      <w:r>
        <w:rPr>
          <w:lang w:val="en-GB"/>
        </w:rPr>
        <w:t xml:space="preserve"> </w:t>
      </w:r>
      <w:r w:rsidR="00156E4E">
        <w:rPr>
          <w:rFonts w:eastAsia="SimSun"/>
          <w:b w:val="0"/>
          <w:kern w:val="1"/>
          <w:lang w:val="en-GB" w:eastAsia="pt-PT"/>
        </w:rPr>
        <w:t xml:space="preserve">In the absence of such adjustment costs </w:t>
      </w:r>
      <w:r w:rsidR="00D51F96">
        <w:rPr>
          <w:rFonts w:eastAsia="SimSun"/>
          <w:b w:val="0"/>
          <w:kern w:val="1"/>
          <w:lang w:val="en-GB" w:eastAsia="pt-PT"/>
        </w:rPr>
        <w:t>firms would, in theory, instantly</w:t>
      </w:r>
      <w:r w:rsidR="003B5567">
        <w:rPr>
          <w:rFonts w:eastAsia="SimSun"/>
          <w:b w:val="0"/>
          <w:kern w:val="1"/>
          <w:lang w:val="en-GB" w:eastAsia="pt-PT"/>
        </w:rPr>
        <w:t xml:space="preserve"> adjust their portfolio of investments to its optimal value in reaction</w:t>
      </w:r>
      <w:r w:rsidR="00D51F96">
        <w:rPr>
          <w:rFonts w:eastAsia="SimSun"/>
          <w:b w:val="0"/>
          <w:kern w:val="1"/>
          <w:lang w:val="en-GB" w:eastAsia="pt-PT"/>
        </w:rPr>
        <w:t xml:space="preserve"> </w:t>
      </w:r>
      <w:r w:rsidR="003B5567">
        <w:rPr>
          <w:rFonts w:eastAsia="SimSun"/>
          <w:b w:val="0"/>
          <w:kern w:val="1"/>
          <w:lang w:val="en-GB" w:eastAsia="pt-PT"/>
        </w:rPr>
        <w:t>to variations in</w:t>
      </w:r>
      <w:r w:rsidR="00D51F96">
        <w:rPr>
          <w:rFonts w:eastAsia="SimSun"/>
          <w:b w:val="0"/>
          <w:kern w:val="1"/>
          <w:lang w:val="en-GB" w:eastAsia="pt-PT"/>
        </w:rPr>
        <w:t xml:space="preserve"> economic conditions such as </w:t>
      </w:r>
      <w:r w:rsidR="003B5567">
        <w:rPr>
          <w:rFonts w:eastAsia="SimSun"/>
          <w:b w:val="0"/>
          <w:kern w:val="1"/>
          <w:lang w:val="en-GB" w:eastAsia="pt-PT"/>
        </w:rPr>
        <w:t xml:space="preserve">the state of </w:t>
      </w:r>
      <w:r w:rsidR="00D51F96">
        <w:rPr>
          <w:rFonts w:eastAsia="SimSun"/>
          <w:b w:val="0"/>
          <w:kern w:val="1"/>
          <w:lang w:val="en-GB" w:eastAsia="pt-PT"/>
        </w:rPr>
        <w:t>aggregate demand</w:t>
      </w:r>
      <w:r w:rsidR="003B5567">
        <w:rPr>
          <w:rFonts w:eastAsia="SimSun"/>
          <w:b w:val="0"/>
          <w:kern w:val="1"/>
          <w:lang w:val="en-GB" w:eastAsia="pt-PT"/>
        </w:rPr>
        <w:t xml:space="preserve"> and the level of interest rates</w:t>
      </w:r>
      <w:r w:rsidR="00E67543">
        <w:rPr>
          <w:rFonts w:eastAsia="SimSun"/>
          <w:b w:val="0"/>
          <w:kern w:val="1"/>
          <w:lang w:val="en-GB" w:eastAsia="pt-PT"/>
        </w:rPr>
        <w:t xml:space="preserve"> (Cooper &amp; Haltiwanger, 2006)</w:t>
      </w:r>
      <w:r w:rsidR="00286451">
        <w:rPr>
          <w:rFonts w:eastAsia="SimSun"/>
          <w:b w:val="0"/>
          <w:kern w:val="1"/>
          <w:lang w:val="en-GB" w:eastAsia="pt-PT"/>
        </w:rPr>
        <w:t>.</w:t>
      </w:r>
      <w:r w:rsidR="0042297A">
        <w:rPr>
          <w:rFonts w:eastAsia="SimSun"/>
          <w:b w:val="0"/>
          <w:kern w:val="1"/>
          <w:lang w:val="en-GB" w:eastAsia="pt-PT"/>
        </w:rPr>
        <w:t xml:space="preserve"> </w:t>
      </w:r>
      <w:r w:rsidR="005E1483">
        <w:rPr>
          <w:rFonts w:eastAsia="SimSun"/>
          <w:b w:val="0"/>
          <w:kern w:val="1"/>
          <w:lang w:val="en-GB" w:eastAsia="pt-PT"/>
        </w:rPr>
        <w:t>However,</w:t>
      </w:r>
      <w:r w:rsidR="007974B0">
        <w:rPr>
          <w:rFonts w:eastAsia="SimSun"/>
          <w:b w:val="0"/>
          <w:kern w:val="1"/>
          <w:lang w:val="en-GB" w:eastAsia="pt-PT"/>
        </w:rPr>
        <w:t xml:space="preserve"> we know from </w:t>
      </w:r>
      <w:r w:rsidR="00886573">
        <w:rPr>
          <w:rFonts w:eastAsia="SimSun"/>
          <w:b w:val="0"/>
          <w:kern w:val="1"/>
          <w:lang w:val="en-GB" w:eastAsia="pt-PT"/>
        </w:rPr>
        <w:t>empirical observation</w:t>
      </w:r>
      <w:r w:rsidR="007974B0">
        <w:rPr>
          <w:rFonts w:eastAsia="SimSun"/>
          <w:b w:val="0"/>
          <w:kern w:val="1"/>
          <w:lang w:val="en-GB" w:eastAsia="pt-PT"/>
        </w:rPr>
        <w:t xml:space="preserve"> that firms do not behave </w:t>
      </w:r>
      <w:r w:rsidR="008C67DF">
        <w:rPr>
          <w:rFonts w:eastAsia="SimSun"/>
          <w:b w:val="0"/>
          <w:kern w:val="1"/>
          <w:lang w:val="en-GB" w:eastAsia="pt-PT"/>
        </w:rPr>
        <w:t>in th</w:t>
      </w:r>
      <w:r w:rsidR="00D640F6">
        <w:rPr>
          <w:rFonts w:eastAsia="SimSun"/>
          <w:b w:val="0"/>
          <w:kern w:val="1"/>
          <w:lang w:val="en-GB" w:eastAsia="pt-PT"/>
        </w:rPr>
        <w:t>is</w:t>
      </w:r>
      <w:r w:rsidR="008C67DF">
        <w:rPr>
          <w:rFonts w:eastAsia="SimSun"/>
          <w:b w:val="0"/>
          <w:kern w:val="1"/>
          <w:lang w:val="en-GB" w:eastAsia="pt-PT"/>
        </w:rPr>
        <w:t xml:space="preserve"> manner</w:t>
      </w:r>
      <w:r w:rsidR="00886573">
        <w:rPr>
          <w:rFonts w:eastAsia="SimSun"/>
          <w:b w:val="0"/>
          <w:kern w:val="1"/>
          <w:lang w:val="en-GB" w:eastAsia="pt-PT"/>
        </w:rPr>
        <w:t>.</w:t>
      </w:r>
      <w:r w:rsidR="008C67DF">
        <w:rPr>
          <w:rFonts w:eastAsia="SimSun"/>
          <w:b w:val="0"/>
          <w:kern w:val="1"/>
          <w:lang w:val="en-GB" w:eastAsia="pt-PT"/>
        </w:rPr>
        <w:t xml:space="preserve"> </w:t>
      </w:r>
      <w:r w:rsidR="00886573" w:rsidRPr="000457FB">
        <w:rPr>
          <w:rFonts w:eastAsia="SimSun"/>
          <w:b w:val="0"/>
          <w:kern w:val="1"/>
          <w:lang w:val="en-GB" w:eastAsia="pt-PT"/>
        </w:rPr>
        <w:t>I</w:t>
      </w:r>
      <w:r w:rsidR="008C67DF" w:rsidRPr="000457FB">
        <w:rPr>
          <w:rFonts w:eastAsia="SimSun"/>
          <w:b w:val="0"/>
          <w:kern w:val="1"/>
          <w:lang w:val="en-GB" w:eastAsia="pt-PT"/>
        </w:rPr>
        <w:t>n practice</w:t>
      </w:r>
      <w:r w:rsidR="005A2D68" w:rsidRPr="000457FB">
        <w:rPr>
          <w:rFonts w:eastAsia="SimSun"/>
          <w:b w:val="0"/>
          <w:kern w:val="1"/>
          <w:lang w:val="en-GB" w:eastAsia="pt-PT"/>
        </w:rPr>
        <w:t>,</w:t>
      </w:r>
      <w:r w:rsidR="008C67DF" w:rsidRPr="000457FB">
        <w:rPr>
          <w:rFonts w:eastAsia="SimSun"/>
          <w:b w:val="0"/>
          <w:kern w:val="1"/>
          <w:lang w:val="en-GB" w:eastAsia="pt-PT"/>
        </w:rPr>
        <w:t xml:space="preserve"> </w:t>
      </w:r>
      <w:r w:rsidR="00290682" w:rsidRPr="000457FB">
        <w:rPr>
          <w:rFonts w:eastAsia="SimSun"/>
          <w:b w:val="0"/>
          <w:kern w:val="1"/>
          <w:lang w:val="en-GB" w:eastAsia="pt-PT"/>
        </w:rPr>
        <w:t xml:space="preserve">we do not observe such rapid, </w:t>
      </w:r>
      <w:r w:rsidR="00FF2C9A" w:rsidRPr="000457FB">
        <w:rPr>
          <w:rFonts w:eastAsia="SimSun"/>
          <w:b w:val="0"/>
          <w:kern w:val="1"/>
          <w:lang w:val="en-GB" w:eastAsia="pt-PT"/>
        </w:rPr>
        <w:t>swift,</w:t>
      </w:r>
      <w:r w:rsidR="00290682" w:rsidRPr="000457FB">
        <w:rPr>
          <w:rFonts w:eastAsia="SimSun"/>
          <w:b w:val="0"/>
          <w:kern w:val="1"/>
          <w:lang w:val="en-GB" w:eastAsia="pt-PT"/>
        </w:rPr>
        <w:t xml:space="preserve"> and </w:t>
      </w:r>
      <w:r w:rsidR="00F6573D" w:rsidRPr="000457FB">
        <w:rPr>
          <w:rFonts w:eastAsia="SimSun"/>
          <w:b w:val="0"/>
          <w:kern w:val="1"/>
          <w:lang w:val="en-GB" w:eastAsia="pt-PT"/>
        </w:rPr>
        <w:t xml:space="preserve">disruptive changes in investment decisions for every minor </w:t>
      </w:r>
      <w:r w:rsidR="00A26D9B" w:rsidRPr="000457FB">
        <w:rPr>
          <w:rFonts w:eastAsia="SimSun"/>
          <w:b w:val="0"/>
          <w:kern w:val="1"/>
          <w:lang w:val="en-GB" w:eastAsia="pt-PT"/>
        </w:rPr>
        <w:t>or even moderate change in</w:t>
      </w:r>
      <w:r w:rsidR="003B5567" w:rsidRPr="000457FB">
        <w:rPr>
          <w:rFonts w:eastAsia="SimSun"/>
          <w:b w:val="0"/>
          <w:kern w:val="1"/>
          <w:lang w:val="en-GB" w:eastAsia="pt-PT"/>
        </w:rPr>
        <w:t xml:space="preserve"> the state of</w:t>
      </w:r>
      <w:r w:rsidR="00A26D9B" w:rsidRPr="000457FB">
        <w:rPr>
          <w:rFonts w:eastAsia="SimSun"/>
          <w:b w:val="0"/>
          <w:kern w:val="1"/>
          <w:lang w:val="en-GB" w:eastAsia="pt-PT"/>
        </w:rPr>
        <w:t xml:space="preserve"> economic activity</w:t>
      </w:r>
      <w:r w:rsidR="000457FB" w:rsidRPr="000457FB">
        <w:rPr>
          <w:rFonts w:eastAsia="SimSun"/>
          <w:b w:val="0"/>
          <w:kern w:val="1"/>
          <w:lang w:val="en-GB" w:eastAsia="pt-PT"/>
        </w:rPr>
        <w:t xml:space="preserve"> (</w:t>
      </w:r>
      <w:r w:rsidR="00AB5513">
        <w:rPr>
          <w:rFonts w:eastAsia="SimSun"/>
          <w:b w:val="0"/>
          <w:kern w:val="1"/>
          <w:lang w:val="en-GB" w:eastAsia="pt-PT"/>
        </w:rPr>
        <w:t>see</w:t>
      </w:r>
      <w:r w:rsidR="001D1CFE">
        <w:rPr>
          <w:rFonts w:eastAsia="SimSun"/>
          <w:b w:val="0"/>
          <w:kern w:val="1"/>
          <w:lang w:val="en-GB" w:eastAsia="pt-PT"/>
        </w:rPr>
        <w:t>,</w:t>
      </w:r>
      <w:r w:rsidR="00AB5513">
        <w:rPr>
          <w:rFonts w:eastAsia="SimSun"/>
          <w:b w:val="0"/>
          <w:kern w:val="1"/>
          <w:lang w:val="en-GB" w:eastAsia="pt-PT"/>
        </w:rPr>
        <w:t xml:space="preserve"> </w:t>
      </w:r>
      <w:r w:rsidR="000457FB" w:rsidRPr="000457FB">
        <w:rPr>
          <w:rFonts w:eastAsia="SimSun"/>
          <w:b w:val="0"/>
          <w:kern w:val="1"/>
          <w:lang w:val="en-GB" w:eastAsia="pt-PT"/>
        </w:rPr>
        <w:t>Dixit, 1992,</w:t>
      </w:r>
      <w:r w:rsidR="00D679AA">
        <w:rPr>
          <w:rFonts w:eastAsia="SimSun"/>
          <w:b w:val="0"/>
          <w:kern w:val="1"/>
          <w:lang w:val="en-GB" w:eastAsia="pt-PT"/>
        </w:rPr>
        <w:t xml:space="preserve"> </w:t>
      </w:r>
      <w:r w:rsidR="00D679AA" w:rsidRPr="00305EA2">
        <w:rPr>
          <w:rFonts w:eastAsia="SimSun"/>
          <w:b w:val="0"/>
          <w:kern w:val="1"/>
          <w:lang w:val="en-GB" w:eastAsia="pt-PT"/>
        </w:rPr>
        <w:t>Dixit &amp; Pyndick, 1994,</w:t>
      </w:r>
      <w:r w:rsidR="00D679AA">
        <w:rPr>
          <w:rFonts w:eastAsia="SimSun"/>
          <w:b w:val="0"/>
          <w:kern w:val="1"/>
          <w:lang w:val="en-GB" w:eastAsia="pt-PT"/>
        </w:rPr>
        <w:t xml:space="preserve"> </w:t>
      </w:r>
      <w:r w:rsidR="00D679AA" w:rsidRPr="00325DF7">
        <w:rPr>
          <w:rFonts w:eastAsia="SimSun"/>
          <w:b w:val="0"/>
          <w:bCs w:val="0"/>
          <w:kern w:val="1"/>
          <w:lang w:val="en-GB" w:eastAsia="pt-PT"/>
        </w:rPr>
        <w:t>Dias &amp; Shackleton, 2011</w:t>
      </w:r>
      <w:r w:rsidR="00D679AA">
        <w:rPr>
          <w:rFonts w:eastAsia="SimSun"/>
          <w:b w:val="0"/>
          <w:bCs w:val="0"/>
          <w:kern w:val="1"/>
          <w:lang w:val="en-GB" w:eastAsia="pt-PT"/>
        </w:rPr>
        <w:t>,</w:t>
      </w:r>
      <w:r w:rsidR="00AA74B6">
        <w:rPr>
          <w:rFonts w:eastAsia="SimSun"/>
          <w:b w:val="0"/>
          <w:bCs w:val="0"/>
          <w:kern w:val="1"/>
          <w:lang w:val="en-GB" w:eastAsia="pt-PT"/>
        </w:rPr>
        <w:t xml:space="preserve"> </w:t>
      </w:r>
      <w:r w:rsidR="00AA74B6" w:rsidRPr="00325DF7">
        <w:rPr>
          <w:rFonts w:eastAsia="SimSun"/>
          <w:b w:val="0"/>
          <w:kern w:val="1"/>
          <w:lang w:val="en-GB" w:eastAsia="pt-PT"/>
        </w:rPr>
        <w:t>Bassi &amp; Lang, 2016</w:t>
      </w:r>
      <w:r w:rsidR="00AA74B6">
        <w:rPr>
          <w:rFonts w:eastAsia="SimSun"/>
          <w:b w:val="0"/>
          <w:kern w:val="1"/>
          <w:lang w:val="en-GB" w:eastAsia="pt-PT"/>
        </w:rPr>
        <w:t>,</w:t>
      </w:r>
      <w:r w:rsidR="000457FB" w:rsidRPr="000457FB">
        <w:rPr>
          <w:rFonts w:eastAsia="SimSun"/>
          <w:b w:val="0"/>
          <w:kern w:val="1"/>
          <w:lang w:val="en-GB" w:eastAsia="pt-PT"/>
        </w:rPr>
        <w:t xml:space="preserve"> Belke &amp; Göcke, 2019, Belke </w:t>
      </w:r>
      <w:r w:rsidR="000457FB" w:rsidRPr="0095181F">
        <w:rPr>
          <w:rFonts w:eastAsia="SimSun"/>
          <w:b w:val="0"/>
          <w:i/>
          <w:iCs/>
          <w:kern w:val="1"/>
          <w:lang w:val="en-GB" w:eastAsia="pt-PT"/>
        </w:rPr>
        <w:t>et al</w:t>
      </w:r>
      <w:r w:rsidR="000457FB" w:rsidRPr="000457FB">
        <w:rPr>
          <w:rFonts w:eastAsia="SimSun"/>
          <w:b w:val="0"/>
          <w:kern w:val="1"/>
          <w:lang w:val="en-GB" w:eastAsia="pt-PT"/>
        </w:rPr>
        <w:t>.</w:t>
      </w:r>
      <w:r w:rsidR="00EE38A8">
        <w:rPr>
          <w:rFonts w:eastAsia="SimSun"/>
          <w:b w:val="0"/>
          <w:kern w:val="1"/>
          <w:lang w:val="en-GB" w:eastAsia="pt-PT"/>
        </w:rPr>
        <w:t>,</w:t>
      </w:r>
      <w:r w:rsidR="000457FB" w:rsidRPr="000457FB">
        <w:rPr>
          <w:rFonts w:eastAsia="SimSun"/>
          <w:b w:val="0"/>
          <w:kern w:val="1"/>
          <w:lang w:val="en-GB" w:eastAsia="pt-PT"/>
        </w:rPr>
        <w:t xml:space="preserve"> 2019)</w:t>
      </w:r>
      <w:r w:rsidR="00A26D9B" w:rsidRPr="000457FB">
        <w:rPr>
          <w:rFonts w:eastAsia="SimSun"/>
          <w:b w:val="0"/>
          <w:kern w:val="1"/>
          <w:lang w:val="en-GB" w:eastAsia="pt-PT"/>
        </w:rPr>
        <w:t>.</w:t>
      </w:r>
    </w:p>
    <w:p w14:paraId="72128648" w14:textId="1CA21815" w:rsidR="009E1B3C" w:rsidRDefault="001624BB" w:rsidP="00A3169E">
      <w:pPr>
        <w:pStyle w:val="Heading3"/>
        <w:tabs>
          <w:tab w:val="left" w:pos="934"/>
        </w:tabs>
        <w:spacing w:line="360" w:lineRule="auto"/>
        <w:ind w:left="0" w:firstLine="720"/>
        <w:jc w:val="both"/>
        <w:rPr>
          <w:rFonts w:eastAsia="SimSun"/>
          <w:b w:val="0"/>
          <w:kern w:val="1"/>
          <w:lang w:val="en-GB" w:eastAsia="pt-PT"/>
        </w:rPr>
      </w:pPr>
      <w:r>
        <w:rPr>
          <w:rFonts w:eastAsia="SimSun"/>
          <w:b w:val="0"/>
          <w:kern w:val="1"/>
          <w:lang w:val="en-GB" w:eastAsia="pt-PT"/>
        </w:rPr>
        <w:t xml:space="preserve">The reason that explains why firms do not instantly adjust </w:t>
      </w:r>
      <w:r w:rsidR="005E1483">
        <w:rPr>
          <w:rFonts w:eastAsia="SimSun"/>
          <w:b w:val="0"/>
          <w:kern w:val="1"/>
          <w:lang w:val="en-GB" w:eastAsia="pt-PT"/>
        </w:rPr>
        <w:t xml:space="preserve">their investment portfolio </w:t>
      </w:r>
      <w:r w:rsidR="00127768">
        <w:rPr>
          <w:rFonts w:eastAsia="SimSun"/>
          <w:b w:val="0"/>
          <w:kern w:val="1"/>
          <w:lang w:val="en-GB" w:eastAsia="pt-PT"/>
        </w:rPr>
        <w:t xml:space="preserve">is fundamentally tied </w:t>
      </w:r>
      <w:r w:rsidR="005A2D68">
        <w:rPr>
          <w:rFonts w:eastAsia="SimSun"/>
          <w:b w:val="0"/>
          <w:kern w:val="1"/>
          <w:lang w:val="en-GB" w:eastAsia="pt-PT"/>
        </w:rPr>
        <w:t>to</w:t>
      </w:r>
      <w:r w:rsidR="003B5567">
        <w:rPr>
          <w:rFonts w:eastAsia="SimSun"/>
          <w:b w:val="0"/>
          <w:kern w:val="1"/>
          <w:lang w:val="en-GB" w:eastAsia="pt-PT"/>
        </w:rPr>
        <w:t xml:space="preserve"> the presence of non-convex adjustment costs</w:t>
      </w:r>
      <w:r w:rsidR="00804A31">
        <w:rPr>
          <w:rFonts w:eastAsia="SimSun"/>
          <w:b w:val="0"/>
          <w:kern w:val="1"/>
          <w:lang w:val="en-GB" w:eastAsia="pt-PT"/>
        </w:rPr>
        <w:t xml:space="preserve">. </w:t>
      </w:r>
      <w:r w:rsidR="003B5567">
        <w:rPr>
          <w:rFonts w:eastAsia="SimSun"/>
          <w:b w:val="0"/>
          <w:kern w:val="1"/>
          <w:lang w:val="en-GB" w:eastAsia="pt-PT"/>
        </w:rPr>
        <w:t xml:space="preserve">The acquisition of an asset by </w:t>
      </w:r>
      <w:r w:rsidR="009D6F77">
        <w:rPr>
          <w:rFonts w:eastAsia="SimSun"/>
          <w:b w:val="0"/>
          <w:kern w:val="1"/>
          <w:lang w:val="en-GB" w:eastAsia="pt-PT"/>
        </w:rPr>
        <w:t xml:space="preserve">a firm </w:t>
      </w:r>
      <w:r w:rsidR="00E753FF">
        <w:rPr>
          <w:rFonts w:eastAsia="SimSun"/>
          <w:b w:val="0"/>
          <w:kern w:val="1"/>
          <w:lang w:val="en-GB" w:eastAsia="pt-PT"/>
        </w:rPr>
        <w:t>frequently</w:t>
      </w:r>
      <w:r w:rsidR="003B5567">
        <w:rPr>
          <w:rFonts w:eastAsia="SimSun"/>
          <w:b w:val="0"/>
          <w:kern w:val="1"/>
          <w:lang w:val="en-GB" w:eastAsia="pt-PT"/>
        </w:rPr>
        <w:t xml:space="preserve"> entails</w:t>
      </w:r>
      <w:r w:rsidR="00B808FB">
        <w:rPr>
          <w:rFonts w:eastAsia="SimSun"/>
          <w:b w:val="0"/>
          <w:kern w:val="1"/>
          <w:lang w:val="en-GB" w:eastAsia="pt-PT"/>
        </w:rPr>
        <w:t xml:space="preserve"> </w:t>
      </w:r>
      <w:r w:rsidR="001C4610">
        <w:rPr>
          <w:rFonts w:eastAsia="SimSun"/>
          <w:b w:val="0"/>
          <w:kern w:val="1"/>
          <w:lang w:val="en-GB" w:eastAsia="pt-PT"/>
        </w:rPr>
        <w:t xml:space="preserve">a given degree of irreversibility that is </w:t>
      </w:r>
      <w:r w:rsidR="00DA75E9">
        <w:rPr>
          <w:rFonts w:eastAsia="SimSun"/>
          <w:b w:val="0"/>
          <w:kern w:val="1"/>
          <w:lang w:val="en-GB" w:eastAsia="pt-PT"/>
        </w:rPr>
        <w:t>higher the more firm</w:t>
      </w:r>
      <w:r w:rsidR="000A4D8E">
        <w:rPr>
          <w:rFonts w:eastAsia="SimSun"/>
          <w:b w:val="0"/>
          <w:kern w:val="1"/>
          <w:lang w:val="en-GB" w:eastAsia="pt-PT"/>
        </w:rPr>
        <w:t>-</w:t>
      </w:r>
      <w:r w:rsidR="00DA75E9">
        <w:rPr>
          <w:rFonts w:eastAsia="SimSun"/>
          <w:b w:val="0"/>
          <w:kern w:val="1"/>
          <w:lang w:val="en-GB" w:eastAsia="pt-PT"/>
        </w:rPr>
        <w:t>specific the asset is</w:t>
      </w:r>
      <w:r w:rsidR="00DA75E9" w:rsidRPr="0007669C">
        <w:rPr>
          <w:rFonts w:eastAsia="SimSun"/>
          <w:b w:val="0"/>
          <w:kern w:val="1"/>
          <w:lang w:val="en-GB" w:eastAsia="pt-PT"/>
        </w:rPr>
        <w:t xml:space="preserve">. </w:t>
      </w:r>
      <w:r w:rsidR="00D93750" w:rsidRPr="0007669C">
        <w:rPr>
          <w:rFonts w:eastAsia="SimSun"/>
          <w:b w:val="0"/>
          <w:kern w:val="1"/>
          <w:lang w:val="en-GB" w:eastAsia="pt-PT"/>
        </w:rPr>
        <w:t>As such firms incur</w:t>
      </w:r>
      <w:r w:rsidR="00E753FF">
        <w:rPr>
          <w:rFonts w:eastAsia="SimSun"/>
          <w:b w:val="0"/>
          <w:kern w:val="1"/>
          <w:lang w:val="en-GB" w:eastAsia="pt-PT"/>
        </w:rPr>
        <w:t xml:space="preserve"> in</w:t>
      </w:r>
      <w:r w:rsidR="00D93750" w:rsidRPr="0007669C">
        <w:rPr>
          <w:rFonts w:eastAsia="SimSun"/>
          <w:b w:val="0"/>
          <w:kern w:val="1"/>
          <w:lang w:val="en-GB" w:eastAsia="pt-PT"/>
        </w:rPr>
        <w:t xml:space="preserve"> sunk costs related to </w:t>
      </w:r>
      <w:r w:rsidR="000A4D8E" w:rsidRPr="0007669C">
        <w:rPr>
          <w:rFonts w:eastAsia="SimSun"/>
          <w:b w:val="0"/>
          <w:kern w:val="1"/>
          <w:lang w:val="en-GB" w:eastAsia="pt-PT"/>
        </w:rPr>
        <w:t xml:space="preserve">investment and </w:t>
      </w:r>
      <w:r w:rsidR="00D93750" w:rsidRPr="0007669C">
        <w:rPr>
          <w:rFonts w:eastAsia="SimSun"/>
          <w:b w:val="0"/>
          <w:kern w:val="1"/>
          <w:lang w:val="en-GB" w:eastAsia="pt-PT"/>
        </w:rPr>
        <w:t xml:space="preserve">the acquisition of assets </w:t>
      </w:r>
      <w:r w:rsidR="00A80795" w:rsidRPr="0007669C">
        <w:rPr>
          <w:rFonts w:eastAsia="SimSun"/>
          <w:b w:val="0"/>
          <w:kern w:val="1"/>
          <w:lang w:val="en-GB" w:eastAsia="pt-PT"/>
        </w:rPr>
        <w:t>(</w:t>
      </w:r>
      <w:r w:rsidR="00B965AD" w:rsidRPr="0007669C">
        <w:rPr>
          <w:rFonts w:eastAsia="SimSun"/>
          <w:b w:val="0"/>
          <w:kern w:val="1"/>
          <w:lang w:val="en-GB" w:eastAsia="pt-PT"/>
        </w:rPr>
        <w:t>see</w:t>
      </w:r>
      <w:r w:rsidR="00395266">
        <w:rPr>
          <w:rFonts w:eastAsia="SimSun"/>
          <w:b w:val="0"/>
          <w:kern w:val="1"/>
          <w:lang w:val="en-GB" w:eastAsia="pt-PT"/>
        </w:rPr>
        <w:t>,</w:t>
      </w:r>
      <w:r w:rsidR="007623AC">
        <w:rPr>
          <w:rFonts w:eastAsia="SimSun"/>
          <w:b w:val="0"/>
          <w:kern w:val="1"/>
          <w:lang w:val="en-GB" w:eastAsia="pt-PT"/>
        </w:rPr>
        <w:t xml:space="preserve"> </w:t>
      </w:r>
      <w:r w:rsidR="007623AC" w:rsidRPr="0007669C">
        <w:rPr>
          <w:rFonts w:eastAsia="SimSun"/>
          <w:b w:val="0"/>
          <w:kern w:val="1"/>
          <w:lang w:val="en-GB" w:eastAsia="pt-PT"/>
        </w:rPr>
        <w:t xml:space="preserve">Dixit, </w:t>
      </w:r>
      <w:r w:rsidR="007623AC">
        <w:rPr>
          <w:rFonts w:eastAsia="SimSun"/>
          <w:b w:val="0"/>
          <w:kern w:val="1"/>
          <w:lang w:val="en-GB" w:eastAsia="pt-PT"/>
        </w:rPr>
        <w:t>1989</w:t>
      </w:r>
      <w:r w:rsidR="009E1B3C">
        <w:rPr>
          <w:rFonts w:eastAsia="SimSun"/>
          <w:b w:val="0"/>
          <w:kern w:val="1"/>
          <w:lang w:val="en-GB" w:eastAsia="pt-PT"/>
        </w:rPr>
        <w:t>;</w:t>
      </w:r>
      <w:r w:rsidR="002308C0">
        <w:rPr>
          <w:rFonts w:eastAsia="SimSun"/>
          <w:b w:val="0"/>
          <w:kern w:val="1"/>
          <w:lang w:val="en-GB" w:eastAsia="pt-PT"/>
        </w:rPr>
        <w:t xml:space="preserve"> </w:t>
      </w:r>
      <w:r w:rsidR="007623AC" w:rsidRPr="0007669C">
        <w:rPr>
          <w:rFonts w:eastAsia="SimSun"/>
          <w:b w:val="0"/>
          <w:kern w:val="1"/>
          <w:lang w:val="en-GB" w:eastAsia="pt-PT"/>
        </w:rPr>
        <w:t>19</w:t>
      </w:r>
      <w:r w:rsidR="007623AC">
        <w:rPr>
          <w:rFonts w:eastAsia="SimSun"/>
          <w:b w:val="0"/>
          <w:kern w:val="1"/>
          <w:lang w:val="en-GB" w:eastAsia="pt-PT"/>
        </w:rPr>
        <w:t>92</w:t>
      </w:r>
      <w:r w:rsidR="009E1B3C">
        <w:rPr>
          <w:rFonts w:eastAsia="SimSun"/>
          <w:b w:val="0"/>
          <w:kern w:val="1"/>
          <w:lang w:val="en-GB" w:eastAsia="pt-PT"/>
        </w:rPr>
        <w:t>,</w:t>
      </w:r>
      <w:r w:rsidR="007623AC">
        <w:rPr>
          <w:rFonts w:eastAsia="SimSun"/>
          <w:b w:val="0"/>
          <w:kern w:val="1"/>
          <w:lang w:val="en-GB" w:eastAsia="pt-PT"/>
        </w:rPr>
        <w:t xml:space="preserve"> </w:t>
      </w:r>
      <w:r w:rsidR="007623AC" w:rsidRPr="0007669C">
        <w:rPr>
          <w:rFonts w:eastAsia="SimSun"/>
          <w:b w:val="0"/>
          <w:kern w:val="1"/>
          <w:lang w:val="en-GB" w:eastAsia="pt-PT"/>
        </w:rPr>
        <w:t>Pyndick, 1991</w:t>
      </w:r>
      <w:r w:rsidR="009E1B3C">
        <w:rPr>
          <w:rFonts w:eastAsia="SimSun"/>
          <w:b w:val="0"/>
          <w:kern w:val="1"/>
          <w:lang w:val="en-GB" w:eastAsia="pt-PT"/>
        </w:rPr>
        <w:t>,</w:t>
      </w:r>
      <w:r w:rsidR="007623AC" w:rsidRPr="007623AC">
        <w:rPr>
          <w:b w:val="0"/>
          <w:bCs w:val="0"/>
          <w:lang w:val="en-GB"/>
        </w:rPr>
        <w:t xml:space="preserve"> </w:t>
      </w:r>
      <w:r w:rsidR="00506F11" w:rsidRPr="00325DF7">
        <w:rPr>
          <w:rFonts w:eastAsia="SimSun"/>
          <w:b w:val="0"/>
          <w:bCs w:val="0"/>
          <w:kern w:val="1"/>
          <w:lang w:val="en-GB" w:eastAsia="pt-PT"/>
        </w:rPr>
        <w:t>Dias &amp; Shackleton, 2011</w:t>
      </w:r>
      <w:r w:rsidR="00506F11">
        <w:rPr>
          <w:rFonts w:eastAsia="SimSun"/>
          <w:b w:val="0"/>
          <w:bCs w:val="0"/>
          <w:kern w:val="1"/>
          <w:lang w:val="en-GB" w:eastAsia="pt-PT"/>
        </w:rPr>
        <w:t xml:space="preserve">, </w:t>
      </w:r>
      <w:r w:rsidR="007623AC" w:rsidRPr="0007669C">
        <w:rPr>
          <w:b w:val="0"/>
          <w:bCs w:val="0"/>
          <w:lang w:val="en-GB"/>
        </w:rPr>
        <w:t>Bassi &amp; Lang, 2016</w:t>
      </w:r>
      <w:r w:rsidR="009E1B3C">
        <w:rPr>
          <w:b w:val="0"/>
          <w:bCs w:val="0"/>
          <w:lang w:val="en-GB"/>
        </w:rPr>
        <w:t>,</w:t>
      </w:r>
      <w:r w:rsidR="00B965AD" w:rsidRPr="0007669C">
        <w:rPr>
          <w:rFonts w:eastAsia="SimSun"/>
          <w:b w:val="0"/>
          <w:kern w:val="1"/>
          <w:lang w:val="en-GB" w:eastAsia="pt-PT"/>
        </w:rPr>
        <w:t xml:space="preserve"> </w:t>
      </w:r>
      <w:r w:rsidR="0007669C" w:rsidRPr="0007669C">
        <w:rPr>
          <w:rFonts w:eastAsia="SimSun"/>
          <w:b w:val="0"/>
          <w:kern w:val="1"/>
          <w:lang w:val="en-GB" w:eastAsia="pt-PT"/>
        </w:rPr>
        <w:t xml:space="preserve">Adamonis &amp; </w:t>
      </w:r>
      <w:r w:rsidR="0007669C" w:rsidRPr="0007669C">
        <w:rPr>
          <w:rFonts w:eastAsia="SimSun"/>
          <w:b w:val="0"/>
          <w:bCs w:val="0"/>
          <w:kern w:val="1"/>
          <w:lang w:val="en-GB" w:eastAsia="pt-PT"/>
        </w:rPr>
        <w:t>Göcke</w:t>
      </w:r>
      <w:r w:rsidR="009E1B3C">
        <w:rPr>
          <w:rFonts w:eastAsia="SimSun"/>
          <w:b w:val="0"/>
          <w:bCs w:val="0"/>
          <w:kern w:val="1"/>
          <w:lang w:val="en-GB" w:eastAsia="pt-PT"/>
        </w:rPr>
        <w:t>,</w:t>
      </w:r>
      <w:r w:rsidR="0007669C" w:rsidRPr="0007669C">
        <w:rPr>
          <w:rFonts w:eastAsia="SimSun"/>
          <w:b w:val="0"/>
          <w:bCs w:val="0"/>
          <w:kern w:val="1"/>
          <w:lang w:val="en-GB" w:eastAsia="pt-PT"/>
        </w:rPr>
        <w:t xml:space="preserve"> 2019, </w:t>
      </w:r>
      <w:r w:rsidR="009E1B3C">
        <w:rPr>
          <w:rFonts w:eastAsia="SimSun"/>
          <w:b w:val="0"/>
          <w:bCs w:val="0"/>
          <w:kern w:val="1"/>
          <w:lang w:val="en-GB" w:eastAsia="pt-PT"/>
        </w:rPr>
        <w:t xml:space="preserve">and </w:t>
      </w:r>
      <w:r w:rsidR="0007669C" w:rsidRPr="0007669C">
        <w:rPr>
          <w:rFonts w:eastAsia="SimSun"/>
          <w:b w:val="0"/>
          <w:kern w:val="1"/>
          <w:lang w:val="en-GB" w:eastAsia="pt-PT"/>
        </w:rPr>
        <w:t xml:space="preserve">Belke &amp; Göcke, </w:t>
      </w:r>
      <w:r w:rsidR="0007669C">
        <w:rPr>
          <w:rFonts w:eastAsia="SimSun"/>
          <w:b w:val="0"/>
          <w:kern w:val="1"/>
          <w:lang w:val="en-GB" w:eastAsia="pt-PT"/>
        </w:rPr>
        <w:t>2019</w:t>
      </w:r>
      <w:r w:rsidR="00A80795" w:rsidRPr="0007669C">
        <w:rPr>
          <w:rFonts w:eastAsia="SimSun"/>
          <w:b w:val="0"/>
          <w:kern w:val="1"/>
          <w:lang w:val="en-GB" w:eastAsia="pt-PT"/>
        </w:rPr>
        <w:t>)</w:t>
      </w:r>
      <w:r w:rsidR="000A4D8E" w:rsidRPr="0007669C">
        <w:rPr>
          <w:rFonts w:eastAsia="SimSun"/>
          <w:b w:val="0"/>
          <w:kern w:val="1"/>
          <w:lang w:val="en-GB" w:eastAsia="pt-PT"/>
        </w:rPr>
        <w:t>.</w:t>
      </w:r>
    </w:p>
    <w:p w14:paraId="65EAD2F6" w14:textId="6EA8950F" w:rsidR="00244644" w:rsidRDefault="009E1B3C" w:rsidP="004F3B94">
      <w:pPr>
        <w:pStyle w:val="BodyText"/>
        <w:spacing w:line="360" w:lineRule="auto"/>
        <w:ind w:firstLine="720"/>
        <w:jc w:val="both"/>
        <w:rPr>
          <w:rFonts w:eastAsia="SimSun"/>
          <w:kern w:val="1"/>
          <w:lang w:val="en-GB" w:eastAsia="pt-PT"/>
        </w:rPr>
      </w:pPr>
      <w:r w:rsidRPr="002C192A">
        <w:rPr>
          <w:rFonts w:eastAsia="SimSun"/>
          <w:bCs/>
          <w:kern w:val="1"/>
          <w:lang w:val="en-GB" w:eastAsia="pt-PT"/>
        </w:rPr>
        <w:t>One source of sunkenness is t</w:t>
      </w:r>
      <w:r w:rsidR="00206ADD" w:rsidRPr="002C192A">
        <w:rPr>
          <w:rFonts w:eastAsia="SimSun"/>
          <w:bCs/>
          <w:kern w:val="1"/>
          <w:lang w:val="en-GB" w:eastAsia="pt-PT"/>
        </w:rPr>
        <w:t>he</w:t>
      </w:r>
      <w:r w:rsidR="000A4D8E" w:rsidRPr="002C192A">
        <w:rPr>
          <w:rFonts w:eastAsia="SimSun"/>
          <w:bCs/>
          <w:kern w:val="1"/>
          <w:lang w:val="en-GB" w:eastAsia="pt-PT"/>
        </w:rPr>
        <w:t xml:space="preserve"> inexistence of secondary markets</w:t>
      </w:r>
      <w:r w:rsidRPr="002C192A">
        <w:rPr>
          <w:rFonts w:eastAsia="SimSun"/>
          <w:bCs/>
          <w:kern w:val="1"/>
          <w:lang w:val="en-GB" w:eastAsia="pt-PT"/>
        </w:rPr>
        <w:t xml:space="preserve"> for some assets, </w:t>
      </w:r>
      <w:r w:rsidR="00206ADD" w:rsidRPr="002C192A">
        <w:rPr>
          <w:rFonts w:eastAsia="SimSun"/>
          <w:bCs/>
          <w:kern w:val="1"/>
          <w:lang w:val="en-GB" w:eastAsia="pt-PT"/>
        </w:rPr>
        <w:t>in the sense that if after the acquisition of an asset,</w:t>
      </w:r>
      <w:r w:rsidR="00340EF3">
        <w:rPr>
          <w:rFonts w:eastAsia="SimSun"/>
          <w:bCs/>
          <w:kern w:val="1"/>
          <w:lang w:val="en-GB" w:eastAsia="pt-PT"/>
        </w:rPr>
        <w:t xml:space="preserve"> if</w:t>
      </w:r>
      <w:r w:rsidR="00206ADD" w:rsidRPr="002C192A">
        <w:rPr>
          <w:rFonts w:eastAsia="SimSun"/>
          <w:bCs/>
          <w:kern w:val="1"/>
          <w:lang w:val="en-GB" w:eastAsia="pt-PT"/>
        </w:rPr>
        <w:t xml:space="preserve"> a firm decides to disinvest</w:t>
      </w:r>
      <w:r w:rsidRPr="002C192A">
        <w:rPr>
          <w:rFonts w:eastAsia="SimSun"/>
          <w:bCs/>
          <w:kern w:val="1"/>
          <w:lang w:val="en-GB" w:eastAsia="pt-PT"/>
        </w:rPr>
        <w:t>,</w:t>
      </w:r>
      <w:r w:rsidR="00206ADD" w:rsidRPr="002C192A">
        <w:rPr>
          <w:rFonts w:eastAsia="SimSun"/>
          <w:bCs/>
          <w:kern w:val="1"/>
          <w:lang w:val="en-GB" w:eastAsia="pt-PT"/>
        </w:rPr>
        <w:t xml:space="preserve"> it will</w:t>
      </w:r>
      <w:r w:rsidRPr="002C192A">
        <w:rPr>
          <w:rFonts w:eastAsia="SimSun"/>
          <w:bCs/>
          <w:kern w:val="1"/>
          <w:lang w:val="en-GB" w:eastAsia="pt-PT"/>
        </w:rPr>
        <w:t xml:space="preserve"> be difficult or even impossible to</w:t>
      </w:r>
      <w:r w:rsidR="00206ADD" w:rsidRPr="002C192A">
        <w:rPr>
          <w:rFonts w:eastAsia="SimSun"/>
          <w:bCs/>
          <w:kern w:val="1"/>
          <w:lang w:val="en-GB" w:eastAsia="pt-PT"/>
        </w:rPr>
        <w:t xml:space="preserve"> resell that</w:t>
      </w:r>
      <w:r w:rsidR="00206ADD" w:rsidRPr="008324DC">
        <w:rPr>
          <w:rFonts w:eastAsia="SimSun"/>
          <w:kern w:val="1"/>
          <w:lang w:val="en-GB" w:eastAsia="pt-PT"/>
        </w:rPr>
        <w:t xml:space="preserve"> asset</w:t>
      </w:r>
      <w:r w:rsidR="000A4D8E" w:rsidRPr="008324DC">
        <w:rPr>
          <w:rFonts w:eastAsia="SimSun"/>
          <w:kern w:val="1"/>
          <w:lang w:val="en-GB" w:eastAsia="pt-PT"/>
        </w:rPr>
        <w:t xml:space="preserve"> (Cooper &amp; Haltiwanger, 2006).</w:t>
      </w:r>
      <w:r w:rsidR="001E4421" w:rsidRPr="008324DC">
        <w:rPr>
          <w:rFonts w:eastAsia="SimSun"/>
          <w:kern w:val="1"/>
          <w:lang w:val="en-GB" w:eastAsia="pt-PT"/>
        </w:rPr>
        <w:t xml:space="preserve"> </w:t>
      </w:r>
      <w:r w:rsidR="008324DC" w:rsidRPr="008324DC">
        <w:rPr>
          <w:rFonts w:eastAsia="SimSun"/>
          <w:kern w:val="1"/>
          <w:lang w:val="en-GB" w:eastAsia="pt-PT"/>
        </w:rPr>
        <w:t>For this reason, there is a strong irreversibility associated with the acquisition of certain</w:t>
      </w:r>
      <w:r w:rsidR="00340EF3">
        <w:rPr>
          <w:rFonts w:eastAsia="SimSun"/>
          <w:kern w:val="1"/>
          <w:lang w:val="en-GB" w:eastAsia="pt-PT"/>
        </w:rPr>
        <w:t xml:space="preserve"> types of</w:t>
      </w:r>
      <w:r w:rsidR="008324DC" w:rsidRPr="008324DC">
        <w:rPr>
          <w:rFonts w:eastAsia="SimSun"/>
          <w:kern w:val="1"/>
          <w:lang w:val="en-GB" w:eastAsia="pt-PT"/>
        </w:rPr>
        <w:t xml:space="preserve"> assets</w:t>
      </w:r>
      <w:r w:rsidR="00340EF3">
        <w:rPr>
          <w:rFonts w:eastAsia="SimSun"/>
          <w:kern w:val="1"/>
          <w:lang w:val="en-GB" w:eastAsia="pt-PT"/>
        </w:rPr>
        <w:t>. This irreversibility is higher the</w:t>
      </w:r>
      <w:r w:rsidR="008324DC" w:rsidRPr="008324DC">
        <w:rPr>
          <w:rFonts w:eastAsia="SimSun"/>
          <w:kern w:val="1"/>
          <w:lang w:val="en-GB" w:eastAsia="pt-PT"/>
        </w:rPr>
        <w:t xml:space="preserve"> more firm-specific the asset is</w:t>
      </w:r>
      <w:r w:rsidR="00045BD9" w:rsidRPr="008324DC">
        <w:rPr>
          <w:rFonts w:eastAsia="SimSun"/>
          <w:kern w:val="1"/>
          <w:lang w:val="en-GB" w:eastAsia="pt-PT"/>
        </w:rPr>
        <w:t>.</w:t>
      </w:r>
    </w:p>
    <w:p w14:paraId="546B5F74" w14:textId="42BB0B02" w:rsidR="00244644" w:rsidRPr="00054E33" w:rsidRDefault="001D1CFE" w:rsidP="00244644">
      <w:pPr>
        <w:pStyle w:val="BodyText"/>
        <w:spacing w:line="360" w:lineRule="auto"/>
        <w:ind w:firstLine="720"/>
        <w:jc w:val="both"/>
        <w:rPr>
          <w:lang w:val="en-GB"/>
        </w:rPr>
      </w:pPr>
      <w:r>
        <w:rPr>
          <w:lang w:val="en-GB"/>
        </w:rPr>
        <w:t>I</w:t>
      </w:r>
      <w:r w:rsidR="00244644" w:rsidRPr="00054E33">
        <w:rPr>
          <w:lang w:val="en-GB"/>
        </w:rPr>
        <w:t>ndustry-specific investment expenditures are</w:t>
      </w:r>
      <w:r>
        <w:rPr>
          <w:lang w:val="en-GB"/>
        </w:rPr>
        <w:t xml:space="preserve"> considered to be</w:t>
      </w:r>
      <w:r w:rsidR="00244644" w:rsidRPr="00054E33">
        <w:rPr>
          <w:lang w:val="en-GB"/>
        </w:rPr>
        <w:t xml:space="preserve"> sunk</w:t>
      </w:r>
      <w:r>
        <w:rPr>
          <w:lang w:val="en-GB"/>
        </w:rPr>
        <w:t xml:space="preserve"> costs and</w:t>
      </w:r>
      <w:r w:rsidRPr="00054E33">
        <w:rPr>
          <w:lang w:val="en-GB"/>
        </w:rPr>
        <w:t xml:space="preserve"> that</w:t>
      </w:r>
      <w:r w:rsidR="00244644" w:rsidRPr="00054E33">
        <w:rPr>
          <w:lang w:val="en-GB"/>
        </w:rPr>
        <w:t xml:space="preserve"> derives from the notion that the firms act in a competitive environment. In a competitive environment if an investment decision proves to be fruitless for one firm, then it is likely that it is going to be fruitless for the other firms</w:t>
      </w:r>
      <w:r w:rsidR="00244644">
        <w:rPr>
          <w:lang w:val="en-GB"/>
        </w:rPr>
        <w:t xml:space="preserve"> because the value of the assets acquired will be about the same for all firms in the industry</w:t>
      </w:r>
      <w:r w:rsidR="00244644" w:rsidRPr="00054E33">
        <w:rPr>
          <w:lang w:val="en-GB"/>
        </w:rPr>
        <w:t xml:space="preserve">, therefore, to be considered as a mostly sunk </w:t>
      </w:r>
      <w:r w:rsidR="00244644" w:rsidRPr="00054E33">
        <w:rPr>
          <w:lang w:val="en-GB"/>
        </w:rPr>
        <w:lastRenderedPageBreak/>
        <w:t>cost</w:t>
      </w:r>
      <w:r w:rsidR="00244644">
        <w:rPr>
          <w:lang w:val="en-GB"/>
        </w:rPr>
        <w:t xml:space="preserve"> (Pyndick, 1991)</w:t>
      </w:r>
      <w:r w:rsidR="00244644" w:rsidRPr="00054E33">
        <w:rPr>
          <w:lang w:val="en-GB"/>
        </w:rPr>
        <w:t>.</w:t>
      </w:r>
      <w:r w:rsidR="00244644" w:rsidRPr="00244644">
        <w:rPr>
          <w:lang w:val="en-GB"/>
        </w:rPr>
        <w:t xml:space="preserve"> </w:t>
      </w:r>
      <w:r w:rsidR="00244644">
        <w:rPr>
          <w:lang w:val="en-GB"/>
        </w:rPr>
        <w:t>Another reason that explains why investment</w:t>
      </w:r>
      <w:r w:rsidR="00244644" w:rsidRPr="00054E33">
        <w:rPr>
          <w:lang w:val="en-GB"/>
        </w:rPr>
        <w:t xml:space="preserve"> expenditures entail a given level of irreversibility</w:t>
      </w:r>
      <w:r w:rsidR="00244644">
        <w:rPr>
          <w:lang w:val="en-GB"/>
        </w:rPr>
        <w:t xml:space="preserve"> is</w:t>
      </w:r>
      <w:r w:rsidR="00244644" w:rsidRPr="00054E33">
        <w:rPr>
          <w:lang w:val="en-GB"/>
        </w:rPr>
        <w:t xml:space="preserve"> because of asymmetric information,</w:t>
      </w:r>
      <w:r w:rsidR="00244644">
        <w:rPr>
          <w:lang w:val="en-GB"/>
        </w:rPr>
        <w:t xml:space="preserve"> as assets</w:t>
      </w:r>
      <w:r w:rsidR="00244644" w:rsidRPr="00054E33">
        <w:rPr>
          <w:lang w:val="en-GB"/>
        </w:rPr>
        <w:t xml:space="preserve"> hold less resale value than under perfect information, contributing to larger sunk costs (Pyndick</w:t>
      </w:r>
      <w:r w:rsidR="00244644">
        <w:rPr>
          <w:lang w:val="en-GB"/>
        </w:rPr>
        <w:t>,</w:t>
      </w:r>
      <w:r w:rsidR="00244644" w:rsidRPr="00054E33">
        <w:rPr>
          <w:lang w:val="en-GB"/>
        </w:rPr>
        <w:t xml:space="preserve"> 1991</w:t>
      </w:r>
      <w:r w:rsidR="00244644">
        <w:rPr>
          <w:lang w:val="en-GB"/>
        </w:rPr>
        <w:t>,</w:t>
      </w:r>
      <w:r w:rsidR="00244644" w:rsidRPr="00054E33">
        <w:rPr>
          <w:lang w:val="en-GB"/>
        </w:rPr>
        <w:t xml:space="preserve"> Dixit &amp; Pyndick</w:t>
      </w:r>
      <w:r w:rsidR="00244644">
        <w:rPr>
          <w:lang w:val="en-GB"/>
        </w:rPr>
        <w:t>,</w:t>
      </w:r>
      <w:r w:rsidR="00244644" w:rsidRPr="00054E33">
        <w:rPr>
          <w:lang w:val="en-GB"/>
        </w:rPr>
        <w:t xml:space="preserve"> 1994</w:t>
      </w:r>
      <w:r w:rsidR="00244644">
        <w:rPr>
          <w:lang w:val="en-GB"/>
        </w:rPr>
        <w:t>,</w:t>
      </w:r>
      <w:r w:rsidR="00244644" w:rsidRPr="00054E33">
        <w:rPr>
          <w:lang w:val="en-GB"/>
        </w:rPr>
        <w:t xml:space="preserve"> Folta </w:t>
      </w:r>
      <w:r w:rsidR="00244644" w:rsidRPr="0095181F">
        <w:rPr>
          <w:i/>
          <w:iCs/>
          <w:lang w:val="en-GB"/>
        </w:rPr>
        <w:t>et al</w:t>
      </w:r>
      <w:r w:rsidR="00244644" w:rsidRPr="00054E33">
        <w:rPr>
          <w:lang w:val="en-GB"/>
        </w:rPr>
        <w:t>., 2006</w:t>
      </w:r>
      <w:r w:rsidR="00244644">
        <w:rPr>
          <w:lang w:val="en-GB"/>
        </w:rPr>
        <w:t>,</w:t>
      </w:r>
      <w:r w:rsidR="00244644" w:rsidRPr="00054E33">
        <w:rPr>
          <w:lang w:val="en-GB"/>
        </w:rPr>
        <w:t xml:space="preserve"> </w:t>
      </w:r>
      <w:r w:rsidR="00244644">
        <w:rPr>
          <w:lang w:val="en-GB"/>
        </w:rPr>
        <w:t xml:space="preserve">and </w:t>
      </w:r>
      <w:r w:rsidR="00244644" w:rsidRPr="00054E33">
        <w:rPr>
          <w:lang w:val="en-GB"/>
        </w:rPr>
        <w:t>Bontempi, 2016).</w:t>
      </w:r>
    </w:p>
    <w:p w14:paraId="09D0B18B" w14:textId="77777777" w:rsidR="00C802DF" w:rsidRDefault="00F61201" w:rsidP="004F3B94">
      <w:pPr>
        <w:pStyle w:val="BodyText"/>
        <w:spacing w:line="360" w:lineRule="auto"/>
        <w:ind w:firstLine="720"/>
        <w:jc w:val="both"/>
        <w:rPr>
          <w:rFonts w:eastAsia="SimSun"/>
          <w:kern w:val="1"/>
          <w:lang w:val="en-GB" w:eastAsia="pt-PT"/>
        </w:rPr>
      </w:pPr>
      <w:r w:rsidRPr="008324DC">
        <w:rPr>
          <w:rFonts w:eastAsia="SimSun"/>
          <w:kern w:val="1"/>
          <w:lang w:val="en-GB" w:eastAsia="pt-PT"/>
        </w:rPr>
        <w:t>Let us consider a firm that is making an initial investment</w:t>
      </w:r>
      <w:r w:rsidR="00104DE6">
        <w:rPr>
          <w:rFonts w:eastAsia="SimSun"/>
          <w:kern w:val="1"/>
          <w:lang w:val="en-GB" w:eastAsia="pt-PT"/>
        </w:rPr>
        <w:t>.</w:t>
      </w:r>
      <w:r w:rsidR="008324DC" w:rsidRPr="008324DC">
        <w:rPr>
          <w:rStyle w:val="FootnoteReference"/>
          <w:rFonts w:eastAsia="SimSun"/>
          <w:kern w:val="1"/>
          <w:lang w:val="en-GB" w:eastAsia="pt-PT"/>
        </w:rPr>
        <w:footnoteReference w:id="4"/>
      </w:r>
      <w:r w:rsidRPr="008324DC">
        <w:rPr>
          <w:rFonts w:eastAsia="SimSun"/>
          <w:kern w:val="1"/>
          <w:lang w:val="en-GB" w:eastAsia="pt-PT"/>
        </w:rPr>
        <w:t xml:space="preserve"> </w:t>
      </w:r>
      <w:r w:rsidR="00104DE6">
        <w:rPr>
          <w:rFonts w:eastAsia="SimSun"/>
          <w:kern w:val="1"/>
          <w:lang w:val="en-GB" w:eastAsia="pt-PT"/>
        </w:rPr>
        <w:t>T</w:t>
      </w:r>
      <w:r w:rsidRPr="008324DC">
        <w:rPr>
          <w:rFonts w:eastAsia="SimSun"/>
          <w:kern w:val="1"/>
          <w:lang w:val="en-GB" w:eastAsia="pt-PT"/>
        </w:rPr>
        <w:t xml:space="preserve">his firm will incur </w:t>
      </w:r>
      <w:r w:rsidR="00104DE6">
        <w:rPr>
          <w:rFonts w:eastAsia="SimSun"/>
          <w:kern w:val="1"/>
          <w:lang w:val="en-GB" w:eastAsia="pt-PT"/>
        </w:rPr>
        <w:t xml:space="preserve">in </w:t>
      </w:r>
      <w:r w:rsidRPr="008324DC">
        <w:rPr>
          <w:rFonts w:eastAsia="SimSun"/>
          <w:kern w:val="1"/>
          <w:lang w:val="en-GB" w:eastAsia="pt-PT"/>
        </w:rPr>
        <w:t>sunk costs</w:t>
      </w:r>
      <w:r w:rsidR="00104DE6">
        <w:rPr>
          <w:rFonts w:eastAsia="SimSun"/>
          <w:kern w:val="1"/>
          <w:lang w:val="en-GB" w:eastAsia="pt-PT"/>
        </w:rPr>
        <w:t>,</w:t>
      </w:r>
      <w:r w:rsidR="00045BD9" w:rsidRPr="008324DC">
        <w:rPr>
          <w:rFonts w:eastAsia="SimSun"/>
          <w:kern w:val="1"/>
          <w:lang w:val="en-GB" w:eastAsia="pt-PT"/>
        </w:rPr>
        <w:t xml:space="preserve"> </w:t>
      </w:r>
      <w:r w:rsidR="00776E55" w:rsidRPr="008324DC">
        <w:rPr>
          <w:rFonts w:eastAsia="SimSun"/>
          <w:kern w:val="1"/>
          <w:lang w:val="en-GB" w:eastAsia="pt-PT"/>
        </w:rPr>
        <w:t xml:space="preserve">such as </w:t>
      </w:r>
      <w:r w:rsidR="00A12963" w:rsidRPr="008324DC">
        <w:rPr>
          <w:rFonts w:eastAsia="SimSun"/>
          <w:kern w:val="1"/>
          <w:lang w:val="en-GB" w:eastAsia="pt-PT"/>
        </w:rPr>
        <w:t>market research, setting up supplier chains,</w:t>
      </w:r>
      <w:r w:rsidR="00D35F6B" w:rsidRPr="008324DC">
        <w:rPr>
          <w:rFonts w:eastAsia="SimSun"/>
          <w:kern w:val="1"/>
          <w:lang w:val="en-GB" w:eastAsia="pt-PT"/>
        </w:rPr>
        <w:t xml:space="preserve"> advertising</w:t>
      </w:r>
      <w:r w:rsidR="00316DD4" w:rsidRPr="008324DC">
        <w:rPr>
          <w:rFonts w:eastAsia="SimSun"/>
          <w:kern w:val="1"/>
          <w:lang w:val="en-GB" w:eastAsia="pt-PT"/>
        </w:rPr>
        <w:t xml:space="preserve"> campaigns</w:t>
      </w:r>
      <w:r w:rsidR="00D35F6B" w:rsidRPr="008324DC">
        <w:rPr>
          <w:rFonts w:eastAsia="SimSun"/>
          <w:kern w:val="1"/>
          <w:lang w:val="en-GB" w:eastAsia="pt-PT"/>
        </w:rPr>
        <w:t xml:space="preserve"> and marketing </w:t>
      </w:r>
      <w:r w:rsidRPr="008324DC">
        <w:rPr>
          <w:rFonts w:eastAsia="SimSun"/>
          <w:kern w:val="1"/>
          <w:lang w:val="en-GB" w:eastAsia="pt-PT"/>
        </w:rPr>
        <w:t>to</w:t>
      </w:r>
      <w:r w:rsidR="00D35F6B" w:rsidRPr="008324DC">
        <w:rPr>
          <w:rFonts w:eastAsia="SimSun"/>
          <w:kern w:val="1"/>
          <w:lang w:val="en-GB" w:eastAsia="pt-PT"/>
        </w:rPr>
        <w:t xml:space="preserve"> create customer awareness and </w:t>
      </w:r>
      <w:r w:rsidR="004E7F32" w:rsidRPr="008324DC">
        <w:rPr>
          <w:rFonts w:eastAsia="SimSun"/>
          <w:kern w:val="1"/>
          <w:lang w:val="en-GB" w:eastAsia="pt-PT"/>
        </w:rPr>
        <w:t xml:space="preserve">establish a </w:t>
      </w:r>
      <w:r w:rsidR="0057712B" w:rsidRPr="008324DC">
        <w:rPr>
          <w:rFonts w:eastAsia="SimSun"/>
          <w:kern w:val="1"/>
          <w:lang w:val="en-GB" w:eastAsia="pt-PT"/>
        </w:rPr>
        <w:t>bran</w:t>
      </w:r>
      <w:r w:rsidR="004E7F32" w:rsidRPr="008324DC">
        <w:rPr>
          <w:rFonts w:eastAsia="SimSun"/>
          <w:kern w:val="1"/>
          <w:lang w:val="en-GB" w:eastAsia="pt-PT"/>
        </w:rPr>
        <w:t>d</w:t>
      </w:r>
      <w:r w:rsidR="00D428E6" w:rsidRPr="008324DC">
        <w:rPr>
          <w:rFonts w:eastAsia="SimSun"/>
          <w:kern w:val="1"/>
          <w:lang w:val="en-GB" w:eastAsia="pt-PT"/>
        </w:rPr>
        <w:t>.</w:t>
      </w:r>
      <w:r w:rsidR="009B5021" w:rsidRPr="008324DC">
        <w:rPr>
          <w:rFonts w:eastAsia="SimSun"/>
          <w:kern w:val="1"/>
          <w:lang w:val="en-GB" w:eastAsia="pt-PT"/>
        </w:rPr>
        <w:t xml:space="preserve"> </w:t>
      </w:r>
      <w:r w:rsidR="00104DE6">
        <w:rPr>
          <w:rFonts w:eastAsia="SimSun"/>
          <w:kern w:val="1"/>
          <w:lang w:val="en-GB" w:eastAsia="pt-PT"/>
        </w:rPr>
        <w:t>At the same time</w:t>
      </w:r>
      <w:r w:rsidR="009B5021" w:rsidRPr="008324DC">
        <w:rPr>
          <w:rFonts w:eastAsia="SimSun"/>
          <w:kern w:val="1"/>
          <w:lang w:val="en-GB" w:eastAsia="pt-PT"/>
        </w:rPr>
        <w:t>, firms</w:t>
      </w:r>
      <w:r w:rsidR="00104DE6">
        <w:rPr>
          <w:rFonts w:eastAsia="SimSun"/>
          <w:kern w:val="1"/>
          <w:lang w:val="en-GB" w:eastAsia="pt-PT"/>
        </w:rPr>
        <w:t xml:space="preserve"> also</w:t>
      </w:r>
      <w:r w:rsidR="009B5021" w:rsidRPr="008324DC">
        <w:rPr>
          <w:rFonts w:eastAsia="SimSun"/>
          <w:kern w:val="1"/>
          <w:lang w:val="en-GB" w:eastAsia="pt-PT"/>
        </w:rPr>
        <w:t xml:space="preserve"> face exit costs</w:t>
      </w:r>
      <w:r w:rsidR="00104DE6">
        <w:rPr>
          <w:rFonts w:eastAsia="SimSun"/>
          <w:kern w:val="1"/>
          <w:lang w:val="en-GB" w:eastAsia="pt-PT"/>
        </w:rPr>
        <w:t xml:space="preserve">, if </w:t>
      </w:r>
      <w:r w:rsidR="009B5021" w:rsidRPr="008324DC">
        <w:rPr>
          <w:rFonts w:eastAsia="SimSun"/>
          <w:kern w:val="1"/>
          <w:lang w:val="en-GB" w:eastAsia="pt-PT"/>
        </w:rPr>
        <w:t xml:space="preserve">they consider </w:t>
      </w:r>
      <w:r w:rsidR="00E03CAF" w:rsidRPr="008324DC">
        <w:rPr>
          <w:rFonts w:eastAsia="SimSun"/>
          <w:kern w:val="1"/>
          <w:lang w:val="en-GB" w:eastAsia="pt-PT"/>
        </w:rPr>
        <w:t>disinvest</w:t>
      </w:r>
      <w:r w:rsidR="008731ED" w:rsidRPr="008324DC">
        <w:rPr>
          <w:rFonts w:eastAsia="SimSun"/>
          <w:kern w:val="1"/>
          <w:lang w:val="en-GB" w:eastAsia="pt-PT"/>
        </w:rPr>
        <w:t>ing</w:t>
      </w:r>
      <w:r w:rsidR="00104DE6">
        <w:rPr>
          <w:rFonts w:eastAsia="SimSun"/>
          <w:kern w:val="1"/>
          <w:lang w:val="en-GB" w:eastAsia="pt-PT"/>
        </w:rPr>
        <w:t xml:space="preserve"> </w:t>
      </w:r>
      <w:r w:rsidR="008324DC" w:rsidRPr="008324DC">
        <w:rPr>
          <w:rFonts w:eastAsia="SimSun"/>
          <w:kern w:val="1"/>
          <w:lang w:val="en-GB" w:eastAsia="pt-PT"/>
        </w:rPr>
        <w:t>reselling of</w:t>
      </w:r>
      <w:r w:rsidR="00104DE6">
        <w:rPr>
          <w:rFonts w:eastAsia="SimSun"/>
          <w:kern w:val="1"/>
          <w:lang w:val="en-GB" w:eastAsia="pt-PT"/>
        </w:rPr>
        <w:t xml:space="preserve"> firm-specific</w:t>
      </w:r>
      <w:r w:rsidR="008324DC" w:rsidRPr="008324DC">
        <w:rPr>
          <w:rFonts w:eastAsia="SimSun"/>
          <w:kern w:val="1"/>
          <w:lang w:val="en-GB" w:eastAsia="pt-PT"/>
        </w:rPr>
        <w:t xml:space="preserve"> assets </w:t>
      </w:r>
      <w:r w:rsidR="00104DE6">
        <w:rPr>
          <w:rFonts w:eastAsia="SimSun"/>
          <w:kern w:val="1"/>
          <w:lang w:val="en-GB" w:eastAsia="pt-PT"/>
        </w:rPr>
        <w:t>could be</w:t>
      </w:r>
      <w:r w:rsidR="008324DC" w:rsidRPr="008324DC">
        <w:rPr>
          <w:rFonts w:eastAsia="SimSun"/>
          <w:kern w:val="1"/>
          <w:lang w:val="en-GB" w:eastAsia="pt-PT"/>
        </w:rPr>
        <w:t xml:space="preserve"> difficult.</w:t>
      </w:r>
    </w:p>
    <w:p w14:paraId="43F9C940" w14:textId="7AFC7901" w:rsidR="004F3B94" w:rsidRDefault="00E56549" w:rsidP="004F3B94">
      <w:pPr>
        <w:pStyle w:val="BodyText"/>
        <w:spacing w:line="360" w:lineRule="auto"/>
        <w:ind w:firstLine="720"/>
        <w:jc w:val="both"/>
        <w:rPr>
          <w:lang w:val="en-GB"/>
        </w:rPr>
      </w:pPr>
      <w:r>
        <w:rPr>
          <w:rFonts w:eastAsia="SimSun"/>
          <w:kern w:val="1"/>
          <w:lang w:val="en-GB" w:eastAsia="pt-PT"/>
        </w:rPr>
        <w:t>When a firm decides to invest, the firm-specific investments ought to be considered as sunk costs, however, as long as the firm does not disinvest those sunk costs do not have to be written off. In a full cycle of investment and disinvestment</w:t>
      </w:r>
      <w:r w:rsidR="00604390">
        <w:rPr>
          <w:rFonts w:eastAsia="SimSun"/>
          <w:kern w:val="1"/>
          <w:lang w:val="en-GB" w:eastAsia="pt-PT"/>
        </w:rPr>
        <w:t>,</w:t>
      </w:r>
      <w:r>
        <w:rPr>
          <w:rFonts w:eastAsia="SimSun"/>
          <w:kern w:val="1"/>
          <w:lang w:val="en-GB" w:eastAsia="pt-PT"/>
        </w:rPr>
        <w:t xml:space="preserve"> both sunk entry costs and sunk exit costs have to be written off. As a consequence</w:t>
      </w:r>
      <w:r w:rsidR="00604390">
        <w:rPr>
          <w:rFonts w:eastAsia="SimSun"/>
          <w:kern w:val="1"/>
          <w:lang w:val="en-GB" w:eastAsia="pt-PT"/>
        </w:rPr>
        <w:t>,</w:t>
      </w:r>
      <w:r>
        <w:rPr>
          <w:rFonts w:eastAsia="SimSun"/>
          <w:kern w:val="1"/>
          <w:lang w:val="en-GB" w:eastAsia="pt-PT"/>
        </w:rPr>
        <w:t xml:space="preserve"> there is a dynamic loss consisting of the sum of sunk entry and sunk exit costs, analogous to a hysteresis loss in physics</w:t>
      </w:r>
      <w:r w:rsidR="00430996">
        <w:rPr>
          <w:rFonts w:eastAsia="SimSun"/>
          <w:kern w:val="1"/>
          <w:lang w:val="en-GB" w:eastAsia="pt-PT"/>
        </w:rPr>
        <w:t>. These adjustment costs</w:t>
      </w:r>
      <w:r w:rsidR="00430996" w:rsidRPr="008324DC">
        <w:rPr>
          <w:rFonts w:eastAsia="SimSun"/>
          <w:kern w:val="1"/>
          <w:lang w:val="en-GB" w:eastAsia="pt-PT"/>
        </w:rPr>
        <w:t xml:space="preserve"> create hysteresis effects inducing path-dependent </w:t>
      </w:r>
      <w:r w:rsidR="00430996">
        <w:rPr>
          <w:rFonts w:eastAsia="SimSun"/>
          <w:kern w:val="1"/>
          <w:lang w:val="en-GB" w:eastAsia="pt-PT"/>
        </w:rPr>
        <w:t>investment dynamics.</w:t>
      </w:r>
      <w:r>
        <w:rPr>
          <w:rFonts w:eastAsia="SimSun"/>
          <w:kern w:val="1"/>
          <w:lang w:val="en-GB" w:eastAsia="pt-PT"/>
        </w:rPr>
        <w:t xml:space="preserve"> </w:t>
      </w:r>
      <w:r w:rsidR="0057712B" w:rsidRPr="008324DC">
        <w:rPr>
          <w:rFonts w:eastAsia="SimSun"/>
          <w:kern w:val="1"/>
          <w:lang w:val="en-GB" w:eastAsia="pt-PT"/>
        </w:rPr>
        <w:t xml:space="preserve">(Adamonis &amp; Göcke, </w:t>
      </w:r>
      <w:r w:rsidR="0024605D" w:rsidRPr="008324DC">
        <w:rPr>
          <w:rFonts w:eastAsia="SimSun"/>
          <w:kern w:val="1"/>
          <w:lang w:val="en-GB" w:eastAsia="pt-PT"/>
        </w:rPr>
        <w:t>2019</w:t>
      </w:r>
      <w:r w:rsidR="0057712B" w:rsidRPr="008324DC">
        <w:rPr>
          <w:rFonts w:eastAsia="SimSun"/>
          <w:kern w:val="1"/>
          <w:lang w:val="en-GB" w:eastAsia="pt-PT"/>
        </w:rPr>
        <w:t>)</w:t>
      </w:r>
      <w:r w:rsidR="0024605D" w:rsidRPr="008324DC">
        <w:rPr>
          <w:rFonts w:eastAsia="SimSun"/>
          <w:kern w:val="1"/>
          <w:lang w:val="en-GB" w:eastAsia="pt-PT"/>
        </w:rPr>
        <w:t>.</w:t>
      </w:r>
    </w:p>
    <w:p w14:paraId="1AC3D4DC" w14:textId="107DD9F1" w:rsidR="00CC4AFB" w:rsidRPr="00A3169E" w:rsidRDefault="00DE7CBF" w:rsidP="00E7098F">
      <w:pPr>
        <w:pStyle w:val="Heading3"/>
        <w:tabs>
          <w:tab w:val="left" w:pos="934"/>
        </w:tabs>
        <w:spacing w:line="360" w:lineRule="auto"/>
        <w:ind w:left="0" w:firstLine="720"/>
        <w:jc w:val="both"/>
        <w:rPr>
          <w:rFonts w:eastAsia="SimSun"/>
          <w:bCs w:val="0"/>
          <w:kern w:val="1"/>
          <w:lang w:val="en-GB" w:eastAsia="pt-PT"/>
        </w:rPr>
      </w:pPr>
      <w:bookmarkStart w:id="15" w:name="_Hlk138312829"/>
      <w:r>
        <w:rPr>
          <w:rFonts w:eastAsia="SimSun"/>
          <w:b w:val="0"/>
          <w:kern w:val="1"/>
          <w:lang w:val="en-GB" w:eastAsia="pt-PT"/>
        </w:rPr>
        <w:t xml:space="preserve">Under the </w:t>
      </w:r>
      <w:r w:rsidR="0038125B">
        <w:rPr>
          <w:rFonts w:eastAsia="SimSun"/>
          <w:b w:val="0"/>
          <w:kern w:val="1"/>
          <w:lang w:val="en-GB" w:eastAsia="pt-PT"/>
        </w:rPr>
        <w:t>presence of hysteresis</w:t>
      </w:r>
      <w:r w:rsidR="00BC06B9">
        <w:rPr>
          <w:rFonts w:eastAsia="SimSun"/>
          <w:b w:val="0"/>
          <w:kern w:val="1"/>
          <w:lang w:val="en-GB" w:eastAsia="pt-PT"/>
        </w:rPr>
        <w:t>,</w:t>
      </w:r>
      <w:r w:rsidR="0038125B">
        <w:rPr>
          <w:rFonts w:eastAsia="SimSun"/>
          <w:b w:val="0"/>
          <w:kern w:val="1"/>
          <w:lang w:val="en-GB" w:eastAsia="pt-PT"/>
        </w:rPr>
        <w:t xml:space="preserve"> firms’ </w:t>
      </w:r>
      <w:r w:rsidR="009E1B3C">
        <w:rPr>
          <w:rFonts w:eastAsia="SimSun"/>
          <w:b w:val="0"/>
          <w:kern w:val="1"/>
          <w:lang w:val="en-GB" w:eastAsia="pt-PT"/>
        </w:rPr>
        <w:t xml:space="preserve">investment </w:t>
      </w:r>
      <w:r w:rsidR="0038125B">
        <w:rPr>
          <w:rFonts w:eastAsia="SimSun"/>
          <w:b w:val="0"/>
          <w:kern w:val="1"/>
          <w:lang w:val="en-GB" w:eastAsia="pt-PT"/>
        </w:rPr>
        <w:t>reaction</w:t>
      </w:r>
      <w:r w:rsidR="00B26349">
        <w:rPr>
          <w:rFonts w:eastAsia="SimSun"/>
          <w:b w:val="0"/>
          <w:kern w:val="1"/>
          <w:lang w:val="en-GB" w:eastAsia="pt-PT"/>
        </w:rPr>
        <w:t>s</w:t>
      </w:r>
      <w:r w:rsidR="0038125B">
        <w:rPr>
          <w:rFonts w:eastAsia="SimSun"/>
          <w:b w:val="0"/>
          <w:kern w:val="1"/>
          <w:lang w:val="en-GB" w:eastAsia="pt-PT"/>
        </w:rPr>
        <w:t xml:space="preserve"> </w:t>
      </w:r>
      <w:r w:rsidR="00B26349">
        <w:rPr>
          <w:rFonts w:eastAsia="SimSun"/>
          <w:b w:val="0"/>
          <w:kern w:val="1"/>
          <w:lang w:val="en-GB" w:eastAsia="pt-PT"/>
        </w:rPr>
        <w:t>are</w:t>
      </w:r>
      <w:r w:rsidR="0038125B">
        <w:rPr>
          <w:rFonts w:eastAsia="SimSun"/>
          <w:b w:val="0"/>
          <w:kern w:val="1"/>
          <w:lang w:val="en-GB" w:eastAsia="pt-PT"/>
        </w:rPr>
        <w:t xml:space="preserve"> discontinuous and lumpy</w:t>
      </w:r>
      <w:r w:rsidR="00252E6B">
        <w:rPr>
          <w:rFonts w:eastAsia="SimSun"/>
          <w:b w:val="0"/>
          <w:kern w:val="1"/>
          <w:lang w:val="en-GB" w:eastAsia="pt-PT"/>
        </w:rPr>
        <w:t xml:space="preserve">, with episodes of large adjustment </w:t>
      </w:r>
      <w:r w:rsidR="008A328C">
        <w:rPr>
          <w:rFonts w:eastAsia="SimSun"/>
          <w:b w:val="0"/>
          <w:kern w:val="1"/>
          <w:lang w:val="en-GB" w:eastAsia="pt-PT"/>
        </w:rPr>
        <w:t>between large periods of inaction</w:t>
      </w:r>
      <w:r w:rsidR="008F1F12">
        <w:rPr>
          <w:rFonts w:eastAsia="SimSun"/>
          <w:b w:val="0"/>
          <w:kern w:val="1"/>
          <w:lang w:val="en-GB" w:eastAsia="pt-PT"/>
        </w:rPr>
        <w:t xml:space="preserve"> (</w:t>
      </w:r>
      <w:r w:rsidR="004F20DE">
        <w:rPr>
          <w:rFonts w:eastAsia="SimSun"/>
          <w:b w:val="0"/>
          <w:kern w:val="1"/>
          <w:lang w:val="en-GB" w:eastAsia="pt-PT"/>
        </w:rPr>
        <w:t>see</w:t>
      </w:r>
      <w:r w:rsidR="00395266">
        <w:rPr>
          <w:rFonts w:eastAsia="SimSun"/>
          <w:b w:val="0"/>
          <w:kern w:val="1"/>
          <w:lang w:val="en-GB" w:eastAsia="pt-PT"/>
        </w:rPr>
        <w:t>,</w:t>
      </w:r>
      <w:r w:rsidR="004F20DE">
        <w:rPr>
          <w:rFonts w:eastAsia="SimSun"/>
          <w:b w:val="0"/>
          <w:kern w:val="1"/>
          <w:lang w:val="en-GB" w:eastAsia="pt-PT"/>
        </w:rPr>
        <w:t xml:space="preserve"> e.g., </w:t>
      </w:r>
      <w:r w:rsidR="004F19A5">
        <w:rPr>
          <w:rFonts w:eastAsia="SimSun"/>
          <w:b w:val="0"/>
          <w:kern w:val="1"/>
          <w:lang w:val="en-GB" w:eastAsia="pt-PT"/>
        </w:rPr>
        <w:t>Pyndick, 1991</w:t>
      </w:r>
      <w:r w:rsidR="009E1B3C">
        <w:rPr>
          <w:rFonts w:eastAsia="SimSun"/>
          <w:b w:val="0"/>
          <w:kern w:val="1"/>
          <w:lang w:val="en-GB" w:eastAsia="pt-PT"/>
        </w:rPr>
        <w:t>,</w:t>
      </w:r>
      <w:r w:rsidR="004F19A5">
        <w:rPr>
          <w:rFonts w:eastAsia="SimSun"/>
          <w:b w:val="0"/>
          <w:kern w:val="1"/>
          <w:lang w:val="en-GB" w:eastAsia="pt-PT"/>
        </w:rPr>
        <w:t xml:space="preserve"> Dixit, 1992</w:t>
      </w:r>
      <w:r w:rsidR="009E1B3C">
        <w:rPr>
          <w:rFonts w:eastAsia="SimSun"/>
          <w:b w:val="0"/>
          <w:kern w:val="1"/>
          <w:lang w:val="en-GB" w:eastAsia="pt-PT"/>
        </w:rPr>
        <w:t>,</w:t>
      </w:r>
      <w:r w:rsidR="004F19A5">
        <w:rPr>
          <w:rFonts w:eastAsia="SimSun"/>
          <w:b w:val="0"/>
          <w:kern w:val="1"/>
          <w:lang w:val="en-GB" w:eastAsia="pt-PT"/>
        </w:rPr>
        <w:t xml:space="preserve"> Cross, 1993</w:t>
      </w:r>
      <w:r w:rsidR="009E1B3C">
        <w:rPr>
          <w:rFonts w:eastAsia="SimSun"/>
          <w:b w:val="0"/>
          <w:kern w:val="1"/>
          <w:lang w:val="en-GB" w:eastAsia="pt-PT"/>
        </w:rPr>
        <w:t>,</w:t>
      </w:r>
      <w:r w:rsidR="004F19A5">
        <w:rPr>
          <w:rFonts w:eastAsia="SimSun"/>
          <w:b w:val="0"/>
          <w:kern w:val="1"/>
          <w:lang w:val="en-GB" w:eastAsia="pt-PT"/>
        </w:rPr>
        <w:t xml:space="preserve"> Dixit &amp; Pyndick, 1994</w:t>
      </w:r>
      <w:r w:rsidR="009E1B3C">
        <w:rPr>
          <w:rFonts w:eastAsia="SimSun"/>
          <w:b w:val="0"/>
          <w:kern w:val="1"/>
          <w:lang w:val="en-GB" w:eastAsia="pt-PT"/>
        </w:rPr>
        <w:t>,</w:t>
      </w:r>
      <w:r w:rsidR="004F19A5">
        <w:rPr>
          <w:rFonts w:eastAsia="SimSun"/>
          <w:b w:val="0"/>
          <w:kern w:val="1"/>
          <w:lang w:val="en-GB" w:eastAsia="pt-PT"/>
        </w:rPr>
        <w:t xml:space="preserve"> </w:t>
      </w:r>
      <w:r w:rsidR="009E4346">
        <w:rPr>
          <w:rFonts w:eastAsia="SimSun"/>
          <w:b w:val="0"/>
          <w:kern w:val="1"/>
          <w:lang w:val="en-GB" w:eastAsia="pt-PT"/>
        </w:rPr>
        <w:t xml:space="preserve">Belke </w:t>
      </w:r>
      <w:r w:rsidR="009E4346" w:rsidRPr="0095181F">
        <w:rPr>
          <w:rFonts w:eastAsia="SimSun"/>
          <w:b w:val="0"/>
          <w:i/>
          <w:iCs/>
          <w:kern w:val="1"/>
          <w:lang w:val="en-GB" w:eastAsia="pt-PT"/>
        </w:rPr>
        <w:t>et al</w:t>
      </w:r>
      <w:r w:rsidR="009E4346">
        <w:rPr>
          <w:rFonts w:eastAsia="SimSun"/>
          <w:b w:val="0"/>
          <w:kern w:val="1"/>
          <w:lang w:val="en-GB" w:eastAsia="pt-PT"/>
        </w:rPr>
        <w:t>., 2019</w:t>
      </w:r>
      <w:r w:rsidR="009E1B3C">
        <w:rPr>
          <w:rFonts w:eastAsia="SimSun"/>
          <w:b w:val="0"/>
          <w:kern w:val="1"/>
          <w:lang w:val="en-GB" w:eastAsia="pt-PT"/>
        </w:rPr>
        <w:t>,</w:t>
      </w:r>
      <w:r w:rsidR="009E4346">
        <w:rPr>
          <w:rFonts w:eastAsia="SimSun"/>
          <w:b w:val="0"/>
          <w:kern w:val="1"/>
          <w:lang w:val="en-GB" w:eastAsia="pt-PT"/>
        </w:rPr>
        <w:t xml:space="preserve"> </w:t>
      </w:r>
      <w:r w:rsidR="00941F31">
        <w:rPr>
          <w:rFonts w:eastAsia="SimSun"/>
          <w:b w:val="0"/>
          <w:kern w:val="1"/>
          <w:lang w:val="en-GB" w:eastAsia="pt-PT"/>
        </w:rPr>
        <w:t xml:space="preserve">and </w:t>
      </w:r>
      <w:r w:rsidR="009E4346">
        <w:rPr>
          <w:rFonts w:eastAsia="SimSun"/>
          <w:b w:val="0"/>
          <w:kern w:val="1"/>
          <w:lang w:val="en-GB" w:eastAsia="pt-PT"/>
        </w:rPr>
        <w:t xml:space="preserve">Belke &amp; </w:t>
      </w:r>
      <w:r w:rsidR="009E4346" w:rsidRPr="0057712B">
        <w:rPr>
          <w:rFonts w:eastAsia="SimSun"/>
          <w:b w:val="0"/>
          <w:kern w:val="1"/>
          <w:lang w:val="en-GB" w:eastAsia="pt-PT"/>
        </w:rPr>
        <w:t>Göcke</w:t>
      </w:r>
      <w:r w:rsidR="009E4346">
        <w:rPr>
          <w:rFonts w:eastAsia="SimSun"/>
          <w:b w:val="0"/>
          <w:kern w:val="1"/>
          <w:lang w:val="en-GB" w:eastAsia="pt-PT"/>
        </w:rPr>
        <w:t>, 2019).</w:t>
      </w:r>
      <w:bookmarkEnd w:id="15"/>
      <w:r w:rsidR="00A3169E">
        <w:rPr>
          <w:rFonts w:eastAsia="SimSun"/>
          <w:kern w:val="1"/>
          <w:lang w:val="en-GB" w:eastAsia="pt-PT"/>
        </w:rPr>
        <w:br w:type="page"/>
      </w:r>
    </w:p>
    <w:p w14:paraId="3BBDFD1B" w14:textId="31BFD3ED" w:rsidR="00C11BD0" w:rsidRPr="0063438A" w:rsidRDefault="00AB6B96" w:rsidP="00F13999">
      <w:pPr>
        <w:pStyle w:val="Heading3"/>
        <w:numPr>
          <w:ilvl w:val="1"/>
          <w:numId w:val="24"/>
        </w:numPr>
        <w:tabs>
          <w:tab w:val="left" w:pos="426"/>
        </w:tabs>
        <w:spacing w:before="1"/>
        <w:ind w:left="0" w:firstLine="0"/>
        <w:rPr>
          <w:b w:val="0"/>
          <w:bCs w:val="0"/>
          <w:lang w:val="en-GB"/>
        </w:rPr>
      </w:pPr>
      <w:bookmarkStart w:id="16" w:name="_bookmark7"/>
      <w:bookmarkEnd w:id="16"/>
      <w:r>
        <w:rPr>
          <w:lang w:val="en-GB"/>
        </w:rPr>
        <w:lastRenderedPageBreak/>
        <w:t xml:space="preserve">The </w:t>
      </w:r>
      <w:r w:rsidR="00B41D60">
        <w:rPr>
          <w:lang w:val="en-GB"/>
        </w:rPr>
        <w:t>P</w:t>
      </w:r>
      <w:r>
        <w:rPr>
          <w:lang w:val="en-GB"/>
        </w:rPr>
        <w:t xml:space="preserve">articular </w:t>
      </w:r>
      <w:r w:rsidR="00B41D60">
        <w:rPr>
          <w:lang w:val="en-GB"/>
        </w:rPr>
        <w:t>C</w:t>
      </w:r>
      <w:r>
        <w:rPr>
          <w:lang w:val="en-GB"/>
        </w:rPr>
        <w:t xml:space="preserve">haracteristics of </w:t>
      </w:r>
      <w:r w:rsidR="00B41D60">
        <w:rPr>
          <w:lang w:val="en-GB"/>
        </w:rPr>
        <w:t>I</w:t>
      </w:r>
      <w:r>
        <w:rPr>
          <w:lang w:val="en-GB"/>
        </w:rPr>
        <w:t xml:space="preserve">ntangible </w:t>
      </w:r>
      <w:r w:rsidR="00B41D60">
        <w:rPr>
          <w:lang w:val="en-GB"/>
        </w:rPr>
        <w:t>A</w:t>
      </w:r>
      <w:r>
        <w:rPr>
          <w:lang w:val="en-GB"/>
        </w:rPr>
        <w:t>ssets</w:t>
      </w:r>
    </w:p>
    <w:p w14:paraId="3741231C" w14:textId="0CC02A40" w:rsidR="008F65FD" w:rsidRPr="0063438A" w:rsidRDefault="008F65FD" w:rsidP="00A35328">
      <w:pPr>
        <w:pStyle w:val="Heading3"/>
        <w:tabs>
          <w:tab w:val="left" w:pos="934"/>
        </w:tabs>
        <w:spacing w:line="360" w:lineRule="auto"/>
        <w:ind w:left="0" w:firstLine="0"/>
        <w:rPr>
          <w:b w:val="0"/>
          <w:bCs w:val="0"/>
          <w:lang w:val="en-GB"/>
        </w:rPr>
      </w:pPr>
    </w:p>
    <w:p w14:paraId="5A8A9E79" w14:textId="6F10F89B" w:rsidR="0025707A" w:rsidRPr="00B5061D" w:rsidRDefault="00B41D60" w:rsidP="00A3169E">
      <w:pPr>
        <w:pStyle w:val="Estilo1"/>
        <w:ind w:firstLine="720"/>
        <w:rPr>
          <w:rFonts w:ascii="Garamond" w:eastAsia="SimSun" w:hAnsi="Garamond"/>
          <w:b w:val="0"/>
          <w:kern w:val="1"/>
          <w:sz w:val="24"/>
          <w:szCs w:val="24"/>
          <w:lang w:val="en-GB" w:eastAsia="pt-PT"/>
        </w:rPr>
      </w:pPr>
      <w:r>
        <w:rPr>
          <w:rFonts w:ascii="Garamond" w:eastAsia="SimSun" w:hAnsi="Garamond"/>
          <w:b w:val="0"/>
          <w:kern w:val="1"/>
          <w:sz w:val="24"/>
          <w:szCs w:val="24"/>
          <w:lang w:val="en-GB" w:eastAsia="pt-PT"/>
        </w:rPr>
        <w:t>Gross Fixed C</w:t>
      </w:r>
      <w:r w:rsidR="00841B98">
        <w:rPr>
          <w:rFonts w:ascii="Garamond" w:eastAsia="SimSun" w:hAnsi="Garamond"/>
          <w:b w:val="0"/>
          <w:kern w:val="1"/>
          <w:sz w:val="24"/>
          <w:szCs w:val="24"/>
          <w:lang w:val="en-GB" w:eastAsia="pt-PT"/>
        </w:rPr>
        <w:t>apital</w:t>
      </w:r>
      <w:r w:rsidR="000454F1">
        <w:rPr>
          <w:rFonts w:ascii="Garamond" w:eastAsia="SimSun" w:hAnsi="Garamond"/>
          <w:b w:val="0"/>
          <w:kern w:val="1"/>
          <w:sz w:val="24"/>
          <w:szCs w:val="24"/>
          <w:lang w:val="en-GB" w:eastAsia="pt-PT"/>
        </w:rPr>
        <w:t xml:space="preserve"> can be tangible or intangible. Tangible capital as the name implies is everything that holds a physical presence</w:t>
      </w:r>
      <w:r w:rsidR="00927D48">
        <w:rPr>
          <w:rFonts w:ascii="Garamond" w:eastAsia="SimSun" w:hAnsi="Garamond"/>
          <w:b w:val="0"/>
          <w:kern w:val="1"/>
          <w:sz w:val="24"/>
          <w:szCs w:val="24"/>
          <w:lang w:val="en-GB" w:eastAsia="pt-PT"/>
        </w:rPr>
        <w:t xml:space="preserve"> such as</w:t>
      </w:r>
      <w:r w:rsidR="000454F1">
        <w:rPr>
          <w:rFonts w:ascii="Garamond" w:eastAsia="SimSun" w:hAnsi="Garamond"/>
          <w:b w:val="0"/>
          <w:kern w:val="1"/>
          <w:sz w:val="24"/>
          <w:szCs w:val="24"/>
          <w:lang w:val="en-GB" w:eastAsia="pt-PT"/>
        </w:rPr>
        <w:t xml:space="preserve"> </w:t>
      </w:r>
      <w:r w:rsidR="002D496C">
        <w:rPr>
          <w:rFonts w:ascii="Garamond" w:eastAsia="SimSun" w:hAnsi="Garamond"/>
          <w:b w:val="0"/>
          <w:kern w:val="1"/>
          <w:sz w:val="24"/>
          <w:szCs w:val="24"/>
          <w:lang w:val="en-GB" w:eastAsia="pt-PT"/>
        </w:rPr>
        <w:t xml:space="preserve">buildings, </w:t>
      </w:r>
      <w:r w:rsidR="00562497">
        <w:rPr>
          <w:rFonts w:ascii="Garamond" w:eastAsia="SimSun" w:hAnsi="Garamond"/>
          <w:b w:val="0"/>
          <w:kern w:val="1"/>
          <w:sz w:val="24"/>
          <w:szCs w:val="24"/>
          <w:lang w:val="en-GB" w:eastAsia="pt-PT"/>
        </w:rPr>
        <w:t>machinery</w:t>
      </w:r>
      <w:r w:rsidR="002D496C">
        <w:rPr>
          <w:rFonts w:ascii="Garamond" w:eastAsia="SimSun" w:hAnsi="Garamond"/>
          <w:b w:val="0"/>
          <w:kern w:val="1"/>
          <w:sz w:val="24"/>
          <w:szCs w:val="24"/>
          <w:lang w:val="en-GB" w:eastAsia="pt-PT"/>
        </w:rPr>
        <w:t>,</w:t>
      </w:r>
      <w:r w:rsidR="00927D48">
        <w:rPr>
          <w:rFonts w:ascii="Garamond" w:eastAsia="SimSun" w:hAnsi="Garamond"/>
          <w:b w:val="0"/>
          <w:kern w:val="1"/>
          <w:sz w:val="24"/>
          <w:szCs w:val="24"/>
          <w:lang w:val="en-GB" w:eastAsia="pt-PT"/>
        </w:rPr>
        <w:t xml:space="preserve"> vehicles, </w:t>
      </w:r>
      <w:r w:rsidR="003D69DC">
        <w:rPr>
          <w:rFonts w:ascii="Garamond" w:eastAsia="SimSun" w:hAnsi="Garamond"/>
          <w:b w:val="0"/>
          <w:kern w:val="1"/>
          <w:sz w:val="24"/>
          <w:szCs w:val="24"/>
          <w:lang w:val="en-GB" w:eastAsia="pt-PT"/>
        </w:rPr>
        <w:t xml:space="preserve">land, </w:t>
      </w:r>
      <w:r w:rsidR="000F444A">
        <w:rPr>
          <w:rFonts w:ascii="Garamond" w:eastAsia="SimSun" w:hAnsi="Garamond"/>
          <w:b w:val="0"/>
          <w:kern w:val="1"/>
          <w:sz w:val="24"/>
          <w:szCs w:val="24"/>
          <w:lang w:val="en-GB" w:eastAsia="pt-PT"/>
        </w:rPr>
        <w:t>inventor</w:t>
      </w:r>
      <w:r w:rsidR="00A04346">
        <w:rPr>
          <w:rFonts w:ascii="Garamond" w:eastAsia="SimSun" w:hAnsi="Garamond"/>
          <w:b w:val="0"/>
          <w:kern w:val="1"/>
          <w:sz w:val="24"/>
          <w:szCs w:val="24"/>
          <w:lang w:val="en-GB" w:eastAsia="pt-PT"/>
        </w:rPr>
        <w:t>ies</w:t>
      </w:r>
      <w:r w:rsidR="000F444A">
        <w:rPr>
          <w:rFonts w:ascii="Garamond" w:eastAsia="SimSun" w:hAnsi="Garamond"/>
          <w:b w:val="0"/>
          <w:kern w:val="1"/>
          <w:sz w:val="24"/>
          <w:szCs w:val="24"/>
          <w:lang w:val="en-GB" w:eastAsia="pt-PT"/>
        </w:rPr>
        <w:t xml:space="preserve">, </w:t>
      </w:r>
      <w:r w:rsidR="00F2024E">
        <w:rPr>
          <w:rFonts w:ascii="Garamond" w:eastAsia="SimSun" w:hAnsi="Garamond"/>
          <w:b w:val="0"/>
          <w:kern w:val="1"/>
          <w:sz w:val="24"/>
          <w:szCs w:val="24"/>
          <w:lang w:val="en-GB" w:eastAsia="pt-PT"/>
        </w:rPr>
        <w:t>computers</w:t>
      </w:r>
      <w:r w:rsidR="00A04346">
        <w:rPr>
          <w:rFonts w:ascii="Garamond" w:eastAsia="SimSun" w:hAnsi="Garamond"/>
          <w:b w:val="0"/>
          <w:kern w:val="1"/>
          <w:sz w:val="24"/>
          <w:szCs w:val="24"/>
          <w:lang w:val="en-GB" w:eastAsia="pt-PT"/>
        </w:rPr>
        <w:t xml:space="preserve">, </w:t>
      </w:r>
      <w:r w:rsidR="00A04346" w:rsidRPr="00A04346">
        <w:rPr>
          <w:rFonts w:ascii="Garamond" w:eastAsia="SimSun" w:hAnsi="Garamond"/>
          <w:b w:val="0"/>
          <w:i/>
          <w:iCs/>
          <w:kern w:val="1"/>
          <w:sz w:val="24"/>
          <w:szCs w:val="24"/>
          <w:lang w:val="en-GB" w:eastAsia="pt-PT"/>
        </w:rPr>
        <w:t>etc</w:t>
      </w:r>
      <w:r w:rsidR="00E46BEF">
        <w:rPr>
          <w:rFonts w:ascii="Garamond" w:eastAsia="SimSun" w:hAnsi="Garamond"/>
          <w:b w:val="0"/>
          <w:kern w:val="1"/>
          <w:sz w:val="24"/>
          <w:szCs w:val="24"/>
          <w:lang w:val="en-GB" w:eastAsia="pt-PT"/>
        </w:rPr>
        <w:t>. W</w:t>
      </w:r>
      <w:r w:rsidR="005E7AE6">
        <w:rPr>
          <w:rFonts w:ascii="Garamond" w:eastAsia="SimSun" w:hAnsi="Garamond"/>
          <w:b w:val="0"/>
          <w:kern w:val="1"/>
          <w:sz w:val="24"/>
          <w:szCs w:val="24"/>
          <w:lang w:val="en-GB" w:eastAsia="pt-PT"/>
        </w:rPr>
        <w:t>hilst i</w:t>
      </w:r>
      <w:r w:rsidR="0025707A" w:rsidRPr="00B5061D">
        <w:rPr>
          <w:rFonts w:ascii="Garamond" w:eastAsia="SimSun" w:hAnsi="Garamond"/>
          <w:b w:val="0"/>
          <w:kern w:val="1"/>
          <w:sz w:val="24"/>
          <w:szCs w:val="24"/>
          <w:lang w:val="en-GB" w:eastAsia="pt-PT"/>
        </w:rPr>
        <w:t xml:space="preserve">ntangible assets </w:t>
      </w:r>
      <w:r>
        <w:rPr>
          <w:rFonts w:ascii="Garamond" w:eastAsia="SimSun" w:hAnsi="Garamond"/>
          <w:b w:val="0"/>
          <w:kern w:val="1"/>
          <w:sz w:val="24"/>
          <w:szCs w:val="24"/>
          <w:lang w:val="en-GB" w:eastAsia="pt-PT"/>
        </w:rPr>
        <w:t xml:space="preserve">are assets that are immaterial such as design, software, human capital, and </w:t>
      </w:r>
      <w:r w:rsidR="00A04346">
        <w:rPr>
          <w:rFonts w:ascii="Garamond" w:eastAsia="SimSun" w:hAnsi="Garamond"/>
          <w:b w:val="0"/>
          <w:kern w:val="1"/>
          <w:sz w:val="24"/>
          <w:szCs w:val="24"/>
          <w:lang w:val="en-GB" w:eastAsia="pt-PT"/>
        </w:rPr>
        <w:t>brands</w:t>
      </w:r>
      <w:r>
        <w:rPr>
          <w:rFonts w:ascii="Garamond" w:eastAsia="SimSun" w:hAnsi="Garamond"/>
          <w:b w:val="0"/>
          <w:kern w:val="1"/>
          <w:sz w:val="24"/>
          <w:szCs w:val="24"/>
          <w:lang w:val="en-GB" w:eastAsia="pt-PT"/>
        </w:rPr>
        <w:t xml:space="preserve">. Intangible assets </w:t>
      </w:r>
      <w:r w:rsidR="0025707A" w:rsidRPr="00B5061D">
        <w:rPr>
          <w:rFonts w:ascii="Garamond" w:eastAsia="SimSun" w:hAnsi="Garamond"/>
          <w:b w:val="0"/>
          <w:kern w:val="1"/>
          <w:sz w:val="24"/>
          <w:szCs w:val="24"/>
          <w:lang w:val="en-GB" w:eastAsia="pt-PT"/>
        </w:rPr>
        <w:t>can be best defined using the Young (1998)</w:t>
      </w:r>
      <w:r w:rsidR="00AB5513">
        <w:rPr>
          <w:rFonts w:ascii="Garamond" w:eastAsia="SimSun" w:hAnsi="Garamond"/>
          <w:b w:val="0"/>
          <w:kern w:val="1"/>
          <w:sz w:val="24"/>
          <w:szCs w:val="24"/>
          <w:lang w:val="en-GB" w:eastAsia="pt-PT"/>
        </w:rPr>
        <w:t>’s classification</w:t>
      </w:r>
      <w:r w:rsidR="00871FB2">
        <w:rPr>
          <w:rFonts w:ascii="Garamond" w:eastAsia="SimSun" w:hAnsi="Garamond"/>
          <w:b w:val="0"/>
          <w:kern w:val="1"/>
          <w:sz w:val="24"/>
          <w:szCs w:val="24"/>
          <w:lang w:val="en-GB" w:eastAsia="pt-PT"/>
        </w:rPr>
        <w:t xml:space="preserve"> </w:t>
      </w:r>
      <w:r w:rsidR="00AB5513">
        <w:rPr>
          <w:rFonts w:ascii="Garamond" w:eastAsia="SimSun" w:hAnsi="Garamond"/>
          <w:b w:val="0"/>
          <w:kern w:val="1"/>
          <w:sz w:val="24"/>
          <w:szCs w:val="24"/>
          <w:lang w:val="en-GB" w:eastAsia="pt-PT"/>
        </w:rPr>
        <w:t>(</w:t>
      </w:r>
      <w:r w:rsidR="00871FB2">
        <w:rPr>
          <w:rFonts w:ascii="Garamond" w:eastAsia="SimSun" w:hAnsi="Garamond"/>
          <w:b w:val="0"/>
          <w:kern w:val="1"/>
          <w:sz w:val="24"/>
          <w:szCs w:val="24"/>
          <w:lang w:val="en-GB" w:eastAsia="pt-PT"/>
        </w:rPr>
        <w:t>see Table 1</w:t>
      </w:r>
      <w:r w:rsidR="00AB5513">
        <w:rPr>
          <w:rFonts w:ascii="Garamond" w:eastAsia="SimSun" w:hAnsi="Garamond"/>
          <w:b w:val="0"/>
          <w:kern w:val="1"/>
          <w:sz w:val="24"/>
          <w:szCs w:val="24"/>
          <w:lang w:val="en-GB" w:eastAsia="pt-PT"/>
        </w:rPr>
        <w:t>)</w:t>
      </w:r>
      <w:r w:rsidR="0025707A" w:rsidRPr="00B5061D">
        <w:rPr>
          <w:rFonts w:ascii="Garamond" w:eastAsia="SimSun" w:hAnsi="Garamond"/>
          <w:b w:val="0"/>
          <w:kern w:val="1"/>
          <w:sz w:val="24"/>
          <w:szCs w:val="24"/>
          <w:lang w:val="en-GB" w:eastAsia="pt-PT"/>
        </w:rPr>
        <w:t>:</w:t>
      </w:r>
    </w:p>
    <w:p w14:paraId="35A48416" w14:textId="4FAF5BB6" w:rsidR="00E3124E" w:rsidRDefault="00E3124E">
      <w:pPr>
        <w:rPr>
          <w:lang w:val="en-GB"/>
        </w:rPr>
      </w:pPr>
      <w:r>
        <w:rPr>
          <w:lang w:val="en-GB"/>
        </w:rPr>
        <w:br w:type="page"/>
      </w:r>
    </w:p>
    <w:p w14:paraId="15A64B7A" w14:textId="77777777" w:rsidR="00E3124E" w:rsidRDefault="00E3124E" w:rsidP="001D3C51">
      <w:pPr>
        <w:spacing w:line="360" w:lineRule="auto"/>
        <w:ind w:firstLine="720"/>
        <w:jc w:val="both"/>
        <w:rPr>
          <w:lang w:val="en-GB"/>
        </w:rPr>
        <w:sectPr w:rsidR="00E3124E" w:rsidSect="00E3124E">
          <w:footerReference w:type="default" r:id="rId25"/>
          <w:pgSz w:w="11910" w:h="16840"/>
          <w:pgMar w:top="1701" w:right="1418" w:bottom="1701" w:left="1985" w:header="0" w:footer="1004" w:gutter="0"/>
          <w:pgNumType w:start="1"/>
          <w:cols w:space="720"/>
        </w:sectPr>
      </w:pPr>
    </w:p>
    <w:p w14:paraId="155E33AE" w14:textId="76BD3E05" w:rsidR="00F92E1C" w:rsidRPr="0063438A" w:rsidRDefault="00E3124E" w:rsidP="00E3124E">
      <w:pPr>
        <w:spacing w:line="360" w:lineRule="auto"/>
        <w:ind w:firstLine="720"/>
        <w:jc w:val="center"/>
        <w:rPr>
          <w:color w:val="000000" w:themeColor="text1"/>
          <w:sz w:val="24"/>
          <w:szCs w:val="24"/>
          <w:lang w:val="en-GB"/>
        </w:rPr>
      </w:pPr>
      <w:r w:rsidRPr="00E3124E">
        <w:rPr>
          <w:b/>
          <w:bCs/>
          <w:color w:val="000000" w:themeColor="text1"/>
          <w:sz w:val="24"/>
          <w:szCs w:val="24"/>
          <w:lang w:val="en-GB"/>
        </w:rPr>
        <w:lastRenderedPageBreak/>
        <w:t xml:space="preserve">Table </w:t>
      </w:r>
      <w:r w:rsidRPr="00E3124E">
        <w:rPr>
          <w:b/>
          <w:bCs/>
          <w:i/>
          <w:iCs/>
          <w:color w:val="000000" w:themeColor="text1"/>
          <w:sz w:val="24"/>
          <w:szCs w:val="24"/>
        </w:rPr>
        <w:fldChar w:fldCharType="begin"/>
      </w:r>
      <w:r w:rsidRPr="00E3124E">
        <w:rPr>
          <w:b/>
          <w:bCs/>
          <w:color w:val="000000" w:themeColor="text1"/>
          <w:sz w:val="24"/>
          <w:szCs w:val="24"/>
          <w:lang w:val="en-GB"/>
        </w:rPr>
        <w:instrText xml:space="preserve"> SEQ Table \* ARABIC </w:instrText>
      </w:r>
      <w:r w:rsidRPr="00E3124E">
        <w:rPr>
          <w:b/>
          <w:bCs/>
          <w:i/>
          <w:iCs/>
          <w:color w:val="000000" w:themeColor="text1"/>
          <w:sz w:val="24"/>
          <w:szCs w:val="24"/>
        </w:rPr>
        <w:fldChar w:fldCharType="separate"/>
      </w:r>
      <w:r w:rsidR="00D1020A">
        <w:rPr>
          <w:b/>
          <w:bCs/>
          <w:noProof/>
          <w:color w:val="000000" w:themeColor="text1"/>
          <w:sz w:val="24"/>
          <w:szCs w:val="24"/>
          <w:lang w:val="en-GB"/>
        </w:rPr>
        <w:t>1</w:t>
      </w:r>
      <w:r w:rsidRPr="00E3124E">
        <w:rPr>
          <w:b/>
          <w:bCs/>
          <w:i/>
          <w:iCs/>
          <w:color w:val="000000" w:themeColor="text1"/>
          <w:sz w:val="24"/>
          <w:szCs w:val="24"/>
        </w:rPr>
        <w:fldChar w:fldCharType="end"/>
      </w:r>
      <w:r w:rsidR="007A7DDF">
        <w:rPr>
          <w:b/>
          <w:bCs/>
          <w:color w:val="000000" w:themeColor="text1"/>
          <w:sz w:val="24"/>
          <w:szCs w:val="24"/>
          <w:lang w:val="en-GB"/>
        </w:rPr>
        <w:t>.</w:t>
      </w:r>
      <w:r w:rsidRPr="00E3124E">
        <w:rPr>
          <w:b/>
          <w:bCs/>
          <w:color w:val="000000" w:themeColor="text1"/>
          <w:sz w:val="24"/>
          <w:szCs w:val="24"/>
          <w:lang w:val="en-GB"/>
        </w:rPr>
        <w:t xml:space="preserve"> Components of Intangible Investment</w:t>
      </w:r>
    </w:p>
    <w:tbl>
      <w:tblPr>
        <w:tblStyle w:val="TableGrid"/>
        <w:tblpPr w:leftFromText="180" w:rightFromText="180" w:vertAnchor="page" w:horzAnchor="margin" w:tblpY="2611"/>
        <w:tblW w:w="13583" w:type="dxa"/>
        <w:tblLayout w:type="fixed"/>
        <w:tblLook w:val="04A0" w:firstRow="1" w:lastRow="0" w:firstColumn="1" w:lastColumn="0" w:noHBand="0" w:noVBand="1"/>
      </w:tblPr>
      <w:tblGrid>
        <w:gridCol w:w="1997"/>
        <w:gridCol w:w="2320"/>
        <w:gridCol w:w="2865"/>
        <w:gridCol w:w="2403"/>
        <w:gridCol w:w="2195"/>
        <w:gridCol w:w="1803"/>
      </w:tblGrid>
      <w:tr w:rsidR="00CF63BA" w:rsidRPr="00B5061D" w14:paraId="465CA459" w14:textId="77777777" w:rsidTr="00CF63BA">
        <w:trPr>
          <w:trHeight w:val="703"/>
        </w:trPr>
        <w:tc>
          <w:tcPr>
            <w:tcW w:w="1997" w:type="dxa"/>
          </w:tcPr>
          <w:p w14:paraId="58B4984F" w14:textId="77777777" w:rsidR="00CF63BA" w:rsidRPr="000675CD" w:rsidRDefault="00CF63BA" w:rsidP="000675CD">
            <w:pPr>
              <w:numPr>
                <w:ilvl w:val="0"/>
                <w:numId w:val="7"/>
              </w:numPr>
              <w:ind w:left="171" w:hanging="171"/>
              <w:contextualSpacing/>
              <w:jc w:val="center"/>
              <w:rPr>
                <w:rFonts w:eastAsiaTheme="minorHAnsi"/>
                <w:sz w:val="20"/>
                <w:szCs w:val="20"/>
              </w:rPr>
            </w:pPr>
            <w:r w:rsidRPr="000675CD">
              <w:rPr>
                <w:rFonts w:eastAsiaTheme="minorHAnsi"/>
                <w:sz w:val="20"/>
                <w:szCs w:val="20"/>
              </w:rPr>
              <w:t xml:space="preserve">Computer </w:t>
            </w:r>
            <w:r>
              <w:rPr>
                <w:rFonts w:eastAsiaTheme="minorHAnsi"/>
                <w:sz w:val="20"/>
                <w:szCs w:val="20"/>
              </w:rPr>
              <w:t>R</w:t>
            </w:r>
            <w:r w:rsidRPr="000675CD">
              <w:rPr>
                <w:rFonts w:eastAsiaTheme="minorHAnsi"/>
                <w:sz w:val="20"/>
                <w:szCs w:val="20"/>
              </w:rPr>
              <w:t>elated</w:t>
            </w:r>
          </w:p>
        </w:tc>
        <w:tc>
          <w:tcPr>
            <w:tcW w:w="2320" w:type="dxa"/>
          </w:tcPr>
          <w:p w14:paraId="2343E3E5" w14:textId="77777777" w:rsidR="00CF63BA" w:rsidRPr="000675CD" w:rsidRDefault="00CF63BA" w:rsidP="000675CD">
            <w:pPr>
              <w:numPr>
                <w:ilvl w:val="0"/>
                <w:numId w:val="7"/>
              </w:numPr>
              <w:ind w:left="288" w:hanging="288"/>
              <w:contextualSpacing/>
              <w:jc w:val="center"/>
              <w:rPr>
                <w:rFonts w:eastAsiaTheme="minorHAnsi"/>
                <w:sz w:val="20"/>
                <w:szCs w:val="20"/>
              </w:rPr>
            </w:pPr>
            <w:r w:rsidRPr="000675CD">
              <w:rPr>
                <w:rFonts w:eastAsiaTheme="minorHAnsi"/>
                <w:sz w:val="20"/>
                <w:szCs w:val="20"/>
              </w:rPr>
              <w:t xml:space="preserve">Production and </w:t>
            </w:r>
            <w:r>
              <w:rPr>
                <w:rFonts w:eastAsiaTheme="minorHAnsi"/>
                <w:sz w:val="20"/>
                <w:szCs w:val="20"/>
              </w:rPr>
              <w:t>T</w:t>
            </w:r>
            <w:r w:rsidRPr="000675CD">
              <w:rPr>
                <w:rFonts w:eastAsiaTheme="minorHAnsi"/>
                <w:sz w:val="20"/>
                <w:szCs w:val="20"/>
              </w:rPr>
              <w:t>echnology</w:t>
            </w:r>
          </w:p>
        </w:tc>
        <w:tc>
          <w:tcPr>
            <w:tcW w:w="2865" w:type="dxa"/>
          </w:tcPr>
          <w:p w14:paraId="7E8A8FD2" w14:textId="77777777" w:rsidR="00CF63BA" w:rsidRPr="000675CD" w:rsidRDefault="00CF63BA" w:rsidP="000675CD">
            <w:pPr>
              <w:numPr>
                <w:ilvl w:val="0"/>
                <w:numId w:val="7"/>
              </w:numPr>
              <w:ind w:left="222" w:hanging="222"/>
              <w:contextualSpacing/>
              <w:jc w:val="center"/>
              <w:rPr>
                <w:rFonts w:eastAsiaTheme="minorHAnsi"/>
                <w:sz w:val="20"/>
                <w:szCs w:val="20"/>
              </w:rPr>
            </w:pPr>
            <w:r w:rsidRPr="000675CD">
              <w:rPr>
                <w:rFonts w:eastAsiaTheme="minorHAnsi"/>
                <w:sz w:val="20"/>
                <w:szCs w:val="20"/>
              </w:rPr>
              <w:t>Human Resources</w:t>
            </w:r>
          </w:p>
        </w:tc>
        <w:tc>
          <w:tcPr>
            <w:tcW w:w="2403" w:type="dxa"/>
          </w:tcPr>
          <w:p w14:paraId="24BC5E02" w14:textId="77777777" w:rsidR="00CF63BA" w:rsidRPr="000675CD" w:rsidRDefault="00CF63BA" w:rsidP="000675CD">
            <w:pPr>
              <w:numPr>
                <w:ilvl w:val="0"/>
                <w:numId w:val="7"/>
              </w:numPr>
              <w:ind w:left="252" w:hanging="252"/>
              <w:contextualSpacing/>
              <w:jc w:val="center"/>
              <w:rPr>
                <w:rFonts w:eastAsiaTheme="minorHAnsi"/>
                <w:sz w:val="20"/>
                <w:szCs w:val="20"/>
              </w:rPr>
            </w:pPr>
            <w:r w:rsidRPr="000675CD">
              <w:rPr>
                <w:rFonts w:eastAsiaTheme="minorHAnsi"/>
                <w:sz w:val="20"/>
                <w:szCs w:val="20"/>
              </w:rPr>
              <w:t xml:space="preserve">Organisation of the </w:t>
            </w:r>
            <w:r>
              <w:rPr>
                <w:rFonts w:eastAsiaTheme="minorHAnsi"/>
                <w:sz w:val="20"/>
                <w:szCs w:val="20"/>
              </w:rPr>
              <w:t>F</w:t>
            </w:r>
            <w:r w:rsidRPr="000675CD">
              <w:rPr>
                <w:rFonts w:eastAsiaTheme="minorHAnsi"/>
                <w:sz w:val="20"/>
                <w:szCs w:val="20"/>
              </w:rPr>
              <w:t>irm</w:t>
            </w:r>
          </w:p>
        </w:tc>
        <w:tc>
          <w:tcPr>
            <w:tcW w:w="2195" w:type="dxa"/>
          </w:tcPr>
          <w:p w14:paraId="696F29CC" w14:textId="77777777" w:rsidR="00CF63BA" w:rsidRPr="000675CD" w:rsidRDefault="00CF63BA" w:rsidP="000675CD">
            <w:pPr>
              <w:numPr>
                <w:ilvl w:val="0"/>
                <w:numId w:val="7"/>
              </w:numPr>
              <w:ind w:left="168" w:hanging="168"/>
              <w:contextualSpacing/>
              <w:jc w:val="center"/>
              <w:rPr>
                <w:rFonts w:eastAsiaTheme="minorHAnsi"/>
                <w:sz w:val="20"/>
                <w:szCs w:val="20"/>
              </w:rPr>
            </w:pPr>
            <w:r w:rsidRPr="000675CD">
              <w:rPr>
                <w:rFonts w:eastAsiaTheme="minorHAnsi"/>
                <w:sz w:val="20"/>
                <w:szCs w:val="20"/>
              </w:rPr>
              <w:t>External: Marketing and sales</w:t>
            </w:r>
          </w:p>
        </w:tc>
        <w:tc>
          <w:tcPr>
            <w:tcW w:w="1803" w:type="dxa"/>
          </w:tcPr>
          <w:p w14:paraId="68A3645A" w14:textId="77777777" w:rsidR="00CF63BA" w:rsidRPr="000675CD" w:rsidRDefault="00CF63BA" w:rsidP="000675CD">
            <w:pPr>
              <w:numPr>
                <w:ilvl w:val="0"/>
                <w:numId w:val="7"/>
              </w:numPr>
              <w:ind w:left="228" w:hanging="228"/>
              <w:contextualSpacing/>
              <w:jc w:val="center"/>
              <w:rPr>
                <w:rFonts w:eastAsiaTheme="minorHAnsi"/>
                <w:sz w:val="20"/>
                <w:szCs w:val="20"/>
              </w:rPr>
            </w:pPr>
            <w:r w:rsidRPr="000675CD">
              <w:rPr>
                <w:rFonts w:eastAsiaTheme="minorHAnsi"/>
                <w:sz w:val="20"/>
                <w:szCs w:val="20"/>
              </w:rPr>
              <w:t>Industry-</w:t>
            </w:r>
            <w:r>
              <w:rPr>
                <w:rFonts w:eastAsiaTheme="minorHAnsi"/>
                <w:sz w:val="20"/>
                <w:szCs w:val="20"/>
              </w:rPr>
              <w:t>S</w:t>
            </w:r>
            <w:r w:rsidRPr="000675CD">
              <w:rPr>
                <w:rFonts w:eastAsiaTheme="minorHAnsi"/>
                <w:sz w:val="20"/>
                <w:szCs w:val="20"/>
              </w:rPr>
              <w:t>pecific</w:t>
            </w:r>
          </w:p>
          <w:p w14:paraId="5F4DCA74" w14:textId="77777777" w:rsidR="00CF63BA" w:rsidRPr="000675CD" w:rsidRDefault="00CF63BA" w:rsidP="000675CD">
            <w:pPr>
              <w:jc w:val="center"/>
              <w:rPr>
                <w:rFonts w:eastAsiaTheme="minorHAnsi"/>
                <w:sz w:val="20"/>
                <w:szCs w:val="20"/>
              </w:rPr>
            </w:pPr>
          </w:p>
        </w:tc>
      </w:tr>
      <w:tr w:rsidR="00CF63BA" w:rsidRPr="00B5061D" w14:paraId="54CAEC4C" w14:textId="77777777" w:rsidTr="00CF63BA">
        <w:trPr>
          <w:trHeight w:val="4610"/>
        </w:trPr>
        <w:tc>
          <w:tcPr>
            <w:tcW w:w="1997" w:type="dxa"/>
          </w:tcPr>
          <w:p w14:paraId="6B19CCDC" w14:textId="77777777" w:rsidR="00CF63BA" w:rsidRDefault="00CF63BA" w:rsidP="000675CD">
            <w:pPr>
              <w:pStyle w:val="ListParagraph"/>
              <w:numPr>
                <w:ilvl w:val="0"/>
                <w:numId w:val="23"/>
              </w:numPr>
              <w:ind w:left="171" w:hanging="171"/>
              <w:rPr>
                <w:rFonts w:eastAsiaTheme="minorHAnsi"/>
                <w:sz w:val="20"/>
                <w:szCs w:val="20"/>
              </w:rPr>
            </w:pPr>
            <w:r w:rsidRPr="000675CD">
              <w:rPr>
                <w:rFonts w:eastAsiaTheme="minorHAnsi"/>
                <w:sz w:val="20"/>
                <w:szCs w:val="20"/>
              </w:rPr>
              <w:t>Software</w:t>
            </w:r>
          </w:p>
          <w:p w14:paraId="57D50EA7" w14:textId="77777777" w:rsidR="00CF63BA" w:rsidRPr="000675CD" w:rsidRDefault="00CF63BA" w:rsidP="000675CD">
            <w:pPr>
              <w:pStyle w:val="ListParagraph"/>
              <w:ind w:left="171" w:firstLine="0"/>
              <w:rPr>
                <w:rFonts w:eastAsiaTheme="minorHAnsi"/>
                <w:sz w:val="20"/>
                <w:szCs w:val="20"/>
              </w:rPr>
            </w:pPr>
          </w:p>
          <w:p w14:paraId="23A00AE4" w14:textId="77777777" w:rsidR="00CF63BA" w:rsidRDefault="00CF63BA" w:rsidP="000675CD">
            <w:pPr>
              <w:pStyle w:val="ListParagraph"/>
              <w:numPr>
                <w:ilvl w:val="0"/>
                <w:numId w:val="23"/>
              </w:numPr>
              <w:ind w:left="171" w:hanging="171"/>
              <w:rPr>
                <w:rFonts w:eastAsiaTheme="minorHAnsi"/>
                <w:sz w:val="20"/>
                <w:szCs w:val="20"/>
              </w:rPr>
            </w:pPr>
            <w:r w:rsidRPr="000675CD">
              <w:rPr>
                <w:rFonts w:eastAsiaTheme="minorHAnsi"/>
                <w:sz w:val="20"/>
                <w:szCs w:val="20"/>
              </w:rPr>
              <w:t>Large databases</w:t>
            </w:r>
          </w:p>
          <w:p w14:paraId="4DCE87B9" w14:textId="77777777" w:rsidR="00CF63BA" w:rsidRPr="000675CD" w:rsidRDefault="00CF63BA" w:rsidP="000675CD">
            <w:pPr>
              <w:rPr>
                <w:rFonts w:eastAsiaTheme="minorHAnsi"/>
                <w:sz w:val="20"/>
                <w:szCs w:val="20"/>
              </w:rPr>
            </w:pPr>
          </w:p>
          <w:p w14:paraId="07399535" w14:textId="77777777" w:rsidR="00CF63BA" w:rsidRPr="000675CD" w:rsidRDefault="00CF63BA" w:rsidP="000675CD">
            <w:pPr>
              <w:pStyle w:val="ListParagraph"/>
              <w:numPr>
                <w:ilvl w:val="0"/>
                <w:numId w:val="23"/>
              </w:numPr>
              <w:ind w:left="171" w:hanging="171"/>
              <w:rPr>
                <w:rFonts w:eastAsiaTheme="minorHAnsi"/>
                <w:sz w:val="20"/>
                <w:szCs w:val="20"/>
              </w:rPr>
            </w:pPr>
            <w:r w:rsidRPr="000675CD">
              <w:rPr>
                <w:rFonts w:eastAsiaTheme="minorHAnsi"/>
                <w:sz w:val="20"/>
                <w:szCs w:val="20"/>
              </w:rPr>
              <w:t>Other computer services</w:t>
            </w:r>
          </w:p>
        </w:tc>
        <w:tc>
          <w:tcPr>
            <w:tcW w:w="2320" w:type="dxa"/>
          </w:tcPr>
          <w:p w14:paraId="471DD34B" w14:textId="77777777" w:rsidR="00CF63BA" w:rsidRDefault="00CF63BA" w:rsidP="000675CD">
            <w:pPr>
              <w:pStyle w:val="ListParagraph"/>
              <w:numPr>
                <w:ilvl w:val="0"/>
                <w:numId w:val="23"/>
              </w:numPr>
              <w:ind w:left="171" w:hanging="171"/>
              <w:rPr>
                <w:rFonts w:eastAsiaTheme="minorHAnsi"/>
                <w:sz w:val="20"/>
                <w:szCs w:val="20"/>
              </w:rPr>
            </w:pPr>
            <w:r w:rsidRPr="000675CD">
              <w:rPr>
                <w:rFonts w:eastAsiaTheme="minorHAnsi"/>
                <w:sz w:val="20"/>
                <w:szCs w:val="20"/>
              </w:rPr>
              <w:t>R&amp;D</w:t>
            </w:r>
          </w:p>
          <w:p w14:paraId="5E3FB132" w14:textId="77777777" w:rsidR="00CF63BA" w:rsidRPr="00466AC1" w:rsidRDefault="00CF63BA" w:rsidP="000675CD">
            <w:pPr>
              <w:pStyle w:val="ListParagraph"/>
              <w:ind w:left="171" w:firstLine="0"/>
              <w:rPr>
                <w:rFonts w:eastAsiaTheme="minorHAnsi"/>
                <w:sz w:val="20"/>
                <w:szCs w:val="20"/>
              </w:rPr>
            </w:pPr>
          </w:p>
          <w:p w14:paraId="4C7DB9E8" w14:textId="77777777" w:rsidR="00CF63BA" w:rsidRDefault="00CF63BA" w:rsidP="000675CD">
            <w:pPr>
              <w:pStyle w:val="ListParagraph"/>
              <w:numPr>
                <w:ilvl w:val="0"/>
                <w:numId w:val="23"/>
              </w:numPr>
              <w:ind w:left="171" w:hanging="171"/>
              <w:rPr>
                <w:rFonts w:eastAsiaTheme="minorHAnsi"/>
                <w:sz w:val="20"/>
                <w:szCs w:val="20"/>
              </w:rPr>
            </w:pPr>
            <w:r w:rsidRPr="000675CD">
              <w:rPr>
                <w:rFonts w:eastAsiaTheme="minorHAnsi"/>
                <w:sz w:val="20"/>
                <w:szCs w:val="20"/>
              </w:rPr>
              <w:t>Design and engineering</w:t>
            </w:r>
          </w:p>
          <w:p w14:paraId="0E51E4F5" w14:textId="77777777" w:rsidR="00CF63BA" w:rsidRPr="000675CD" w:rsidRDefault="00CF63BA" w:rsidP="000675CD">
            <w:pPr>
              <w:rPr>
                <w:rFonts w:eastAsiaTheme="minorHAnsi"/>
                <w:sz w:val="20"/>
                <w:szCs w:val="20"/>
              </w:rPr>
            </w:pPr>
          </w:p>
          <w:p w14:paraId="76C93F27" w14:textId="77777777" w:rsidR="00CF63BA" w:rsidRDefault="00CF63BA" w:rsidP="000675CD">
            <w:pPr>
              <w:pStyle w:val="ListParagraph"/>
              <w:numPr>
                <w:ilvl w:val="0"/>
                <w:numId w:val="23"/>
              </w:numPr>
              <w:ind w:left="171" w:hanging="171"/>
              <w:rPr>
                <w:rFonts w:eastAsiaTheme="minorHAnsi"/>
                <w:sz w:val="20"/>
                <w:szCs w:val="20"/>
              </w:rPr>
            </w:pPr>
            <w:r w:rsidRPr="000675CD">
              <w:rPr>
                <w:rFonts w:eastAsiaTheme="minorHAnsi"/>
                <w:sz w:val="20"/>
                <w:szCs w:val="20"/>
              </w:rPr>
              <w:t>New quality control systems</w:t>
            </w:r>
          </w:p>
          <w:p w14:paraId="2188A532" w14:textId="77777777" w:rsidR="00CF63BA" w:rsidRPr="000675CD" w:rsidRDefault="00CF63BA" w:rsidP="000675CD">
            <w:pPr>
              <w:rPr>
                <w:rFonts w:eastAsiaTheme="minorHAnsi"/>
                <w:sz w:val="20"/>
                <w:szCs w:val="20"/>
              </w:rPr>
            </w:pPr>
          </w:p>
          <w:p w14:paraId="1236238B" w14:textId="77777777" w:rsidR="00CF63BA" w:rsidRDefault="00CF63BA" w:rsidP="000675CD">
            <w:pPr>
              <w:pStyle w:val="ListParagraph"/>
              <w:numPr>
                <w:ilvl w:val="0"/>
                <w:numId w:val="23"/>
              </w:numPr>
              <w:ind w:left="171" w:hanging="171"/>
              <w:rPr>
                <w:rFonts w:eastAsiaTheme="minorHAnsi"/>
                <w:sz w:val="20"/>
                <w:szCs w:val="20"/>
              </w:rPr>
            </w:pPr>
            <w:r w:rsidRPr="000675CD">
              <w:rPr>
                <w:rFonts w:eastAsiaTheme="minorHAnsi"/>
                <w:sz w:val="20"/>
                <w:szCs w:val="20"/>
              </w:rPr>
              <w:t>Patents &amp; licenses</w:t>
            </w:r>
          </w:p>
          <w:p w14:paraId="41FE3DB3" w14:textId="77777777" w:rsidR="00CF63BA" w:rsidRPr="000675CD" w:rsidRDefault="00CF63BA" w:rsidP="000675CD">
            <w:pPr>
              <w:rPr>
                <w:rFonts w:eastAsiaTheme="minorHAnsi"/>
                <w:sz w:val="20"/>
                <w:szCs w:val="20"/>
              </w:rPr>
            </w:pPr>
          </w:p>
          <w:p w14:paraId="5191CA54" w14:textId="77777777" w:rsidR="00CF63BA" w:rsidRPr="000675CD" w:rsidRDefault="00CF63BA" w:rsidP="000675CD">
            <w:pPr>
              <w:pStyle w:val="ListParagraph"/>
              <w:numPr>
                <w:ilvl w:val="0"/>
                <w:numId w:val="23"/>
              </w:numPr>
              <w:ind w:left="171" w:hanging="171"/>
              <w:rPr>
                <w:rFonts w:eastAsiaTheme="minorHAnsi"/>
                <w:sz w:val="20"/>
                <w:szCs w:val="20"/>
              </w:rPr>
            </w:pPr>
            <w:r w:rsidRPr="000675CD">
              <w:rPr>
                <w:rFonts w:eastAsiaTheme="minorHAnsi"/>
                <w:sz w:val="20"/>
                <w:szCs w:val="20"/>
              </w:rPr>
              <w:t>Know-how</w:t>
            </w:r>
          </w:p>
        </w:tc>
        <w:tc>
          <w:tcPr>
            <w:tcW w:w="2865" w:type="dxa"/>
          </w:tcPr>
          <w:p w14:paraId="610BCB3C" w14:textId="77777777" w:rsidR="00CF63BA" w:rsidRDefault="00CF63BA" w:rsidP="000675CD">
            <w:pPr>
              <w:pStyle w:val="ListParagraph"/>
              <w:numPr>
                <w:ilvl w:val="0"/>
                <w:numId w:val="23"/>
              </w:numPr>
              <w:ind w:left="171" w:hanging="171"/>
              <w:rPr>
                <w:rFonts w:eastAsiaTheme="minorHAnsi"/>
                <w:sz w:val="20"/>
                <w:szCs w:val="20"/>
              </w:rPr>
            </w:pPr>
            <w:r w:rsidRPr="000675CD">
              <w:rPr>
                <w:rFonts w:eastAsiaTheme="minorHAnsi"/>
                <w:sz w:val="20"/>
                <w:szCs w:val="20"/>
              </w:rPr>
              <w:t>Organised training</w:t>
            </w:r>
          </w:p>
          <w:p w14:paraId="1C80AB05" w14:textId="77777777" w:rsidR="00CF63BA" w:rsidRPr="00466AC1" w:rsidRDefault="00CF63BA" w:rsidP="000675CD">
            <w:pPr>
              <w:pStyle w:val="ListParagraph"/>
              <w:ind w:left="171" w:firstLine="0"/>
              <w:rPr>
                <w:rFonts w:eastAsiaTheme="minorHAnsi"/>
                <w:sz w:val="20"/>
                <w:szCs w:val="20"/>
              </w:rPr>
            </w:pPr>
          </w:p>
          <w:p w14:paraId="0F2D99B7" w14:textId="77777777" w:rsidR="00CF63BA" w:rsidRDefault="00CF63BA" w:rsidP="000675CD">
            <w:pPr>
              <w:pStyle w:val="ListParagraph"/>
              <w:numPr>
                <w:ilvl w:val="0"/>
                <w:numId w:val="23"/>
              </w:numPr>
              <w:ind w:left="171" w:hanging="171"/>
              <w:rPr>
                <w:rFonts w:eastAsiaTheme="minorHAnsi"/>
                <w:sz w:val="20"/>
                <w:szCs w:val="20"/>
              </w:rPr>
            </w:pPr>
            <w:r w:rsidRPr="000675CD">
              <w:rPr>
                <w:rFonts w:eastAsiaTheme="minorHAnsi"/>
                <w:sz w:val="20"/>
                <w:szCs w:val="20"/>
              </w:rPr>
              <w:t>Learning by doing</w:t>
            </w:r>
          </w:p>
          <w:p w14:paraId="636EAC1D" w14:textId="77777777" w:rsidR="00CF63BA" w:rsidRPr="00466AC1" w:rsidRDefault="00CF63BA" w:rsidP="000675CD">
            <w:pPr>
              <w:pStyle w:val="ListParagraph"/>
              <w:ind w:left="171" w:firstLine="0"/>
              <w:rPr>
                <w:rFonts w:eastAsiaTheme="minorHAnsi"/>
                <w:sz w:val="20"/>
                <w:szCs w:val="20"/>
              </w:rPr>
            </w:pPr>
          </w:p>
          <w:p w14:paraId="27CDBBF0" w14:textId="77777777" w:rsidR="00CF63BA" w:rsidRPr="000675CD" w:rsidRDefault="00CF63BA" w:rsidP="000675CD">
            <w:pPr>
              <w:pStyle w:val="ListParagraph"/>
              <w:numPr>
                <w:ilvl w:val="0"/>
                <w:numId w:val="23"/>
              </w:numPr>
              <w:ind w:left="171" w:hanging="171"/>
              <w:rPr>
                <w:rFonts w:eastAsiaTheme="minorHAnsi"/>
                <w:sz w:val="20"/>
                <w:szCs w:val="20"/>
                <w:lang w:val="en-GB"/>
              </w:rPr>
            </w:pPr>
            <w:r w:rsidRPr="000675CD">
              <w:rPr>
                <w:rFonts w:eastAsiaTheme="minorHAnsi"/>
                <w:sz w:val="20"/>
                <w:szCs w:val="20"/>
                <w:lang w:val="en-GB"/>
              </w:rPr>
              <w:t>Activities to improve health and motivation of the workforce (incl. labour relations, physical check-ups and other sport and fitness programmes)</w:t>
            </w:r>
          </w:p>
          <w:p w14:paraId="1AAFB324" w14:textId="77777777" w:rsidR="00CF63BA" w:rsidRPr="00634F27" w:rsidRDefault="00CF63BA" w:rsidP="000675CD">
            <w:pPr>
              <w:pStyle w:val="ListParagraph"/>
              <w:ind w:left="171" w:firstLine="0"/>
              <w:rPr>
                <w:rFonts w:eastAsiaTheme="minorHAnsi"/>
                <w:sz w:val="20"/>
                <w:szCs w:val="20"/>
                <w:lang w:val="en-GB"/>
              </w:rPr>
            </w:pPr>
          </w:p>
          <w:p w14:paraId="61783475" w14:textId="77777777" w:rsidR="00CF63BA" w:rsidRPr="000675CD" w:rsidRDefault="00CF63BA" w:rsidP="000675CD">
            <w:pPr>
              <w:pStyle w:val="ListParagraph"/>
              <w:numPr>
                <w:ilvl w:val="0"/>
                <w:numId w:val="23"/>
              </w:numPr>
              <w:ind w:left="171" w:hanging="171"/>
              <w:rPr>
                <w:rFonts w:eastAsiaTheme="minorHAnsi"/>
                <w:sz w:val="20"/>
                <w:szCs w:val="20"/>
              </w:rPr>
            </w:pPr>
            <w:r w:rsidRPr="000675CD">
              <w:rPr>
                <w:rFonts w:eastAsiaTheme="minorHAnsi"/>
                <w:sz w:val="20"/>
                <w:szCs w:val="20"/>
              </w:rPr>
              <w:t>Remuneration for innovative ideas</w:t>
            </w:r>
          </w:p>
        </w:tc>
        <w:tc>
          <w:tcPr>
            <w:tcW w:w="2403" w:type="dxa"/>
          </w:tcPr>
          <w:p w14:paraId="5B81582D" w14:textId="77777777" w:rsidR="00CF63BA" w:rsidRPr="000675CD" w:rsidRDefault="00CF63BA" w:rsidP="000675CD">
            <w:pPr>
              <w:pStyle w:val="ListParagraph"/>
              <w:numPr>
                <w:ilvl w:val="0"/>
                <w:numId w:val="23"/>
              </w:numPr>
              <w:ind w:left="171" w:hanging="171"/>
              <w:rPr>
                <w:rFonts w:eastAsiaTheme="minorHAnsi"/>
                <w:sz w:val="20"/>
                <w:szCs w:val="20"/>
                <w:lang w:val="en-GB"/>
              </w:rPr>
            </w:pPr>
            <w:r w:rsidRPr="000675CD">
              <w:rPr>
                <w:rFonts w:eastAsiaTheme="minorHAnsi"/>
                <w:sz w:val="20"/>
                <w:szCs w:val="20"/>
                <w:lang w:val="en-GB"/>
              </w:rPr>
              <w:t>New methods of organisation of the firm as a whole</w:t>
            </w:r>
          </w:p>
          <w:p w14:paraId="0C2090DD" w14:textId="77777777" w:rsidR="00CF63BA" w:rsidRPr="00A6548A" w:rsidRDefault="00CF63BA" w:rsidP="000675CD">
            <w:pPr>
              <w:pStyle w:val="ListParagraph"/>
              <w:ind w:left="171" w:firstLine="0"/>
              <w:rPr>
                <w:rFonts w:eastAsiaTheme="minorHAnsi"/>
                <w:sz w:val="20"/>
                <w:szCs w:val="20"/>
                <w:lang w:val="en-GB"/>
              </w:rPr>
            </w:pPr>
          </w:p>
          <w:p w14:paraId="586231F2" w14:textId="77777777" w:rsidR="00CF63BA" w:rsidRDefault="00CF63BA" w:rsidP="000675CD">
            <w:pPr>
              <w:pStyle w:val="ListParagraph"/>
              <w:numPr>
                <w:ilvl w:val="0"/>
                <w:numId w:val="23"/>
              </w:numPr>
              <w:ind w:left="171" w:hanging="171"/>
              <w:rPr>
                <w:rFonts w:eastAsiaTheme="minorHAnsi"/>
                <w:sz w:val="20"/>
                <w:szCs w:val="20"/>
              </w:rPr>
            </w:pPr>
            <w:r w:rsidRPr="000675CD">
              <w:rPr>
                <w:rFonts w:eastAsiaTheme="minorHAnsi"/>
                <w:sz w:val="20"/>
                <w:szCs w:val="20"/>
              </w:rPr>
              <w:t>Setting up networks</w:t>
            </w:r>
          </w:p>
          <w:p w14:paraId="4A22EB94" w14:textId="77777777" w:rsidR="00CF63BA" w:rsidRPr="00466AC1" w:rsidRDefault="00CF63BA" w:rsidP="000675CD">
            <w:pPr>
              <w:pStyle w:val="ListParagraph"/>
              <w:ind w:left="171" w:firstLine="0"/>
              <w:rPr>
                <w:rFonts w:eastAsiaTheme="minorHAnsi"/>
                <w:sz w:val="20"/>
                <w:szCs w:val="20"/>
              </w:rPr>
            </w:pPr>
          </w:p>
          <w:p w14:paraId="38B45E5D" w14:textId="77777777" w:rsidR="00CF63BA" w:rsidRPr="000675CD" w:rsidRDefault="00CF63BA" w:rsidP="000675CD">
            <w:pPr>
              <w:pStyle w:val="ListParagraph"/>
              <w:numPr>
                <w:ilvl w:val="0"/>
                <w:numId w:val="23"/>
              </w:numPr>
              <w:ind w:left="171" w:hanging="171"/>
              <w:rPr>
                <w:rFonts w:eastAsiaTheme="minorHAnsi"/>
                <w:sz w:val="20"/>
                <w:szCs w:val="20"/>
                <w:lang w:val="en-GB"/>
              </w:rPr>
            </w:pPr>
            <w:r w:rsidRPr="000675CD">
              <w:rPr>
                <w:rFonts w:eastAsiaTheme="minorHAnsi"/>
                <w:sz w:val="20"/>
                <w:szCs w:val="20"/>
                <w:lang w:val="en-GB"/>
              </w:rPr>
              <w:t>New working methods in administration and finance</w:t>
            </w:r>
          </w:p>
        </w:tc>
        <w:tc>
          <w:tcPr>
            <w:tcW w:w="2195" w:type="dxa"/>
          </w:tcPr>
          <w:p w14:paraId="7A94E834" w14:textId="77777777" w:rsidR="00CF63BA" w:rsidRDefault="00CF63BA" w:rsidP="000675CD">
            <w:pPr>
              <w:pStyle w:val="ListParagraph"/>
              <w:numPr>
                <w:ilvl w:val="0"/>
                <w:numId w:val="23"/>
              </w:numPr>
              <w:ind w:left="171" w:hanging="171"/>
              <w:rPr>
                <w:rFonts w:eastAsiaTheme="minorHAnsi"/>
                <w:sz w:val="20"/>
                <w:szCs w:val="20"/>
              </w:rPr>
            </w:pPr>
            <w:r w:rsidRPr="000675CD">
              <w:rPr>
                <w:rFonts w:eastAsiaTheme="minorHAnsi"/>
                <w:sz w:val="20"/>
                <w:szCs w:val="20"/>
              </w:rPr>
              <w:t>Market research</w:t>
            </w:r>
          </w:p>
          <w:p w14:paraId="3D9D0B9A" w14:textId="77777777" w:rsidR="00CF63BA" w:rsidRPr="00466AC1" w:rsidRDefault="00CF63BA" w:rsidP="000675CD">
            <w:pPr>
              <w:pStyle w:val="ListParagraph"/>
              <w:ind w:left="171" w:firstLine="0"/>
              <w:rPr>
                <w:rFonts w:eastAsiaTheme="minorHAnsi"/>
                <w:sz w:val="20"/>
                <w:szCs w:val="20"/>
              </w:rPr>
            </w:pPr>
          </w:p>
          <w:p w14:paraId="4CD2DE66" w14:textId="77777777" w:rsidR="00CF63BA" w:rsidRDefault="00CF63BA" w:rsidP="000675CD">
            <w:pPr>
              <w:pStyle w:val="ListParagraph"/>
              <w:numPr>
                <w:ilvl w:val="0"/>
                <w:numId w:val="23"/>
              </w:numPr>
              <w:ind w:left="171" w:hanging="171"/>
              <w:rPr>
                <w:rFonts w:eastAsiaTheme="minorHAnsi"/>
                <w:sz w:val="20"/>
                <w:szCs w:val="20"/>
              </w:rPr>
            </w:pPr>
            <w:r w:rsidRPr="000675CD">
              <w:rPr>
                <w:rFonts w:eastAsiaTheme="minorHAnsi"/>
                <w:sz w:val="20"/>
                <w:szCs w:val="20"/>
              </w:rPr>
              <w:t xml:space="preserve">Advertising </w:t>
            </w:r>
          </w:p>
          <w:p w14:paraId="50AAC585" w14:textId="77777777" w:rsidR="00CF63BA" w:rsidRPr="00466AC1" w:rsidRDefault="00CF63BA" w:rsidP="000675CD">
            <w:pPr>
              <w:rPr>
                <w:rFonts w:eastAsiaTheme="minorHAnsi"/>
                <w:sz w:val="20"/>
                <w:szCs w:val="20"/>
              </w:rPr>
            </w:pPr>
          </w:p>
          <w:p w14:paraId="426870AF" w14:textId="77777777" w:rsidR="00CF63BA" w:rsidRDefault="00CF63BA" w:rsidP="000675CD">
            <w:pPr>
              <w:pStyle w:val="ListParagraph"/>
              <w:numPr>
                <w:ilvl w:val="0"/>
                <w:numId w:val="23"/>
              </w:numPr>
              <w:ind w:left="171" w:hanging="171"/>
              <w:rPr>
                <w:rFonts w:eastAsiaTheme="minorHAnsi"/>
                <w:sz w:val="20"/>
                <w:szCs w:val="20"/>
              </w:rPr>
            </w:pPr>
            <w:r w:rsidRPr="000675CD">
              <w:rPr>
                <w:rFonts w:eastAsiaTheme="minorHAnsi"/>
                <w:sz w:val="20"/>
                <w:szCs w:val="20"/>
              </w:rPr>
              <w:t>Brands</w:t>
            </w:r>
          </w:p>
          <w:p w14:paraId="3BB7BC98" w14:textId="77777777" w:rsidR="00CF63BA" w:rsidRPr="00466AC1" w:rsidRDefault="00CF63BA" w:rsidP="000675CD">
            <w:pPr>
              <w:rPr>
                <w:rFonts w:eastAsiaTheme="minorHAnsi"/>
                <w:sz w:val="20"/>
                <w:szCs w:val="20"/>
              </w:rPr>
            </w:pPr>
          </w:p>
          <w:p w14:paraId="12CAF6F4" w14:textId="77777777" w:rsidR="00CF63BA" w:rsidRDefault="00CF63BA" w:rsidP="000675CD">
            <w:pPr>
              <w:pStyle w:val="ListParagraph"/>
              <w:numPr>
                <w:ilvl w:val="0"/>
                <w:numId w:val="23"/>
              </w:numPr>
              <w:ind w:left="171" w:hanging="171"/>
              <w:rPr>
                <w:rFonts w:eastAsiaTheme="minorHAnsi"/>
                <w:sz w:val="20"/>
                <w:szCs w:val="20"/>
                <w:lang w:val="en-GB"/>
              </w:rPr>
            </w:pPr>
            <w:r w:rsidRPr="000675CD">
              <w:rPr>
                <w:rFonts w:eastAsiaTheme="minorHAnsi"/>
                <w:sz w:val="20"/>
                <w:szCs w:val="20"/>
                <w:lang w:val="en-GB"/>
              </w:rPr>
              <w:t>Name and symbol of the firm</w:t>
            </w:r>
          </w:p>
          <w:p w14:paraId="0F70990E" w14:textId="77777777" w:rsidR="00CF63BA" w:rsidRPr="00466AC1" w:rsidRDefault="00CF63BA" w:rsidP="000675CD">
            <w:pPr>
              <w:rPr>
                <w:rFonts w:eastAsiaTheme="minorHAnsi"/>
                <w:sz w:val="20"/>
                <w:szCs w:val="20"/>
                <w:lang w:val="en-GB"/>
              </w:rPr>
            </w:pPr>
          </w:p>
          <w:p w14:paraId="6DAC5A37" w14:textId="77777777" w:rsidR="00CF63BA" w:rsidRDefault="00CF63BA" w:rsidP="000675CD">
            <w:pPr>
              <w:pStyle w:val="ListParagraph"/>
              <w:numPr>
                <w:ilvl w:val="0"/>
                <w:numId w:val="23"/>
              </w:numPr>
              <w:ind w:left="171" w:hanging="171"/>
              <w:rPr>
                <w:rFonts w:eastAsiaTheme="minorHAnsi"/>
                <w:sz w:val="20"/>
                <w:szCs w:val="20"/>
                <w:lang w:val="en-GB"/>
              </w:rPr>
            </w:pPr>
            <w:r w:rsidRPr="000675CD">
              <w:rPr>
                <w:rFonts w:eastAsiaTheme="minorHAnsi"/>
                <w:sz w:val="20"/>
                <w:szCs w:val="20"/>
                <w:lang w:val="en-GB"/>
              </w:rPr>
              <w:t>Customer list, subscribers list and list of potential customers</w:t>
            </w:r>
          </w:p>
          <w:p w14:paraId="080DEFA9" w14:textId="77777777" w:rsidR="00CF63BA" w:rsidRPr="00466AC1" w:rsidRDefault="00CF63BA" w:rsidP="000675CD">
            <w:pPr>
              <w:pStyle w:val="ListParagraph"/>
              <w:ind w:left="171" w:firstLine="0"/>
              <w:rPr>
                <w:rFonts w:eastAsiaTheme="minorHAnsi"/>
                <w:sz w:val="20"/>
                <w:szCs w:val="20"/>
                <w:lang w:val="en-GB"/>
              </w:rPr>
            </w:pPr>
          </w:p>
          <w:p w14:paraId="19AFEDA7" w14:textId="77777777" w:rsidR="00CF63BA" w:rsidRDefault="00CF63BA" w:rsidP="000675CD">
            <w:pPr>
              <w:pStyle w:val="ListParagraph"/>
              <w:numPr>
                <w:ilvl w:val="0"/>
                <w:numId w:val="23"/>
              </w:numPr>
              <w:ind w:left="171" w:hanging="171"/>
              <w:rPr>
                <w:rFonts w:eastAsiaTheme="minorHAnsi"/>
                <w:sz w:val="20"/>
                <w:szCs w:val="20"/>
              </w:rPr>
            </w:pPr>
            <w:r w:rsidRPr="000675CD">
              <w:rPr>
                <w:rFonts w:eastAsiaTheme="minorHAnsi"/>
                <w:sz w:val="20"/>
                <w:szCs w:val="20"/>
              </w:rPr>
              <w:t>Product certification, quality certificates</w:t>
            </w:r>
          </w:p>
          <w:p w14:paraId="0D3CEF8C" w14:textId="77777777" w:rsidR="00CF63BA" w:rsidRPr="00466AC1" w:rsidRDefault="00CF63BA" w:rsidP="000675CD">
            <w:pPr>
              <w:rPr>
                <w:rFonts w:eastAsiaTheme="minorHAnsi"/>
                <w:sz w:val="20"/>
                <w:szCs w:val="20"/>
              </w:rPr>
            </w:pPr>
          </w:p>
          <w:p w14:paraId="75BE7319" w14:textId="77777777" w:rsidR="00CF63BA" w:rsidRPr="000675CD" w:rsidRDefault="00CF63BA" w:rsidP="000675CD">
            <w:pPr>
              <w:pStyle w:val="ListParagraph"/>
              <w:numPr>
                <w:ilvl w:val="0"/>
                <w:numId w:val="23"/>
              </w:numPr>
              <w:ind w:left="171" w:hanging="171"/>
              <w:rPr>
                <w:rFonts w:eastAsiaTheme="minorHAnsi"/>
                <w:sz w:val="20"/>
                <w:szCs w:val="20"/>
              </w:rPr>
            </w:pPr>
            <w:r w:rsidRPr="000675CD">
              <w:rPr>
                <w:rFonts w:eastAsiaTheme="minorHAnsi"/>
                <w:sz w:val="20"/>
                <w:szCs w:val="20"/>
              </w:rPr>
              <w:t>Goodwill</w:t>
            </w:r>
          </w:p>
        </w:tc>
        <w:tc>
          <w:tcPr>
            <w:tcW w:w="1803" w:type="dxa"/>
          </w:tcPr>
          <w:p w14:paraId="26526A7D" w14:textId="77777777" w:rsidR="00CF63BA" w:rsidRDefault="00CF63BA" w:rsidP="000675CD">
            <w:pPr>
              <w:pStyle w:val="ListParagraph"/>
              <w:numPr>
                <w:ilvl w:val="0"/>
                <w:numId w:val="23"/>
              </w:numPr>
              <w:ind w:left="171" w:hanging="171"/>
              <w:rPr>
                <w:rFonts w:eastAsiaTheme="minorHAnsi"/>
                <w:sz w:val="20"/>
                <w:szCs w:val="20"/>
              </w:rPr>
            </w:pPr>
            <w:r w:rsidRPr="000675CD">
              <w:rPr>
                <w:rFonts w:eastAsiaTheme="minorHAnsi"/>
                <w:sz w:val="20"/>
                <w:szCs w:val="20"/>
              </w:rPr>
              <w:t>Mineral exploitation</w:t>
            </w:r>
          </w:p>
          <w:p w14:paraId="42CC002C" w14:textId="77777777" w:rsidR="00CF63BA" w:rsidRPr="00466AC1" w:rsidRDefault="00CF63BA" w:rsidP="000675CD">
            <w:pPr>
              <w:rPr>
                <w:rFonts w:eastAsiaTheme="minorHAnsi"/>
                <w:sz w:val="20"/>
                <w:szCs w:val="20"/>
              </w:rPr>
            </w:pPr>
          </w:p>
          <w:p w14:paraId="272F6BC2" w14:textId="77777777" w:rsidR="00CF63BA" w:rsidRDefault="00CF63BA" w:rsidP="000675CD">
            <w:pPr>
              <w:pStyle w:val="ListParagraph"/>
              <w:numPr>
                <w:ilvl w:val="0"/>
                <w:numId w:val="23"/>
              </w:numPr>
              <w:ind w:left="171" w:hanging="171"/>
              <w:rPr>
                <w:rFonts w:eastAsiaTheme="minorHAnsi"/>
                <w:sz w:val="20"/>
                <w:szCs w:val="20"/>
                <w:lang w:val="en-GB"/>
              </w:rPr>
            </w:pPr>
            <w:r w:rsidRPr="000675CD">
              <w:rPr>
                <w:rFonts w:eastAsiaTheme="minorHAnsi"/>
                <w:sz w:val="20"/>
                <w:szCs w:val="20"/>
              </w:rPr>
              <w:t>Entertainment</w:t>
            </w:r>
            <w:r w:rsidRPr="000675CD">
              <w:rPr>
                <w:rFonts w:eastAsiaTheme="minorHAnsi"/>
                <w:sz w:val="20"/>
                <w:szCs w:val="20"/>
                <w:lang w:val="en-GB"/>
              </w:rPr>
              <w:t>, literary and artistic originals</w:t>
            </w:r>
          </w:p>
          <w:p w14:paraId="6145A7CC" w14:textId="77777777" w:rsidR="00CF63BA" w:rsidRPr="00466AC1" w:rsidRDefault="00CF63BA" w:rsidP="000675CD">
            <w:pPr>
              <w:rPr>
                <w:rFonts w:eastAsiaTheme="minorHAnsi"/>
                <w:sz w:val="20"/>
                <w:szCs w:val="20"/>
                <w:lang w:val="en-GB"/>
              </w:rPr>
            </w:pPr>
          </w:p>
          <w:p w14:paraId="48433166" w14:textId="77777777" w:rsidR="00CF63BA" w:rsidRPr="000675CD" w:rsidRDefault="00CF63BA" w:rsidP="000675CD">
            <w:pPr>
              <w:pStyle w:val="ListParagraph"/>
              <w:numPr>
                <w:ilvl w:val="0"/>
                <w:numId w:val="23"/>
              </w:numPr>
              <w:ind w:left="171" w:hanging="171"/>
              <w:rPr>
                <w:rFonts w:eastAsiaTheme="minorHAnsi"/>
                <w:sz w:val="20"/>
                <w:szCs w:val="20"/>
              </w:rPr>
            </w:pPr>
            <w:r w:rsidRPr="000675CD">
              <w:rPr>
                <w:rFonts w:eastAsiaTheme="minorHAnsi"/>
                <w:sz w:val="20"/>
                <w:szCs w:val="20"/>
              </w:rPr>
              <w:t>Milk quotas</w:t>
            </w:r>
          </w:p>
        </w:tc>
      </w:tr>
    </w:tbl>
    <w:p w14:paraId="0E44BE2F" w14:textId="77777777" w:rsidR="00E3124E" w:rsidRDefault="00E3124E" w:rsidP="00E3124E">
      <w:pPr>
        <w:spacing w:line="360" w:lineRule="auto"/>
        <w:ind w:firstLine="720"/>
        <w:rPr>
          <w:lang w:val="en-GB"/>
        </w:rPr>
      </w:pPr>
    </w:p>
    <w:p w14:paraId="46DFF6AB" w14:textId="77777777" w:rsidR="00E3124E" w:rsidRPr="00AB5513" w:rsidRDefault="00E3124E" w:rsidP="00E3124E">
      <w:pPr>
        <w:spacing w:line="360" w:lineRule="auto"/>
        <w:jc w:val="center"/>
        <w:rPr>
          <w:sz w:val="20"/>
          <w:szCs w:val="20"/>
          <w:lang w:val="en-GB"/>
        </w:rPr>
      </w:pPr>
    </w:p>
    <w:p w14:paraId="3ABB5B47" w14:textId="235436DC" w:rsidR="009D4C7E" w:rsidRPr="00AB5513" w:rsidRDefault="00E3124E" w:rsidP="009D4C7E">
      <w:pPr>
        <w:spacing w:line="360" w:lineRule="auto"/>
        <w:jc w:val="center"/>
        <w:rPr>
          <w:sz w:val="20"/>
          <w:szCs w:val="20"/>
          <w:lang w:val="en-GB"/>
        </w:rPr>
      </w:pPr>
      <w:r w:rsidRPr="00AB5513">
        <w:rPr>
          <w:sz w:val="20"/>
          <w:szCs w:val="20"/>
          <w:lang w:val="en-GB"/>
        </w:rPr>
        <w:t>Source: Young (1998</w:t>
      </w:r>
      <w:r w:rsidR="00C042BD" w:rsidRPr="00AB5513">
        <w:rPr>
          <w:sz w:val="20"/>
          <w:szCs w:val="20"/>
          <w:lang w:val="en-GB"/>
        </w:rPr>
        <w:t>, p.4</w:t>
      </w:r>
      <w:r w:rsidRPr="00AB5513">
        <w:rPr>
          <w:sz w:val="20"/>
          <w:szCs w:val="20"/>
          <w:lang w:val="en-GB"/>
        </w:rPr>
        <w:t>)</w:t>
      </w:r>
    </w:p>
    <w:p w14:paraId="163FC4F8" w14:textId="77777777" w:rsidR="00153D3D" w:rsidRDefault="00153D3D">
      <w:pPr>
        <w:rPr>
          <w:sz w:val="24"/>
          <w:szCs w:val="24"/>
          <w:lang w:val="en-GB"/>
        </w:rPr>
        <w:sectPr w:rsidR="00153D3D" w:rsidSect="00153D3D">
          <w:pgSz w:w="16840" w:h="11910" w:orient="landscape"/>
          <w:pgMar w:top="1985" w:right="1701" w:bottom="1418" w:left="1701" w:header="0" w:footer="1004" w:gutter="0"/>
          <w:cols w:space="720"/>
        </w:sectPr>
      </w:pPr>
    </w:p>
    <w:p w14:paraId="32C3723F" w14:textId="28DC97F4" w:rsidR="00E719D4" w:rsidRDefault="00863773" w:rsidP="00A3169E">
      <w:pPr>
        <w:spacing w:line="360" w:lineRule="auto"/>
        <w:ind w:firstLine="720"/>
        <w:jc w:val="both"/>
        <w:rPr>
          <w:rFonts w:eastAsia="SimSun"/>
          <w:kern w:val="1"/>
          <w:sz w:val="24"/>
          <w:szCs w:val="24"/>
          <w:lang w:val="en-GB" w:eastAsia="pt-PT"/>
        </w:rPr>
      </w:pPr>
      <w:r>
        <w:rPr>
          <w:rFonts w:eastAsia="SimSun"/>
          <w:kern w:val="1"/>
          <w:sz w:val="24"/>
          <w:szCs w:val="24"/>
          <w:lang w:val="en-GB" w:eastAsia="pt-PT"/>
        </w:rPr>
        <w:lastRenderedPageBreak/>
        <w:t>Young</w:t>
      </w:r>
      <w:r w:rsidR="00FD64C6">
        <w:rPr>
          <w:rFonts w:eastAsia="SimSun"/>
          <w:kern w:val="1"/>
          <w:sz w:val="24"/>
          <w:szCs w:val="24"/>
          <w:lang w:val="en-GB" w:eastAsia="pt-PT"/>
        </w:rPr>
        <w:t xml:space="preserve"> (19</w:t>
      </w:r>
      <w:r w:rsidR="004004E5">
        <w:rPr>
          <w:rFonts w:eastAsia="SimSun"/>
          <w:kern w:val="1"/>
          <w:sz w:val="24"/>
          <w:szCs w:val="24"/>
          <w:lang w:val="en-GB" w:eastAsia="pt-PT"/>
        </w:rPr>
        <w:t>9</w:t>
      </w:r>
      <w:r w:rsidR="00FD64C6">
        <w:rPr>
          <w:rFonts w:eastAsia="SimSun"/>
          <w:kern w:val="1"/>
          <w:sz w:val="24"/>
          <w:szCs w:val="24"/>
          <w:lang w:val="en-GB" w:eastAsia="pt-PT"/>
        </w:rPr>
        <w:t>8)</w:t>
      </w:r>
      <w:r>
        <w:rPr>
          <w:rFonts w:eastAsia="SimSun"/>
          <w:kern w:val="1"/>
          <w:sz w:val="24"/>
          <w:szCs w:val="24"/>
          <w:lang w:val="en-GB" w:eastAsia="pt-PT"/>
        </w:rPr>
        <w:t xml:space="preserve"> suggest</w:t>
      </w:r>
      <w:r w:rsidR="00CF75B4">
        <w:rPr>
          <w:rFonts w:eastAsia="SimSun"/>
          <w:kern w:val="1"/>
          <w:sz w:val="24"/>
          <w:szCs w:val="24"/>
          <w:lang w:val="en-GB" w:eastAsia="pt-PT"/>
        </w:rPr>
        <w:t>s</w:t>
      </w:r>
      <w:r>
        <w:rPr>
          <w:rFonts w:eastAsia="SimSun"/>
          <w:kern w:val="1"/>
          <w:sz w:val="24"/>
          <w:szCs w:val="24"/>
          <w:lang w:val="en-GB" w:eastAsia="pt-PT"/>
        </w:rPr>
        <w:t xml:space="preserve"> six core categories </w:t>
      </w:r>
      <w:r w:rsidR="00E719D4">
        <w:rPr>
          <w:rFonts w:eastAsia="SimSun"/>
          <w:kern w:val="1"/>
          <w:sz w:val="24"/>
          <w:szCs w:val="24"/>
          <w:lang w:val="en-GB" w:eastAsia="pt-PT"/>
        </w:rPr>
        <w:t>of</w:t>
      </w:r>
      <w:r>
        <w:rPr>
          <w:rFonts w:eastAsia="SimSun"/>
          <w:kern w:val="1"/>
          <w:sz w:val="24"/>
          <w:szCs w:val="24"/>
          <w:lang w:val="en-GB" w:eastAsia="pt-PT"/>
        </w:rPr>
        <w:t xml:space="preserve"> intangible investment</w:t>
      </w:r>
      <w:r w:rsidR="00FD64C6">
        <w:rPr>
          <w:rFonts w:eastAsia="SimSun"/>
          <w:kern w:val="1"/>
          <w:sz w:val="24"/>
          <w:szCs w:val="24"/>
          <w:lang w:val="en-GB" w:eastAsia="pt-PT"/>
        </w:rPr>
        <w:t xml:space="preserve">: </w:t>
      </w:r>
      <w:r w:rsidR="00E719D4" w:rsidRPr="00543CCA">
        <w:rPr>
          <w:rFonts w:eastAsia="SimSun"/>
          <w:i/>
          <w:iCs/>
          <w:kern w:val="1"/>
          <w:sz w:val="24"/>
          <w:szCs w:val="24"/>
          <w:lang w:val="en-GB" w:eastAsia="pt-PT"/>
        </w:rPr>
        <w:t>i</w:t>
      </w:r>
      <w:r w:rsidR="00E719D4" w:rsidRPr="005C599C">
        <w:rPr>
          <w:rFonts w:eastAsia="SimSun"/>
          <w:kern w:val="1"/>
          <w:sz w:val="24"/>
          <w:szCs w:val="24"/>
          <w:lang w:val="en-GB" w:eastAsia="pt-PT"/>
        </w:rPr>
        <w:t>)</w:t>
      </w:r>
      <w:r w:rsidR="00E719D4">
        <w:rPr>
          <w:rFonts w:eastAsia="SimSun"/>
          <w:kern w:val="1"/>
          <w:sz w:val="24"/>
          <w:szCs w:val="24"/>
          <w:lang w:val="en-GB" w:eastAsia="pt-PT"/>
        </w:rPr>
        <w:t xml:space="preserve"> </w:t>
      </w:r>
      <w:r w:rsidR="00FD64C6">
        <w:rPr>
          <w:rFonts w:eastAsia="SimSun"/>
          <w:kern w:val="1"/>
          <w:sz w:val="24"/>
          <w:szCs w:val="24"/>
          <w:lang w:val="en-GB" w:eastAsia="pt-PT"/>
        </w:rPr>
        <w:t>c</w:t>
      </w:r>
      <w:r w:rsidR="000726EF">
        <w:rPr>
          <w:rFonts w:eastAsia="SimSun"/>
          <w:kern w:val="1"/>
          <w:sz w:val="24"/>
          <w:szCs w:val="24"/>
          <w:lang w:val="en-GB" w:eastAsia="pt-PT"/>
        </w:rPr>
        <w:t>omputer</w:t>
      </w:r>
      <w:r w:rsidR="006A78B3">
        <w:rPr>
          <w:rFonts w:eastAsia="SimSun"/>
          <w:kern w:val="1"/>
          <w:sz w:val="24"/>
          <w:szCs w:val="24"/>
          <w:lang w:val="en-GB" w:eastAsia="pt-PT"/>
        </w:rPr>
        <w:t>-</w:t>
      </w:r>
      <w:r w:rsidR="000726EF">
        <w:rPr>
          <w:rFonts w:eastAsia="SimSun"/>
          <w:kern w:val="1"/>
          <w:sz w:val="24"/>
          <w:szCs w:val="24"/>
          <w:lang w:val="en-GB" w:eastAsia="pt-PT"/>
        </w:rPr>
        <w:t>related</w:t>
      </w:r>
      <w:r w:rsidR="00E719D4">
        <w:rPr>
          <w:rFonts w:eastAsia="SimSun"/>
          <w:kern w:val="1"/>
          <w:sz w:val="24"/>
          <w:szCs w:val="24"/>
          <w:lang w:val="en-GB" w:eastAsia="pt-PT"/>
        </w:rPr>
        <w:t xml:space="preserve">; </w:t>
      </w:r>
      <w:r w:rsidR="00E719D4" w:rsidRPr="00543CCA">
        <w:rPr>
          <w:rFonts w:eastAsia="SimSun"/>
          <w:i/>
          <w:iCs/>
          <w:kern w:val="1"/>
          <w:sz w:val="24"/>
          <w:szCs w:val="24"/>
          <w:lang w:val="en-GB" w:eastAsia="pt-PT"/>
        </w:rPr>
        <w:t>ii</w:t>
      </w:r>
      <w:r w:rsidR="00E719D4" w:rsidRPr="005C599C">
        <w:rPr>
          <w:rFonts w:eastAsia="SimSun"/>
          <w:kern w:val="1"/>
          <w:sz w:val="24"/>
          <w:szCs w:val="24"/>
          <w:lang w:val="en-GB" w:eastAsia="pt-PT"/>
        </w:rPr>
        <w:t>)</w:t>
      </w:r>
      <w:r w:rsidR="000726EF">
        <w:rPr>
          <w:rFonts w:eastAsia="SimSun"/>
          <w:kern w:val="1"/>
          <w:sz w:val="24"/>
          <w:szCs w:val="24"/>
          <w:lang w:val="en-GB" w:eastAsia="pt-PT"/>
        </w:rPr>
        <w:t xml:space="preserve"> </w:t>
      </w:r>
      <w:r w:rsidR="00FD64C6">
        <w:rPr>
          <w:rFonts w:eastAsia="SimSun"/>
          <w:kern w:val="1"/>
          <w:sz w:val="24"/>
          <w:szCs w:val="24"/>
          <w:lang w:val="en-GB" w:eastAsia="pt-PT"/>
        </w:rPr>
        <w:t>p</w:t>
      </w:r>
      <w:r w:rsidR="000726EF">
        <w:rPr>
          <w:rFonts w:eastAsia="SimSun"/>
          <w:kern w:val="1"/>
          <w:sz w:val="24"/>
          <w:szCs w:val="24"/>
          <w:lang w:val="en-GB" w:eastAsia="pt-PT"/>
        </w:rPr>
        <w:t>roduction and technology</w:t>
      </w:r>
      <w:r w:rsidR="00E719D4">
        <w:rPr>
          <w:rFonts w:eastAsia="SimSun"/>
          <w:kern w:val="1"/>
          <w:sz w:val="24"/>
          <w:szCs w:val="24"/>
          <w:lang w:val="en-GB" w:eastAsia="pt-PT"/>
        </w:rPr>
        <w:t xml:space="preserve">; </w:t>
      </w:r>
      <w:r w:rsidR="00E719D4" w:rsidRPr="00543CCA">
        <w:rPr>
          <w:rFonts w:eastAsia="SimSun"/>
          <w:i/>
          <w:iCs/>
          <w:kern w:val="1"/>
          <w:sz w:val="24"/>
          <w:szCs w:val="24"/>
          <w:lang w:val="en-GB" w:eastAsia="pt-PT"/>
        </w:rPr>
        <w:t>iii</w:t>
      </w:r>
      <w:r w:rsidR="00E719D4" w:rsidRPr="005C599C">
        <w:rPr>
          <w:rFonts w:eastAsia="SimSun"/>
          <w:kern w:val="1"/>
          <w:sz w:val="24"/>
          <w:szCs w:val="24"/>
          <w:lang w:val="en-GB" w:eastAsia="pt-PT"/>
        </w:rPr>
        <w:t>)</w:t>
      </w:r>
      <w:r w:rsidR="000726EF">
        <w:rPr>
          <w:rFonts w:eastAsia="SimSun"/>
          <w:kern w:val="1"/>
          <w:sz w:val="24"/>
          <w:szCs w:val="24"/>
          <w:lang w:val="en-GB" w:eastAsia="pt-PT"/>
        </w:rPr>
        <w:t xml:space="preserve"> </w:t>
      </w:r>
      <w:r w:rsidR="00FD64C6">
        <w:rPr>
          <w:rFonts w:eastAsia="SimSun"/>
          <w:kern w:val="1"/>
          <w:sz w:val="24"/>
          <w:szCs w:val="24"/>
          <w:lang w:val="en-GB" w:eastAsia="pt-PT"/>
        </w:rPr>
        <w:t>h</w:t>
      </w:r>
      <w:r w:rsidR="000726EF">
        <w:rPr>
          <w:rFonts w:eastAsia="SimSun"/>
          <w:kern w:val="1"/>
          <w:sz w:val="24"/>
          <w:szCs w:val="24"/>
          <w:lang w:val="en-GB" w:eastAsia="pt-PT"/>
        </w:rPr>
        <w:t>uman resources</w:t>
      </w:r>
      <w:r w:rsidR="00E719D4">
        <w:rPr>
          <w:rFonts w:eastAsia="SimSun"/>
          <w:kern w:val="1"/>
          <w:sz w:val="24"/>
          <w:szCs w:val="24"/>
          <w:lang w:val="en-GB" w:eastAsia="pt-PT"/>
        </w:rPr>
        <w:t xml:space="preserve">; </w:t>
      </w:r>
      <w:r w:rsidR="00E719D4" w:rsidRPr="00543CCA">
        <w:rPr>
          <w:rFonts w:eastAsia="SimSun"/>
          <w:i/>
          <w:iCs/>
          <w:kern w:val="1"/>
          <w:sz w:val="24"/>
          <w:szCs w:val="24"/>
          <w:lang w:val="en-GB" w:eastAsia="pt-PT"/>
        </w:rPr>
        <w:t>iv</w:t>
      </w:r>
      <w:r w:rsidR="00E719D4" w:rsidRPr="005C599C">
        <w:rPr>
          <w:rFonts w:eastAsia="SimSun"/>
          <w:kern w:val="1"/>
          <w:sz w:val="24"/>
          <w:szCs w:val="24"/>
          <w:lang w:val="en-GB" w:eastAsia="pt-PT"/>
        </w:rPr>
        <w:t>)</w:t>
      </w:r>
      <w:r w:rsidR="000726EF">
        <w:rPr>
          <w:rFonts w:eastAsia="SimSun"/>
          <w:kern w:val="1"/>
          <w:sz w:val="24"/>
          <w:szCs w:val="24"/>
          <w:lang w:val="en-GB" w:eastAsia="pt-PT"/>
        </w:rPr>
        <w:t xml:space="preserve"> </w:t>
      </w:r>
      <w:r w:rsidR="00FD64C6">
        <w:rPr>
          <w:rFonts w:eastAsia="SimSun"/>
          <w:kern w:val="1"/>
          <w:sz w:val="24"/>
          <w:szCs w:val="24"/>
          <w:lang w:val="en-GB" w:eastAsia="pt-PT"/>
        </w:rPr>
        <w:t>o</w:t>
      </w:r>
      <w:r w:rsidR="000726EF">
        <w:rPr>
          <w:rFonts w:eastAsia="SimSun"/>
          <w:kern w:val="1"/>
          <w:sz w:val="24"/>
          <w:szCs w:val="24"/>
          <w:lang w:val="en-GB" w:eastAsia="pt-PT"/>
        </w:rPr>
        <w:t>rganisation of the firm</w:t>
      </w:r>
      <w:r w:rsidR="00E719D4">
        <w:rPr>
          <w:rFonts w:eastAsia="SimSun"/>
          <w:kern w:val="1"/>
          <w:sz w:val="24"/>
          <w:szCs w:val="24"/>
          <w:lang w:val="en-GB" w:eastAsia="pt-PT"/>
        </w:rPr>
        <w:t xml:space="preserve">; </w:t>
      </w:r>
      <w:r w:rsidR="00E719D4" w:rsidRPr="00543CCA">
        <w:rPr>
          <w:rFonts w:eastAsia="SimSun"/>
          <w:i/>
          <w:iCs/>
          <w:kern w:val="1"/>
          <w:sz w:val="24"/>
          <w:szCs w:val="24"/>
          <w:lang w:val="en-GB" w:eastAsia="pt-PT"/>
        </w:rPr>
        <w:t>v</w:t>
      </w:r>
      <w:r w:rsidR="00E719D4" w:rsidRPr="005C599C">
        <w:rPr>
          <w:rFonts w:eastAsia="SimSun"/>
          <w:kern w:val="1"/>
          <w:sz w:val="24"/>
          <w:szCs w:val="24"/>
          <w:lang w:val="en-GB" w:eastAsia="pt-PT"/>
        </w:rPr>
        <w:t>)</w:t>
      </w:r>
      <w:r w:rsidR="000726EF">
        <w:rPr>
          <w:rFonts w:eastAsia="SimSun"/>
          <w:kern w:val="1"/>
          <w:sz w:val="24"/>
          <w:szCs w:val="24"/>
          <w:lang w:val="en-GB" w:eastAsia="pt-PT"/>
        </w:rPr>
        <w:t xml:space="preserve"> </w:t>
      </w:r>
      <w:r w:rsidR="00FD64C6">
        <w:rPr>
          <w:rFonts w:eastAsia="SimSun"/>
          <w:kern w:val="1"/>
          <w:sz w:val="24"/>
          <w:szCs w:val="24"/>
          <w:lang w:val="en-GB" w:eastAsia="pt-PT"/>
        </w:rPr>
        <w:t>e</w:t>
      </w:r>
      <w:r w:rsidR="000726EF">
        <w:rPr>
          <w:rFonts w:eastAsia="SimSun"/>
          <w:kern w:val="1"/>
          <w:sz w:val="24"/>
          <w:szCs w:val="24"/>
          <w:lang w:val="en-GB" w:eastAsia="pt-PT"/>
        </w:rPr>
        <w:t>xternal</w:t>
      </w:r>
      <w:r w:rsidR="00E719D4">
        <w:rPr>
          <w:rFonts w:eastAsia="SimSun"/>
          <w:kern w:val="1"/>
          <w:sz w:val="24"/>
          <w:szCs w:val="24"/>
          <w:lang w:val="en-GB" w:eastAsia="pt-PT"/>
        </w:rPr>
        <w:t>,</w:t>
      </w:r>
      <w:r w:rsidR="000726EF">
        <w:rPr>
          <w:rFonts w:eastAsia="SimSun"/>
          <w:kern w:val="1"/>
          <w:sz w:val="24"/>
          <w:szCs w:val="24"/>
          <w:lang w:val="en-GB" w:eastAsia="pt-PT"/>
        </w:rPr>
        <w:t xml:space="preserve"> marketing and sales and </w:t>
      </w:r>
      <w:r w:rsidR="00E719D4" w:rsidRPr="00543CCA">
        <w:rPr>
          <w:rFonts w:eastAsia="SimSun"/>
          <w:i/>
          <w:iCs/>
          <w:kern w:val="1"/>
          <w:sz w:val="24"/>
          <w:szCs w:val="24"/>
          <w:lang w:val="en-GB" w:eastAsia="pt-PT"/>
        </w:rPr>
        <w:t>vi</w:t>
      </w:r>
      <w:r w:rsidR="00E719D4" w:rsidRPr="005C599C">
        <w:rPr>
          <w:rFonts w:eastAsia="SimSun"/>
          <w:kern w:val="1"/>
          <w:sz w:val="24"/>
          <w:szCs w:val="24"/>
          <w:lang w:val="en-GB" w:eastAsia="pt-PT"/>
        </w:rPr>
        <w:t>)</w:t>
      </w:r>
      <w:r w:rsidR="00E719D4">
        <w:rPr>
          <w:rFonts w:eastAsia="SimSun"/>
          <w:kern w:val="1"/>
          <w:sz w:val="24"/>
          <w:szCs w:val="24"/>
          <w:lang w:val="en-GB" w:eastAsia="pt-PT"/>
        </w:rPr>
        <w:t xml:space="preserve"> </w:t>
      </w:r>
      <w:r w:rsidR="00FD64C6">
        <w:rPr>
          <w:rFonts w:eastAsia="SimSun"/>
          <w:kern w:val="1"/>
          <w:sz w:val="24"/>
          <w:szCs w:val="24"/>
          <w:lang w:val="en-GB" w:eastAsia="pt-PT"/>
        </w:rPr>
        <w:t>i</w:t>
      </w:r>
      <w:r w:rsidR="000726EF">
        <w:rPr>
          <w:rFonts w:eastAsia="SimSun"/>
          <w:kern w:val="1"/>
          <w:sz w:val="24"/>
          <w:szCs w:val="24"/>
          <w:lang w:val="en-GB" w:eastAsia="pt-PT"/>
        </w:rPr>
        <w:t>ndustry</w:t>
      </w:r>
      <w:r w:rsidR="006A78B3">
        <w:rPr>
          <w:rFonts w:eastAsia="SimSun"/>
          <w:kern w:val="1"/>
          <w:sz w:val="24"/>
          <w:szCs w:val="24"/>
          <w:lang w:val="en-GB" w:eastAsia="pt-PT"/>
        </w:rPr>
        <w:t>-</w:t>
      </w:r>
      <w:r w:rsidR="000726EF">
        <w:rPr>
          <w:rFonts w:eastAsia="SimSun"/>
          <w:kern w:val="1"/>
          <w:sz w:val="24"/>
          <w:szCs w:val="24"/>
          <w:lang w:val="en-GB" w:eastAsia="pt-PT"/>
        </w:rPr>
        <w:t>specific.</w:t>
      </w:r>
    </w:p>
    <w:p w14:paraId="4CAE6945" w14:textId="6D6BE38F" w:rsidR="005E7AE6" w:rsidRDefault="006E7453" w:rsidP="00A3169E">
      <w:pPr>
        <w:spacing w:line="360" w:lineRule="auto"/>
        <w:ind w:firstLine="720"/>
        <w:jc w:val="both"/>
        <w:rPr>
          <w:rFonts w:eastAsia="SimSun"/>
          <w:b/>
          <w:kern w:val="1"/>
          <w:sz w:val="24"/>
          <w:szCs w:val="24"/>
          <w:lang w:val="en-GB" w:eastAsia="pt-PT"/>
        </w:rPr>
      </w:pPr>
      <w:r>
        <w:rPr>
          <w:rFonts w:eastAsia="SimSun"/>
          <w:kern w:val="1"/>
          <w:sz w:val="24"/>
          <w:szCs w:val="24"/>
          <w:lang w:val="en-GB" w:eastAsia="pt-PT"/>
        </w:rPr>
        <w:t>The first category, computer</w:t>
      </w:r>
      <w:r w:rsidR="00422507">
        <w:rPr>
          <w:rFonts w:eastAsia="SimSun"/>
          <w:kern w:val="1"/>
          <w:sz w:val="24"/>
          <w:szCs w:val="24"/>
          <w:lang w:val="en-GB" w:eastAsia="pt-PT"/>
        </w:rPr>
        <w:t>-</w:t>
      </w:r>
      <w:r>
        <w:rPr>
          <w:rFonts w:eastAsia="SimSun"/>
          <w:kern w:val="1"/>
          <w:sz w:val="24"/>
          <w:szCs w:val="24"/>
          <w:lang w:val="en-GB" w:eastAsia="pt-PT"/>
        </w:rPr>
        <w:t>related</w:t>
      </w:r>
      <w:r w:rsidR="00E719D4">
        <w:rPr>
          <w:rFonts w:eastAsia="SimSun"/>
          <w:kern w:val="1"/>
          <w:sz w:val="24"/>
          <w:szCs w:val="24"/>
          <w:lang w:val="en-GB" w:eastAsia="pt-PT"/>
        </w:rPr>
        <w:t>,</w:t>
      </w:r>
      <w:r>
        <w:rPr>
          <w:rFonts w:eastAsia="SimSun"/>
          <w:kern w:val="1"/>
          <w:sz w:val="24"/>
          <w:szCs w:val="24"/>
          <w:lang w:val="en-GB" w:eastAsia="pt-PT"/>
        </w:rPr>
        <w:t xml:space="preserve"> </w:t>
      </w:r>
      <w:r w:rsidR="00275421">
        <w:rPr>
          <w:rFonts w:eastAsia="SimSun"/>
          <w:kern w:val="1"/>
          <w:sz w:val="24"/>
          <w:szCs w:val="24"/>
          <w:lang w:val="en-GB" w:eastAsia="pt-PT"/>
        </w:rPr>
        <w:t>includes</w:t>
      </w:r>
      <w:r w:rsidR="00FD64C6">
        <w:rPr>
          <w:rFonts w:eastAsia="SimSun"/>
          <w:kern w:val="1"/>
          <w:sz w:val="24"/>
          <w:szCs w:val="24"/>
          <w:lang w:val="en-GB" w:eastAsia="pt-PT"/>
        </w:rPr>
        <w:t xml:space="preserve"> </w:t>
      </w:r>
      <w:r w:rsidR="00355D2A">
        <w:rPr>
          <w:rFonts w:eastAsia="SimSun"/>
          <w:kern w:val="1"/>
          <w:sz w:val="24"/>
          <w:szCs w:val="24"/>
          <w:lang w:val="en-GB" w:eastAsia="pt-PT"/>
        </w:rPr>
        <w:t>assets that are</w:t>
      </w:r>
      <w:r w:rsidR="00FD64C6">
        <w:rPr>
          <w:rFonts w:eastAsia="SimSun"/>
          <w:kern w:val="1"/>
          <w:sz w:val="24"/>
          <w:szCs w:val="24"/>
          <w:lang w:val="en-GB" w:eastAsia="pt-PT"/>
        </w:rPr>
        <w:t xml:space="preserve"> of</w:t>
      </w:r>
      <w:r w:rsidR="00B35499">
        <w:rPr>
          <w:rFonts w:eastAsia="SimSun"/>
          <w:kern w:val="1"/>
          <w:sz w:val="24"/>
          <w:szCs w:val="24"/>
          <w:lang w:val="en-GB" w:eastAsia="pt-PT"/>
        </w:rPr>
        <w:t xml:space="preserve"> everyday</w:t>
      </w:r>
      <w:r w:rsidR="00FD64C6">
        <w:rPr>
          <w:rFonts w:eastAsia="SimSun"/>
          <w:kern w:val="1"/>
          <w:sz w:val="24"/>
          <w:szCs w:val="24"/>
          <w:lang w:val="en-GB" w:eastAsia="pt-PT"/>
        </w:rPr>
        <w:t xml:space="preserve"> use such as software and large databases</w:t>
      </w:r>
      <w:r w:rsidR="007F5B47">
        <w:rPr>
          <w:rFonts w:eastAsia="SimSun"/>
          <w:kern w:val="1"/>
          <w:sz w:val="24"/>
          <w:szCs w:val="24"/>
          <w:lang w:val="en-GB" w:eastAsia="pt-PT"/>
        </w:rPr>
        <w:t>.</w:t>
      </w:r>
      <w:r w:rsidR="00F34B9E">
        <w:rPr>
          <w:rFonts w:eastAsia="SimSun"/>
          <w:kern w:val="1"/>
          <w:sz w:val="24"/>
          <w:szCs w:val="24"/>
          <w:lang w:val="en-GB" w:eastAsia="pt-PT"/>
        </w:rPr>
        <w:t xml:space="preserve"> The category of production and technology embodies</w:t>
      </w:r>
      <w:r w:rsidR="00936BC7">
        <w:rPr>
          <w:rFonts w:eastAsia="SimSun"/>
          <w:kern w:val="1"/>
          <w:sz w:val="24"/>
          <w:szCs w:val="24"/>
          <w:lang w:val="en-GB" w:eastAsia="pt-PT"/>
        </w:rPr>
        <w:t xml:space="preserve"> assets that are widely perceived as </w:t>
      </w:r>
      <w:r w:rsidR="0095181F">
        <w:rPr>
          <w:rFonts w:eastAsia="SimSun"/>
          <w:kern w:val="1"/>
          <w:sz w:val="24"/>
          <w:szCs w:val="24"/>
          <w:lang w:val="en-GB" w:eastAsia="pt-PT"/>
        </w:rPr>
        <w:t>intangible,</w:t>
      </w:r>
      <w:r w:rsidR="003C615A">
        <w:rPr>
          <w:rFonts w:eastAsia="SimSun"/>
          <w:kern w:val="1"/>
          <w:sz w:val="24"/>
          <w:szCs w:val="24"/>
          <w:lang w:val="en-GB" w:eastAsia="pt-PT"/>
        </w:rPr>
        <w:t xml:space="preserve"> such as</w:t>
      </w:r>
      <w:r w:rsidR="00734A79">
        <w:rPr>
          <w:rFonts w:eastAsia="SimSun"/>
          <w:kern w:val="1"/>
          <w:sz w:val="24"/>
          <w:szCs w:val="24"/>
          <w:lang w:val="en-GB" w:eastAsia="pt-PT"/>
        </w:rPr>
        <w:t xml:space="preserve"> R&amp;D and patents, but also </w:t>
      </w:r>
      <w:r w:rsidR="00C1678D">
        <w:rPr>
          <w:rFonts w:eastAsia="SimSun"/>
          <w:kern w:val="1"/>
          <w:sz w:val="24"/>
          <w:szCs w:val="24"/>
          <w:lang w:val="en-GB" w:eastAsia="pt-PT"/>
        </w:rPr>
        <w:t>asset</w:t>
      </w:r>
      <w:r w:rsidR="00734A79">
        <w:rPr>
          <w:rFonts w:eastAsia="SimSun"/>
          <w:kern w:val="1"/>
          <w:sz w:val="24"/>
          <w:szCs w:val="24"/>
          <w:lang w:val="en-GB" w:eastAsia="pt-PT"/>
        </w:rPr>
        <w:t>s that are less likely to be thought</w:t>
      </w:r>
      <w:r w:rsidR="00C1678D">
        <w:rPr>
          <w:rFonts w:eastAsia="SimSun"/>
          <w:kern w:val="1"/>
          <w:sz w:val="24"/>
          <w:szCs w:val="24"/>
          <w:lang w:val="en-GB" w:eastAsia="pt-PT"/>
        </w:rPr>
        <w:t xml:space="preserve"> </w:t>
      </w:r>
      <w:r w:rsidR="005970F8">
        <w:rPr>
          <w:rFonts w:eastAsia="SimSun"/>
          <w:kern w:val="1"/>
          <w:sz w:val="24"/>
          <w:szCs w:val="24"/>
          <w:lang w:val="en-GB" w:eastAsia="pt-PT"/>
        </w:rPr>
        <w:t xml:space="preserve">of </w:t>
      </w:r>
      <w:r w:rsidR="00C1678D">
        <w:rPr>
          <w:rFonts w:eastAsia="SimSun"/>
          <w:kern w:val="1"/>
          <w:sz w:val="24"/>
          <w:szCs w:val="24"/>
          <w:lang w:val="en-GB" w:eastAsia="pt-PT"/>
        </w:rPr>
        <w:t>as capital such</w:t>
      </w:r>
      <w:r w:rsidR="00734A79">
        <w:rPr>
          <w:rFonts w:eastAsia="SimSun"/>
          <w:kern w:val="1"/>
          <w:sz w:val="24"/>
          <w:szCs w:val="24"/>
          <w:lang w:val="en-GB" w:eastAsia="pt-PT"/>
        </w:rPr>
        <w:t xml:space="preserve"> as know-how. </w:t>
      </w:r>
      <w:r w:rsidR="00051DF2">
        <w:rPr>
          <w:rFonts w:eastAsia="SimSun"/>
          <w:kern w:val="1"/>
          <w:sz w:val="24"/>
          <w:szCs w:val="24"/>
          <w:lang w:val="en-GB" w:eastAsia="pt-PT"/>
        </w:rPr>
        <w:t>Indeed,</w:t>
      </w:r>
      <w:r w:rsidR="00734A79">
        <w:rPr>
          <w:rFonts w:eastAsia="SimSun"/>
          <w:kern w:val="1"/>
          <w:sz w:val="24"/>
          <w:szCs w:val="24"/>
          <w:lang w:val="en-GB" w:eastAsia="pt-PT"/>
        </w:rPr>
        <w:t xml:space="preserve"> </w:t>
      </w:r>
      <w:r w:rsidR="00422507">
        <w:rPr>
          <w:rFonts w:eastAsia="SimSun"/>
          <w:kern w:val="1"/>
          <w:sz w:val="24"/>
          <w:szCs w:val="24"/>
          <w:lang w:val="en-GB" w:eastAsia="pt-PT"/>
        </w:rPr>
        <w:t xml:space="preserve">the </w:t>
      </w:r>
      <w:r w:rsidR="00A63F7C">
        <w:rPr>
          <w:rFonts w:eastAsia="SimSun"/>
          <w:kern w:val="1"/>
          <w:sz w:val="24"/>
          <w:szCs w:val="24"/>
          <w:lang w:val="en-GB" w:eastAsia="pt-PT"/>
        </w:rPr>
        <w:t xml:space="preserve">knowledge </w:t>
      </w:r>
      <w:r w:rsidR="00A251CB">
        <w:rPr>
          <w:rFonts w:eastAsia="SimSun"/>
          <w:kern w:val="1"/>
          <w:sz w:val="24"/>
          <w:szCs w:val="24"/>
          <w:lang w:val="en-GB" w:eastAsia="pt-PT"/>
        </w:rPr>
        <w:t xml:space="preserve">of how to produce </w:t>
      </w:r>
      <w:r w:rsidR="00A63F7C">
        <w:rPr>
          <w:rFonts w:eastAsia="SimSun"/>
          <w:kern w:val="1"/>
          <w:sz w:val="24"/>
          <w:szCs w:val="24"/>
          <w:lang w:val="en-GB" w:eastAsia="pt-PT"/>
        </w:rPr>
        <w:t xml:space="preserve">that </w:t>
      </w:r>
      <w:r w:rsidR="00051DF2">
        <w:rPr>
          <w:rFonts w:eastAsia="SimSun"/>
          <w:kern w:val="1"/>
          <w:sz w:val="24"/>
          <w:szCs w:val="24"/>
          <w:lang w:val="en-GB" w:eastAsia="pt-PT"/>
        </w:rPr>
        <w:t>is</w:t>
      </w:r>
      <w:r w:rsidR="0095181F">
        <w:rPr>
          <w:rFonts w:eastAsia="SimSun"/>
          <w:kern w:val="1"/>
          <w:sz w:val="24"/>
          <w:szCs w:val="24"/>
          <w:lang w:val="en-GB" w:eastAsia="pt-PT"/>
        </w:rPr>
        <w:t xml:space="preserve"> embedded</w:t>
      </w:r>
      <w:r w:rsidR="00A63F7C">
        <w:rPr>
          <w:rFonts w:eastAsia="SimSun"/>
          <w:kern w:val="1"/>
          <w:sz w:val="24"/>
          <w:szCs w:val="24"/>
          <w:lang w:val="en-GB" w:eastAsia="pt-PT"/>
        </w:rPr>
        <w:t xml:space="preserve"> in </w:t>
      </w:r>
      <w:r w:rsidR="00666357">
        <w:rPr>
          <w:rFonts w:eastAsia="SimSun"/>
          <w:kern w:val="1"/>
          <w:sz w:val="24"/>
          <w:szCs w:val="24"/>
          <w:lang w:val="en-GB" w:eastAsia="pt-PT"/>
        </w:rPr>
        <w:t xml:space="preserve">workers is also </w:t>
      </w:r>
      <w:r w:rsidR="0095181F">
        <w:rPr>
          <w:rFonts w:eastAsia="SimSun"/>
          <w:kern w:val="1"/>
          <w:sz w:val="24"/>
          <w:szCs w:val="24"/>
          <w:lang w:val="en-GB" w:eastAsia="pt-PT"/>
        </w:rPr>
        <w:t xml:space="preserve">considered as </w:t>
      </w:r>
      <w:r w:rsidR="00666357">
        <w:rPr>
          <w:rFonts w:eastAsia="SimSun"/>
          <w:kern w:val="1"/>
          <w:sz w:val="24"/>
          <w:szCs w:val="24"/>
          <w:lang w:val="en-GB" w:eastAsia="pt-PT"/>
        </w:rPr>
        <w:t>an intangible asset</w:t>
      </w:r>
      <w:r w:rsidR="00051DF2">
        <w:rPr>
          <w:rFonts w:eastAsia="SimSun"/>
          <w:kern w:val="1"/>
          <w:sz w:val="24"/>
          <w:szCs w:val="24"/>
          <w:lang w:val="en-GB" w:eastAsia="pt-PT"/>
        </w:rPr>
        <w:t>. The category of human re</w:t>
      </w:r>
      <w:r w:rsidR="008A6A9B">
        <w:rPr>
          <w:rFonts w:eastAsia="SimSun"/>
          <w:kern w:val="1"/>
          <w:sz w:val="24"/>
          <w:szCs w:val="24"/>
          <w:lang w:val="en-GB" w:eastAsia="pt-PT"/>
        </w:rPr>
        <w:t xml:space="preserve">sources embodies </w:t>
      </w:r>
      <w:r w:rsidR="006E728C" w:rsidRPr="00115378">
        <w:rPr>
          <w:rFonts w:eastAsia="SimSun"/>
          <w:kern w:val="1"/>
          <w:sz w:val="24"/>
          <w:szCs w:val="24"/>
          <w:lang w:val="en-GB" w:eastAsia="pt-PT"/>
        </w:rPr>
        <w:t>Becker</w:t>
      </w:r>
      <w:r w:rsidR="006C6A41">
        <w:rPr>
          <w:rFonts w:eastAsia="SimSun"/>
          <w:kern w:val="1"/>
          <w:sz w:val="24"/>
          <w:szCs w:val="24"/>
          <w:lang w:val="en-GB" w:eastAsia="pt-PT"/>
        </w:rPr>
        <w:t>’s</w:t>
      </w:r>
      <w:r w:rsidR="00115378" w:rsidRPr="00115378">
        <w:rPr>
          <w:rFonts w:eastAsia="SimSun"/>
          <w:kern w:val="1"/>
          <w:sz w:val="24"/>
          <w:szCs w:val="24"/>
          <w:lang w:val="en-GB" w:eastAsia="pt-PT"/>
        </w:rPr>
        <w:t xml:space="preserve"> (1964)</w:t>
      </w:r>
      <w:r w:rsidR="006E728C" w:rsidRPr="00115378">
        <w:rPr>
          <w:rFonts w:eastAsia="SimSun"/>
          <w:kern w:val="1"/>
          <w:sz w:val="24"/>
          <w:szCs w:val="24"/>
          <w:lang w:val="en-GB" w:eastAsia="pt-PT"/>
        </w:rPr>
        <w:t xml:space="preserve"> human capital </w:t>
      </w:r>
      <w:r w:rsidR="003E5CE3" w:rsidRPr="00115378">
        <w:rPr>
          <w:rFonts w:eastAsia="SimSun"/>
          <w:kern w:val="1"/>
          <w:sz w:val="24"/>
          <w:szCs w:val="24"/>
          <w:lang w:val="en-GB" w:eastAsia="pt-PT"/>
        </w:rPr>
        <w:t>theory</w:t>
      </w:r>
      <w:r w:rsidR="003E5CE3">
        <w:rPr>
          <w:rFonts w:eastAsia="SimSun"/>
          <w:kern w:val="1"/>
          <w:sz w:val="24"/>
          <w:szCs w:val="24"/>
          <w:lang w:val="en-GB" w:eastAsia="pt-PT"/>
        </w:rPr>
        <w:t xml:space="preserve"> </w:t>
      </w:r>
      <w:r w:rsidR="009E787D">
        <w:rPr>
          <w:rFonts w:eastAsia="SimSun"/>
          <w:kern w:val="1"/>
          <w:sz w:val="24"/>
          <w:szCs w:val="24"/>
          <w:lang w:val="en-GB" w:eastAsia="pt-PT"/>
        </w:rPr>
        <w:t xml:space="preserve">and the intrinsic value of team working. </w:t>
      </w:r>
      <w:r w:rsidR="002C7EB9">
        <w:rPr>
          <w:rFonts w:eastAsia="SimSun"/>
          <w:kern w:val="1"/>
          <w:sz w:val="24"/>
          <w:szCs w:val="24"/>
          <w:lang w:val="en-GB" w:eastAsia="pt-PT"/>
        </w:rPr>
        <w:t xml:space="preserve">Organisation of the firm </w:t>
      </w:r>
      <w:r w:rsidR="007310CD">
        <w:rPr>
          <w:rFonts w:eastAsia="SimSun"/>
          <w:kern w:val="1"/>
          <w:sz w:val="24"/>
          <w:szCs w:val="24"/>
          <w:lang w:val="en-GB" w:eastAsia="pt-PT"/>
        </w:rPr>
        <w:t xml:space="preserve">incorporates </w:t>
      </w:r>
      <w:r w:rsidR="005F2429">
        <w:rPr>
          <w:rFonts w:eastAsia="SimSun"/>
          <w:kern w:val="1"/>
          <w:sz w:val="24"/>
          <w:szCs w:val="24"/>
          <w:lang w:val="en-GB" w:eastAsia="pt-PT"/>
        </w:rPr>
        <w:t>the value of networks and</w:t>
      </w:r>
      <w:r w:rsidR="0095181F">
        <w:rPr>
          <w:rFonts w:eastAsia="SimSun"/>
          <w:kern w:val="1"/>
          <w:sz w:val="24"/>
          <w:szCs w:val="24"/>
          <w:lang w:val="en-GB" w:eastAsia="pt-PT"/>
        </w:rPr>
        <w:t xml:space="preserve"> working</w:t>
      </w:r>
      <w:r w:rsidR="005F2429">
        <w:rPr>
          <w:rFonts w:eastAsia="SimSun"/>
          <w:kern w:val="1"/>
          <w:sz w:val="24"/>
          <w:szCs w:val="24"/>
          <w:lang w:val="en-GB" w:eastAsia="pt-PT"/>
        </w:rPr>
        <w:t xml:space="preserve"> methods. </w:t>
      </w:r>
      <w:r w:rsidR="0067520A">
        <w:rPr>
          <w:rFonts w:eastAsia="SimSun"/>
          <w:kern w:val="1"/>
          <w:sz w:val="24"/>
          <w:szCs w:val="24"/>
          <w:lang w:val="en-GB" w:eastAsia="pt-PT"/>
        </w:rPr>
        <w:t>External: marketing and sales incorporate marketing and advertising</w:t>
      </w:r>
      <w:r w:rsidR="00422507">
        <w:rPr>
          <w:rFonts w:eastAsia="SimSun"/>
          <w:kern w:val="1"/>
          <w:sz w:val="24"/>
          <w:szCs w:val="24"/>
          <w:lang w:val="en-GB" w:eastAsia="pt-PT"/>
        </w:rPr>
        <w:t>-</w:t>
      </w:r>
      <w:r w:rsidR="0067520A">
        <w:rPr>
          <w:rFonts w:eastAsia="SimSun"/>
          <w:kern w:val="1"/>
          <w:sz w:val="24"/>
          <w:szCs w:val="24"/>
          <w:lang w:val="en-GB" w:eastAsia="pt-PT"/>
        </w:rPr>
        <w:t>related aspects of conducting a business</w:t>
      </w:r>
      <w:r w:rsidR="00C1678D">
        <w:rPr>
          <w:rFonts w:eastAsia="SimSun"/>
          <w:kern w:val="1"/>
          <w:sz w:val="24"/>
          <w:szCs w:val="24"/>
          <w:lang w:val="en-GB" w:eastAsia="pt-PT"/>
        </w:rPr>
        <w:t>. T</w:t>
      </w:r>
      <w:r w:rsidR="005F2EAE">
        <w:rPr>
          <w:rFonts w:eastAsia="SimSun"/>
          <w:kern w:val="1"/>
          <w:sz w:val="24"/>
          <w:szCs w:val="24"/>
          <w:lang w:val="en-GB" w:eastAsia="pt-PT"/>
        </w:rPr>
        <w:t>he</w:t>
      </w:r>
      <w:r w:rsidR="0067520A">
        <w:rPr>
          <w:rFonts w:eastAsia="SimSun"/>
          <w:kern w:val="1"/>
          <w:sz w:val="24"/>
          <w:szCs w:val="24"/>
          <w:lang w:val="en-GB" w:eastAsia="pt-PT"/>
        </w:rPr>
        <w:t xml:space="preserve"> </w:t>
      </w:r>
      <w:r w:rsidR="00C20262">
        <w:rPr>
          <w:rFonts w:eastAsia="SimSun"/>
          <w:kern w:val="1"/>
          <w:sz w:val="24"/>
          <w:szCs w:val="24"/>
          <w:lang w:val="en-GB" w:eastAsia="pt-PT"/>
        </w:rPr>
        <w:t>industry</w:t>
      </w:r>
      <w:r w:rsidR="00422507">
        <w:rPr>
          <w:rFonts w:eastAsia="SimSun"/>
          <w:kern w:val="1"/>
          <w:sz w:val="24"/>
          <w:szCs w:val="24"/>
          <w:lang w:val="en-GB" w:eastAsia="pt-PT"/>
        </w:rPr>
        <w:t>-</w:t>
      </w:r>
      <w:r w:rsidR="005F2EAE">
        <w:rPr>
          <w:rFonts w:eastAsia="SimSun"/>
          <w:kern w:val="1"/>
          <w:sz w:val="24"/>
          <w:szCs w:val="24"/>
          <w:lang w:val="en-GB" w:eastAsia="pt-PT"/>
        </w:rPr>
        <w:t xml:space="preserve">specific category incorporates legal rights </w:t>
      </w:r>
      <w:r w:rsidR="00355683">
        <w:rPr>
          <w:rFonts w:eastAsia="SimSun"/>
          <w:kern w:val="1"/>
          <w:sz w:val="24"/>
          <w:szCs w:val="24"/>
          <w:lang w:val="en-GB" w:eastAsia="pt-PT"/>
        </w:rPr>
        <w:t>(</w:t>
      </w:r>
      <w:r w:rsidR="00A251CB">
        <w:rPr>
          <w:rFonts w:eastAsia="SimSun"/>
          <w:kern w:val="1"/>
          <w:sz w:val="24"/>
          <w:szCs w:val="24"/>
          <w:lang w:val="en-GB" w:eastAsia="pt-PT"/>
        </w:rPr>
        <w:t xml:space="preserve">such as </w:t>
      </w:r>
      <w:r w:rsidR="00355683">
        <w:rPr>
          <w:rFonts w:eastAsia="SimSun"/>
          <w:kern w:val="1"/>
          <w:sz w:val="24"/>
          <w:szCs w:val="24"/>
          <w:lang w:val="en-GB" w:eastAsia="pt-PT"/>
        </w:rPr>
        <w:t xml:space="preserve">mineral exploitation and milk quotas) among intellectual property </w:t>
      </w:r>
      <w:r w:rsidR="0095181F">
        <w:rPr>
          <w:rFonts w:eastAsia="SimSun"/>
          <w:kern w:val="1"/>
          <w:sz w:val="24"/>
          <w:szCs w:val="24"/>
          <w:lang w:val="en-GB" w:eastAsia="pt-PT"/>
        </w:rPr>
        <w:t xml:space="preserve">rights </w:t>
      </w:r>
      <w:r w:rsidR="00355683">
        <w:rPr>
          <w:rFonts w:eastAsia="SimSun"/>
          <w:kern w:val="1"/>
          <w:sz w:val="24"/>
          <w:szCs w:val="24"/>
          <w:lang w:val="en-GB" w:eastAsia="pt-PT"/>
        </w:rPr>
        <w:t xml:space="preserve">resulting from </w:t>
      </w:r>
      <w:r w:rsidR="00A336A1">
        <w:rPr>
          <w:rFonts w:eastAsia="SimSun"/>
          <w:kern w:val="1"/>
          <w:sz w:val="24"/>
          <w:szCs w:val="24"/>
          <w:lang w:val="en-GB" w:eastAsia="pt-PT"/>
        </w:rPr>
        <w:t>creative industries.</w:t>
      </w:r>
    </w:p>
    <w:p w14:paraId="18AF69C5" w14:textId="10D56399" w:rsidR="001C2B55" w:rsidRDefault="00B274B5" w:rsidP="00A3169E">
      <w:pPr>
        <w:pStyle w:val="Estilo1"/>
        <w:ind w:firstLine="720"/>
        <w:rPr>
          <w:rFonts w:ascii="Garamond" w:eastAsia="SimSun" w:hAnsi="Garamond"/>
          <w:b w:val="0"/>
          <w:kern w:val="1"/>
          <w:sz w:val="24"/>
          <w:szCs w:val="24"/>
          <w:lang w:val="en-GB" w:eastAsia="pt-PT"/>
        </w:rPr>
      </w:pPr>
      <w:r>
        <w:rPr>
          <w:rFonts w:ascii="Garamond" w:eastAsia="SimSun" w:hAnsi="Garamond"/>
          <w:b w:val="0"/>
          <w:kern w:val="1"/>
          <w:sz w:val="24"/>
          <w:szCs w:val="24"/>
          <w:lang w:val="en-GB" w:eastAsia="pt-PT"/>
        </w:rPr>
        <w:t>I</w:t>
      </w:r>
      <w:r w:rsidR="008E0CD6">
        <w:rPr>
          <w:rFonts w:ascii="Garamond" w:eastAsia="SimSun" w:hAnsi="Garamond"/>
          <w:b w:val="0"/>
          <w:kern w:val="1"/>
          <w:sz w:val="24"/>
          <w:szCs w:val="24"/>
          <w:lang w:val="en-GB" w:eastAsia="pt-PT"/>
        </w:rPr>
        <w:t>ntangible assets are of great importance in modern economies</w:t>
      </w:r>
      <w:r w:rsidR="00E516CB">
        <w:rPr>
          <w:rFonts w:ascii="Garamond" w:eastAsia="SimSun" w:hAnsi="Garamond"/>
          <w:b w:val="0"/>
          <w:kern w:val="1"/>
          <w:sz w:val="24"/>
          <w:szCs w:val="24"/>
          <w:lang w:val="en-GB" w:eastAsia="pt-PT"/>
        </w:rPr>
        <w:t xml:space="preserve"> as they </w:t>
      </w:r>
      <w:r w:rsidR="00C3716B">
        <w:rPr>
          <w:rFonts w:ascii="Garamond" w:eastAsia="SimSun" w:hAnsi="Garamond"/>
          <w:b w:val="0"/>
          <w:kern w:val="1"/>
          <w:sz w:val="24"/>
          <w:szCs w:val="24"/>
          <w:lang w:val="en-GB" w:eastAsia="pt-PT"/>
        </w:rPr>
        <w:t>increase labour productivity (Roth &amp; Thum, 2013), firms</w:t>
      </w:r>
      <w:r w:rsidR="0092771A">
        <w:rPr>
          <w:rFonts w:ascii="Garamond" w:eastAsia="SimSun" w:hAnsi="Garamond"/>
          <w:b w:val="0"/>
          <w:kern w:val="1"/>
          <w:sz w:val="24"/>
          <w:szCs w:val="24"/>
          <w:lang w:val="en-GB" w:eastAsia="pt-PT"/>
        </w:rPr>
        <w:t>’</w:t>
      </w:r>
      <w:r w:rsidR="00C3716B">
        <w:rPr>
          <w:rFonts w:ascii="Garamond" w:eastAsia="SimSun" w:hAnsi="Garamond"/>
          <w:b w:val="0"/>
          <w:kern w:val="1"/>
          <w:sz w:val="24"/>
          <w:szCs w:val="24"/>
          <w:lang w:val="en-GB" w:eastAsia="pt-PT"/>
        </w:rPr>
        <w:t xml:space="preserve"> sales growth (Cuccule</w:t>
      </w:r>
      <w:r w:rsidR="00AF36C6">
        <w:rPr>
          <w:rFonts w:ascii="Garamond" w:eastAsia="SimSun" w:hAnsi="Garamond"/>
          <w:b w:val="0"/>
          <w:kern w:val="1"/>
          <w:sz w:val="24"/>
          <w:szCs w:val="24"/>
          <w:lang w:val="en-GB" w:eastAsia="pt-PT"/>
        </w:rPr>
        <w:t>l</w:t>
      </w:r>
      <w:r w:rsidR="00C3716B">
        <w:rPr>
          <w:rFonts w:ascii="Garamond" w:eastAsia="SimSun" w:hAnsi="Garamond"/>
          <w:b w:val="0"/>
          <w:kern w:val="1"/>
          <w:sz w:val="24"/>
          <w:szCs w:val="24"/>
          <w:lang w:val="en-GB" w:eastAsia="pt-PT"/>
        </w:rPr>
        <w:t xml:space="preserve">li &amp; Betinelli, 2015) and total factor productivity (Dal Borgo </w:t>
      </w:r>
      <w:r w:rsidR="00C3716B" w:rsidRPr="0095181F">
        <w:rPr>
          <w:rFonts w:ascii="Garamond" w:eastAsia="SimSun" w:hAnsi="Garamond"/>
          <w:b w:val="0"/>
          <w:i/>
          <w:iCs/>
          <w:kern w:val="1"/>
          <w:sz w:val="24"/>
          <w:szCs w:val="24"/>
          <w:lang w:val="en-GB" w:eastAsia="pt-PT"/>
        </w:rPr>
        <w:t>et al</w:t>
      </w:r>
      <w:r w:rsidR="00C3716B">
        <w:rPr>
          <w:rFonts w:ascii="Garamond" w:eastAsia="SimSun" w:hAnsi="Garamond"/>
          <w:b w:val="0"/>
          <w:kern w:val="1"/>
          <w:sz w:val="24"/>
          <w:szCs w:val="24"/>
          <w:lang w:val="en-GB" w:eastAsia="pt-PT"/>
        </w:rPr>
        <w:t>., 201</w:t>
      </w:r>
      <w:r w:rsidR="00F3483A">
        <w:rPr>
          <w:rFonts w:ascii="Garamond" w:eastAsia="SimSun" w:hAnsi="Garamond"/>
          <w:b w:val="0"/>
          <w:kern w:val="1"/>
          <w:sz w:val="24"/>
          <w:szCs w:val="24"/>
          <w:lang w:val="en-GB" w:eastAsia="pt-PT"/>
        </w:rPr>
        <w:t>3</w:t>
      </w:r>
      <w:r w:rsidR="00C3716B">
        <w:rPr>
          <w:rFonts w:ascii="Garamond" w:eastAsia="SimSun" w:hAnsi="Garamond"/>
          <w:b w:val="0"/>
          <w:kern w:val="1"/>
          <w:sz w:val="24"/>
          <w:szCs w:val="24"/>
          <w:lang w:val="en-GB" w:eastAsia="pt-PT"/>
        </w:rPr>
        <w:t>)</w:t>
      </w:r>
      <w:r w:rsidR="008E0CD6">
        <w:rPr>
          <w:rFonts w:ascii="Garamond" w:eastAsia="SimSun" w:hAnsi="Garamond"/>
          <w:b w:val="0"/>
          <w:kern w:val="1"/>
          <w:sz w:val="24"/>
          <w:szCs w:val="24"/>
          <w:lang w:val="en-GB" w:eastAsia="pt-PT"/>
        </w:rPr>
        <w:t xml:space="preserve">. Cincera </w:t>
      </w:r>
      <w:r w:rsidR="008E0CD6" w:rsidRPr="0095181F">
        <w:rPr>
          <w:rFonts w:ascii="Garamond" w:eastAsia="SimSun" w:hAnsi="Garamond"/>
          <w:b w:val="0"/>
          <w:i/>
          <w:iCs/>
          <w:kern w:val="1"/>
          <w:sz w:val="24"/>
          <w:szCs w:val="24"/>
          <w:lang w:val="en-GB" w:eastAsia="pt-PT"/>
        </w:rPr>
        <w:t>et al</w:t>
      </w:r>
      <w:r w:rsidR="008E0CD6">
        <w:rPr>
          <w:rFonts w:ascii="Garamond" w:eastAsia="SimSun" w:hAnsi="Garamond"/>
          <w:b w:val="0"/>
          <w:kern w:val="1"/>
          <w:sz w:val="24"/>
          <w:szCs w:val="24"/>
          <w:lang w:val="en-GB" w:eastAsia="pt-PT"/>
        </w:rPr>
        <w:t>. (2020)</w:t>
      </w:r>
      <w:r w:rsidR="00E516CB">
        <w:rPr>
          <w:rFonts w:ascii="Garamond" w:eastAsia="SimSun" w:hAnsi="Garamond"/>
          <w:b w:val="0"/>
          <w:kern w:val="1"/>
          <w:sz w:val="24"/>
          <w:szCs w:val="24"/>
          <w:lang w:val="en-GB" w:eastAsia="pt-PT"/>
        </w:rPr>
        <w:t>,</w:t>
      </w:r>
      <w:r w:rsidR="008E0CD6">
        <w:rPr>
          <w:rFonts w:ascii="Garamond" w:eastAsia="SimSun" w:hAnsi="Garamond"/>
          <w:b w:val="0"/>
          <w:kern w:val="1"/>
          <w:sz w:val="24"/>
          <w:szCs w:val="24"/>
          <w:lang w:val="en-GB" w:eastAsia="pt-PT"/>
        </w:rPr>
        <w:t xml:space="preserve"> report that due to globalization, firms must continuously improve their performance due to resulting added competition. Consequently, firms invest in intangible assets to overcome this increased market </w:t>
      </w:r>
      <w:r w:rsidR="001C2B55">
        <w:rPr>
          <w:rFonts w:ascii="Garamond" w:eastAsia="SimSun" w:hAnsi="Garamond"/>
          <w:b w:val="0"/>
          <w:kern w:val="1"/>
          <w:sz w:val="24"/>
          <w:szCs w:val="24"/>
          <w:lang w:val="en-GB" w:eastAsia="pt-PT"/>
        </w:rPr>
        <w:t>pressure</w:t>
      </w:r>
      <w:r w:rsidR="008E0CD6">
        <w:rPr>
          <w:rFonts w:ascii="Garamond" w:eastAsia="SimSun" w:hAnsi="Garamond"/>
          <w:b w:val="0"/>
          <w:kern w:val="1"/>
          <w:sz w:val="24"/>
          <w:szCs w:val="24"/>
          <w:lang w:val="en-GB" w:eastAsia="pt-PT"/>
        </w:rPr>
        <w:t>.</w:t>
      </w:r>
    </w:p>
    <w:p w14:paraId="6141AA9F" w14:textId="1BFF0356" w:rsidR="00E3124E" w:rsidRDefault="008E0CD6" w:rsidP="00667E83">
      <w:pPr>
        <w:pStyle w:val="Estilo1"/>
        <w:ind w:firstLine="720"/>
        <w:rPr>
          <w:rFonts w:eastAsia="SimSun"/>
          <w:b w:val="0"/>
          <w:kern w:val="1"/>
          <w:sz w:val="24"/>
          <w:szCs w:val="24"/>
          <w:lang w:val="en-GB" w:eastAsia="pt-PT"/>
        </w:rPr>
        <w:sectPr w:rsidR="00E3124E" w:rsidSect="0066680A">
          <w:pgSz w:w="11910" w:h="16840"/>
          <w:pgMar w:top="1701" w:right="1418" w:bottom="1701" w:left="1985" w:header="0" w:footer="1004" w:gutter="0"/>
          <w:cols w:space="720"/>
        </w:sectPr>
      </w:pPr>
      <w:r>
        <w:rPr>
          <w:rFonts w:ascii="Garamond" w:eastAsia="SimSun" w:hAnsi="Garamond"/>
          <w:b w:val="0"/>
          <w:kern w:val="1"/>
          <w:sz w:val="24"/>
          <w:szCs w:val="24"/>
          <w:lang w:val="en-GB" w:eastAsia="pt-PT"/>
        </w:rPr>
        <w:t xml:space="preserve">Using a database </w:t>
      </w:r>
      <w:r w:rsidR="00B35499">
        <w:rPr>
          <w:rFonts w:ascii="Garamond" w:eastAsia="SimSun" w:hAnsi="Garamond"/>
          <w:b w:val="0"/>
          <w:kern w:val="1"/>
          <w:sz w:val="24"/>
          <w:szCs w:val="24"/>
          <w:lang w:val="en-GB" w:eastAsia="pt-PT"/>
        </w:rPr>
        <w:t>of</w:t>
      </w:r>
      <w:r>
        <w:rPr>
          <w:rFonts w:ascii="Garamond" w:eastAsia="SimSun" w:hAnsi="Garamond"/>
          <w:b w:val="0"/>
          <w:kern w:val="1"/>
          <w:sz w:val="24"/>
          <w:szCs w:val="24"/>
          <w:lang w:val="en-GB" w:eastAsia="pt-PT"/>
        </w:rPr>
        <w:t xml:space="preserve"> 28 </w:t>
      </w:r>
      <w:r w:rsidR="00A710C8">
        <w:rPr>
          <w:rFonts w:ascii="Garamond" w:eastAsia="SimSun" w:hAnsi="Garamond"/>
          <w:b w:val="0"/>
          <w:kern w:val="1"/>
          <w:sz w:val="24"/>
          <w:szCs w:val="24"/>
          <w:lang w:val="en-GB" w:eastAsia="pt-PT"/>
        </w:rPr>
        <w:t>European</w:t>
      </w:r>
      <w:r w:rsidR="009903D9">
        <w:rPr>
          <w:rFonts w:ascii="Garamond" w:eastAsia="SimSun" w:hAnsi="Garamond"/>
          <w:b w:val="0"/>
          <w:kern w:val="1"/>
          <w:sz w:val="24"/>
          <w:szCs w:val="24"/>
          <w:lang w:val="en-GB" w:eastAsia="pt-PT"/>
        </w:rPr>
        <w:t xml:space="preserve"> </w:t>
      </w:r>
      <w:r w:rsidR="00422507">
        <w:rPr>
          <w:rFonts w:ascii="Garamond" w:eastAsia="SimSun" w:hAnsi="Garamond"/>
          <w:b w:val="0"/>
          <w:kern w:val="1"/>
          <w:sz w:val="24"/>
          <w:szCs w:val="24"/>
          <w:lang w:val="en-GB" w:eastAsia="pt-PT"/>
        </w:rPr>
        <w:t>U</w:t>
      </w:r>
      <w:r w:rsidR="009903D9">
        <w:rPr>
          <w:rFonts w:ascii="Garamond" w:eastAsia="SimSun" w:hAnsi="Garamond"/>
          <w:b w:val="0"/>
          <w:kern w:val="1"/>
          <w:sz w:val="24"/>
          <w:szCs w:val="24"/>
          <w:lang w:val="en-GB" w:eastAsia="pt-PT"/>
        </w:rPr>
        <w:t>nion</w:t>
      </w:r>
      <w:r>
        <w:rPr>
          <w:rFonts w:ascii="Garamond" w:eastAsia="SimSun" w:hAnsi="Garamond"/>
          <w:b w:val="0"/>
          <w:kern w:val="1"/>
          <w:sz w:val="24"/>
          <w:szCs w:val="24"/>
          <w:lang w:val="en-GB" w:eastAsia="pt-PT"/>
        </w:rPr>
        <w:t xml:space="preserve"> member states</w:t>
      </w:r>
      <w:r w:rsidR="001C2B55">
        <w:rPr>
          <w:rFonts w:ascii="Garamond" w:eastAsia="SimSun" w:hAnsi="Garamond"/>
          <w:b w:val="0"/>
          <w:kern w:val="1"/>
          <w:sz w:val="24"/>
          <w:szCs w:val="24"/>
          <w:lang w:val="en-GB" w:eastAsia="pt-PT"/>
        </w:rPr>
        <w:t xml:space="preserve">, Cincera </w:t>
      </w:r>
      <w:r w:rsidR="001C2B55" w:rsidRPr="0095181F">
        <w:rPr>
          <w:rFonts w:ascii="Garamond" w:eastAsia="SimSun" w:hAnsi="Garamond"/>
          <w:b w:val="0"/>
          <w:i/>
          <w:iCs/>
          <w:kern w:val="1"/>
          <w:sz w:val="24"/>
          <w:szCs w:val="24"/>
          <w:lang w:val="en-GB" w:eastAsia="pt-PT"/>
        </w:rPr>
        <w:t>et al</w:t>
      </w:r>
      <w:r w:rsidR="001C2B55">
        <w:rPr>
          <w:rFonts w:ascii="Garamond" w:eastAsia="SimSun" w:hAnsi="Garamond"/>
          <w:b w:val="0"/>
          <w:kern w:val="1"/>
          <w:sz w:val="24"/>
          <w:szCs w:val="24"/>
          <w:lang w:val="en-GB" w:eastAsia="pt-PT"/>
        </w:rPr>
        <w:t>. (2020)</w:t>
      </w:r>
      <w:r>
        <w:rPr>
          <w:rFonts w:ascii="Garamond" w:eastAsia="SimSun" w:hAnsi="Garamond"/>
          <w:b w:val="0"/>
          <w:kern w:val="1"/>
          <w:sz w:val="24"/>
          <w:szCs w:val="24"/>
          <w:lang w:val="en-GB" w:eastAsia="pt-PT"/>
        </w:rPr>
        <w:t xml:space="preserve"> provide </w:t>
      </w:r>
      <w:r w:rsidR="001C2B55">
        <w:rPr>
          <w:rFonts w:ascii="Garamond" w:eastAsia="SimSun" w:hAnsi="Garamond"/>
          <w:b w:val="0"/>
          <w:kern w:val="1"/>
          <w:sz w:val="24"/>
          <w:szCs w:val="24"/>
          <w:lang w:val="en-GB" w:eastAsia="pt-PT"/>
        </w:rPr>
        <w:t xml:space="preserve">evidence of </w:t>
      </w:r>
      <w:r>
        <w:rPr>
          <w:rFonts w:ascii="Garamond" w:eastAsia="SimSun" w:hAnsi="Garamond"/>
          <w:b w:val="0"/>
          <w:kern w:val="1"/>
          <w:sz w:val="24"/>
          <w:szCs w:val="24"/>
          <w:lang w:val="en-GB" w:eastAsia="pt-PT"/>
        </w:rPr>
        <w:t>a pronounced relation</w:t>
      </w:r>
      <w:r w:rsidR="00422507">
        <w:rPr>
          <w:rFonts w:ascii="Garamond" w:eastAsia="SimSun" w:hAnsi="Garamond"/>
          <w:b w:val="0"/>
          <w:kern w:val="1"/>
          <w:sz w:val="24"/>
          <w:szCs w:val="24"/>
          <w:lang w:val="en-GB" w:eastAsia="pt-PT"/>
        </w:rPr>
        <w:t>ship</w:t>
      </w:r>
      <w:r>
        <w:rPr>
          <w:rFonts w:ascii="Garamond" w:eastAsia="SimSun" w:hAnsi="Garamond"/>
          <w:b w:val="0"/>
          <w:kern w:val="1"/>
          <w:sz w:val="24"/>
          <w:szCs w:val="24"/>
          <w:lang w:val="en-GB" w:eastAsia="pt-PT"/>
        </w:rPr>
        <w:t xml:space="preserve"> between the amount of intangible investment and the added turnover per employee</w:t>
      </w:r>
      <w:r w:rsidR="001C2B55">
        <w:rPr>
          <w:rFonts w:ascii="Garamond" w:eastAsia="SimSun" w:hAnsi="Garamond"/>
          <w:b w:val="0"/>
          <w:kern w:val="1"/>
          <w:sz w:val="24"/>
          <w:szCs w:val="24"/>
          <w:lang w:val="en-GB" w:eastAsia="pt-PT"/>
        </w:rPr>
        <w:t xml:space="preserve"> (see Figure 1)</w:t>
      </w:r>
      <w:r>
        <w:rPr>
          <w:rFonts w:ascii="Garamond" w:eastAsia="SimSun" w:hAnsi="Garamond"/>
          <w:b w:val="0"/>
          <w:kern w:val="1"/>
          <w:sz w:val="24"/>
          <w:szCs w:val="24"/>
          <w:lang w:val="en-GB" w:eastAsia="pt-PT"/>
        </w:rPr>
        <w:t>.</w:t>
      </w:r>
      <w:r w:rsidR="00B67729">
        <w:rPr>
          <w:rFonts w:eastAsia="SimSun"/>
          <w:kern w:val="1"/>
          <w:sz w:val="24"/>
          <w:szCs w:val="24"/>
          <w:lang w:val="en-GB" w:eastAsia="pt-PT"/>
        </w:rPr>
        <w:br w:type="page"/>
      </w:r>
    </w:p>
    <w:p w14:paraId="5E27EA43" w14:textId="79F5DA11" w:rsidR="00B67729" w:rsidRPr="0063438A" w:rsidRDefault="003B7C51" w:rsidP="000A098D">
      <w:pPr>
        <w:spacing w:line="360" w:lineRule="auto"/>
        <w:ind w:firstLine="720"/>
        <w:jc w:val="center"/>
        <w:rPr>
          <w:color w:val="000000" w:themeColor="text1"/>
          <w:sz w:val="24"/>
          <w:szCs w:val="24"/>
          <w:lang w:val="en-GB"/>
        </w:rPr>
      </w:pPr>
      <w:r w:rsidRPr="003D16D3">
        <w:rPr>
          <w:b/>
          <w:bCs/>
          <w:color w:val="000000" w:themeColor="text1"/>
          <w:sz w:val="24"/>
          <w:szCs w:val="24"/>
          <w:lang w:val="en-GB"/>
        </w:rPr>
        <w:lastRenderedPageBreak/>
        <w:t xml:space="preserve">Figure </w:t>
      </w:r>
      <w:r w:rsidRPr="003D16D3">
        <w:rPr>
          <w:b/>
          <w:bCs/>
          <w:i/>
          <w:iCs/>
          <w:color w:val="000000" w:themeColor="text1"/>
          <w:sz w:val="24"/>
          <w:szCs w:val="24"/>
        </w:rPr>
        <w:fldChar w:fldCharType="begin"/>
      </w:r>
      <w:r w:rsidRPr="003D16D3">
        <w:rPr>
          <w:b/>
          <w:bCs/>
          <w:color w:val="000000" w:themeColor="text1"/>
          <w:sz w:val="24"/>
          <w:szCs w:val="24"/>
          <w:lang w:val="en-GB"/>
        </w:rPr>
        <w:instrText xml:space="preserve"> SEQ Figura \* ARABIC </w:instrText>
      </w:r>
      <w:r w:rsidRPr="003D16D3">
        <w:rPr>
          <w:b/>
          <w:bCs/>
          <w:i/>
          <w:iCs/>
          <w:color w:val="000000" w:themeColor="text1"/>
          <w:sz w:val="24"/>
          <w:szCs w:val="24"/>
        </w:rPr>
        <w:fldChar w:fldCharType="separate"/>
      </w:r>
      <w:r w:rsidR="00D1020A">
        <w:rPr>
          <w:b/>
          <w:bCs/>
          <w:noProof/>
          <w:color w:val="000000" w:themeColor="text1"/>
          <w:sz w:val="24"/>
          <w:szCs w:val="24"/>
          <w:lang w:val="en-GB"/>
        </w:rPr>
        <w:t>1</w:t>
      </w:r>
      <w:r w:rsidRPr="003D16D3">
        <w:rPr>
          <w:b/>
          <w:bCs/>
          <w:i/>
          <w:iCs/>
          <w:color w:val="000000" w:themeColor="text1"/>
          <w:sz w:val="24"/>
          <w:szCs w:val="24"/>
        </w:rPr>
        <w:fldChar w:fldCharType="end"/>
      </w:r>
      <w:r w:rsidR="00FF6780">
        <w:rPr>
          <w:b/>
          <w:bCs/>
          <w:color w:val="000000" w:themeColor="text1"/>
          <w:sz w:val="24"/>
          <w:szCs w:val="24"/>
          <w:lang w:val="en-GB"/>
        </w:rPr>
        <w:t>.</w:t>
      </w:r>
      <w:r w:rsidRPr="003D16D3">
        <w:rPr>
          <w:b/>
          <w:bCs/>
          <w:color w:val="000000" w:themeColor="text1"/>
          <w:sz w:val="24"/>
          <w:szCs w:val="24"/>
          <w:lang w:val="en-GB"/>
        </w:rPr>
        <w:t xml:space="preserve"> </w:t>
      </w:r>
      <w:r w:rsidRPr="008602F0">
        <w:rPr>
          <w:color w:val="000000" w:themeColor="text1"/>
          <w:sz w:val="24"/>
          <w:szCs w:val="24"/>
          <w:lang w:val="en-GB"/>
        </w:rPr>
        <w:t xml:space="preserve">Relationship </w:t>
      </w:r>
      <w:r w:rsidR="008A5739">
        <w:rPr>
          <w:color w:val="000000" w:themeColor="text1"/>
          <w:sz w:val="24"/>
          <w:szCs w:val="24"/>
          <w:lang w:val="en-GB"/>
        </w:rPr>
        <w:t>B</w:t>
      </w:r>
      <w:r w:rsidRPr="008602F0">
        <w:rPr>
          <w:color w:val="000000" w:themeColor="text1"/>
          <w:sz w:val="24"/>
          <w:szCs w:val="24"/>
          <w:lang w:val="en-GB"/>
        </w:rPr>
        <w:t xml:space="preserve">etween </w:t>
      </w:r>
      <w:r w:rsidR="008A5739">
        <w:rPr>
          <w:color w:val="000000" w:themeColor="text1"/>
          <w:sz w:val="24"/>
          <w:szCs w:val="24"/>
          <w:lang w:val="en-GB"/>
        </w:rPr>
        <w:t>I</w:t>
      </w:r>
      <w:r w:rsidRPr="008602F0">
        <w:rPr>
          <w:color w:val="000000" w:themeColor="text1"/>
          <w:sz w:val="24"/>
          <w:szCs w:val="24"/>
          <w:lang w:val="en-GB"/>
        </w:rPr>
        <w:t xml:space="preserve">nvestment and </w:t>
      </w:r>
      <w:r w:rsidR="008A5739">
        <w:rPr>
          <w:color w:val="000000" w:themeColor="text1"/>
          <w:sz w:val="24"/>
          <w:szCs w:val="24"/>
          <w:lang w:val="en-GB"/>
        </w:rPr>
        <w:t>P</w:t>
      </w:r>
      <w:r w:rsidRPr="008602F0">
        <w:rPr>
          <w:color w:val="000000" w:themeColor="text1"/>
          <w:sz w:val="24"/>
          <w:szCs w:val="24"/>
          <w:lang w:val="en-GB"/>
        </w:rPr>
        <w:t>roductivity</w:t>
      </w:r>
      <w:r w:rsidR="008602F0">
        <w:rPr>
          <w:color w:val="000000" w:themeColor="text1"/>
          <w:sz w:val="24"/>
          <w:szCs w:val="24"/>
          <w:lang w:val="en-GB"/>
        </w:rPr>
        <w:t>.</w:t>
      </w:r>
    </w:p>
    <w:p w14:paraId="5471D794" w14:textId="77777777" w:rsidR="00B67729" w:rsidRPr="0063438A" w:rsidRDefault="00B67729" w:rsidP="00B67729">
      <w:pPr>
        <w:jc w:val="center"/>
        <w:rPr>
          <w:color w:val="000000" w:themeColor="text1"/>
          <w:sz w:val="24"/>
          <w:szCs w:val="24"/>
          <w:lang w:val="en-GB"/>
        </w:rPr>
      </w:pPr>
    </w:p>
    <w:p w14:paraId="5CD6622D" w14:textId="3C52ED99" w:rsidR="008202C0" w:rsidRDefault="008E0CD6" w:rsidP="00B67729">
      <w:pPr>
        <w:jc w:val="center"/>
      </w:pPr>
      <w:r>
        <w:rPr>
          <w:noProof/>
        </w:rPr>
        <w:drawing>
          <wp:inline distT="0" distB="0" distL="0" distR="0" wp14:anchorId="677ACF2D" wp14:editId="1FAC4771">
            <wp:extent cx="8470173" cy="3314700"/>
            <wp:effectExtent l="0" t="0" r="7620" b="0"/>
            <wp:docPr id="100" name="Picture 100"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10;&#10;Description automatically generated with low confidence"/>
                    <pic:cNvPicPr/>
                  </pic:nvPicPr>
                  <pic:blipFill rotWithShape="1">
                    <a:blip r:embed="rId26" cstate="print">
                      <a:extLst>
                        <a:ext uri="{28A0092B-C50C-407E-A947-70E740481C1C}">
                          <a14:useLocalDpi xmlns:a14="http://schemas.microsoft.com/office/drawing/2010/main" val="0"/>
                        </a:ext>
                      </a:extLst>
                    </a:blip>
                    <a:srcRect l="51555" t="21343" r="18581" b="47489"/>
                    <a:stretch/>
                  </pic:blipFill>
                  <pic:spPr bwMode="auto">
                    <a:xfrm>
                      <a:off x="0" y="0"/>
                      <a:ext cx="8499168" cy="3326047"/>
                    </a:xfrm>
                    <a:prstGeom prst="rect">
                      <a:avLst/>
                    </a:prstGeom>
                    <a:ln>
                      <a:noFill/>
                    </a:ln>
                    <a:extLst>
                      <a:ext uri="{53640926-AAD7-44D8-BBD7-CCE9431645EC}">
                        <a14:shadowObscured xmlns:a14="http://schemas.microsoft.com/office/drawing/2010/main"/>
                      </a:ext>
                    </a:extLst>
                  </pic:spPr>
                </pic:pic>
              </a:graphicData>
            </a:graphic>
          </wp:inline>
        </w:drawing>
      </w:r>
    </w:p>
    <w:p w14:paraId="3CE0B2CF" w14:textId="2E8BEDC0" w:rsidR="003B7C51" w:rsidRPr="00F96E81" w:rsidRDefault="003B7C51" w:rsidP="003B7C51">
      <w:pPr>
        <w:pStyle w:val="BodyText"/>
        <w:spacing w:before="206" w:line="360" w:lineRule="auto"/>
        <w:ind w:right="272" w:firstLine="720"/>
        <w:jc w:val="center"/>
        <w:rPr>
          <w:iCs/>
          <w:sz w:val="20"/>
          <w:szCs w:val="20"/>
          <w:lang w:val="en-GB"/>
        </w:rPr>
      </w:pPr>
      <w:r w:rsidRPr="00F96E81">
        <w:rPr>
          <w:iCs/>
          <w:sz w:val="20"/>
          <w:szCs w:val="20"/>
          <w:lang w:val="en-GB"/>
        </w:rPr>
        <w:t xml:space="preserve">Source: Cincera </w:t>
      </w:r>
      <w:r w:rsidRPr="00F96E81">
        <w:rPr>
          <w:i/>
          <w:sz w:val="20"/>
          <w:szCs w:val="20"/>
          <w:lang w:val="en-GB"/>
        </w:rPr>
        <w:t>et al</w:t>
      </w:r>
      <w:r w:rsidRPr="00F96E81">
        <w:rPr>
          <w:iCs/>
          <w:sz w:val="20"/>
          <w:szCs w:val="20"/>
          <w:lang w:val="en-GB"/>
        </w:rPr>
        <w:t>. (2020</w:t>
      </w:r>
      <w:r w:rsidR="00FF6780" w:rsidRPr="00F96E81">
        <w:rPr>
          <w:iCs/>
          <w:sz w:val="20"/>
          <w:szCs w:val="20"/>
          <w:lang w:val="en-GB"/>
        </w:rPr>
        <w:t xml:space="preserve">, p. </w:t>
      </w:r>
      <w:r w:rsidR="00AB61E6" w:rsidRPr="00F96E81">
        <w:rPr>
          <w:iCs/>
          <w:sz w:val="20"/>
          <w:szCs w:val="20"/>
          <w:lang w:val="en-GB"/>
        </w:rPr>
        <w:t>22</w:t>
      </w:r>
      <w:r w:rsidRPr="00F96E81">
        <w:rPr>
          <w:iCs/>
          <w:sz w:val="20"/>
          <w:szCs w:val="20"/>
          <w:lang w:val="en-GB"/>
        </w:rPr>
        <w:t>)</w:t>
      </w:r>
    </w:p>
    <w:p w14:paraId="45DAD867" w14:textId="77777777" w:rsidR="00E3124E" w:rsidRDefault="00E3124E">
      <w:pPr>
        <w:rPr>
          <w:rFonts w:eastAsia="SimSun"/>
          <w:kern w:val="1"/>
          <w:sz w:val="24"/>
          <w:szCs w:val="24"/>
          <w:lang w:val="en-GB" w:eastAsia="pt-PT"/>
        </w:rPr>
      </w:pPr>
      <w:r>
        <w:rPr>
          <w:rFonts w:eastAsia="SimSun"/>
          <w:kern w:val="1"/>
          <w:lang w:val="en-GB" w:eastAsia="pt-PT"/>
        </w:rPr>
        <w:br w:type="page"/>
      </w:r>
    </w:p>
    <w:p w14:paraId="2F3B876E" w14:textId="77777777" w:rsidR="00E3124E" w:rsidRDefault="00E3124E" w:rsidP="001D3C51">
      <w:pPr>
        <w:pStyle w:val="BodyText"/>
        <w:spacing w:before="206" w:line="360" w:lineRule="auto"/>
        <w:ind w:right="272" w:firstLine="720"/>
        <w:jc w:val="both"/>
        <w:rPr>
          <w:rFonts w:eastAsia="SimSun"/>
          <w:kern w:val="1"/>
          <w:lang w:val="en-GB" w:eastAsia="pt-PT"/>
        </w:rPr>
        <w:sectPr w:rsidR="00E3124E" w:rsidSect="0066680A">
          <w:pgSz w:w="16840" w:h="11910" w:orient="landscape"/>
          <w:pgMar w:top="1985" w:right="1701" w:bottom="1418" w:left="1701" w:header="0" w:footer="1004" w:gutter="0"/>
          <w:cols w:space="720"/>
        </w:sectPr>
      </w:pPr>
    </w:p>
    <w:p w14:paraId="448E4FAA" w14:textId="796FB7ED" w:rsidR="009B574E" w:rsidRDefault="0095181F" w:rsidP="00A3169E">
      <w:pPr>
        <w:pStyle w:val="Estilo1"/>
        <w:ind w:firstLine="720"/>
        <w:rPr>
          <w:rFonts w:ascii="Garamond" w:eastAsia="SimSun" w:hAnsi="Garamond"/>
          <w:b w:val="0"/>
          <w:kern w:val="1"/>
          <w:sz w:val="24"/>
          <w:szCs w:val="24"/>
          <w:lang w:val="en-GB" w:eastAsia="pt-PT"/>
        </w:rPr>
      </w:pPr>
      <w:r>
        <w:rPr>
          <w:rFonts w:ascii="Garamond" w:eastAsia="SimSun" w:hAnsi="Garamond"/>
          <w:b w:val="0"/>
          <w:kern w:val="1"/>
          <w:sz w:val="24"/>
          <w:szCs w:val="24"/>
          <w:lang w:val="en-GB" w:eastAsia="pt-PT"/>
        </w:rPr>
        <w:lastRenderedPageBreak/>
        <w:t>In the same line</w:t>
      </w:r>
      <w:r w:rsidR="009B574E" w:rsidRPr="00D754E2">
        <w:rPr>
          <w:rFonts w:ascii="Garamond" w:eastAsia="SimSun" w:hAnsi="Garamond"/>
          <w:b w:val="0"/>
          <w:kern w:val="1"/>
          <w:sz w:val="24"/>
          <w:szCs w:val="24"/>
          <w:lang w:val="en-GB" w:eastAsia="pt-PT"/>
        </w:rPr>
        <w:t xml:space="preserve"> F</w:t>
      </w:r>
      <w:r w:rsidR="002E4C54" w:rsidRPr="00D754E2">
        <w:rPr>
          <w:rFonts w:ascii="Garamond" w:eastAsia="SimSun" w:hAnsi="Garamond"/>
          <w:b w:val="0"/>
          <w:kern w:val="1"/>
          <w:sz w:val="24"/>
          <w:szCs w:val="24"/>
          <w:lang w:val="en-GB" w:eastAsia="pt-PT"/>
        </w:rPr>
        <w:t xml:space="preserve">ukao </w:t>
      </w:r>
      <w:r w:rsidR="002E4C54" w:rsidRPr="0095181F">
        <w:rPr>
          <w:rFonts w:ascii="Garamond" w:eastAsia="SimSun" w:hAnsi="Garamond"/>
          <w:b w:val="0"/>
          <w:i/>
          <w:iCs/>
          <w:kern w:val="1"/>
          <w:sz w:val="24"/>
          <w:szCs w:val="24"/>
          <w:lang w:val="en-GB" w:eastAsia="pt-PT"/>
        </w:rPr>
        <w:t>et al</w:t>
      </w:r>
      <w:r w:rsidR="002E4C54" w:rsidRPr="00D754E2">
        <w:rPr>
          <w:rFonts w:ascii="Garamond" w:eastAsia="SimSun" w:hAnsi="Garamond"/>
          <w:b w:val="0"/>
          <w:kern w:val="1"/>
          <w:sz w:val="24"/>
          <w:szCs w:val="24"/>
          <w:lang w:val="en-GB" w:eastAsia="pt-PT"/>
        </w:rPr>
        <w:t>. (2009)</w:t>
      </w:r>
      <w:r w:rsidR="00B603D6">
        <w:rPr>
          <w:rFonts w:ascii="Garamond" w:eastAsia="SimSun" w:hAnsi="Garamond"/>
          <w:b w:val="0"/>
          <w:kern w:val="1"/>
          <w:sz w:val="24"/>
          <w:szCs w:val="24"/>
          <w:lang w:val="en-GB" w:eastAsia="pt-PT"/>
        </w:rPr>
        <w:t xml:space="preserve"> </w:t>
      </w:r>
      <w:r w:rsidR="00517150">
        <w:rPr>
          <w:rFonts w:ascii="Garamond" w:eastAsia="SimSun" w:hAnsi="Garamond"/>
          <w:b w:val="0"/>
          <w:kern w:val="1"/>
          <w:sz w:val="24"/>
          <w:szCs w:val="24"/>
          <w:lang w:val="en-GB" w:eastAsia="pt-PT"/>
        </w:rPr>
        <w:t xml:space="preserve">have found </w:t>
      </w:r>
      <w:r w:rsidR="002E4C54" w:rsidRPr="00D754E2">
        <w:rPr>
          <w:rFonts w:ascii="Garamond" w:eastAsia="SimSun" w:hAnsi="Garamond"/>
          <w:b w:val="0"/>
          <w:kern w:val="1"/>
          <w:sz w:val="24"/>
          <w:szCs w:val="24"/>
          <w:lang w:val="en-GB" w:eastAsia="pt-PT"/>
        </w:rPr>
        <w:t>a link between intangible capital and economic growth</w:t>
      </w:r>
      <w:r w:rsidR="00517150">
        <w:rPr>
          <w:rFonts w:ascii="Garamond" w:eastAsia="SimSun" w:hAnsi="Garamond"/>
          <w:b w:val="0"/>
          <w:kern w:val="1"/>
          <w:sz w:val="24"/>
          <w:szCs w:val="24"/>
          <w:lang w:val="en-GB" w:eastAsia="pt-PT"/>
        </w:rPr>
        <w:t xml:space="preserve"> in</w:t>
      </w:r>
      <w:r w:rsidR="002E4C54" w:rsidRPr="00D754E2">
        <w:rPr>
          <w:rFonts w:ascii="Garamond" w:eastAsia="SimSun" w:hAnsi="Garamond"/>
          <w:b w:val="0"/>
          <w:kern w:val="1"/>
          <w:sz w:val="24"/>
          <w:szCs w:val="24"/>
          <w:lang w:val="en-GB" w:eastAsia="pt-PT"/>
        </w:rPr>
        <w:t xml:space="preserve"> Japan</w:t>
      </w:r>
      <w:r w:rsidR="00517150">
        <w:rPr>
          <w:rFonts w:ascii="Garamond" w:eastAsia="SimSun" w:hAnsi="Garamond"/>
          <w:b w:val="0"/>
          <w:kern w:val="1"/>
          <w:sz w:val="24"/>
          <w:szCs w:val="24"/>
          <w:lang w:val="en-GB" w:eastAsia="pt-PT"/>
        </w:rPr>
        <w:t>. According</w:t>
      </w:r>
      <w:r w:rsidR="002E4C54" w:rsidRPr="00D754E2">
        <w:rPr>
          <w:rFonts w:ascii="Garamond" w:eastAsia="SimSun" w:hAnsi="Garamond"/>
          <w:b w:val="0"/>
          <w:kern w:val="1"/>
          <w:sz w:val="24"/>
          <w:szCs w:val="24"/>
          <w:lang w:val="en-GB" w:eastAsia="pt-PT"/>
        </w:rPr>
        <w:t xml:space="preserve"> to Fukao </w:t>
      </w:r>
      <w:r w:rsidR="002E4C54" w:rsidRPr="0095181F">
        <w:rPr>
          <w:rFonts w:ascii="Garamond" w:eastAsia="SimSun" w:hAnsi="Garamond"/>
          <w:b w:val="0"/>
          <w:i/>
          <w:iCs/>
          <w:kern w:val="1"/>
          <w:sz w:val="24"/>
          <w:szCs w:val="24"/>
          <w:lang w:val="en-GB" w:eastAsia="pt-PT"/>
        </w:rPr>
        <w:t>et al</w:t>
      </w:r>
      <w:r w:rsidR="002E4C54" w:rsidRPr="00D754E2">
        <w:rPr>
          <w:rFonts w:ascii="Garamond" w:eastAsia="SimSun" w:hAnsi="Garamond"/>
          <w:b w:val="0"/>
          <w:kern w:val="1"/>
          <w:sz w:val="24"/>
          <w:szCs w:val="24"/>
          <w:lang w:val="en-GB" w:eastAsia="pt-PT"/>
        </w:rPr>
        <w:t>. (2009)</w:t>
      </w:r>
      <w:r w:rsidR="00517150">
        <w:rPr>
          <w:rFonts w:ascii="Garamond" w:eastAsia="SimSun" w:hAnsi="Garamond"/>
          <w:b w:val="0"/>
          <w:kern w:val="1"/>
          <w:sz w:val="24"/>
          <w:szCs w:val="24"/>
          <w:lang w:val="en-GB" w:eastAsia="pt-PT"/>
        </w:rPr>
        <w:t>, Japan has grown mainly</w:t>
      </w:r>
      <w:r w:rsidR="002E4C54" w:rsidRPr="00D754E2">
        <w:rPr>
          <w:rFonts w:ascii="Garamond" w:eastAsia="SimSun" w:hAnsi="Garamond"/>
          <w:b w:val="0"/>
          <w:kern w:val="1"/>
          <w:sz w:val="24"/>
          <w:szCs w:val="24"/>
          <w:lang w:val="en-GB" w:eastAsia="pt-PT"/>
        </w:rPr>
        <w:t xml:space="preserve"> due to the tangible asset-intensive manufacturing sector</w:t>
      </w:r>
      <w:r w:rsidR="00017308">
        <w:rPr>
          <w:rFonts w:ascii="Garamond" w:eastAsia="SimSun" w:hAnsi="Garamond"/>
          <w:b w:val="0"/>
          <w:kern w:val="1"/>
          <w:sz w:val="24"/>
          <w:szCs w:val="24"/>
          <w:lang w:val="en-GB" w:eastAsia="pt-PT"/>
        </w:rPr>
        <w:t>, but in order to thrive it ought to make changes to the accounting and financial system, so that investment in intangible assets becomes easier</w:t>
      </w:r>
      <w:r w:rsidR="008A5739">
        <w:rPr>
          <w:rFonts w:ascii="Garamond" w:eastAsia="SimSun" w:hAnsi="Garamond"/>
          <w:b w:val="0"/>
          <w:kern w:val="1"/>
          <w:sz w:val="24"/>
          <w:szCs w:val="24"/>
          <w:lang w:val="en-GB" w:eastAsia="pt-PT"/>
        </w:rPr>
        <w:t>.</w:t>
      </w:r>
    </w:p>
    <w:p w14:paraId="751DAE10" w14:textId="48B3CF94" w:rsidR="008E0CD6" w:rsidRDefault="003B7C51" w:rsidP="00A3169E">
      <w:pPr>
        <w:pStyle w:val="BodyText"/>
        <w:spacing w:line="360" w:lineRule="auto"/>
        <w:ind w:firstLine="720"/>
        <w:jc w:val="both"/>
        <w:rPr>
          <w:rFonts w:eastAsia="SimSun"/>
          <w:kern w:val="1"/>
          <w:lang w:val="en-GB" w:eastAsia="pt-PT"/>
        </w:rPr>
      </w:pPr>
      <w:r w:rsidRPr="001767DA">
        <w:rPr>
          <w:rFonts w:eastAsia="SimSun"/>
          <w:kern w:val="1"/>
          <w:lang w:val="en-GB" w:eastAsia="pt-PT"/>
        </w:rPr>
        <w:t>Concerning</w:t>
      </w:r>
      <w:r>
        <w:rPr>
          <w:rFonts w:eastAsia="SimSun"/>
          <w:kern w:val="1"/>
          <w:lang w:val="en-GB" w:eastAsia="pt-PT"/>
        </w:rPr>
        <w:t xml:space="preserve"> </w:t>
      </w:r>
      <w:r w:rsidR="00E82F95">
        <w:rPr>
          <w:rFonts w:eastAsia="SimSun"/>
          <w:kern w:val="1"/>
          <w:lang w:val="en-GB" w:eastAsia="pt-PT"/>
        </w:rPr>
        <w:t>the evolution of intangible investment in comparison to tangible investment</w:t>
      </w:r>
      <w:r w:rsidR="00C569BA">
        <w:rPr>
          <w:rFonts w:eastAsia="SimSun"/>
          <w:kern w:val="1"/>
          <w:lang w:val="en-GB" w:eastAsia="pt-PT"/>
        </w:rPr>
        <w:t>,</w:t>
      </w:r>
      <w:r w:rsidR="00E82F95">
        <w:rPr>
          <w:rFonts w:eastAsia="SimSun"/>
          <w:kern w:val="1"/>
          <w:lang w:val="en-GB" w:eastAsia="pt-PT"/>
        </w:rPr>
        <w:t xml:space="preserve"> Crouzet </w:t>
      </w:r>
      <w:r w:rsidR="00E82F95" w:rsidRPr="0095181F">
        <w:rPr>
          <w:rFonts w:eastAsia="SimSun"/>
          <w:i/>
          <w:iCs/>
          <w:kern w:val="1"/>
          <w:lang w:val="en-GB" w:eastAsia="pt-PT"/>
        </w:rPr>
        <w:t>et al</w:t>
      </w:r>
      <w:r w:rsidR="00E82F95">
        <w:rPr>
          <w:rFonts w:eastAsia="SimSun"/>
          <w:kern w:val="1"/>
          <w:lang w:val="en-GB" w:eastAsia="pt-PT"/>
        </w:rPr>
        <w:t xml:space="preserve">. (2022) provide a recent illustrative portrait </w:t>
      </w:r>
      <w:r w:rsidR="00C569BA">
        <w:rPr>
          <w:rFonts w:eastAsia="SimSun"/>
          <w:kern w:val="1"/>
          <w:lang w:val="en-GB" w:eastAsia="pt-PT"/>
        </w:rPr>
        <w:t>of</w:t>
      </w:r>
      <w:r w:rsidR="00E82F95">
        <w:rPr>
          <w:rFonts w:eastAsia="SimSun"/>
          <w:kern w:val="1"/>
          <w:lang w:val="en-GB" w:eastAsia="pt-PT"/>
        </w:rPr>
        <w:t xml:space="preserve"> the U.S.</w:t>
      </w:r>
      <w:r w:rsidR="003A57AF">
        <w:rPr>
          <w:rFonts w:eastAsia="SimSun"/>
          <w:kern w:val="1"/>
          <w:lang w:val="en-GB" w:eastAsia="pt-PT"/>
        </w:rPr>
        <w:t xml:space="preserve"> (see Figure 2)</w:t>
      </w:r>
      <w:r w:rsidR="008A5739">
        <w:rPr>
          <w:rFonts w:eastAsia="SimSun"/>
          <w:kern w:val="1"/>
          <w:lang w:val="en-GB" w:eastAsia="pt-PT"/>
        </w:rPr>
        <w:t xml:space="preserve">. </w:t>
      </w:r>
      <w:r w:rsidR="000C058E">
        <w:rPr>
          <w:rFonts w:eastAsia="SimSun"/>
          <w:kern w:val="1"/>
          <w:lang w:val="en-GB" w:eastAsia="pt-PT"/>
        </w:rPr>
        <w:t xml:space="preserve">In addition, </w:t>
      </w:r>
      <w:r w:rsidR="00E82F95">
        <w:rPr>
          <w:rFonts w:eastAsia="SimSun"/>
          <w:kern w:val="1"/>
          <w:lang w:val="en-GB" w:eastAsia="pt-PT"/>
        </w:rPr>
        <w:t>Haskel and Westlake (2018) provide a very helpful picture to better understand this matter with the inclusion of European countries</w:t>
      </w:r>
      <w:r w:rsidR="003A57AF">
        <w:rPr>
          <w:rFonts w:eastAsia="SimSun"/>
          <w:kern w:val="1"/>
          <w:lang w:val="en-GB" w:eastAsia="pt-PT"/>
        </w:rPr>
        <w:t xml:space="preserve"> (see Figure 3)</w:t>
      </w:r>
      <w:r w:rsidR="00E82F95">
        <w:rPr>
          <w:rFonts w:eastAsia="SimSun"/>
          <w:kern w:val="1"/>
          <w:lang w:val="en-GB" w:eastAsia="pt-PT"/>
        </w:rPr>
        <w:t>.</w:t>
      </w:r>
    </w:p>
    <w:p w14:paraId="365CF925" w14:textId="74BBA18D" w:rsidR="009B574E" w:rsidRPr="004A5553" w:rsidRDefault="00AB61E6" w:rsidP="00A3169E">
      <w:pPr>
        <w:pStyle w:val="BodyText"/>
        <w:spacing w:line="360" w:lineRule="auto"/>
        <w:ind w:firstLine="720"/>
        <w:jc w:val="both"/>
        <w:rPr>
          <w:rFonts w:eastAsia="SimSun"/>
          <w:kern w:val="1"/>
          <w:lang w:val="en-GB" w:eastAsia="pt-PT"/>
        </w:rPr>
      </w:pPr>
      <w:r>
        <w:rPr>
          <w:rFonts w:eastAsia="SimSun"/>
          <w:kern w:val="1"/>
          <w:lang w:val="en-GB" w:eastAsia="pt-PT"/>
        </w:rPr>
        <w:t xml:space="preserve">In Figure 2, we can observe that since the 1970s US public firms have increased their investment in intangible assets at a faster rate than </w:t>
      </w:r>
      <w:r w:rsidR="00517150">
        <w:rPr>
          <w:rFonts w:eastAsia="SimSun"/>
          <w:kern w:val="1"/>
          <w:lang w:val="en-GB" w:eastAsia="pt-PT"/>
        </w:rPr>
        <w:t xml:space="preserve">in </w:t>
      </w:r>
      <w:r>
        <w:rPr>
          <w:rFonts w:eastAsia="SimSun"/>
          <w:kern w:val="1"/>
          <w:lang w:val="en-GB" w:eastAsia="pt-PT"/>
        </w:rPr>
        <w:t xml:space="preserve">tangible assets. In 1975, US public firms invested 25% </w:t>
      </w:r>
      <w:r w:rsidR="00094DF7">
        <w:rPr>
          <w:rFonts w:eastAsia="SimSun"/>
          <w:kern w:val="1"/>
          <w:lang w:val="en-GB" w:eastAsia="pt-PT"/>
        </w:rPr>
        <w:t xml:space="preserve">less </w:t>
      </w:r>
      <w:r>
        <w:rPr>
          <w:rFonts w:eastAsia="SimSun"/>
          <w:kern w:val="1"/>
          <w:lang w:val="en-GB" w:eastAsia="pt-PT"/>
        </w:rPr>
        <w:t xml:space="preserve">in intangible assets than in tangible assets. In 1995, that difference </w:t>
      </w:r>
      <w:r w:rsidR="005641E0">
        <w:rPr>
          <w:rFonts w:eastAsia="SimSun"/>
          <w:kern w:val="1"/>
          <w:lang w:val="en-GB" w:eastAsia="pt-PT"/>
        </w:rPr>
        <w:t>was</w:t>
      </w:r>
      <w:r>
        <w:rPr>
          <w:rFonts w:eastAsia="SimSun"/>
          <w:kern w:val="1"/>
          <w:lang w:val="en-GB" w:eastAsia="pt-PT"/>
        </w:rPr>
        <w:t xml:space="preserve"> less than 10%. In 2005, the investment in intangible assets and tangible assets reache</w:t>
      </w:r>
      <w:r w:rsidR="005641E0">
        <w:rPr>
          <w:rFonts w:eastAsia="SimSun"/>
          <w:kern w:val="1"/>
          <w:lang w:val="en-GB" w:eastAsia="pt-PT"/>
        </w:rPr>
        <w:t>d</w:t>
      </w:r>
      <w:r>
        <w:rPr>
          <w:rFonts w:eastAsia="SimSun"/>
          <w:kern w:val="1"/>
          <w:lang w:val="en-GB" w:eastAsia="pt-PT"/>
        </w:rPr>
        <w:t xml:space="preserve"> parity. </w:t>
      </w:r>
      <w:r w:rsidR="0099091D">
        <w:rPr>
          <w:rFonts w:eastAsia="SimSun"/>
          <w:kern w:val="1"/>
          <w:lang w:val="en-GB" w:eastAsia="pt-PT"/>
        </w:rPr>
        <w:t>After</w:t>
      </w:r>
      <w:r>
        <w:rPr>
          <w:rFonts w:eastAsia="SimSun"/>
          <w:kern w:val="1"/>
          <w:lang w:val="en-GB" w:eastAsia="pt-PT"/>
        </w:rPr>
        <w:t xml:space="preserve"> 2005 (</w:t>
      </w:r>
      <w:r w:rsidR="000206C7">
        <w:rPr>
          <w:rFonts w:eastAsia="SimSun"/>
          <w:kern w:val="1"/>
          <w:lang w:val="en-GB" w:eastAsia="pt-PT"/>
        </w:rPr>
        <w:t>except for</w:t>
      </w:r>
      <w:r w:rsidR="0099091D">
        <w:rPr>
          <w:rFonts w:eastAsia="SimSun"/>
          <w:kern w:val="1"/>
          <w:lang w:val="en-GB" w:eastAsia="pt-PT"/>
        </w:rPr>
        <w:t xml:space="preserve"> the years of the </w:t>
      </w:r>
      <w:r>
        <w:rPr>
          <w:rFonts w:eastAsia="SimSun"/>
          <w:kern w:val="1"/>
          <w:lang w:val="en-GB" w:eastAsia="pt-PT"/>
        </w:rPr>
        <w:t>pandemic</w:t>
      </w:r>
      <w:r w:rsidR="0099091D">
        <w:rPr>
          <w:rFonts w:eastAsia="SimSun"/>
          <w:kern w:val="1"/>
          <w:lang w:val="en-GB" w:eastAsia="pt-PT"/>
        </w:rPr>
        <w:t xml:space="preserve"> crisis</w:t>
      </w:r>
      <w:r>
        <w:rPr>
          <w:rFonts w:eastAsia="SimSun"/>
          <w:kern w:val="1"/>
          <w:lang w:val="en-GB" w:eastAsia="pt-PT"/>
        </w:rPr>
        <w:t>) there has been more investment in intangible assets than in tangible assets.</w:t>
      </w:r>
      <w:r w:rsidR="009B574E">
        <w:rPr>
          <w:b/>
          <w:bCs/>
          <w:i/>
          <w:iCs/>
          <w:color w:val="000000" w:themeColor="text1"/>
          <w:lang w:val="en-GB"/>
        </w:rPr>
        <w:br w:type="page"/>
      </w:r>
    </w:p>
    <w:p w14:paraId="42B60F11" w14:textId="392D4D93" w:rsidR="009B574E" w:rsidRPr="0063438A" w:rsidRDefault="003B7C51" w:rsidP="003D16D3">
      <w:pPr>
        <w:pStyle w:val="Caption"/>
        <w:jc w:val="center"/>
        <w:rPr>
          <w:i w:val="0"/>
          <w:iCs w:val="0"/>
          <w:color w:val="000000" w:themeColor="text1"/>
          <w:sz w:val="24"/>
          <w:szCs w:val="24"/>
          <w:lang w:val="en-GB"/>
        </w:rPr>
      </w:pPr>
      <w:r w:rsidRPr="003D16D3">
        <w:rPr>
          <w:b/>
          <w:bCs/>
          <w:i w:val="0"/>
          <w:iCs w:val="0"/>
          <w:color w:val="000000" w:themeColor="text1"/>
          <w:sz w:val="24"/>
          <w:szCs w:val="24"/>
          <w:lang w:val="en-GB"/>
        </w:rPr>
        <w:lastRenderedPageBreak/>
        <w:t>Figure 2</w:t>
      </w:r>
      <w:r w:rsidR="00DF2609">
        <w:rPr>
          <w:b/>
          <w:bCs/>
          <w:i w:val="0"/>
          <w:iCs w:val="0"/>
          <w:color w:val="000000" w:themeColor="text1"/>
          <w:sz w:val="24"/>
          <w:szCs w:val="24"/>
          <w:lang w:val="en-GB"/>
        </w:rPr>
        <w:t>.</w:t>
      </w:r>
      <w:r w:rsidRPr="003D16D3">
        <w:rPr>
          <w:b/>
          <w:bCs/>
          <w:i w:val="0"/>
          <w:iCs w:val="0"/>
          <w:color w:val="000000" w:themeColor="text1"/>
          <w:sz w:val="24"/>
          <w:szCs w:val="24"/>
          <w:lang w:val="en-GB"/>
        </w:rPr>
        <w:t xml:space="preserve"> </w:t>
      </w:r>
      <w:r w:rsidRPr="008602F0">
        <w:rPr>
          <w:i w:val="0"/>
          <w:iCs w:val="0"/>
          <w:color w:val="000000" w:themeColor="text1"/>
          <w:sz w:val="24"/>
          <w:szCs w:val="24"/>
          <w:lang w:val="en-GB"/>
        </w:rPr>
        <w:t xml:space="preserve">Ratio of </w:t>
      </w:r>
      <w:r w:rsidR="005641E0">
        <w:rPr>
          <w:i w:val="0"/>
          <w:iCs w:val="0"/>
          <w:color w:val="000000" w:themeColor="text1"/>
          <w:sz w:val="24"/>
          <w:szCs w:val="24"/>
          <w:lang w:val="en-GB"/>
        </w:rPr>
        <w:t>I</w:t>
      </w:r>
      <w:r w:rsidRPr="008602F0">
        <w:rPr>
          <w:i w:val="0"/>
          <w:iCs w:val="0"/>
          <w:color w:val="000000" w:themeColor="text1"/>
          <w:sz w:val="24"/>
          <w:szCs w:val="24"/>
          <w:lang w:val="en-GB"/>
        </w:rPr>
        <w:t xml:space="preserve">ntangible to </w:t>
      </w:r>
      <w:r w:rsidR="005641E0">
        <w:rPr>
          <w:i w:val="0"/>
          <w:iCs w:val="0"/>
          <w:color w:val="000000" w:themeColor="text1"/>
          <w:sz w:val="24"/>
          <w:szCs w:val="24"/>
          <w:lang w:val="en-GB"/>
        </w:rPr>
        <w:t>T</w:t>
      </w:r>
      <w:r w:rsidRPr="008602F0">
        <w:rPr>
          <w:i w:val="0"/>
          <w:iCs w:val="0"/>
          <w:color w:val="000000" w:themeColor="text1"/>
          <w:sz w:val="24"/>
          <w:szCs w:val="24"/>
          <w:lang w:val="en-GB"/>
        </w:rPr>
        <w:t xml:space="preserve">angible </w:t>
      </w:r>
      <w:r w:rsidR="005641E0">
        <w:rPr>
          <w:i w:val="0"/>
          <w:iCs w:val="0"/>
          <w:color w:val="000000" w:themeColor="text1"/>
          <w:sz w:val="24"/>
          <w:szCs w:val="24"/>
          <w:lang w:val="en-GB"/>
        </w:rPr>
        <w:t>A</w:t>
      </w:r>
      <w:r w:rsidRPr="008602F0">
        <w:rPr>
          <w:i w:val="0"/>
          <w:iCs w:val="0"/>
          <w:color w:val="000000" w:themeColor="text1"/>
          <w:sz w:val="24"/>
          <w:szCs w:val="24"/>
          <w:lang w:val="en-GB"/>
        </w:rPr>
        <w:t>ssets</w:t>
      </w:r>
      <w:r w:rsidR="001E61F3" w:rsidRPr="008602F0">
        <w:rPr>
          <w:i w:val="0"/>
          <w:iCs w:val="0"/>
          <w:color w:val="000000" w:themeColor="text1"/>
          <w:sz w:val="24"/>
          <w:szCs w:val="24"/>
          <w:lang w:val="en-GB"/>
        </w:rPr>
        <w:t xml:space="preserve"> for US </w:t>
      </w:r>
      <w:r w:rsidR="005641E0">
        <w:rPr>
          <w:i w:val="0"/>
          <w:iCs w:val="0"/>
          <w:color w:val="000000" w:themeColor="text1"/>
          <w:sz w:val="24"/>
          <w:szCs w:val="24"/>
          <w:lang w:val="en-GB"/>
        </w:rPr>
        <w:t>P</w:t>
      </w:r>
      <w:r w:rsidR="001E61F3" w:rsidRPr="008602F0">
        <w:rPr>
          <w:i w:val="0"/>
          <w:iCs w:val="0"/>
          <w:color w:val="000000" w:themeColor="text1"/>
          <w:sz w:val="24"/>
          <w:szCs w:val="24"/>
          <w:lang w:val="en-GB"/>
        </w:rPr>
        <w:t xml:space="preserve">ublic </w:t>
      </w:r>
      <w:r w:rsidR="005641E0">
        <w:rPr>
          <w:i w:val="0"/>
          <w:iCs w:val="0"/>
          <w:color w:val="000000" w:themeColor="text1"/>
          <w:sz w:val="24"/>
          <w:szCs w:val="24"/>
          <w:lang w:val="en-GB"/>
        </w:rPr>
        <w:t>F</w:t>
      </w:r>
      <w:r w:rsidR="001E61F3" w:rsidRPr="008602F0">
        <w:rPr>
          <w:i w:val="0"/>
          <w:iCs w:val="0"/>
          <w:color w:val="000000" w:themeColor="text1"/>
          <w:sz w:val="24"/>
          <w:szCs w:val="24"/>
          <w:lang w:val="en-GB"/>
        </w:rPr>
        <w:t>irms, 1975-2021</w:t>
      </w:r>
      <w:r w:rsidRPr="008602F0">
        <w:rPr>
          <w:i w:val="0"/>
          <w:iCs w:val="0"/>
          <w:color w:val="000000" w:themeColor="text1"/>
          <w:sz w:val="24"/>
          <w:szCs w:val="24"/>
          <w:lang w:val="en-GB"/>
        </w:rPr>
        <w:t>.</w:t>
      </w:r>
    </w:p>
    <w:p w14:paraId="36755749" w14:textId="466FEB0C" w:rsidR="009B574E" w:rsidRPr="0063438A" w:rsidRDefault="009B574E" w:rsidP="003D16D3">
      <w:pPr>
        <w:pStyle w:val="Caption"/>
        <w:jc w:val="center"/>
        <w:rPr>
          <w:i w:val="0"/>
          <w:iCs w:val="0"/>
          <w:color w:val="000000" w:themeColor="text1"/>
          <w:sz w:val="24"/>
          <w:szCs w:val="24"/>
          <w:lang w:val="en-GB"/>
        </w:rPr>
      </w:pPr>
    </w:p>
    <w:p w14:paraId="386EEC5B" w14:textId="62C83A66" w:rsidR="003D16D3" w:rsidRPr="003D16D3" w:rsidRDefault="009B574E" w:rsidP="003D16D3">
      <w:pPr>
        <w:pStyle w:val="Caption"/>
        <w:jc w:val="center"/>
        <w:rPr>
          <w:b/>
          <w:bCs/>
          <w:i w:val="0"/>
          <w:iCs w:val="0"/>
          <w:color w:val="000000" w:themeColor="text1"/>
          <w:sz w:val="24"/>
          <w:szCs w:val="24"/>
          <w:lang w:val="en-GB"/>
        </w:rPr>
      </w:pPr>
      <w:r>
        <w:rPr>
          <w:noProof/>
        </w:rPr>
        <w:drawing>
          <wp:inline distT="0" distB="0" distL="0" distR="0" wp14:anchorId="74038066" wp14:editId="4016BA1D">
            <wp:extent cx="5317902" cy="3905804"/>
            <wp:effectExtent l="0" t="0" r="0" b="0"/>
            <wp:docPr id="101" name="Picture 10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rotWithShape="1">
                    <a:blip r:embed="rId27"/>
                    <a:srcRect l="28278" t="21340" r="53503" b="54872"/>
                    <a:stretch/>
                  </pic:blipFill>
                  <pic:spPr bwMode="auto">
                    <a:xfrm>
                      <a:off x="0" y="0"/>
                      <a:ext cx="5408614" cy="3972428"/>
                    </a:xfrm>
                    <a:prstGeom prst="rect">
                      <a:avLst/>
                    </a:prstGeom>
                    <a:ln>
                      <a:noFill/>
                    </a:ln>
                    <a:extLst>
                      <a:ext uri="{53640926-AAD7-44D8-BBD7-CCE9431645EC}">
                        <a14:shadowObscured xmlns:a14="http://schemas.microsoft.com/office/drawing/2010/main"/>
                      </a:ext>
                    </a:extLst>
                  </pic:spPr>
                </pic:pic>
              </a:graphicData>
            </a:graphic>
          </wp:inline>
        </w:drawing>
      </w:r>
    </w:p>
    <w:p w14:paraId="0093DD96" w14:textId="6479AD65" w:rsidR="003D16D3" w:rsidRPr="00B13B19" w:rsidRDefault="003D16D3" w:rsidP="003D16D3">
      <w:pPr>
        <w:pStyle w:val="Caption"/>
        <w:jc w:val="center"/>
        <w:rPr>
          <w:i w:val="0"/>
          <w:iCs w:val="0"/>
          <w:sz w:val="24"/>
          <w:szCs w:val="24"/>
          <w:lang w:val="en-GB"/>
        </w:rPr>
      </w:pPr>
    </w:p>
    <w:p w14:paraId="20E55D22" w14:textId="79045BDB" w:rsidR="003D16D3" w:rsidRPr="004B597B" w:rsidRDefault="003B7C51" w:rsidP="003D16D3">
      <w:pPr>
        <w:pStyle w:val="Caption"/>
        <w:jc w:val="center"/>
        <w:rPr>
          <w:iCs w:val="0"/>
          <w:sz w:val="12"/>
          <w:szCs w:val="12"/>
          <w:lang w:val="en-GB"/>
        </w:rPr>
      </w:pPr>
      <w:r w:rsidRPr="004B597B">
        <w:rPr>
          <w:i w:val="0"/>
          <w:iCs w:val="0"/>
          <w:color w:val="000000" w:themeColor="text1"/>
          <w:sz w:val="20"/>
          <w:szCs w:val="20"/>
          <w:lang w:val="en-GB"/>
        </w:rPr>
        <w:t xml:space="preserve">Source: Crouzet </w:t>
      </w:r>
      <w:r w:rsidRPr="004B597B">
        <w:rPr>
          <w:color w:val="000000" w:themeColor="text1"/>
          <w:sz w:val="20"/>
          <w:szCs w:val="20"/>
          <w:lang w:val="en-GB"/>
        </w:rPr>
        <w:t>et al</w:t>
      </w:r>
      <w:r w:rsidRPr="004B597B">
        <w:rPr>
          <w:i w:val="0"/>
          <w:iCs w:val="0"/>
          <w:color w:val="000000" w:themeColor="text1"/>
          <w:sz w:val="20"/>
          <w:szCs w:val="20"/>
          <w:lang w:val="en-GB"/>
        </w:rPr>
        <w:t>. (2022</w:t>
      </w:r>
      <w:r w:rsidR="00E3124E" w:rsidRPr="004B597B">
        <w:rPr>
          <w:i w:val="0"/>
          <w:iCs w:val="0"/>
          <w:color w:val="000000" w:themeColor="text1"/>
          <w:sz w:val="20"/>
          <w:szCs w:val="20"/>
          <w:lang w:val="en-GB"/>
        </w:rPr>
        <w:t>, p.31</w:t>
      </w:r>
      <w:r w:rsidRPr="004B597B">
        <w:rPr>
          <w:i w:val="0"/>
          <w:iCs w:val="0"/>
          <w:color w:val="000000" w:themeColor="text1"/>
          <w:sz w:val="20"/>
          <w:szCs w:val="20"/>
          <w:lang w:val="en-GB"/>
        </w:rPr>
        <w:t>)</w:t>
      </w:r>
    </w:p>
    <w:p w14:paraId="41E2F1D8" w14:textId="033E52AC" w:rsidR="00B67729" w:rsidRPr="0063438A" w:rsidRDefault="001E61F3" w:rsidP="00B67729">
      <w:pPr>
        <w:jc w:val="center"/>
        <w:rPr>
          <w:color w:val="000000" w:themeColor="text1"/>
          <w:sz w:val="24"/>
          <w:szCs w:val="24"/>
          <w:lang w:val="en-GB"/>
        </w:rPr>
      </w:pPr>
      <w:r>
        <w:rPr>
          <w:b/>
          <w:bCs/>
          <w:i/>
          <w:iCs/>
          <w:color w:val="000000" w:themeColor="text1"/>
          <w:sz w:val="24"/>
          <w:szCs w:val="24"/>
          <w:lang w:val="en-GB"/>
        </w:rPr>
        <w:br w:type="page"/>
      </w:r>
      <w:r w:rsidR="003B7C51" w:rsidRPr="003D16D3">
        <w:rPr>
          <w:b/>
          <w:bCs/>
          <w:color w:val="000000" w:themeColor="text1"/>
          <w:sz w:val="24"/>
          <w:szCs w:val="24"/>
          <w:lang w:val="en-GB"/>
        </w:rPr>
        <w:lastRenderedPageBreak/>
        <w:t>Figure 3</w:t>
      </w:r>
      <w:r w:rsidR="00DF2609">
        <w:rPr>
          <w:b/>
          <w:bCs/>
          <w:color w:val="000000" w:themeColor="text1"/>
          <w:sz w:val="24"/>
          <w:szCs w:val="24"/>
          <w:lang w:val="en-GB"/>
        </w:rPr>
        <w:t>.</w:t>
      </w:r>
      <w:r w:rsidR="003B7C51" w:rsidRPr="003D16D3">
        <w:rPr>
          <w:b/>
          <w:bCs/>
          <w:color w:val="000000" w:themeColor="text1"/>
          <w:sz w:val="24"/>
          <w:szCs w:val="24"/>
          <w:lang w:val="en-GB"/>
        </w:rPr>
        <w:t xml:space="preserve"> </w:t>
      </w:r>
      <w:r w:rsidR="003B7C51" w:rsidRPr="008602F0">
        <w:rPr>
          <w:color w:val="000000" w:themeColor="text1"/>
          <w:sz w:val="24"/>
          <w:szCs w:val="24"/>
          <w:lang w:val="en-GB"/>
        </w:rPr>
        <w:t xml:space="preserve">Tangible versus </w:t>
      </w:r>
      <w:r w:rsidR="00394863">
        <w:rPr>
          <w:color w:val="000000" w:themeColor="text1"/>
          <w:sz w:val="24"/>
          <w:szCs w:val="24"/>
          <w:lang w:val="en-GB"/>
        </w:rPr>
        <w:t>I</w:t>
      </w:r>
      <w:r w:rsidR="003B7C51" w:rsidRPr="008602F0">
        <w:rPr>
          <w:color w:val="000000" w:themeColor="text1"/>
          <w:sz w:val="24"/>
          <w:szCs w:val="24"/>
          <w:lang w:val="en-GB"/>
        </w:rPr>
        <w:t xml:space="preserve">ntangible </w:t>
      </w:r>
      <w:r w:rsidR="00394863">
        <w:rPr>
          <w:color w:val="000000" w:themeColor="text1"/>
          <w:sz w:val="24"/>
          <w:szCs w:val="24"/>
          <w:lang w:val="en-GB"/>
        </w:rPr>
        <w:t>I</w:t>
      </w:r>
      <w:r w:rsidR="003B7C51" w:rsidRPr="008602F0">
        <w:rPr>
          <w:color w:val="000000" w:themeColor="text1"/>
          <w:sz w:val="24"/>
          <w:szCs w:val="24"/>
          <w:lang w:val="en-GB"/>
        </w:rPr>
        <w:t xml:space="preserve">nvestment's </w:t>
      </w:r>
      <w:r w:rsidR="00394863">
        <w:rPr>
          <w:color w:val="000000" w:themeColor="text1"/>
          <w:sz w:val="24"/>
          <w:szCs w:val="24"/>
          <w:lang w:val="en-GB"/>
        </w:rPr>
        <w:t>S</w:t>
      </w:r>
      <w:r w:rsidR="003B7C51" w:rsidRPr="008602F0">
        <w:rPr>
          <w:color w:val="000000" w:themeColor="text1"/>
          <w:sz w:val="24"/>
          <w:szCs w:val="24"/>
          <w:lang w:val="en-GB"/>
        </w:rPr>
        <w:t>hare of GDP</w:t>
      </w:r>
      <w:r w:rsidR="00E1701B" w:rsidRPr="008602F0">
        <w:rPr>
          <w:color w:val="000000" w:themeColor="text1"/>
          <w:sz w:val="24"/>
          <w:szCs w:val="24"/>
          <w:lang w:val="en-GB"/>
        </w:rPr>
        <w:t xml:space="preserve"> (1999-2013)</w:t>
      </w:r>
      <w:r w:rsidR="008602F0">
        <w:rPr>
          <w:color w:val="000000" w:themeColor="text1"/>
          <w:sz w:val="24"/>
          <w:szCs w:val="24"/>
          <w:lang w:val="en-GB"/>
        </w:rPr>
        <w:t>.</w:t>
      </w:r>
    </w:p>
    <w:p w14:paraId="1E249B52" w14:textId="5D5DA2E4" w:rsidR="00B67729" w:rsidRPr="0063438A" w:rsidRDefault="00B67729" w:rsidP="00B67729">
      <w:pPr>
        <w:jc w:val="center"/>
        <w:rPr>
          <w:color w:val="000000" w:themeColor="text1"/>
          <w:sz w:val="24"/>
          <w:szCs w:val="24"/>
          <w:lang w:val="en-GB"/>
        </w:rPr>
      </w:pPr>
    </w:p>
    <w:p w14:paraId="492E3FA3" w14:textId="38594F83" w:rsidR="00B67729" w:rsidRDefault="00EF7090" w:rsidP="00B67729">
      <w:pPr>
        <w:jc w:val="center"/>
        <w:rPr>
          <w:b/>
          <w:bCs/>
          <w:color w:val="000000" w:themeColor="text1"/>
          <w:sz w:val="24"/>
          <w:szCs w:val="24"/>
          <w:lang w:val="en-GB"/>
        </w:rPr>
      </w:pPr>
      <w:r w:rsidRPr="004A7187">
        <w:rPr>
          <w:b/>
          <w:bCs/>
          <w:noProof/>
        </w:rPr>
        <w:drawing>
          <wp:inline distT="0" distB="0" distL="0" distR="0" wp14:anchorId="74BE4CD8" wp14:editId="677D0783">
            <wp:extent cx="5229225" cy="2498090"/>
            <wp:effectExtent l="0" t="0" r="9525" b="0"/>
            <wp:docPr id="102" name="Picture 102"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text&#10;&#10;Description automatically generated with medium confidence"/>
                    <pic:cNvPicPr/>
                  </pic:nvPicPr>
                  <pic:blipFill rotWithShape="1">
                    <a:blip r:embed="rId28">
                      <a:extLst>
                        <a:ext uri="{28A0092B-C50C-407E-A947-70E740481C1C}">
                          <a14:useLocalDpi xmlns:a14="http://schemas.microsoft.com/office/drawing/2010/main" val="0"/>
                        </a:ext>
                      </a:extLst>
                    </a:blip>
                    <a:srcRect l="58555" t="15081" r="24948" b="62526"/>
                    <a:stretch/>
                  </pic:blipFill>
                  <pic:spPr bwMode="auto">
                    <a:xfrm>
                      <a:off x="0" y="0"/>
                      <a:ext cx="5285106" cy="2524785"/>
                    </a:xfrm>
                    <a:prstGeom prst="rect">
                      <a:avLst/>
                    </a:prstGeom>
                    <a:ln>
                      <a:noFill/>
                    </a:ln>
                    <a:extLst>
                      <a:ext uri="{53640926-AAD7-44D8-BBD7-CCE9431645EC}">
                        <a14:shadowObscured xmlns:a14="http://schemas.microsoft.com/office/drawing/2010/main"/>
                      </a:ext>
                    </a:extLst>
                  </pic:spPr>
                </pic:pic>
              </a:graphicData>
            </a:graphic>
          </wp:inline>
        </w:drawing>
      </w:r>
    </w:p>
    <w:p w14:paraId="1F243E6C" w14:textId="58ED0AB0" w:rsidR="00B67729" w:rsidRPr="00AD2932" w:rsidRDefault="00B67729" w:rsidP="00B67729">
      <w:pPr>
        <w:jc w:val="center"/>
        <w:rPr>
          <w:rFonts w:eastAsia="SimSun"/>
          <w:kern w:val="1"/>
          <w:lang w:val="en-GB" w:eastAsia="pt-PT"/>
        </w:rPr>
      </w:pPr>
    </w:p>
    <w:p w14:paraId="581DFF7B" w14:textId="177A5F9D" w:rsidR="002E1D32" w:rsidRPr="00AD2932" w:rsidRDefault="002E1D32" w:rsidP="002E1D32">
      <w:pPr>
        <w:pStyle w:val="Caption"/>
        <w:jc w:val="center"/>
        <w:rPr>
          <w:i w:val="0"/>
          <w:iCs w:val="0"/>
          <w:color w:val="000000" w:themeColor="text1"/>
          <w:sz w:val="20"/>
          <w:szCs w:val="20"/>
          <w:lang w:val="en-GB"/>
        </w:rPr>
      </w:pPr>
      <w:r w:rsidRPr="00AD2932">
        <w:rPr>
          <w:i w:val="0"/>
          <w:iCs w:val="0"/>
          <w:color w:val="000000" w:themeColor="text1"/>
          <w:sz w:val="20"/>
          <w:szCs w:val="20"/>
          <w:lang w:val="en-GB"/>
        </w:rPr>
        <w:t>(Darker bars represent the tangible investment, while lighter bars represent the intangible investment).</w:t>
      </w:r>
    </w:p>
    <w:p w14:paraId="6BE9450A" w14:textId="407E3598" w:rsidR="00B67729" w:rsidRPr="00AD2932" w:rsidRDefault="002E1D32" w:rsidP="002E1D32">
      <w:pPr>
        <w:pStyle w:val="Caption"/>
        <w:ind w:firstLine="720"/>
        <w:jc w:val="center"/>
        <w:rPr>
          <w:i w:val="0"/>
          <w:iCs w:val="0"/>
          <w:color w:val="000000" w:themeColor="text1"/>
          <w:sz w:val="20"/>
          <w:szCs w:val="20"/>
          <w:lang w:val="en-GB"/>
        </w:rPr>
      </w:pPr>
      <w:r w:rsidRPr="00AD2932">
        <w:rPr>
          <w:i w:val="0"/>
          <w:iCs w:val="0"/>
          <w:color w:val="000000" w:themeColor="text1"/>
          <w:sz w:val="20"/>
          <w:szCs w:val="20"/>
          <w:lang w:val="en-GB"/>
        </w:rPr>
        <w:t>Source: Haskel and Westlake (2018, p.27)</w:t>
      </w:r>
    </w:p>
    <w:p w14:paraId="19816942" w14:textId="77777777" w:rsidR="002E1D32" w:rsidRPr="002E1D32" w:rsidRDefault="002E1D32" w:rsidP="002E1D32">
      <w:pPr>
        <w:rPr>
          <w:lang w:val="en-GB"/>
        </w:rPr>
      </w:pPr>
    </w:p>
    <w:p w14:paraId="47775D92" w14:textId="55A3288D" w:rsidR="00E82F95" w:rsidRPr="00FB0BDF" w:rsidRDefault="00E1701B" w:rsidP="00A3169E">
      <w:pPr>
        <w:spacing w:line="360" w:lineRule="auto"/>
        <w:ind w:firstLine="720"/>
        <w:jc w:val="both"/>
        <w:rPr>
          <w:rFonts w:eastAsia="SimSun"/>
          <w:bCs/>
          <w:kern w:val="1"/>
          <w:sz w:val="24"/>
          <w:szCs w:val="24"/>
          <w:lang w:val="en-GB" w:eastAsia="pt-PT"/>
        </w:rPr>
      </w:pPr>
      <w:r>
        <w:rPr>
          <w:rFonts w:eastAsia="SimSun"/>
          <w:kern w:val="1"/>
          <w:sz w:val="24"/>
          <w:szCs w:val="24"/>
          <w:lang w:val="en-GB" w:eastAsia="pt-PT"/>
        </w:rPr>
        <w:t>Figure 3 shows that</w:t>
      </w:r>
      <w:r w:rsidR="00E82F95">
        <w:rPr>
          <w:rFonts w:eastAsia="SimSun"/>
          <w:kern w:val="1"/>
          <w:sz w:val="24"/>
          <w:szCs w:val="24"/>
          <w:lang w:val="en-GB" w:eastAsia="pt-PT"/>
        </w:rPr>
        <w:t xml:space="preserve"> </w:t>
      </w:r>
      <w:r>
        <w:rPr>
          <w:rFonts w:eastAsia="SimSun"/>
          <w:kern w:val="1"/>
          <w:sz w:val="24"/>
          <w:szCs w:val="24"/>
          <w:lang w:val="en-GB" w:eastAsia="pt-PT"/>
        </w:rPr>
        <w:t>Sweden, the United States, the United Kingdom and Finland</w:t>
      </w:r>
      <w:r w:rsidR="00E82F95">
        <w:rPr>
          <w:rFonts w:eastAsia="SimSun"/>
          <w:kern w:val="1"/>
          <w:sz w:val="24"/>
          <w:szCs w:val="24"/>
          <w:lang w:val="en-GB" w:eastAsia="pt-PT"/>
        </w:rPr>
        <w:t xml:space="preserve"> already</w:t>
      </w:r>
      <w:r>
        <w:rPr>
          <w:rFonts w:eastAsia="SimSun"/>
          <w:kern w:val="1"/>
          <w:sz w:val="24"/>
          <w:szCs w:val="24"/>
          <w:lang w:val="en-GB" w:eastAsia="pt-PT"/>
        </w:rPr>
        <w:t xml:space="preserve"> have</w:t>
      </w:r>
      <w:r w:rsidR="00E82F95">
        <w:rPr>
          <w:rFonts w:eastAsia="SimSun"/>
          <w:kern w:val="1"/>
          <w:sz w:val="24"/>
          <w:szCs w:val="24"/>
          <w:lang w:val="en-GB" w:eastAsia="pt-PT"/>
        </w:rPr>
        <w:t xml:space="preserve"> higher GDP shares of investment in intangible</w:t>
      </w:r>
      <w:r>
        <w:rPr>
          <w:rFonts w:eastAsia="SimSun"/>
          <w:kern w:val="1"/>
          <w:sz w:val="24"/>
          <w:szCs w:val="24"/>
          <w:lang w:val="en-GB" w:eastAsia="pt-PT"/>
        </w:rPr>
        <w:t xml:space="preserve"> assets than in</w:t>
      </w:r>
      <w:r w:rsidR="00E82F95">
        <w:rPr>
          <w:rFonts w:eastAsia="SimSun"/>
          <w:kern w:val="1"/>
          <w:sz w:val="24"/>
          <w:szCs w:val="24"/>
          <w:lang w:val="en-GB" w:eastAsia="pt-PT"/>
        </w:rPr>
        <w:t xml:space="preserve"> tangible assets. Furthermore, the authors point out that the </w:t>
      </w:r>
      <w:r w:rsidR="00AC3B42">
        <w:rPr>
          <w:rFonts w:eastAsia="SimSun"/>
          <w:kern w:val="1"/>
          <w:sz w:val="24"/>
          <w:szCs w:val="24"/>
          <w:lang w:val="en-GB" w:eastAsia="pt-PT"/>
        </w:rPr>
        <w:t>turning point</w:t>
      </w:r>
      <w:r w:rsidR="00E82F95">
        <w:rPr>
          <w:rFonts w:eastAsia="SimSun"/>
          <w:kern w:val="1"/>
          <w:sz w:val="24"/>
          <w:szCs w:val="24"/>
          <w:lang w:val="en-GB" w:eastAsia="pt-PT"/>
        </w:rPr>
        <w:t xml:space="preserve"> occurred in the mid-1990s for the US and</w:t>
      </w:r>
      <w:r w:rsidR="00517150">
        <w:rPr>
          <w:rFonts w:eastAsia="SimSun"/>
          <w:kern w:val="1"/>
          <w:sz w:val="24"/>
          <w:szCs w:val="24"/>
          <w:lang w:val="en-GB" w:eastAsia="pt-PT"/>
        </w:rPr>
        <w:t xml:space="preserve"> in</w:t>
      </w:r>
      <w:r w:rsidR="00E82F95">
        <w:rPr>
          <w:rFonts w:eastAsia="SimSun"/>
          <w:kern w:val="1"/>
          <w:sz w:val="24"/>
          <w:szCs w:val="24"/>
          <w:lang w:val="en-GB" w:eastAsia="pt-PT"/>
        </w:rPr>
        <w:t xml:space="preserve"> </w:t>
      </w:r>
      <w:r w:rsidR="00422507">
        <w:rPr>
          <w:rFonts w:eastAsia="SimSun"/>
          <w:kern w:val="1"/>
          <w:sz w:val="24"/>
          <w:szCs w:val="24"/>
          <w:lang w:val="en-GB" w:eastAsia="pt-PT"/>
        </w:rPr>
        <w:t>the</w:t>
      </w:r>
      <w:r w:rsidR="00517150">
        <w:rPr>
          <w:rFonts w:eastAsia="SimSun"/>
          <w:kern w:val="1"/>
          <w:sz w:val="24"/>
          <w:szCs w:val="24"/>
          <w:lang w:val="en-GB" w:eastAsia="pt-PT"/>
        </w:rPr>
        <w:t xml:space="preserve"> </w:t>
      </w:r>
      <w:r w:rsidR="00E82F95">
        <w:rPr>
          <w:rFonts w:eastAsia="SimSun"/>
          <w:kern w:val="1"/>
          <w:sz w:val="24"/>
          <w:szCs w:val="24"/>
          <w:lang w:val="en-GB" w:eastAsia="pt-PT"/>
        </w:rPr>
        <w:t xml:space="preserve">early 2000s for the UK. It is </w:t>
      </w:r>
      <w:r w:rsidR="009511D4">
        <w:rPr>
          <w:rFonts w:eastAsia="SimSun"/>
          <w:kern w:val="1"/>
          <w:sz w:val="24"/>
          <w:szCs w:val="24"/>
          <w:lang w:val="en-GB" w:eastAsia="pt-PT"/>
        </w:rPr>
        <w:t xml:space="preserve">interesting </w:t>
      </w:r>
      <w:r w:rsidR="00E82F95">
        <w:rPr>
          <w:rFonts w:eastAsia="SimSun"/>
          <w:kern w:val="1"/>
          <w:sz w:val="24"/>
          <w:szCs w:val="24"/>
          <w:lang w:val="en-GB" w:eastAsia="pt-PT"/>
        </w:rPr>
        <w:t>to note that a lot of European countries still seemed to be very tangible intensiv</w:t>
      </w:r>
      <w:r w:rsidR="009511D4">
        <w:rPr>
          <w:rFonts w:eastAsia="SimSun"/>
          <w:kern w:val="1"/>
          <w:sz w:val="24"/>
          <w:szCs w:val="24"/>
          <w:lang w:val="en-GB" w:eastAsia="pt-PT"/>
        </w:rPr>
        <w:t>e</w:t>
      </w:r>
      <w:r w:rsidR="00E82F95">
        <w:rPr>
          <w:rFonts w:eastAsia="SimSun"/>
          <w:kern w:val="1"/>
          <w:sz w:val="24"/>
          <w:szCs w:val="24"/>
          <w:lang w:val="en-GB" w:eastAsia="pt-PT"/>
        </w:rPr>
        <w:t>.</w:t>
      </w:r>
    </w:p>
    <w:p w14:paraId="4B247D7E" w14:textId="4C6736F8" w:rsidR="000906E0" w:rsidRDefault="00E82F95" w:rsidP="00A3169E">
      <w:pPr>
        <w:pStyle w:val="BodyText"/>
        <w:spacing w:line="360" w:lineRule="auto"/>
        <w:ind w:firstLine="720"/>
        <w:jc w:val="both"/>
        <w:rPr>
          <w:rFonts w:eastAsia="SimSun"/>
          <w:kern w:val="1"/>
          <w:lang w:val="en-GB" w:eastAsia="pt-PT"/>
        </w:rPr>
      </w:pPr>
      <w:r>
        <w:rPr>
          <w:rFonts w:eastAsia="SimSun"/>
          <w:kern w:val="1"/>
          <w:lang w:val="en-GB" w:eastAsia="pt-PT"/>
        </w:rPr>
        <w:t>A possible reason that explains some of the disparities between</w:t>
      </w:r>
      <w:r w:rsidR="00C32C6F">
        <w:rPr>
          <w:rFonts w:eastAsia="SimSun"/>
          <w:kern w:val="1"/>
          <w:lang w:val="en-GB" w:eastAsia="pt-PT"/>
        </w:rPr>
        <w:t xml:space="preserve"> the</w:t>
      </w:r>
      <w:r>
        <w:rPr>
          <w:rFonts w:eastAsia="SimSun"/>
          <w:kern w:val="1"/>
          <w:lang w:val="en-GB" w:eastAsia="pt-PT"/>
        </w:rPr>
        <w:t xml:space="preserve"> countries in the investment </w:t>
      </w:r>
      <w:r w:rsidR="00517150">
        <w:rPr>
          <w:rFonts w:eastAsia="SimSun"/>
          <w:kern w:val="1"/>
          <w:lang w:val="en-GB" w:eastAsia="pt-PT"/>
        </w:rPr>
        <w:t xml:space="preserve">intensity </w:t>
      </w:r>
      <w:r>
        <w:rPr>
          <w:rFonts w:eastAsia="SimSun"/>
          <w:kern w:val="1"/>
          <w:lang w:val="en-GB" w:eastAsia="pt-PT"/>
        </w:rPr>
        <w:t>in intangible assets has to do with debt finance. If investments in intangible assets are assumed to be riskier, banks will (</w:t>
      </w:r>
      <w:r w:rsidR="00E625C3" w:rsidRPr="00E625C3">
        <w:rPr>
          <w:rFonts w:eastAsia="SimSun"/>
          <w:i/>
          <w:iCs/>
          <w:kern w:val="1"/>
          <w:lang w:val="en-GB" w:eastAsia="pt-PT"/>
        </w:rPr>
        <w:t>ceteris paribus</w:t>
      </w:r>
      <w:r>
        <w:rPr>
          <w:rFonts w:eastAsia="SimSun"/>
          <w:kern w:val="1"/>
          <w:lang w:val="en-GB" w:eastAsia="pt-PT"/>
        </w:rPr>
        <w:t>) be less willing to lend. When a business with tangible assets fails and the debt incurred is not repaid, the creditor can usually take recourse in some assets of the firm, thereby lowering the financial risk subjacent to the credit contract. Regarding intangible assets</w:t>
      </w:r>
      <w:r w:rsidR="00422507">
        <w:rPr>
          <w:rFonts w:eastAsia="SimSun"/>
          <w:kern w:val="1"/>
          <w:lang w:val="en-GB" w:eastAsia="pt-PT"/>
        </w:rPr>
        <w:t>,</w:t>
      </w:r>
      <w:r>
        <w:rPr>
          <w:rFonts w:eastAsia="SimSun"/>
          <w:kern w:val="1"/>
          <w:lang w:val="en-GB" w:eastAsia="pt-PT"/>
        </w:rPr>
        <w:t xml:space="preserve"> however,</w:t>
      </w:r>
      <w:r w:rsidR="00E625C3">
        <w:rPr>
          <w:rFonts w:eastAsia="SimSun"/>
          <w:kern w:val="1"/>
          <w:lang w:val="en-GB" w:eastAsia="pt-PT"/>
        </w:rPr>
        <w:t xml:space="preserve"> there is an additional difficulty </w:t>
      </w:r>
      <w:r w:rsidR="00517150">
        <w:rPr>
          <w:rFonts w:eastAsia="SimSun"/>
          <w:kern w:val="1"/>
          <w:lang w:val="en-GB" w:eastAsia="pt-PT"/>
        </w:rPr>
        <w:t>concerning</w:t>
      </w:r>
      <w:r w:rsidR="00E625C3">
        <w:rPr>
          <w:rFonts w:eastAsia="SimSun"/>
          <w:kern w:val="1"/>
          <w:lang w:val="en-GB" w:eastAsia="pt-PT"/>
        </w:rPr>
        <w:t xml:space="preserve"> liquidating the assets</w:t>
      </w:r>
      <w:r w:rsidR="00B46EBF">
        <w:rPr>
          <w:rFonts w:eastAsia="SimSun"/>
          <w:kern w:val="1"/>
          <w:lang w:val="en-GB" w:eastAsia="pt-PT"/>
        </w:rPr>
        <w:t>, as they can often be firm-specific and have a low or inexistent resale value</w:t>
      </w:r>
      <w:r>
        <w:rPr>
          <w:rFonts w:eastAsia="SimSun"/>
          <w:kern w:val="1"/>
          <w:lang w:val="en-GB" w:eastAsia="pt-PT"/>
        </w:rPr>
        <w:t xml:space="preserve">. Intangible investment is more likely to be irrecuperable, which poses a barrier </w:t>
      </w:r>
      <w:r w:rsidR="00422507">
        <w:rPr>
          <w:rFonts w:eastAsia="SimSun"/>
          <w:kern w:val="1"/>
          <w:lang w:val="en-GB" w:eastAsia="pt-PT"/>
        </w:rPr>
        <w:t>to</w:t>
      </w:r>
      <w:r>
        <w:rPr>
          <w:rFonts w:eastAsia="SimSun"/>
          <w:kern w:val="1"/>
          <w:lang w:val="en-GB" w:eastAsia="pt-PT"/>
        </w:rPr>
        <w:t xml:space="preserve"> the achievement of credit.</w:t>
      </w:r>
      <w:r w:rsidR="002D2699">
        <w:rPr>
          <w:rFonts w:eastAsia="SimSun"/>
          <w:kern w:val="1"/>
          <w:lang w:val="en-GB" w:eastAsia="pt-PT"/>
        </w:rPr>
        <w:t xml:space="preserve"> </w:t>
      </w:r>
      <w:r w:rsidR="00422507">
        <w:rPr>
          <w:rFonts w:eastAsia="SimSun"/>
          <w:kern w:val="1"/>
          <w:lang w:val="en-GB" w:eastAsia="pt-PT"/>
        </w:rPr>
        <w:t>From</w:t>
      </w:r>
      <w:r w:rsidR="002D2699">
        <w:rPr>
          <w:rFonts w:eastAsia="SimSun"/>
          <w:kern w:val="1"/>
          <w:lang w:val="en-GB" w:eastAsia="pt-PT"/>
        </w:rPr>
        <w:t xml:space="preserve"> the perspective of debt holders, intangibles may be perceived as worthless (Bontempi</w:t>
      </w:r>
      <w:r w:rsidR="00992A14">
        <w:rPr>
          <w:rFonts w:eastAsia="SimSun"/>
          <w:kern w:val="1"/>
          <w:lang w:val="en-GB" w:eastAsia="pt-PT"/>
        </w:rPr>
        <w:t>,</w:t>
      </w:r>
      <w:r w:rsidR="002D2699">
        <w:rPr>
          <w:rFonts w:eastAsia="SimSun"/>
          <w:kern w:val="1"/>
          <w:lang w:val="en-GB" w:eastAsia="pt-PT"/>
        </w:rPr>
        <w:t xml:space="preserve"> 2016).</w:t>
      </w:r>
      <w:r w:rsidR="00275421">
        <w:rPr>
          <w:rStyle w:val="FootnoteReference"/>
          <w:rFonts w:eastAsia="SimSun"/>
          <w:kern w:val="1"/>
          <w:lang w:val="en-GB" w:eastAsia="pt-PT"/>
        </w:rPr>
        <w:footnoteReference w:id="5"/>
      </w:r>
    </w:p>
    <w:p w14:paraId="4E75994A" w14:textId="0518FB2A" w:rsidR="00FB4475" w:rsidRDefault="00FB4475" w:rsidP="00FB4475">
      <w:pPr>
        <w:pStyle w:val="BodyText"/>
        <w:spacing w:line="360" w:lineRule="auto"/>
        <w:ind w:firstLine="720"/>
        <w:jc w:val="both"/>
        <w:rPr>
          <w:lang w:val="en-GB"/>
        </w:rPr>
      </w:pPr>
      <w:r w:rsidRPr="009950ED">
        <w:rPr>
          <w:lang w:val="en-GB"/>
        </w:rPr>
        <w:lastRenderedPageBreak/>
        <w:t>Indeed, the investment in intangible assets involves sunk costs that are of a larger magnitude than the ones incurred in the investment in tangible assets (</w:t>
      </w:r>
      <w:r>
        <w:rPr>
          <w:lang w:val="en-GB"/>
        </w:rPr>
        <w:t>s</w:t>
      </w:r>
      <w:r w:rsidRPr="009950ED">
        <w:rPr>
          <w:lang w:val="en-GB"/>
        </w:rPr>
        <w:t>ee</w:t>
      </w:r>
      <w:r>
        <w:rPr>
          <w:lang w:val="en-GB"/>
        </w:rPr>
        <w:t>,</w:t>
      </w:r>
      <w:r w:rsidRPr="009950ED">
        <w:rPr>
          <w:lang w:val="en-GB"/>
        </w:rPr>
        <w:t xml:space="preserve"> Young, 1998, Bloom and Van Reenen, 2002, and Haskel &amp; Westlake, 2018).</w:t>
      </w:r>
    </w:p>
    <w:p w14:paraId="41327ACD" w14:textId="59B45DF6" w:rsidR="00BC4D40" w:rsidRPr="009950ED" w:rsidRDefault="00BC4D40" w:rsidP="00BC4D40">
      <w:pPr>
        <w:pStyle w:val="BodyText"/>
        <w:spacing w:line="360" w:lineRule="auto"/>
        <w:ind w:firstLine="720"/>
        <w:jc w:val="both"/>
        <w:rPr>
          <w:lang w:val="en-GB"/>
        </w:rPr>
      </w:pPr>
      <w:r>
        <w:rPr>
          <w:lang w:val="en-GB"/>
        </w:rPr>
        <w:t>As</w:t>
      </w:r>
      <w:r w:rsidRPr="009950ED">
        <w:rPr>
          <w:lang w:val="en-GB"/>
        </w:rPr>
        <w:t xml:space="preserve"> Haskel and Westlake (2018),</w:t>
      </w:r>
      <w:r>
        <w:rPr>
          <w:lang w:val="en-GB"/>
        </w:rPr>
        <w:t xml:space="preserve"> indicate,</w:t>
      </w:r>
      <w:r w:rsidRPr="009950ED">
        <w:rPr>
          <w:lang w:val="en-GB"/>
        </w:rPr>
        <w:t xml:space="preserve"> intangible assets have</w:t>
      </w:r>
      <w:r>
        <w:rPr>
          <w:lang w:val="en-GB"/>
        </w:rPr>
        <w:t xml:space="preserve"> four</w:t>
      </w:r>
      <w:r w:rsidRPr="009950ED">
        <w:rPr>
          <w:lang w:val="en-GB"/>
        </w:rPr>
        <w:t xml:space="preserve"> distinctive properties: scalability, sunkenness, spillovers, and synergies. Although scalability, spillovers and synergies are important properties of intangible assets, here we underline the sunkenness property of these assets. </w:t>
      </w:r>
    </w:p>
    <w:p w14:paraId="6B35CF47" w14:textId="7E8EFF7D" w:rsidR="00BC4D40" w:rsidRPr="009E7C08" w:rsidRDefault="00BC4D40" w:rsidP="00BC4D40">
      <w:pPr>
        <w:pStyle w:val="BodyText"/>
        <w:spacing w:line="360" w:lineRule="auto"/>
        <w:ind w:firstLine="720"/>
        <w:jc w:val="both"/>
        <w:rPr>
          <w:lang w:val="en-GB"/>
        </w:rPr>
      </w:pPr>
      <w:r w:rsidRPr="009950ED">
        <w:rPr>
          <w:lang w:val="en-GB"/>
        </w:rPr>
        <w:t xml:space="preserve">To further explore the notion of sunk costs and irreversibility associated with investment let us consider the following example: </w:t>
      </w:r>
      <w:r w:rsidRPr="009E7C08">
        <w:rPr>
          <w:lang w:val="en-GB"/>
        </w:rPr>
        <w:t>As</w:t>
      </w:r>
      <w:r>
        <w:rPr>
          <w:lang w:val="en-GB"/>
        </w:rPr>
        <w:t xml:space="preserve"> </w:t>
      </w:r>
      <w:r w:rsidRPr="009E7C08">
        <w:rPr>
          <w:lang w:val="en-GB"/>
        </w:rPr>
        <w:t>Young (1998)</w:t>
      </w:r>
      <w:r>
        <w:rPr>
          <w:lang w:val="en-GB"/>
        </w:rPr>
        <w:t xml:space="preserve"> reports,</w:t>
      </w:r>
      <w:r w:rsidRPr="009E7C08">
        <w:rPr>
          <w:lang w:val="en-GB"/>
        </w:rPr>
        <w:t xml:space="preserve"> organizational models are intangible assets, but how can they be separated from a given firm and be individually sold? How can Toyota separate its lean management practices from the rest of the firm? Intangible assets are likelier to be embedded in the firm and are hardly separable. </w:t>
      </w:r>
    </w:p>
    <w:p w14:paraId="7C081BF0" w14:textId="0A5DC04C" w:rsidR="00BC4D40" w:rsidRPr="009950ED" w:rsidRDefault="00BC4D40" w:rsidP="00BC4D40">
      <w:pPr>
        <w:pStyle w:val="BodyText"/>
        <w:spacing w:line="360" w:lineRule="auto"/>
        <w:ind w:firstLine="720"/>
        <w:jc w:val="both"/>
        <w:rPr>
          <w:lang w:val="en-GB"/>
        </w:rPr>
      </w:pPr>
      <w:r w:rsidRPr="00A06370">
        <w:rPr>
          <w:lang w:val="en-GB"/>
        </w:rPr>
        <w:t xml:space="preserve">Moreover, the uncertainty associated with tangible and intangible investment </w:t>
      </w:r>
      <w:r>
        <w:rPr>
          <w:lang w:val="en-GB"/>
        </w:rPr>
        <w:t>is</w:t>
      </w:r>
      <w:r w:rsidRPr="00A06370">
        <w:rPr>
          <w:lang w:val="en-GB"/>
        </w:rPr>
        <w:t xml:space="preserve">, not homogenous (Thum-Thysen </w:t>
      </w:r>
      <w:r w:rsidRPr="00A06370">
        <w:rPr>
          <w:i/>
          <w:iCs/>
          <w:lang w:val="en-GB"/>
        </w:rPr>
        <w:t>et al</w:t>
      </w:r>
      <w:r w:rsidRPr="00A06370">
        <w:rPr>
          <w:lang w:val="en-GB"/>
        </w:rPr>
        <w:t>., 2019). Intangible investment seems to be more affected by uncertainty than tangible investment is. Bontempi (2016) finds that for both R&amp;D and non-R&amp;D intangibles the delay effect (the postponement of investments under uncertainty) is much higher than the delay effect for tangible assets.</w:t>
      </w:r>
    </w:p>
    <w:p w14:paraId="3D1EAEAF" w14:textId="671CE441" w:rsidR="00A438BD" w:rsidRDefault="00BC4D40" w:rsidP="00A06370">
      <w:pPr>
        <w:pStyle w:val="BodyText"/>
        <w:spacing w:line="360" w:lineRule="auto"/>
        <w:ind w:firstLine="720"/>
        <w:jc w:val="both"/>
        <w:rPr>
          <w:b/>
          <w:bCs/>
          <w:lang w:val="en-GB"/>
        </w:rPr>
      </w:pPr>
      <w:r>
        <w:rPr>
          <w:rFonts w:eastAsia="SimSun"/>
          <w:kern w:val="1"/>
          <w:lang w:val="en-GB" w:eastAsia="pt-PT"/>
        </w:rPr>
        <w:t>If we now c</w:t>
      </w:r>
      <w:r w:rsidR="000906E0" w:rsidRPr="000906E0">
        <w:rPr>
          <w:rFonts w:eastAsia="SimSun"/>
          <w:kern w:val="1"/>
          <w:lang w:val="en-GB" w:eastAsia="pt-PT"/>
        </w:rPr>
        <w:t>ompa</w:t>
      </w:r>
      <w:r>
        <w:rPr>
          <w:rFonts w:eastAsia="SimSun"/>
          <w:kern w:val="1"/>
          <w:lang w:val="en-GB" w:eastAsia="pt-PT"/>
        </w:rPr>
        <w:t>re</w:t>
      </w:r>
      <w:r w:rsidR="000906E0" w:rsidRPr="000906E0">
        <w:rPr>
          <w:rFonts w:eastAsia="SimSun"/>
          <w:kern w:val="1"/>
          <w:lang w:val="en-GB" w:eastAsia="pt-PT"/>
        </w:rPr>
        <w:t xml:space="preserve"> the</w:t>
      </w:r>
      <w:r w:rsidR="009950ED">
        <w:rPr>
          <w:rFonts w:eastAsia="SimSun"/>
          <w:kern w:val="1"/>
          <w:lang w:val="en-GB" w:eastAsia="pt-PT"/>
        </w:rPr>
        <w:t xml:space="preserve"> </w:t>
      </w:r>
      <w:r w:rsidR="000906E0">
        <w:rPr>
          <w:rFonts w:eastAsia="SimSun"/>
          <w:kern w:val="1"/>
          <w:lang w:val="en-GB" w:eastAsia="pt-PT"/>
        </w:rPr>
        <w:t>E</w:t>
      </w:r>
      <w:r w:rsidR="000906E0" w:rsidRPr="000906E0">
        <w:rPr>
          <w:rFonts w:eastAsia="SimSun"/>
          <w:kern w:val="1"/>
          <w:lang w:val="en-GB" w:eastAsia="pt-PT"/>
        </w:rPr>
        <w:t xml:space="preserve">uropean </w:t>
      </w:r>
      <w:r w:rsidR="00DF2782">
        <w:rPr>
          <w:rFonts w:eastAsia="SimSun"/>
          <w:kern w:val="1"/>
          <w:lang w:val="en-GB" w:eastAsia="pt-PT"/>
        </w:rPr>
        <w:t>firms</w:t>
      </w:r>
      <w:r w:rsidR="000906E0" w:rsidRPr="000906E0">
        <w:rPr>
          <w:rFonts w:eastAsia="SimSun"/>
          <w:kern w:val="1"/>
          <w:lang w:val="en-GB" w:eastAsia="pt-PT"/>
        </w:rPr>
        <w:t xml:space="preserve"> versus the United </w:t>
      </w:r>
      <w:r w:rsidR="000906E0">
        <w:rPr>
          <w:rFonts w:eastAsia="SimSun"/>
          <w:kern w:val="1"/>
          <w:lang w:val="en-GB" w:eastAsia="pt-PT"/>
        </w:rPr>
        <w:t>S</w:t>
      </w:r>
      <w:r w:rsidR="000906E0" w:rsidRPr="000906E0">
        <w:rPr>
          <w:rFonts w:eastAsia="SimSun"/>
          <w:kern w:val="1"/>
          <w:lang w:val="en-GB" w:eastAsia="pt-PT"/>
        </w:rPr>
        <w:t>tates</w:t>
      </w:r>
      <w:r w:rsidR="00DF2782">
        <w:rPr>
          <w:rFonts w:eastAsia="SimSun"/>
          <w:kern w:val="1"/>
          <w:lang w:val="en-GB" w:eastAsia="pt-PT"/>
        </w:rPr>
        <w:t xml:space="preserve"> firms</w:t>
      </w:r>
      <w:r w:rsidR="000906E0" w:rsidRPr="000906E0">
        <w:rPr>
          <w:rFonts w:eastAsia="SimSun"/>
          <w:kern w:val="1"/>
          <w:lang w:val="en-GB" w:eastAsia="pt-PT"/>
        </w:rPr>
        <w:t xml:space="preserve"> it is</w:t>
      </w:r>
      <w:r w:rsidR="00BA0EC6">
        <w:rPr>
          <w:rFonts w:eastAsia="SimSun"/>
          <w:kern w:val="1"/>
          <w:lang w:val="en-GB" w:eastAsia="pt-PT"/>
        </w:rPr>
        <w:t xml:space="preserve"> observable</w:t>
      </w:r>
      <w:r w:rsidR="000906E0" w:rsidRPr="000906E0">
        <w:rPr>
          <w:rFonts w:eastAsia="SimSun"/>
          <w:kern w:val="1"/>
          <w:lang w:val="en-GB" w:eastAsia="pt-PT"/>
        </w:rPr>
        <w:t xml:space="preserve"> that the</w:t>
      </w:r>
      <w:r w:rsidR="0005008B">
        <w:rPr>
          <w:rFonts w:eastAsia="SimSun"/>
          <w:kern w:val="1"/>
          <w:lang w:val="en-GB" w:eastAsia="pt-PT"/>
        </w:rPr>
        <w:t xml:space="preserve"> capital structure of the</w:t>
      </w:r>
      <w:r w:rsidR="000906E0" w:rsidRPr="000906E0">
        <w:rPr>
          <w:rFonts w:eastAsia="SimSun"/>
          <w:kern w:val="1"/>
          <w:lang w:val="en-GB" w:eastAsia="pt-PT"/>
        </w:rPr>
        <w:t xml:space="preserve"> first </w:t>
      </w:r>
      <w:r w:rsidR="0005008B">
        <w:rPr>
          <w:rFonts w:eastAsia="SimSun"/>
          <w:kern w:val="1"/>
          <w:lang w:val="en-GB" w:eastAsia="pt-PT"/>
        </w:rPr>
        <w:t>is</w:t>
      </w:r>
      <w:r w:rsidR="000906E0" w:rsidRPr="000906E0">
        <w:rPr>
          <w:rFonts w:eastAsia="SimSun"/>
          <w:kern w:val="1"/>
          <w:lang w:val="en-GB" w:eastAsia="pt-PT"/>
        </w:rPr>
        <w:t xml:space="preserve"> bank-based and the la</w:t>
      </w:r>
      <w:r w:rsidR="000906E0">
        <w:rPr>
          <w:rFonts w:eastAsia="SimSun"/>
          <w:kern w:val="1"/>
          <w:lang w:val="en-GB" w:eastAsia="pt-PT"/>
        </w:rPr>
        <w:t xml:space="preserve">tter </w:t>
      </w:r>
      <w:r w:rsidR="0005008B">
        <w:rPr>
          <w:rFonts w:eastAsia="SimSun"/>
          <w:kern w:val="1"/>
          <w:lang w:val="en-GB" w:eastAsia="pt-PT"/>
        </w:rPr>
        <w:t>is</w:t>
      </w:r>
      <w:r w:rsidR="00B80383">
        <w:rPr>
          <w:rFonts w:eastAsia="SimSun"/>
          <w:kern w:val="1"/>
          <w:lang w:val="en-GB" w:eastAsia="pt-PT"/>
        </w:rPr>
        <w:t xml:space="preserve"> mostly</w:t>
      </w:r>
      <w:r w:rsidR="000906E0">
        <w:rPr>
          <w:rFonts w:eastAsia="SimSun"/>
          <w:kern w:val="1"/>
          <w:lang w:val="en-GB" w:eastAsia="pt-PT"/>
        </w:rPr>
        <w:t xml:space="preserve"> </w:t>
      </w:r>
      <w:r w:rsidR="009950ED">
        <w:rPr>
          <w:rFonts w:eastAsia="SimSun"/>
          <w:kern w:val="1"/>
          <w:lang w:val="en-GB" w:eastAsia="pt-PT"/>
        </w:rPr>
        <w:t xml:space="preserve">capital </w:t>
      </w:r>
      <w:r w:rsidR="000906E0">
        <w:rPr>
          <w:rFonts w:eastAsia="SimSun"/>
          <w:kern w:val="1"/>
          <w:lang w:val="en-GB" w:eastAsia="pt-PT"/>
        </w:rPr>
        <w:t>market</w:t>
      </w:r>
      <w:r w:rsidR="009950ED">
        <w:rPr>
          <w:rFonts w:eastAsia="SimSun"/>
          <w:kern w:val="1"/>
          <w:lang w:val="en-GB" w:eastAsia="pt-PT"/>
        </w:rPr>
        <w:t>s</w:t>
      </w:r>
      <w:r w:rsidR="000906E0">
        <w:rPr>
          <w:rFonts w:eastAsia="SimSun"/>
          <w:kern w:val="1"/>
          <w:lang w:val="en-GB" w:eastAsia="pt-PT"/>
        </w:rPr>
        <w:t>-based</w:t>
      </w:r>
      <w:r w:rsidR="00BA0EC6">
        <w:rPr>
          <w:rFonts w:eastAsia="SimSun"/>
          <w:kern w:val="1"/>
          <w:lang w:val="en-GB" w:eastAsia="pt-PT"/>
        </w:rPr>
        <w:t xml:space="preserve"> (see Figure 4)</w:t>
      </w:r>
      <w:r w:rsidR="000906E0">
        <w:rPr>
          <w:rFonts w:eastAsia="SimSun"/>
          <w:kern w:val="1"/>
          <w:lang w:val="en-GB" w:eastAsia="pt-PT"/>
        </w:rPr>
        <w:t xml:space="preserve">. </w:t>
      </w:r>
      <w:r w:rsidR="000906E0" w:rsidRPr="000906E0">
        <w:rPr>
          <w:rFonts w:eastAsia="SimSun"/>
          <w:kern w:val="1"/>
          <w:lang w:val="en-GB" w:eastAsia="pt-PT"/>
        </w:rPr>
        <w:t xml:space="preserve">This distinction is essential to better understand why </w:t>
      </w:r>
      <w:r w:rsidR="00DF2782">
        <w:rPr>
          <w:rFonts w:eastAsia="SimSun"/>
          <w:kern w:val="1"/>
          <w:lang w:val="en-GB" w:eastAsia="pt-PT"/>
        </w:rPr>
        <w:t xml:space="preserve">it is easier to fund </w:t>
      </w:r>
      <w:r w:rsidR="0005008B">
        <w:rPr>
          <w:rFonts w:eastAsia="SimSun"/>
          <w:kern w:val="1"/>
          <w:lang w:val="en-GB" w:eastAsia="pt-PT"/>
        </w:rPr>
        <w:t>intangible investments</w:t>
      </w:r>
      <w:r w:rsidR="000906E0" w:rsidRPr="000906E0">
        <w:rPr>
          <w:rFonts w:eastAsia="SimSun"/>
          <w:kern w:val="1"/>
          <w:lang w:val="en-GB" w:eastAsia="pt-PT"/>
        </w:rPr>
        <w:t xml:space="preserve"> in the United </w:t>
      </w:r>
      <w:r w:rsidR="000906E0">
        <w:rPr>
          <w:rFonts w:eastAsia="SimSun"/>
          <w:kern w:val="1"/>
          <w:lang w:val="en-GB" w:eastAsia="pt-PT"/>
        </w:rPr>
        <w:t>S</w:t>
      </w:r>
      <w:r w:rsidR="000906E0" w:rsidRPr="000906E0">
        <w:rPr>
          <w:rFonts w:eastAsia="SimSun"/>
          <w:kern w:val="1"/>
          <w:lang w:val="en-GB" w:eastAsia="pt-PT"/>
        </w:rPr>
        <w:t xml:space="preserve">tates </w:t>
      </w:r>
      <w:r w:rsidR="0005008B">
        <w:rPr>
          <w:rFonts w:eastAsia="SimSun"/>
          <w:kern w:val="1"/>
          <w:lang w:val="en-GB" w:eastAsia="pt-PT"/>
        </w:rPr>
        <w:t xml:space="preserve">than </w:t>
      </w:r>
      <w:r w:rsidR="009950ED">
        <w:rPr>
          <w:rFonts w:eastAsia="SimSun"/>
          <w:kern w:val="1"/>
          <w:lang w:val="en-GB" w:eastAsia="pt-PT"/>
        </w:rPr>
        <w:t xml:space="preserve">in </w:t>
      </w:r>
      <w:r w:rsidR="000906E0">
        <w:rPr>
          <w:rFonts w:eastAsia="SimSun"/>
          <w:kern w:val="1"/>
          <w:lang w:val="en-GB" w:eastAsia="pt-PT"/>
        </w:rPr>
        <w:t>E</w:t>
      </w:r>
      <w:r w:rsidR="000906E0" w:rsidRPr="000906E0">
        <w:rPr>
          <w:rFonts w:eastAsia="SimSun"/>
          <w:kern w:val="1"/>
          <w:lang w:val="en-GB" w:eastAsia="pt-PT"/>
        </w:rPr>
        <w:t xml:space="preserve">urope. </w:t>
      </w:r>
      <w:r w:rsidR="00BA0EC6">
        <w:rPr>
          <w:rFonts w:eastAsia="SimSun"/>
          <w:kern w:val="1"/>
          <w:lang w:val="en-GB" w:eastAsia="pt-PT"/>
        </w:rPr>
        <w:t xml:space="preserve">Moreover, the bank-based financing structure may contribute to more systemic risk than </w:t>
      </w:r>
      <w:r w:rsidR="0005008B">
        <w:rPr>
          <w:rFonts w:eastAsia="SimSun"/>
          <w:kern w:val="1"/>
          <w:lang w:val="en-GB" w:eastAsia="pt-PT"/>
        </w:rPr>
        <w:t>capital markets</w:t>
      </w:r>
      <w:r w:rsidR="00BA0EC6">
        <w:rPr>
          <w:rFonts w:eastAsia="SimSun"/>
          <w:kern w:val="1"/>
          <w:lang w:val="en-GB" w:eastAsia="pt-PT"/>
        </w:rPr>
        <w:t xml:space="preserve"> financing</w:t>
      </w:r>
      <w:r w:rsidR="00DF2782">
        <w:rPr>
          <w:rFonts w:eastAsia="SimSun"/>
          <w:kern w:val="1"/>
          <w:lang w:val="en-GB" w:eastAsia="pt-PT"/>
        </w:rPr>
        <w:t xml:space="preserve"> on account that banks are highly leveraged and when asset values fall, banks may be required to shrink their balance sheet or lower their risk to meet the regulatory requirements. This in turn may lead banks to scale back on higher-risk loans such as corporate loans and mortgages, in favour of lower-risk securitized assets </w:t>
      </w:r>
      <w:r w:rsidR="00BA0EC6">
        <w:rPr>
          <w:rFonts w:eastAsia="SimSun"/>
          <w:kern w:val="1"/>
          <w:lang w:val="en-GB" w:eastAsia="pt-PT"/>
        </w:rPr>
        <w:t xml:space="preserve">(Bats &amp; Houben, 2020). </w:t>
      </w:r>
      <w:r>
        <w:rPr>
          <w:rFonts w:eastAsia="SimSun"/>
          <w:kern w:val="1"/>
          <w:lang w:val="en-GB" w:eastAsia="pt-PT"/>
        </w:rPr>
        <w:t>This</w:t>
      </w:r>
      <w:r w:rsidR="00BA0EC6">
        <w:rPr>
          <w:rFonts w:eastAsia="SimSun"/>
          <w:kern w:val="1"/>
          <w:lang w:val="en-GB" w:eastAsia="pt-PT"/>
        </w:rPr>
        <w:t xml:space="preserve"> in itself could lead to more uncertainty in times of crisis</w:t>
      </w:r>
      <w:r w:rsidR="0005008B">
        <w:rPr>
          <w:rFonts w:eastAsia="SimSun"/>
          <w:kern w:val="1"/>
          <w:lang w:val="en-GB" w:eastAsia="pt-PT"/>
        </w:rPr>
        <w:t xml:space="preserve">, </w:t>
      </w:r>
      <w:r w:rsidR="008B17E6">
        <w:rPr>
          <w:rFonts w:eastAsia="SimSun"/>
          <w:kern w:val="1"/>
          <w:lang w:val="en-GB" w:eastAsia="pt-PT"/>
        </w:rPr>
        <w:t>which</w:t>
      </w:r>
      <w:r w:rsidR="0005008B">
        <w:rPr>
          <w:rFonts w:eastAsia="SimSun"/>
          <w:kern w:val="1"/>
          <w:lang w:val="en-GB" w:eastAsia="pt-PT"/>
        </w:rPr>
        <w:t xml:space="preserve"> in turn can increase hysteresis effects as we will further observe.</w:t>
      </w:r>
      <w:r w:rsidR="00A438BD">
        <w:rPr>
          <w:b/>
          <w:bCs/>
          <w:lang w:val="en-GB"/>
        </w:rPr>
        <w:br w:type="page"/>
      </w:r>
    </w:p>
    <w:p w14:paraId="2F2C9C92" w14:textId="6A28727D" w:rsidR="00BA0EC6" w:rsidRPr="0063438A" w:rsidRDefault="00BA0EC6" w:rsidP="00BA0EC6">
      <w:pPr>
        <w:pStyle w:val="BodyText"/>
        <w:spacing w:before="1" w:line="360" w:lineRule="auto"/>
        <w:ind w:right="272"/>
        <w:jc w:val="center"/>
        <w:rPr>
          <w:lang w:val="en-GB"/>
        </w:rPr>
      </w:pPr>
    </w:p>
    <w:p w14:paraId="3D6C1CEF" w14:textId="764373EE" w:rsidR="00BA0EC6" w:rsidRPr="00A438BD" w:rsidRDefault="00BA0EC6" w:rsidP="00BA0EC6">
      <w:pPr>
        <w:pStyle w:val="BodyText"/>
        <w:spacing w:before="1" w:line="360" w:lineRule="auto"/>
        <w:ind w:right="272"/>
        <w:jc w:val="center"/>
        <w:rPr>
          <w:sz w:val="22"/>
          <w:szCs w:val="22"/>
          <w:lang w:val="en-GB"/>
        </w:rPr>
      </w:pPr>
      <w:r w:rsidRPr="001678A7">
        <w:rPr>
          <w:b/>
          <w:bCs/>
          <w:lang w:val="en-GB"/>
        </w:rPr>
        <w:t>Figure 4</w:t>
      </w:r>
      <w:r w:rsidR="00DF2609">
        <w:rPr>
          <w:b/>
          <w:bCs/>
          <w:lang w:val="en-GB"/>
        </w:rPr>
        <w:t>.</w:t>
      </w:r>
      <w:r w:rsidRPr="001678A7">
        <w:rPr>
          <w:b/>
          <w:bCs/>
          <w:lang w:val="en-GB"/>
        </w:rPr>
        <w:t xml:space="preserve"> </w:t>
      </w:r>
      <w:r w:rsidRPr="008602F0">
        <w:rPr>
          <w:lang w:val="en-GB"/>
        </w:rPr>
        <w:t xml:space="preserve">Financial </w:t>
      </w:r>
      <w:r w:rsidR="0058763A">
        <w:rPr>
          <w:lang w:val="en-GB"/>
        </w:rPr>
        <w:t>S</w:t>
      </w:r>
      <w:r w:rsidRPr="008602F0">
        <w:rPr>
          <w:lang w:val="en-GB"/>
        </w:rPr>
        <w:t>tructure of different regions</w:t>
      </w:r>
      <w:r w:rsidR="008602F0" w:rsidRPr="008602F0">
        <w:rPr>
          <w:lang w:val="en-GB"/>
        </w:rPr>
        <w:t>.</w:t>
      </w:r>
      <w:r w:rsidR="00A438BD" w:rsidRPr="008602F0">
        <w:rPr>
          <w:rFonts w:eastAsia="SimSun"/>
          <w:noProof/>
          <w:kern w:val="1"/>
          <w:sz w:val="22"/>
          <w:szCs w:val="22"/>
          <w:lang w:val="en-GB" w:eastAsia="pt-PT"/>
        </w:rPr>
        <w:drawing>
          <wp:inline distT="0" distB="0" distL="0" distR="0" wp14:anchorId="37E2DE89" wp14:editId="3BE1C193">
            <wp:extent cx="4598283" cy="4902356"/>
            <wp:effectExtent l="0" t="0" r="0" b="0"/>
            <wp:docPr id="535265708" name="Picture 1" descr="A graph of stock market capital/major cityiz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265708" name="Picture 1" descr="A graph of stock market capital/major cityization&#10;&#10;Description automatically generated with low confidence"/>
                    <pic:cNvPicPr>
                      <a:picLocks noChangeAspect="1" noChangeArrowheads="1"/>
                    </pic:cNvPicPr>
                  </pic:nvPicPr>
                  <pic:blipFill rotWithShape="1">
                    <a:blip r:embed="rId29">
                      <a:extLst>
                        <a:ext uri="{28A0092B-C50C-407E-A947-70E740481C1C}">
                          <a14:useLocalDpi xmlns:a14="http://schemas.microsoft.com/office/drawing/2010/main" val="0"/>
                        </a:ext>
                      </a:extLst>
                    </a:blip>
                    <a:srcRect t="10275"/>
                    <a:stretch/>
                  </pic:blipFill>
                  <pic:spPr bwMode="auto">
                    <a:xfrm>
                      <a:off x="0" y="0"/>
                      <a:ext cx="4619153" cy="4924606"/>
                    </a:xfrm>
                    <a:prstGeom prst="rect">
                      <a:avLst/>
                    </a:prstGeom>
                    <a:noFill/>
                    <a:ln>
                      <a:noFill/>
                    </a:ln>
                    <a:extLst>
                      <a:ext uri="{53640926-AAD7-44D8-BBD7-CCE9431645EC}">
                        <a14:shadowObscured xmlns:a14="http://schemas.microsoft.com/office/drawing/2010/main"/>
                      </a:ext>
                    </a:extLst>
                  </pic:spPr>
                </pic:pic>
              </a:graphicData>
            </a:graphic>
          </wp:inline>
        </w:drawing>
      </w:r>
    </w:p>
    <w:p w14:paraId="35DC10FA" w14:textId="6EF4E6EC" w:rsidR="00BA0EC6" w:rsidRPr="0020190E" w:rsidRDefault="00A438BD" w:rsidP="00F9628E">
      <w:pPr>
        <w:pStyle w:val="BodyText"/>
        <w:spacing w:before="1" w:line="360" w:lineRule="auto"/>
        <w:ind w:right="272"/>
        <w:jc w:val="center"/>
        <w:rPr>
          <w:sz w:val="20"/>
          <w:szCs w:val="20"/>
          <w:lang w:val="en-GB"/>
        </w:rPr>
      </w:pPr>
      <w:r w:rsidRPr="0020190E">
        <w:rPr>
          <w:sz w:val="20"/>
          <w:szCs w:val="20"/>
          <w:lang w:val="en-GB"/>
        </w:rPr>
        <w:t>(Left axis represents the bank credit to non-financial debt ratio; Right axis represents the stock market capitalization).</w:t>
      </w:r>
    </w:p>
    <w:p w14:paraId="2F3CCCCC" w14:textId="77777777" w:rsidR="00F9628E" w:rsidRPr="0020190E" w:rsidRDefault="00F9628E" w:rsidP="00F9628E">
      <w:pPr>
        <w:pStyle w:val="BodyText"/>
        <w:spacing w:before="1" w:line="360" w:lineRule="auto"/>
        <w:ind w:right="272"/>
        <w:jc w:val="center"/>
        <w:rPr>
          <w:sz w:val="20"/>
          <w:szCs w:val="20"/>
          <w:lang w:val="en-GB"/>
        </w:rPr>
      </w:pPr>
    </w:p>
    <w:p w14:paraId="412935AA" w14:textId="7F19C179" w:rsidR="00BA0EC6" w:rsidRPr="0020190E" w:rsidRDefault="00BA0EC6" w:rsidP="00BA0EC6">
      <w:pPr>
        <w:pStyle w:val="BodyText"/>
        <w:spacing w:line="360" w:lineRule="auto"/>
        <w:ind w:right="272" w:firstLine="720"/>
        <w:jc w:val="center"/>
        <w:rPr>
          <w:iCs/>
          <w:sz w:val="20"/>
          <w:szCs w:val="20"/>
          <w:lang w:val="en-GB"/>
        </w:rPr>
      </w:pPr>
      <w:r w:rsidRPr="0020190E">
        <w:rPr>
          <w:iCs/>
          <w:sz w:val="20"/>
          <w:szCs w:val="20"/>
          <w:lang w:val="en-GB"/>
        </w:rPr>
        <w:t>Source: Bats and Houben (2020, p.7)</w:t>
      </w:r>
    </w:p>
    <w:p w14:paraId="27D89713" w14:textId="77777777" w:rsidR="00F9628E" w:rsidRDefault="00F9628E" w:rsidP="002C77A7">
      <w:pPr>
        <w:pStyle w:val="BodyText"/>
        <w:spacing w:line="360" w:lineRule="auto"/>
        <w:ind w:right="272" w:firstLine="720"/>
        <w:rPr>
          <w:iCs/>
          <w:sz w:val="22"/>
          <w:szCs w:val="22"/>
          <w:lang w:val="en-GB"/>
        </w:rPr>
      </w:pPr>
    </w:p>
    <w:p w14:paraId="47DA8356" w14:textId="038AF656" w:rsidR="00F9628E" w:rsidRPr="00D71C34" w:rsidRDefault="00F9628E" w:rsidP="00D71C34">
      <w:pPr>
        <w:pStyle w:val="BodyText"/>
        <w:spacing w:line="360" w:lineRule="auto"/>
        <w:ind w:firstLine="720"/>
        <w:jc w:val="both"/>
        <w:rPr>
          <w:lang w:val="en-GB"/>
        </w:rPr>
      </w:pPr>
      <w:r>
        <w:rPr>
          <w:iCs/>
          <w:lang w:val="en-GB"/>
        </w:rPr>
        <w:br w:type="page"/>
      </w:r>
    </w:p>
    <w:p w14:paraId="4B43605A" w14:textId="04CA3975" w:rsidR="00A10AFA" w:rsidRPr="0063438A" w:rsidRDefault="00A10AFA" w:rsidP="00A10AFA">
      <w:pPr>
        <w:pStyle w:val="Heading1"/>
        <w:ind w:left="0"/>
        <w:rPr>
          <w:b w:val="0"/>
          <w:bCs w:val="0"/>
          <w:sz w:val="24"/>
          <w:szCs w:val="24"/>
          <w:lang w:val="en-GB"/>
        </w:rPr>
      </w:pPr>
      <w:bookmarkStart w:id="17" w:name="_Toc126837242"/>
      <w:bookmarkStart w:id="18" w:name="_Toc126837470"/>
      <w:r w:rsidRPr="00A438BD">
        <w:rPr>
          <w:lang w:val="en-GB"/>
        </w:rPr>
        <w:lastRenderedPageBreak/>
        <w:t xml:space="preserve">Chapter </w:t>
      </w:r>
      <w:r w:rsidR="00F13999">
        <w:rPr>
          <w:lang w:val="en-GB"/>
        </w:rPr>
        <w:t>2</w:t>
      </w:r>
      <w:r w:rsidRPr="00A438BD">
        <w:rPr>
          <w:lang w:val="en-GB"/>
        </w:rPr>
        <w:t>. The model of Hysteresis</w:t>
      </w:r>
    </w:p>
    <w:p w14:paraId="0DC863B7" w14:textId="77777777" w:rsidR="007A7F03" w:rsidRPr="0063438A" w:rsidRDefault="007A7F03" w:rsidP="00BA0EC6">
      <w:pPr>
        <w:rPr>
          <w:sz w:val="24"/>
          <w:szCs w:val="24"/>
          <w:lang w:val="en-GB"/>
        </w:rPr>
      </w:pPr>
    </w:p>
    <w:bookmarkEnd w:id="17"/>
    <w:bookmarkEnd w:id="18"/>
    <w:p w14:paraId="534F9111" w14:textId="77777777" w:rsidR="007A7F03" w:rsidRPr="0063438A" w:rsidRDefault="007A7F03" w:rsidP="00F13999">
      <w:pPr>
        <w:pStyle w:val="ListParagraph"/>
        <w:numPr>
          <w:ilvl w:val="0"/>
          <w:numId w:val="24"/>
        </w:numPr>
        <w:tabs>
          <w:tab w:val="left" w:pos="934"/>
        </w:tabs>
        <w:spacing w:before="1"/>
        <w:outlineLvl w:val="2"/>
        <w:rPr>
          <w:vanish/>
          <w:sz w:val="24"/>
          <w:szCs w:val="24"/>
          <w:lang w:val="en-GB"/>
        </w:rPr>
      </w:pPr>
    </w:p>
    <w:p w14:paraId="2E207E22" w14:textId="2E13436B" w:rsidR="00134C94" w:rsidRPr="0063438A" w:rsidRDefault="00AB6B96" w:rsidP="00F13999">
      <w:pPr>
        <w:pStyle w:val="Heading3"/>
        <w:numPr>
          <w:ilvl w:val="1"/>
          <w:numId w:val="24"/>
        </w:numPr>
        <w:tabs>
          <w:tab w:val="left" w:pos="426"/>
        </w:tabs>
        <w:spacing w:before="1"/>
        <w:ind w:left="-17" w:firstLine="17"/>
        <w:rPr>
          <w:b w:val="0"/>
          <w:bCs w:val="0"/>
          <w:lang w:val="en-GB"/>
        </w:rPr>
      </w:pPr>
      <w:r>
        <w:rPr>
          <w:lang w:val="en-GB"/>
        </w:rPr>
        <w:t xml:space="preserve">The </w:t>
      </w:r>
      <w:r w:rsidR="00A167AE">
        <w:rPr>
          <w:lang w:val="en-GB"/>
        </w:rPr>
        <w:t>N</w:t>
      </w:r>
      <w:r w:rsidR="00626D13">
        <w:rPr>
          <w:lang w:val="en-GB"/>
        </w:rPr>
        <w:t>on-</w:t>
      </w:r>
      <w:r w:rsidR="00A167AE">
        <w:rPr>
          <w:lang w:val="en-GB"/>
        </w:rPr>
        <w:t>I</w:t>
      </w:r>
      <w:r w:rsidR="00626D13">
        <w:rPr>
          <w:lang w:val="en-GB"/>
        </w:rPr>
        <w:t xml:space="preserve">deal </w:t>
      </w:r>
      <w:r w:rsidR="00A167AE">
        <w:rPr>
          <w:lang w:val="en-GB"/>
        </w:rPr>
        <w:t>R</w:t>
      </w:r>
      <w:r w:rsidR="00626D13">
        <w:rPr>
          <w:lang w:val="en-GB"/>
        </w:rPr>
        <w:t xml:space="preserve">elay </w:t>
      </w:r>
      <w:r w:rsidR="00A167AE">
        <w:rPr>
          <w:lang w:val="en-GB"/>
        </w:rPr>
        <w:t>M</w:t>
      </w:r>
      <w:r w:rsidR="00626D13">
        <w:rPr>
          <w:lang w:val="en-GB"/>
        </w:rPr>
        <w:t>odel</w:t>
      </w:r>
    </w:p>
    <w:p w14:paraId="43C5280E" w14:textId="77777777" w:rsidR="00417DBA" w:rsidRPr="0063438A" w:rsidRDefault="00417DBA" w:rsidP="00A35328">
      <w:pPr>
        <w:pStyle w:val="Heading3"/>
        <w:tabs>
          <w:tab w:val="left" w:pos="934"/>
        </w:tabs>
        <w:spacing w:line="360" w:lineRule="auto"/>
        <w:ind w:left="0" w:firstLine="720"/>
        <w:rPr>
          <w:b w:val="0"/>
          <w:bCs w:val="0"/>
          <w:lang w:val="en-GB"/>
        </w:rPr>
      </w:pPr>
    </w:p>
    <w:p w14:paraId="4B1F48EE" w14:textId="6D1B216A" w:rsidR="00211D45" w:rsidRPr="00DC154F" w:rsidRDefault="00062657" w:rsidP="00A3169E">
      <w:pPr>
        <w:pStyle w:val="BodyText"/>
        <w:spacing w:line="360" w:lineRule="auto"/>
        <w:ind w:firstLine="720"/>
        <w:jc w:val="both"/>
        <w:rPr>
          <w:lang w:val="en-GB"/>
        </w:rPr>
      </w:pPr>
      <w:bookmarkStart w:id="19" w:name="_Hlk129358746"/>
      <w:r w:rsidRPr="00DC154F">
        <w:rPr>
          <w:lang w:val="en-GB"/>
        </w:rPr>
        <w:t xml:space="preserve">To describe the </w:t>
      </w:r>
      <w:r w:rsidR="00D506A3" w:rsidRPr="00DC154F">
        <w:rPr>
          <w:lang w:val="en-GB"/>
        </w:rPr>
        <w:t>microeconomic</w:t>
      </w:r>
      <w:r w:rsidRPr="00DC154F">
        <w:rPr>
          <w:lang w:val="en-GB"/>
        </w:rPr>
        <w:t xml:space="preserve"> </w:t>
      </w:r>
      <w:r w:rsidR="00D506A3" w:rsidRPr="00DC154F">
        <w:rPr>
          <w:lang w:val="en-GB"/>
        </w:rPr>
        <w:t xml:space="preserve">investment </w:t>
      </w:r>
      <w:r w:rsidRPr="00DC154F">
        <w:rPr>
          <w:lang w:val="en-GB"/>
        </w:rPr>
        <w:t xml:space="preserve">adjustment </w:t>
      </w:r>
      <w:r w:rsidR="00A167AE" w:rsidRPr="00DC154F">
        <w:rPr>
          <w:lang w:val="en-GB"/>
        </w:rPr>
        <w:t>behaviour</w:t>
      </w:r>
      <w:r w:rsidRPr="00DC154F">
        <w:rPr>
          <w:lang w:val="en-GB"/>
        </w:rPr>
        <w:t xml:space="preserve"> of firms we use the non-ideal relay model. </w:t>
      </w:r>
      <w:r w:rsidR="00AF34C6" w:rsidRPr="00DC154F">
        <w:rPr>
          <w:lang w:val="en-GB"/>
        </w:rPr>
        <w:t>This model</w:t>
      </w:r>
      <w:r w:rsidR="00467CCC" w:rsidRPr="00DC154F">
        <w:rPr>
          <w:lang w:val="en-GB"/>
        </w:rPr>
        <w:t xml:space="preserve"> is</w:t>
      </w:r>
      <w:r w:rsidR="00D71C34" w:rsidRPr="00DC154F">
        <w:rPr>
          <w:lang w:val="en-GB"/>
        </w:rPr>
        <w:t xml:space="preserve"> a binary hysteresis model that can be used to describe individual firm choices regarding the decision to invest or disinvest</w:t>
      </w:r>
      <w:r w:rsidR="00731F7E" w:rsidRPr="00DC154F">
        <w:rPr>
          <w:lang w:val="en-GB"/>
        </w:rPr>
        <w:t xml:space="preserve"> (</w:t>
      </w:r>
      <w:r w:rsidR="004D1207" w:rsidRPr="00DC154F">
        <w:rPr>
          <w:lang w:val="en-GB"/>
        </w:rPr>
        <w:t xml:space="preserve">see, </w:t>
      </w:r>
      <w:r w:rsidR="004D1207" w:rsidRPr="00DC154F">
        <w:rPr>
          <w:i/>
          <w:iCs/>
          <w:lang w:val="en-GB"/>
        </w:rPr>
        <w:t>e.g.</w:t>
      </w:r>
      <w:r w:rsidR="00DC154F">
        <w:rPr>
          <w:lang w:val="en-GB"/>
        </w:rPr>
        <w:t>,</w:t>
      </w:r>
      <w:r w:rsidR="004D1207" w:rsidRPr="00DC154F">
        <w:rPr>
          <w:lang w:val="en-GB"/>
        </w:rPr>
        <w:t xml:space="preserve"> </w:t>
      </w:r>
      <w:r w:rsidR="008B6785" w:rsidRPr="00DC154F">
        <w:rPr>
          <w:lang w:val="en-GB"/>
        </w:rPr>
        <w:t xml:space="preserve">Amable </w:t>
      </w:r>
      <w:r w:rsidR="008B6785" w:rsidRPr="00DC154F">
        <w:rPr>
          <w:i/>
          <w:iCs/>
          <w:lang w:val="en-GB"/>
        </w:rPr>
        <w:t>et al</w:t>
      </w:r>
      <w:r w:rsidR="008B6785" w:rsidRPr="00DC154F">
        <w:rPr>
          <w:lang w:val="en-GB"/>
        </w:rPr>
        <w:t>.</w:t>
      </w:r>
      <w:r w:rsidR="006B392D" w:rsidRPr="00DC154F">
        <w:rPr>
          <w:lang w:val="en-GB"/>
        </w:rPr>
        <w:t>,</w:t>
      </w:r>
      <w:r w:rsidR="008B6785" w:rsidRPr="00DC154F">
        <w:rPr>
          <w:lang w:val="en-GB"/>
        </w:rPr>
        <w:t xml:space="preserve"> 1995</w:t>
      </w:r>
      <w:r w:rsidR="00A167AE" w:rsidRPr="00DC154F">
        <w:rPr>
          <w:lang w:val="en-GB"/>
        </w:rPr>
        <w:t>,</w:t>
      </w:r>
      <w:r w:rsidR="000C28F0" w:rsidRPr="00DC154F">
        <w:rPr>
          <w:lang w:val="en-GB"/>
        </w:rPr>
        <w:t xml:space="preserve"> </w:t>
      </w:r>
      <w:r w:rsidR="007C3D42" w:rsidRPr="00DC154F">
        <w:rPr>
          <w:lang w:val="en-GB"/>
        </w:rPr>
        <w:t xml:space="preserve">Adamonis &amp; </w:t>
      </w:r>
      <w:r w:rsidR="007C3D42" w:rsidRPr="00DC154F">
        <w:rPr>
          <w:rFonts w:eastAsia="SimSun"/>
          <w:kern w:val="1"/>
          <w:lang w:val="en-GB" w:eastAsia="pt-PT"/>
        </w:rPr>
        <w:t>Göcke, 2019</w:t>
      </w:r>
      <w:r w:rsidR="00A167AE" w:rsidRPr="00DC154F">
        <w:rPr>
          <w:rFonts w:eastAsia="SimSun"/>
          <w:kern w:val="1"/>
          <w:lang w:val="en-GB" w:eastAsia="pt-PT"/>
        </w:rPr>
        <w:t>,</w:t>
      </w:r>
      <w:r w:rsidR="007C3D42" w:rsidRPr="00DC154F">
        <w:rPr>
          <w:lang w:val="en-GB"/>
        </w:rPr>
        <w:t xml:space="preserve"> </w:t>
      </w:r>
      <w:r w:rsidR="008F7EA6" w:rsidRPr="00DC154F">
        <w:rPr>
          <w:rFonts w:eastAsia="SimSun"/>
          <w:kern w:val="1"/>
          <w:lang w:val="en-GB" w:eastAsia="pt-PT"/>
        </w:rPr>
        <w:t>Belke &amp; Göcke 2019</w:t>
      </w:r>
      <w:r w:rsidR="00A167AE" w:rsidRPr="00DC154F">
        <w:rPr>
          <w:rFonts w:eastAsia="SimSun"/>
          <w:kern w:val="1"/>
          <w:lang w:val="en-GB" w:eastAsia="pt-PT"/>
        </w:rPr>
        <w:t>,</w:t>
      </w:r>
      <w:r w:rsidR="008F7EA6" w:rsidRPr="00DC154F">
        <w:rPr>
          <w:rFonts w:eastAsia="SimSun"/>
          <w:kern w:val="1"/>
          <w:lang w:val="en-GB" w:eastAsia="pt-PT"/>
        </w:rPr>
        <w:t xml:space="preserve"> </w:t>
      </w:r>
      <w:r w:rsidR="004D1207" w:rsidRPr="00DC154F">
        <w:rPr>
          <w:rFonts w:eastAsia="SimSun"/>
          <w:kern w:val="1"/>
          <w:lang w:val="en-GB" w:eastAsia="pt-PT"/>
        </w:rPr>
        <w:t xml:space="preserve">and </w:t>
      </w:r>
      <w:r w:rsidR="00E251C4" w:rsidRPr="00DC154F">
        <w:rPr>
          <w:rFonts w:eastAsia="SimSun"/>
          <w:kern w:val="1"/>
          <w:lang w:val="en-GB" w:eastAsia="pt-PT"/>
        </w:rPr>
        <w:t>Mota &amp; Vasconcelos 2020</w:t>
      </w:r>
      <w:r w:rsidR="00731F7E" w:rsidRPr="00DC154F">
        <w:rPr>
          <w:lang w:val="en-GB"/>
        </w:rPr>
        <w:t>)</w:t>
      </w:r>
      <w:r w:rsidR="00312A57" w:rsidRPr="00DC154F">
        <w:rPr>
          <w:lang w:val="en-GB"/>
        </w:rPr>
        <w:t>.</w:t>
      </w:r>
    </w:p>
    <w:p w14:paraId="2AAD20A4" w14:textId="27B50C94" w:rsidR="00EE312A" w:rsidRPr="00DC154F" w:rsidRDefault="004D1207" w:rsidP="00A3169E">
      <w:pPr>
        <w:pStyle w:val="BodyText"/>
        <w:spacing w:line="360" w:lineRule="auto"/>
        <w:ind w:firstLine="720"/>
        <w:jc w:val="both"/>
        <w:rPr>
          <w:lang w:val="en-GB"/>
        </w:rPr>
      </w:pPr>
      <w:r w:rsidRPr="00DC154F">
        <w:rPr>
          <w:lang w:val="en-GB"/>
        </w:rPr>
        <w:t>In line with Mota and Vasconcelos (20</w:t>
      </w:r>
      <w:r w:rsidR="004A0423" w:rsidRPr="00DC154F">
        <w:rPr>
          <w:lang w:val="en-GB"/>
        </w:rPr>
        <w:t>22</w:t>
      </w:r>
      <w:r w:rsidRPr="00DC154F">
        <w:rPr>
          <w:lang w:val="en-GB"/>
        </w:rPr>
        <w:t>), t</w:t>
      </w:r>
      <w:r w:rsidR="003660B1" w:rsidRPr="00DC154F">
        <w:rPr>
          <w:lang w:val="en-GB"/>
        </w:rPr>
        <w:t>he</w:t>
      </w:r>
      <w:r w:rsidR="006C4254" w:rsidRPr="00DC154F">
        <w:rPr>
          <w:lang w:val="en-GB"/>
        </w:rPr>
        <w:t xml:space="preserve"> firm </w:t>
      </w:r>
      <m:oMath>
        <m:r>
          <w:rPr>
            <w:rFonts w:ascii="Cambria Math" w:hAnsi="Cambria Math"/>
            <w:lang w:val="en-GB"/>
          </w:rPr>
          <m:t>j</m:t>
        </m:r>
      </m:oMath>
      <w:r w:rsidR="003660B1" w:rsidRPr="00DC154F">
        <w:rPr>
          <w:lang w:val="en-GB"/>
        </w:rPr>
        <w:t xml:space="preserve"> investment</w:t>
      </w:r>
      <w:r w:rsidR="006C4254" w:rsidRPr="00DC154F">
        <w:rPr>
          <w:lang w:val="en-GB"/>
        </w:rPr>
        <w:t xml:space="preserve">, </w:t>
      </w:r>
      <m:oMath>
        <m:sSub>
          <m:sSubPr>
            <m:ctrlPr>
              <w:rPr>
                <w:rFonts w:ascii="Cambria Math" w:hAnsi="Cambria Math"/>
                <w:i/>
                <w:lang w:val="en-GB"/>
              </w:rPr>
            </m:ctrlPr>
          </m:sSubPr>
          <m:e>
            <m:r>
              <w:rPr>
                <w:rFonts w:ascii="Cambria Math" w:hAnsi="Cambria Math"/>
                <w:lang w:val="en-GB"/>
              </w:rPr>
              <m:t>I</m:t>
            </m:r>
          </m:e>
          <m:sub>
            <m:r>
              <w:rPr>
                <w:rFonts w:ascii="Cambria Math" w:hAnsi="Cambria Math"/>
                <w:lang w:val="en-GB"/>
              </w:rPr>
              <m:t>j,t</m:t>
            </m:r>
          </m:sub>
        </m:sSub>
      </m:oMath>
      <w:r w:rsidR="003660B1" w:rsidRPr="00DC154F">
        <w:rPr>
          <w:lang w:val="en-GB"/>
        </w:rPr>
        <w:t xml:space="preserve"> </w:t>
      </w:r>
      <w:r w:rsidR="004B2844" w:rsidRPr="00DC154F">
        <w:rPr>
          <w:lang w:val="en-GB"/>
        </w:rPr>
        <w:t>is specified as follow</w:t>
      </w:r>
      <w:r w:rsidR="00422507" w:rsidRPr="00DC154F">
        <w:rPr>
          <w:lang w:val="en-GB"/>
        </w:rPr>
        <w:t>s</w:t>
      </w:r>
      <w:r w:rsidR="004B2844" w:rsidRPr="00DC154F">
        <w:rPr>
          <w:lang w:val="en-GB"/>
        </w:rPr>
        <w:t xml:space="preserve">, </w:t>
      </w:r>
      <m:oMath>
        <m:sSub>
          <m:sSubPr>
            <m:ctrlPr>
              <w:rPr>
                <w:rFonts w:ascii="Cambria Math" w:hAnsi="Cambria Math"/>
                <w:i/>
                <w:lang w:val="en-GB"/>
              </w:rPr>
            </m:ctrlPr>
          </m:sSubPr>
          <m:e>
            <m:r>
              <w:rPr>
                <w:rFonts w:ascii="Cambria Math" w:hAnsi="Cambria Math"/>
                <w:lang w:val="en-GB"/>
              </w:rPr>
              <m:t>I</m:t>
            </m:r>
          </m:e>
          <m:sub>
            <m:r>
              <w:rPr>
                <w:rFonts w:ascii="Cambria Math" w:hAnsi="Cambria Math"/>
                <w:lang w:val="en-GB"/>
              </w:rPr>
              <m:t>j,t</m:t>
            </m:r>
          </m:sub>
        </m:sSub>
        <m:r>
          <w:rPr>
            <w:rFonts w:ascii="Cambria Math" w:hAnsi="Cambria Math"/>
            <w:lang w:val="en-GB"/>
          </w:rPr>
          <m:t>=f(</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i</m:t>
            </m:r>
          </m:e>
          <m:sub>
            <m:r>
              <w:rPr>
                <w:rFonts w:ascii="Cambria Math" w:hAnsi="Cambria Math"/>
                <w:lang w:val="en-GB"/>
              </w:rPr>
              <m:t>t</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BCI</m:t>
            </m:r>
          </m:e>
          <m:sub>
            <m:r>
              <w:rPr>
                <w:rFonts w:ascii="Cambria Math" w:hAnsi="Cambria Math"/>
                <w:lang w:val="en-GB"/>
              </w:rPr>
              <m:t>t</m:t>
            </m:r>
          </m:sub>
        </m:sSub>
        <m:r>
          <w:rPr>
            <w:rFonts w:ascii="Cambria Math" w:hAnsi="Cambria Math"/>
            <w:lang w:val="en-GB"/>
          </w:rPr>
          <m:t>)</m:t>
        </m:r>
      </m:oMath>
      <w:r w:rsidR="00CB2FAB" w:rsidRPr="00DC154F">
        <w:rPr>
          <w:lang w:val="en-GB"/>
        </w:rPr>
        <w:t>,</w:t>
      </w:r>
      <w:r w:rsidR="00321631" w:rsidRPr="00DC154F">
        <w:rPr>
          <w:lang w:val="en-GB"/>
        </w:rPr>
        <w:t xml:space="preserve"> </w:t>
      </w:r>
      <w:r w:rsidR="006C4254" w:rsidRPr="00DC154F">
        <w:rPr>
          <w:lang w:val="en-GB"/>
        </w:rPr>
        <w:t xml:space="preserve">where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m:t>
            </m:r>
          </m:sub>
        </m:sSub>
      </m:oMath>
      <w:r w:rsidR="006C4254" w:rsidRPr="00DC154F">
        <w:rPr>
          <w:lang w:val="en-GB"/>
        </w:rPr>
        <w:t xml:space="preserve"> is the exogenous component of aggregate demand,</w:t>
      </w:r>
      <w:r w:rsidR="002C7602" w:rsidRPr="00DC154F">
        <w:rPr>
          <w:lang w:val="en-GB"/>
        </w:rPr>
        <w:t xml:space="preserve"> </w:t>
      </w:r>
      <m:oMath>
        <m:sSub>
          <m:sSubPr>
            <m:ctrlPr>
              <w:rPr>
                <w:rFonts w:ascii="Cambria Math" w:hAnsi="Cambria Math"/>
                <w:i/>
                <w:lang w:val="en-GB"/>
              </w:rPr>
            </m:ctrlPr>
          </m:sSubPr>
          <m:e>
            <m:r>
              <w:rPr>
                <w:rFonts w:ascii="Cambria Math" w:hAnsi="Cambria Math"/>
                <w:lang w:val="en-GB"/>
              </w:rPr>
              <m:t>i</m:t>
            </m:r>
          </m:e>
          <m:sub>
            <m:r>
              <w:rPr>
                <w:rFonts w:ascii="Cambria Math" w:hAnsi="Cambria Math"/>
                <w:lang w:val="en-GB"/>
              </w:rPr>
              <m:t>t</m:t>
            </m:r>
          </m:sub>
        </m:sSub>
      </m:oMath>
      <w:r w:rsidR="006C4254" w:rsidRPr="00DC154F">
        <w:rPr>
          <w:lang w:val="en-GB"/>
        </w:rPr>
        <w:t xml:space="preserve"> is the interest rate, and </w:t>
      </w:r>
      <m:oMath>
        <m:sSub>
          <m:sSubPr>
            <m:ctrlPr>
              <w:rPr>
                <w:rFonts w:ascii="Cambria Math" w:hAnsi="Cambria Math"/>
                <w:i/>
                <w:lang w:val="en-GB"/>
              </w:rPr>
            </m:ctrlPr>
          </m:sSubPr>
          <m:e>
            <m:r>
              <w:rPr>
                <w:rFonts w:ascii="Cambria Math" w:hAnsi="Cambria Math"/>
                <w:lang w:val="en-GB"/>
              </w:rPr>
              <m:t>BCI</m:t>
            </m:r>
          </m:e>
          <m:sub>
            <m:r>
              <w:rPr>
                <w:rFonts w:ascii="Cambria Math" w:hAnsi="Cambria Math"/>
                <w:lang w:val="en-GB"/>
              </w:rPr>
              <m:t>t</m:t>
            </m:r>
          </m:sub>
        </m:sSub>
      </m:oMath>
      <w:r w:rsidR="006C4254" w:rsidRPr="00DC154F">
        <w:rPr>
          <w:lang w:val="en-GB"/>
        </w:rPr>
        <w:t xml:space="preserve"> </w:t>
      </w:r>
      <w:r w:rsidR="00454BFD" w:rsidRPr="00DC154F">
        <w:rPr>
          <w:lang w:val="en-GB"/>
        </w:rPr>
        <w:t xml:space="preserve">is </w:t>
      </w:r>
      <w:r w:rsidR="008E2634" w:rsidRPr="00DC154F">
        <w:rPr>
          <w:lang w:val="en-GB"/>
        </w:rPr>
        <w:t xml:space="preserve">the </w:t>
      </w:r>
      <w:r w:rsidR="006C4254" w:rsidRPr="00DC154F">
        <w:rPr>
          <w:lang w:val="en-GB"/>
        </w:rPr>
        <w:t>agents</w:t>
      </w:r>
      <w:r w:rsidR="00454BFD" w:rsidRPr="00DC154F">
        <w:rPr>
          <w:lang w:val="en-GB"/>
        </w:rPr>
        <w:t>'</w:t>
      </w:r>
      <w:r w:rsidR="002C7602" w:rsidRPr="00DC154F">
        <w:rPr>
          <w:lang w:val="en-GB"/>
        </w:rPr>
        <w:t xml:space="preserve"> confidence in near future business performance (captu</w:t>
      </w:r>
      <w:r w:rsidR="006C4254" w:rsidRPr="00DC154F">
        <w:rPr>
          <w:lang w:val="en-GB"/>
        </w:rPr>
        <w:t>ring</w:t>
      </w:r>
      <w:r w:rsidR="002C7602" w:rsidRPr="00DC154F">
        <w:rPr>
          <w:lang w:val="en-GB"/>
        </w:rPr>
        <w:t xml:space="preserve"> animal spirits in the Keynesian</w:t>
      </w:r>
      <w:r w:rsidR="006C4254" w:rsidRPr="00DC154F">
        <w:rPr>
          <w:lang w:val="en-GB"/>
        </w:rPr>
        <w:t xml:space="preserve"> accession</w:t>
      </w:r>
      <w:r w:rsidR="002C7602" w:rsidRPr="00DC154F">
        <w:rPr>
          <w:lang w:val="en-GB"/>
        </w:rPr>
        <w:t>).</w:t>
      </w:r>
    </w:p>
    <w:p w14:paraId="614972EE" w14:textId="4A39900A" w:rsidR="00770B2A" w:rsidRPr="00DC154F" w:rsidRDefault="00DF26CC" w:rsidP="00A3169E">
      <w:pPr>
        <w:pStyle w:val="BodyText"/>
        <w:spacing w:line="360" w:lineRule="auto"/>
        <w:ind w:firstLine="720"/>
        <w:jc w:val="both"/>
        <w:rPr>
          <w:lang w:val="en-GB"/>
        </w:rPr>
      </w:pPr>
      <w:r w:rsidRPr="00DC154F">
        <w:rPr>
          <w:lang w:val="en-GB"/>
        </w:rPr>
        <w:t>W</w:t>
      </w:r>
      <w:r w:rsidR="00770B2A" w:rsidRPr="00DC154F">
        <w:rPr>
          <w:lang w:val="en-GB"/>
        </w:rPr>
        <w:t>e assume that our hysteresis explanatory variable is aggregate demand</w:t>
      </w:r>
      <w:r w:rsidRPr="00DC154F">
        <w:rPr>
          <w:lang w:val="en-GB"/>
        </w:rPr>
        <w:t>. The</w:t>
      </w:r>
      <w:r w:rsidR="00770B2A" w:rsidRPr="00DC154F">
        <w:rPr>
          <w:lang w:val="en-GB"/>
        </w:rPr>
        <w:t xml:space="preserve"> interest rate </w:t>
      </w:r>
      <w:r w:rsidRPr="00DC154F">
        <w:rPr>
          <w:lang w:val="en-GB"/>
        </w:rPr>
        <w:t xml:space="preserve">and the business confidence indicator are </w:t>
      </w:r>
      <w:r w:rsidR="00D71C34" w:rsidRPr="00DC154F">
        <w:rPr>
          <w:lang w:val="en-GB"/>
        </w:rPr>
        <w:t xml:space="preserve">considered here </w:t>
      </w:r>
      <w:r w:rsidR="006B33AA" w:rsidRPr="00DC154F">
        <w:rPr>
          <w:lang w:val="en-GB"/>
        </w:rPr>
        <w:t xml:space="preserve">as </w:t>
      </w:r>
      <w:r w:rsidR="00770B2A" w:rsidRPr="00DC154F">
        <w:rPr>
          <w:lang w:val="en-GB"/>
        </w:rPr>
        <w:t>non-hysteretic</w:t>
      </w:r>
      <w:r w:rsidRPr="00DC154F">
        <w:rPr>
          <w:lang w:val="en-GB"/>
        </w:rPr>
        <w:t xml:space="preserve"> determinants</w:t>
      </w:r>
      <w:r w:rsidR="004D1207" w:rsidRPr="00DC154F">
        <w:rPr>
          <w:lang w:val="en-GB"/>
        </w:rPr>
        <w:t xml:space="preserve"> of investment</w:t>
      </w:r>
      <w:r w:rsidR="00770B2A" w:rsidRPr="00DC154F">
        <w:rPr>
          <w:rStyle w:val="FootnoteReference"/>
          <w:lang w:val="en-GB"/>
        </w:rPr>
        <w:footnoteReference w:id="6"/>
      </w:r>
      <w:r w:rsidR="00770B2A" w:rsidRPr="00DC154F">
        <w:rPr>
          <w:lang w:val="en-GB"/>
        </w:rPr>
        <w:t>.</w:t>
      </w:r>
    </w:p>
    <w:p w14:paraId="6CA857E1" w14:textId="46347506" w:rsidR="00DF26CC" w:rsidRPr="00DC154F" w:rsidRDefault="001B6355" w:rsidP="00A3169E">
      <w:pPr>
        <w:pStyle w:val="BodyText"/>
        <w:spacing w:line="360" w:lineRule="auto"/>
        <w:ind w:firstLine="720"/>
        <w:jc w:val="both"/>
        <w:rPr>
          <w:lang w:val="en-GB"/>
        </w:rPr>
      </w:pPr>
      <w:r w:rsidRPr="00DC154F">
        <w:rPr>
          <w:lang w:val="en-GB"/>
        </w:rPr>
        <w:t xml:space="preserve">For a </w:t>
      </w:r>
      <w:r w:rsidR="00B37F11" w:rsidRPr="00DC154F">
        <w:rPr>
          <w:lang w:val="en-GB"/>
        </w:rPr>
        <w:t>broader</w:t>
      </w:r>
      <w:r w:rsidRPr="00DC154F">
        <w:rPr>
          <w:lang w:val="en-GB"/>
        </w:rPr>
        <w:t xml:space="preserve"> comprehension of the matters at stake let</w:t>
      </w:r>
      <w:r w:rsidR="00EB3631" w:rsidRPr="00DC154F">
        <w:rPr>
          <w:lang w:val="en-GB"/>
        </w:rPr>
        <w:t xml:space="preserve"> us</w:t>
      </w:r>
      <w:r w:rsidRPr="00DC154F">
        <w:rPr>
          <w:lang w:val="en-GB"/>
        </w:rPr>
        <w:t xml:space="preserve"> consider </w:t>
      </w:r>
      <w:r w:rsidR="004D1207" w:rsidRPr="00DC154F">
        <w:rPr>
          <w:lang w:val="en-GB"/>
        </w:rPr>
        <w:t>that</w:t>
      </w:r>
      <w:r w:rsidR="00F40D74" w:rsidRPr="00DC154F">
        <w:rPr>
          <w:lang w:val="en-GB"/>
        </w:rPr>
        <w:t xml:space="preserve"> a firm </w:t>
      </w:r>
      <m:oMath>
        <m:r>
          <w:rPr>
            <w:rFonts w:ascii="Cambria Math" w:hAnsi="Cambria Math"/>
            <w:lang w:val="en-GB"/>
          </w:rPr>
          <m:t>j</m:t>
        </m:r>
      </m:oMath>
      <w:r w:rsidR="00F40D74" w:rsidRPr="00DC154F">
        <w:rPr>
          <w:lang w:val="en-GB"/>
        </w:rPr>
        <w:t xml:space="preserve"> must</w:t>
      </w:r>
      <w:r w:rsidR="00C74B6C" w:rsidRPr="00DC154F">
        <w:rPr>
          <w:lang w:val="en-GB"/>
        </w:rPr>
        <w:t xml:space="preserve"> </w:t>
      </w:r>
      <w:r w:rsidR="00F40D74" w:rsidRPr="00DC154F">
        <w:rPr>
          <w:lang w:val="en-GB"/>
        </w:rPr>
        <w:t>decide</w:t>
      </w:r>
      <w:r w:rsidR="00C74B6C" w:rsidRPr="00DC154F">
        <w:rPr>
          <w:lang w:val="en-GB"/>
        </w:rPr>
        <w:t xml:space="preserve"> in period </w:t>
      </w:r>
      <m:oMath>
        <m:r>
          <w:rPr>
            <w:rFonts w:ascii="Cambria Math" w:hAnsi="Cambria Math"/>
            <w:lang w:val="en-GB"/>
          </w:rPr>
          <m:t>t</m:t>
        </m:r>
      </m:oMath>
      <w:r w:rsidR="00F40D74" w:rsidRPr="00DC154F">
        <w:rPr>
          <w:lang w:val="en-GB"/>
        </w:rPr>
        <w:t xml:space="preserve"> to either invest or disinvest </w:t>
      </w:r>
      <w:bookmarkEnd w:id="19"/>
      <w:r w:rsidR="00F40D74" w:rsidRPr="00DC154F">
        <w:rPr>
          <w:lang w:val="en-GB"/>
        </w:rPr>
        <w:t>considering</w:t>
      </w:r>
      <w:r w:rsidR="008C3CCA" w:rsidRPr="00DC154F">
        <w:rPr>
          <w:lang w:val="en-GB"/>
        </w:rPr>
        <w:t xml:space="preserve"> the dynamics of the</w:t>
      </w:r>
      <w:r w:rsidR="00F40D74" w:rsidRPr="00DC154F">
        <w:rPr>
          <w:lang w:val="en-GB"/>
        </w:rPr>
        <w:t xml:space="preserve"> </w:t>
      </w:r>
      <w:r w:rsidR="00D232D0" w:rsidRPr="00DC154F">
        <w:rPr>
          <w:lang w:val="en-GB"/>
        </w:rPr>
        <w:t>exogenous</w:t>
      </w:r>
      <w:r w:rsidR="00F40D74" w:rsidRPr="00DC154F">
        <w:rPr>
          <w:lang w:val="en-GB"/>
        </w:rPr>
        <w:t xml:space="preserve"> aggregate demand</w:t>
      </w:r>
      <w:r w:rsidR="00D232D0" w:rsidRPr="00DC154F">
        <w:rPr>
          <w:lang w:val="en-GB"/>
        </w:rPr>
        <w:t xml:space="preserve"> shock</w:t>
      </w:r>
      <w:r w:rsidR="00193999" w:rsidRPr="00DC154F">
        <w:rPr>
          <w:lang w:val="en-GB"/>
        </w:rPr>
        <w:t xml:space="preserve"> variable</w:t>
      </w:r>
      <w:r w:rsidR="00FE6033" w:rsidRPr="00DC154F">
        <w:rPr>
          <w:lang w:val="en-GB"/>
        </w:rPr>
        <w:t xml:space="preserve">,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m:t>
            </m:r>
          </m:sub>
        </m:sSub>
      </m:oMath>
      <w:r w:rsidR="00F40D74" w:rsidRPr="00DC154F">
        <w:rPr>
          <w:lang w:val="en-GB"/>
        </w:rPr>
        <w:t xml:space="preserve">. For a level of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m:t>
            </m:r>
          </m:sub>
        </m:sSub>
      </m:oMath>
      <w:r w:rsidR="00F40D74" w:rsidRPr="00DC154F">
        <w:rPr>
          <w:lang w:val="en-GB"/>
        </w:rPr>
        <w:t xml:space="preserve"> below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j</m:t>
            </m:r>
          </m:sub>
        </m:sSub>
      </m:oMath>
      <w:r w:rsidR="00F40D74" w:rsidRPr="00DC154F">
        <w:rPr>
          <w:i/>
          <w:lang w:val="en-GB"/>
        </w:rPr>
        <w:t xml:space="preserve"> </w:t>
      </w:r>
      <w:r w:rsidR="00F40D74" w:rsidRPr="00DC154F">
        <w:rPr>
          <w:lang w:val="en-GB"/>
        </w:rPr>
        <w:t>the firm does not undertake an investment. As soon as the level of aggregate demand</w:t>
      </w:r>
      <w:r w:rsidR="006F19E0" w:rsidRPr="00DC154F">
        <w:rPr>
          <w:lang w:val="en-GB"/>
        </w:rPr>
        <w:t>,</w:t>
      </w:r>
      <w:r w:rsidR="00F40D74" w:rsidRPr="00DC154F">
        <w:rPr>
          <w:lang w:val="en-GB"/>
        </w:rPr>
        <w:t xml:space="preserve">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m:t>
            </m:r>
          </m:sub>
        </m:sSub>
      </m:oMath>
      <w:r w:rsidR="006F19E0" w:rsidRPr="00DC154F">
        <w:rPr>
          <w:lang w:val="en-GB"/>
        </w:rPr>
        <w:t>,</w:t>
      </w:r>
      <w:r w:rsidR="00F40D74" w:rsidRPr="00DC154F">
        <w:rPr>
          <w:lang w:val="en-GB"/>
        </w:rPr>
        <w:t xml:space="preserve"> rises above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j</m:t>
            </m:r>
          </m:sub>
        </m:sSub>
      </m:oMath>
      <w:r w:rsidR="005948EF" w:rsidRPr="00DC154F">
        <w:rPr>
          <w:lang w:val="en-GB"/>
        </w:rPr>
        <w:t xml:space="preserve"> </w:t>
      </w:r>
      <w:r w:rsidR="00F40D74" w:rsidRPr="00DC154F">
        <w:rPr>
          <w:lang w:val="en-GB"/>
        </w:rPr>
        <w:t>the firm</w:t>
      </w:r>
      <w:r w:rsidR="004D1207" w:rsidRPr="00DC154F">
        <w:rPr>
          <w:lang w:val="en-GB"/>
        </w:rPr>
        <w:t xml:space="preserve"> starts to</w:t>
      </w:r>
      <w:r w:rsidR="00F40D74" w:rsidRPr="00DC154F">
        <w:rPr>
          <w:lang w:val="en-GB"/>
        </w:rPr>
        <w:t xml:space="preserve"> invest</w:t>
      </w:r>
      <w:r w:rsidR="00D71C34" w:rsidRPr="00DC154F">
        <w:rPr>
          <w:lang w:val="en-GB"/>
        </w:rPr>
        <w:t>,</w:t>
      </w:r>
      <w:r w:rsidR="004D1207" w:rsidRPr="00DC154F">
        <w:rPr>
          <w:lang w:val="en-GB"/>
        </w:rPr>
        <w:t xml:space="preserve"> </w:t>
      </w:r>
      <w:r w:rsidR="00F40D74" w:rsidRPr="00DC154F">
        <w:rPr>
          <w:lang w:val="en-GB"/>
        </w:rPr>
        <w:t xml:space="preserve">and remains in that state for higher levels of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m:t>
            </m:r>
          </m:sub>
        </m:sSub>
      </m:oMath>
      <w:r w:rsidR="00F40D74" w:rsidRPr="00DC154F">
        <w:rPr>
          <w:lang w:val="en-GB"/>
        </w:rPr>
        <w:t xml:space="preserve">.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j</m:t>
            </m:r>
          </m:sub>
        </m:sSub>
      </m:oMath>
      <w:r w:rsidR="00F40D74" w:rsidRPr="00DC154F">
        <w:rPr>
          <w:lang w:val="en-GB"/>
        </w:rPr>
        <w:t xml:space="preserve"> is</w:t>
      </w:r>
      <w:r w:rsidR="00261971" w:rsidRPr="00DC154F">
        <w:rPr>
          <w:lang w:val="en-GB"/>
        </w:rPr>
        <w:t xml:space="preserve"> therefore</w:t>
      </w:r>
      <w:r w:rsidR="00F40D74" w:rsidRPr="00DC154F">
        <w:rPr>
          <w:lang w:val="en-GB"/>
        </w:rPr>
        <w:t xml:space="preserve"> known as the </w:t>
      </w:r>
      <w:r w:rsidR="00CA5765" w:rsidRPr="00DC154F">
        <w:rPr>
          <w:lang w:val="en-GB"/>
        </w:rPr>
        <w:t>investment</w:t>
      </w:r>
      <w:r w:rsidR="00F40D74" w:rsidRPr="00DC154F">
        <w:rPr>
          <w:lang w:val="en-GB"/>
        </w:rPr>
        <w:t xml:space="preserve"> trigger. </w:t>
      </w:r>
      <w:r w:rsidR="007F5642" w:rsidRPr="00DC154F">
        <w:rPr>
          <w:lang w:val="en-GB"/>
        </w:rPr>
        <w:t>If,</w:t>
      </w:r>
      <w:r w:rsidR="00F40D74" w:rsidRPr="00DC154F">
        <w:rPr>
          <w:lang w:val="en-GB"/>
        </w:rPr>
        <w:t xml:space="preserve"> however</w:t>
      </w:r>
      <w:r w:rsidR="00BF15DF" w:rsidRPr="00DC154F">
        <w:rPr>
          <w:lang w:val="en-GB"/>
        </w:rPr>
        <w:t>,</w:t>
      </w:r>
      <w:r w:rsidR="00F40D74" w:rsidRPr="00DC154F">
        <w:rPr>
          <w:lang w:val="en-GB"/>
        </w:rPr>
        <w:t xml:space="preserve"> the level of aggregate demand fall</w:t>
      </w:r>
      <w:r w:rsidR="00DF26CC" w:rsidRPr="00DC154F">
        <w:rPr>
          <w:lang w:val="en-GB"/>
        </w:rPr>
        <w:t xml:space="preserve">s to </w:t>
      </w:r>
      <w:r w:rsidR="00F40D74" w:rsidRPr="00DC154F">
        <w:rPr>
          <w:lang w:val="en-GB"/>
        </w:rPr>
        <w:t xml:space="preserve">below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j</m:t>
            </m:r>
          </m:sub>
        </m:sSub>
      </m:oMath>
      <w:r w:rsidR="00F40D74" w:rsidRPr="00DC154F">
        <w:rPr>
          <w:lang w:val="en-GB"/>
        </w:rPr>
        <w:t xml:space="preserve"> the firm will not automatically disinvest. Th</w:t>
      </w:r>
      <w:r w:rsidR="00DF26CC" w:rsidRPr="00DC154F">
        <w:rPr>
          <w:lang w:val="en-GB"/>
        </w:rPr>
        <w:t>e</w:t>
      </w:r>
      <w:r w:rsidR="00F40D74" w:rsidRPr="00DC154F">
        <w:rPr>
          <w:lang w:val="en-GB"/>
        </w:rPr>
        <w:t xml:space="preserve"> notion that the reversion of a shock does not bring the system back to its original </w:t>
      </w:r>
      <w:r w:rsidR="00876FCC" w:rsidRPr="00DC154F">
        <w:rPr>
          <w:lang w:val="en-GB"/>
        </w:rPr>
        <w:t>position</w:t>
      </w:r>
      <w:r w:rsidR="00F40D74" w:rsidRPr="00DC154F">
        <w:rPr>
          <w:lang w:val="en-GB"/>
        </w:rPr>
        <w:t xml:space="preserve"> is known as nonlinearity. </w:t>
      </w:r>
      <w:r w:rsidR="004635A8" w:rsidRPr="00DC154F">
        <w:rPr>
          <w:lang w:val="en-GB"/>
        </w:rPr>
        <w:t xml:space="preserve">The firm </w:t>
      </w:r>
      <m:oMath>
        <m:r>
          <w:rPr>
            <w:rFonts w:ascii="Cambria Math" w:hAnsi="Cambria Math"/>
            <w:lang w:val="en-GB"/>
          </w:rPr>
          <m:t>j</m:t>
        </m:r>
      </m:oMath>
      <w:r w:rsidR="004635A8" w:rsidRPr="00DC154F">
        <w:rPr>
          <w:lang w:val="en-GB"/>
        </w:rPr>
        <w:t xml:space="preserve"> will only start to disinvest when the level of aggregate demand falls below</w:t>
      </w:r>
      <w:r w:rsidR="00DF26CC" w:rsidRPr="00DC154F">
        <w:rPr>
          <w:lang w:val="en-GB"/>
        </w:rPr>
        <w:t xml:space="preserve"> let</w:t>
      </w:r>
      <w:r w:rsidR="0035408F">
        <w:rPr>
          <w:lang w:val="en-GB"/>
        </w:rPr>
        <w:t xml:space="preserve"> u</w:t>
      </w:r>
      <w:r w:rsidR="00DF26CC" w:rsidRPr="00DC154F">
        <w:rPr>
          <w:lang w:val="en-GB"/>
        </w:rPr>
        <w:t>s say</w:t>
      </w:r>
      <w:r w:rsidR="00CA5765" w:rsidRPr="00DC154F">
        <w:rPr>
          <w:lang w:val="en-GB"/>
        </w:rPr>
        <w:t xml:space="preserve"> </w:t>
      </w:r>
      <m:oMath>
        <m:sSub>
          <m:sSubPr>
            <m:ctrlPr>
              <w:rPr>
                <w:rFonts w:ascii="Cambria Math" w:hAnsi="Cambria Math"/>
                <w:i/>
                <w:lang w:val="en-GB"/>
              </w:rPr>
            </m:ctrlPr>
          </m:sSubPr>
          <m:e>
            <m:r>
              <w:rPr>
                <w:rFonts w:ascii="Cambria Math" w:hAnsi="Cambria Math"/>
                <w:lang w:val="en-GB"/>
              </w:rPr>
              <m:t>α</m:t>
            </m:r>
          </m:e>
          <m:sub>
            <m:r>
              <w:rPr>
                <w:rFonts w:ascii="Cambria Math" w:hAnsi="Cambria Math"/>
                <w:lang w:val="en-GB"/>
              </w:rPr>
              <m:t>j</m:t>
            </m:r>
          </m:sub>
        </m:sSub>
      </m:oMath>
      <w:r w:rsidR="004635A8" w:rsidRPr="00DC154F">
        <w:rPr>
          <w:lang w:val="en-GB"/>
        </w:rPr>
        <w:t>, remaining in that state for levels of</w:t>
      </w:r>
      <w:r w:rsidR="004D1207" w:rsidRPr="00DC154F">
        <w:rPr>
          <w:lang w:val="en-GB"/>
        </w:rPr>
        <w:t xml:space="preserve"> </w:t>
      </w:r>
      <w:r w:rsidR="004635A8" w:rsidRPr="00DC154F">
        <w:rPr>
          <w:lang w:val="en-GB"/>
        </w:rPr>
        <w:t>aggregate demand lower than</w:t>
      </w:r>
      <w:r w:rsidR="001F397C" w:rsidRPr="00DC154F">
        <w:rPr>
          <w:lang w:val="en-GB"/>
        </w:rPr>
        <w:t xml:space="preserve"> the disinvestment trigger</w:t>
      </w:r>
      <w:r w:rsidR="004635A8" w:rsidRPr="00DC154F">
        <w:rPr>
          <w:lang w:val="en-GB"/>
        </w:rPr>
        <w:t xml:space="preserve"> </w:t>
      </w:r>
      <m:oMath>
        <m:sSub>
          <m:sSubPr>
            <m:ctrlPr>
              <w:rPr>
                <w:rFonts w:ascii="Cambria Math" w:hAnsi="Cambria Math"/>
                <w:i/>
                <w:lang w:val="en-GB"/>
              </w:rPr>
            </m:ctrlPr>
          </m:sSubPr>
          <m:e>
            <m:r>
              <w:rPr>
                <w:rFonts w:ascii="Cambria Math" w:hAnsi="Cambria Math"/>
                <w:lang w:val="en-GB"/>
              </w:rPr>
              <m:t>α</m:t>
            </m:r>
          </m:e>
          <m:sub>
            <m:r>
              <w:rPr>
                <w:rFonts w:ascii="Cambria Math" w:hAnsi="Cambria Math"/>
                <w:lang w:val="en-GB"/>
              </w:rPr>
              <m:t>j</m:t>
            </m:r>
          </m:sub>
        </m:sSub>
      </m:oMath>
      <w:r w:rsidR="004635A8" w:rsidRPr="00DC154F">
        <w:rPr>
          <w:vertAlign w:val="subscript"/>
          <w:lang w:val="en-GB"/>
        </w:rPr>
        <w:t xml:space="preserve">. </w:t>
      </w:r>
      <w:r w:rsidR="007F5642" w:rsidRPr="00DC154F">
        <w:rPr>
          <w:lang w:val="en-GB"/>
        </w:rPr>
        <w:t>The</w:t>
      </w:r>
      <w:r w:rsidR="004E2F1A" w:rsidRPr="00DC154F">
        <w:rPr>
          <w:lang w:val="en-GB"/>
        </w:rPr>
        <w:t>refore,</w:t>
      </w:r>
      <w:r w:rsidR="007F5642" w:rsidRPr="00DC154F">
        <w:rPr>
          <w:lang w:val="en-GB"/>
        </w:rPr>
        <w:t xml:space="preserve"> </w:t>
      </w:r>
      <w:r w:rsidR="0001397E" w:rsidRPr="00DC154F">
        <w:rPr>
          <w:lang w:val="en-GB"/>
        </w:rPr>
        <w:t xml:space="preserve">if a firm </w:t>
      </w:r>
      <w:r w:rsidR="00FB6AD2" w:rsidRPr="00DC154F">
        <w:rPr>
          <w:lang w:val="en-GB"/>
        </w:rPr>
        <w:t xml:space="preserve">did not invest in the previous </w:t>
      </w:r>
      <w:r w:rsidR="008744E1" w:rsidRPr="00DC154F">
        <w:rPr>
          <w:lang w:val="en-GB"/>
        </w:rPr>
        <w:t>period,</w:t>
      </w:r>
      <w:r w:rsidR="0001397E" w:rsidRPr="00DC154F">
        <w:rPr>
          <w:lang w:val="en-GB"/>
        </w:rPr>
        <w:t xml:space="preserve"> it will not invest</w:t>
      </w:r>
      <w:r w:rsidR="004E2F1A" w:rsidRPr="00DC154F">
        <w:rPr>
          <w:lang w:val="en-GB"/>
        </w:rPr>
        <w:t xml:space="preserve"> in the current period</w:t>
      </w:r>
      <w:r w:rsidR="0015167D" w:rsidRPr="00DC154F">
        <w:rPr>
          <w:lang w:val="en-GB"/>
        </w:rPr>
        <w:t xml:space="preserve"> if</w:t>
      </w:r>
      <w:r w:rsidR="0001397E" w:rsidRPr="00DC154F">
        <w:rPr>
          <w:lang w:val="en-GB"/>
        </w:rPr>
        <w:t xml:space="preserve">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m:t>
            </m:r>
          </m:sub>
        </m:sSub>
      </m:oMath>
      <w:r w:rsidR="0015167D" w:rsidRPr="00DC154F">
        <w:rPr>
          <w:lang w:val="en-GB"/>
        </w:rPr>
        <w:t xml:space="preserve"> </w:t>
      </w:r>
      <w:r w:rsidR="004E2F1A" w:rsidRPr="00DC154F">
        <w:rPr>
          <w:lang w:val="en-GB"/>
        </w:rPr>
        <w:t xml:space="preserve">is lower than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j</m:t>
            </m:r>
          </m:sub>
        </m:sSub>
      </m:oMath>
      <w:r w:rsidR="0015167D" w:rsidRPr="00DC154F">
        <w:rPr>
          <w:lang w:val="en-GB"/>
        </w:rPr>
        <w:t>.</w:t>
      </w:r>
      <w:r w:rsidR="0001397E" w:rsidRPr="00DC154F">
        <w:rPr>
          <w:vertAlign w:val="subscript"/>
          <w:lang w:val="en-GB"/>
        </w:rPr>
        <w:t xml:space="preserve"> </w:t>
      </w:r>
      <w:r w:rsidR="00CF3378" w:rsidRPr="00DC154F">
        <w:rPr>
          <w:lang w:val="en-GB"/>
        </w:rPr>
        <w:t>I</w:t>
      </w:r>
      <w:r w:rsidR="0001397E" w:rsidRPr="00DC154F">
        <w:rPr>
          <w:lang w:val="en-GB"/>
        </w:rPr>
        <w:t>f the firm</w:t>
      </w:r>
      <w:r w:rsidR="004D1207" w:rsidRPr="00DC154F">
        <w:rPr>
          <w:lang w:val="en-GB"/>
        </w:rPr>
        <w:t xml:space="preserve"> has</w:t>
      </w:r>
      <w:r w:rsidR="0001397E" w:rsidRPr="00DC154F">
        <w:rPr>
          <w:lang w:val="en-GB"/>
        </w:rPr>
        <w:t xml:space="preserve"> invested</w:t>
      </w:r>
      <w:r w:rsidR="00CF3378" w:rsidRPr="00DC154F">
        <w:rPr>
          <w:lang w:val="en-GB"/>
        </w:rPr>
        <w:t xml:space="preserve"> in the previous </w:t>
      </w:r>
      <w:r w:rsidR="008744E1" w:rsidRPr="00DC154F">
        <w:rPr>
          <w:lang w:val="en-GB"/>
        </w:rPr>
        <w:t>period,</w:t>
      </w:r>
      <w:r w:rsidR="0001397E" w:rsidRPr="00DC154F">
        <w:rPr>
          <w:lang w:val="en-GB"/>
        </w:rPr>
        <w:t xml:space="preserve"> it </w:t>
      </w:r>
      <w:r w:rsidR="001506AE" w:rsidRPr="00DC154F">
        <w:rPr>
          <w:lang w:val="en-GB"/>
        </w:rPr>
        <w:t>would</w:t>
      </w:r>
      <w:r w:rsidR="0001397E" w:rsidRPr="00DC154F">
        <w:rPr>
          <w:lang w:val="en-GB"/>
        </w:rPr>
        <w:t xml:space="preserve"> not disinvest</w:t>
      </w:r>
      <w:r w:rsidR="00CF3378" w:rsidRPr="00DC154F">
        <w:rPr>
          <w:lang w:val="en-GB"/>
        </w:rPr>
        <w:t xml:space="preserve"> if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m:t>
            </m:r>
          </m:sub>
        </m:sSub>
      </m:oMath>
      <w:r w:rsidR="00CF3378" w:rsidRPr="00DC154F">
        <w:rPr>
          <w:lang w:val="en-GB"/>
        </w:rPr>
        <w:t xml:space="preserve"> </w:t>
      </w:r>
      <w:r w:rsidR="004E2F1A" w:rsidRPr="00DC154F">
        <w:rPr>
          <w:lang w:val="en-GB"/>
        </w:rPr>
        <w:t xml:space="preserve">is higher than </w:t>
      </w:r>
      <w:bookmarkStart w:id="20" w:name="_Hlk127535901"/>
      <m:oMath>
        <m:sSub>
          <m:sSubPr>
            <m:ctrlPr>
              <w:rPr>
                <w:rFonts w:ascii="Cambria Math" w:hAnsi="Cambria Math"/>
                <w:i/>
                <w:lang w:val="en-GB"/>
              </w:rPr>
            </m:ctrlPr>
          </m:sSubPr>
          <m:e>
            <m:r>
              <w:rPr>
                <w:rFonts w:ascii="Cambria Math" w:hAnsi="Cambria Math"/>
                <w:lang w:val="en-GB"/>
              </w:rPr>
              <m:t>α</m:t>
            </m:r>
          </m:e>
          <m:sub>
            <m:r>
              <w:rPr>
                <w:rFonts w:ascii="Cambria Math" w:hAnsi="Cambria Math"/>
                <w:lang w:val="en-GB"/>
              </w:rPr>
              <m:t>j</m:t>
            </m:r>
          </m:sub>
        </m:sSub>
      </m:oMath>
      <w:bookmarkEnd w:id="20"/>
      <w:r w:rsidR="0001397E" w:rsidRPr="00DC154F">
        <w:rPr>
          <w:lang w:val="en-GB"/>
        </w:rPr>
        <w:t>.</w:t>
      </w:r>
      <w:r w:rsidR="00261971" w:rsidRPr="00DC154F">
        <w:rPr>
          <w:lang w:val="en-GB"/>
        </w:rPr>
        <w:t xml:space="preserve"> </w:t>
      </w:r>
      <w:r w:rsidR="004E2F1A" w:rsidRPr="00DC154F">
        <w:rPr>
          <w:lang w:val="en-GB"/>
        </w:rPr>
        <w:t xml:space="preserve">If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m:t>
            </m:r>
          </m:sub>
        </m:sSub>
      </m:oMath>
      <w:r w:rsidR="004E2F1A" w:rsidRPr="00DC154F">
        <w:rPr>
          <w:lang w:val="en-GB"/>
        </w:rPr>
        <w:t xml:space="preserve"> varies in between </w:t>
      </w:r>
      <m:oMath>
        <m:sSub>
          <m:sSubPr>
            <m:ctrlPr>
              <w:rPr>
                <w:rFonts w:ascii="Cambria Math" w:hAnsi="Cambria Math"/>
                <w:i/>
                <w:lang w:val="en-GB"/>
              </w:rPr>
            </m:ctrlPr>
          </m:sSubPr>
          <m:e>
            <m:r>
              <w:rPr>
                <w:rFonts w:ascii="Cambria Math" w:hAnsi="Cambria Math"/>
                <w:lang w:val="en-GB"/>
              </w:rPr>
              <m:t>α</m:t>
            </m:r>
          </m:e>
          <m:sub>
            <m:r>
              <w:rPr>
                <w:rFonts w:ascii="Cambria Math" w:hAnsi="Cambria Math"/>
                <w:lang w:val="en-GB"/>
              </w:rPr>
              <m:t>j</m:t>
            </m:r>
          </m:sub>
        </m:sSub>
      </m:oMath>
      <w:r w:rsidR="004E2F1A" w:rsidRPr="00DC154F">
        <w:rPr>
          <w:lang w:val="en-GB"/>
        </w:rPr>
        <w:t xml:space="preserve"> and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j</m:t>
            </m:r>
          </m:sub>
        </m:sSub>
      </m:oMath>
      <w:r w:rsidR="004E2F1A" w:rsidRPr="00DC154F">
        <w:rPr>
          <w:lang w:val="en-GB"/>
        </w:rPr>
        <w:t xml:space="preserve">, firm </w:t>
      </w:r>
      <m:oMath>
        <m:r>
          <w:rPr>
            <w:rFonts w:ascii="Cambria Math" w:hAnsi="Cambria Math"/>
            <w:lang w:val="en-GB"/>
          </w:rPr>
          <m:t>j</m:t>
        </m:r>
      </m:oMath>
      <w:r w:rsidR="004E2F1A" w:rsidRPr="00DC154F">
        <w:rPr>
          <w:lang w:val="en-GB"/>
        </w:rPr>
        <w:t xml:space="preserve"> will not change its investment state. Therefore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j</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α</m:t>
            </m:r>
          </m:e>
          <m:sub>
            <m:r>
              <w:rPr>
                <w:rFonts w:ascii="Cambria Math" w:hAnsi="Cambria Math"/>
                <w:lang w:val="en-GB"/>
              </w:rPr>
              <m:t>j</m:t>
            </m:r>
          </m:sub>
        </m:sSub>
      </m:oMath>
      <w:r w:rsidR="004E2F1A" w:rsidRPr="00DC154F">
        <w:rPr>
          <w:lang w:val="en-GB"/>
        </w:rPr>
        <w:t xml:space="preserve">) </w:t>
      </w:r>
      <w:r w:rsidR="00261971" w:rsidRPr="00DC154F">
        <w:rPr>
          <w:lang w:val="en-GB"/>
        </w:rPr>
        <w:t>is called a</w:t>
      </w:r>
      <w:r w:rsidR="008744E1" w:rsidRPr="00DC154F">
        <w:rPr>
          <w:lang w:val="en-GB"/>
        </w:rPr>
        <w:t>n investment</w:t>
      </w:r>
      <w:r w:rsidR="00261971" w:rsidRPr="00DC154F">
        <w:rPr>
          <w:lang w:val="en-GB"/>
        </w:rPr>
        <w:t xml:space="preserve"> band of inaction</w:t>
      </w:r>
      <w:r w:rsidR="00D0262F" w:rsidRPr="00DC154F">
        <w:rPr>
          <w:lang w:val="en-GB"/>
        </w:rPr>
        <w:t>.</w:t>
      </w:r>
      <w:r w:rsidR="001506AE" w:rsidRPr="00DC154F">
        <w:rPr>
          <w:lang w:val="en-GB"/>
        </w:rPr>
        <w:t xml:space="preserve"> </w:t>
      </w:r>
    </w:p>
    <w:p w14:paraId="5BAA590C" w14:textId="1AC02973" w:rsidR="00DF26CC" w:rsidRPr="002C77A7" w:rsidRDefault="001506AE" w:rsidP="00A3169E">
      <w:pPr>
        <w:pStyle w:val="BodyText"/>
        <w:spacing w:line="360" w:lineRule="auto"/>
        <w:ind w:firstLine="720"/>
        <w:jc w:val="both"/>
        <w:rPr>
          <w:lang w:val="en-GB"/>
        </w:rPr>
      </w:pPr>
      <w:r w:rsidRPr="00DC154F">
        <w:rPr>
          <w:lang w:val="en-GB"/>
        </w:rPr>
        <w:t>The motive that explains the existence of investment and disinvestment triggers is</w:t>
      </w:r>
      <w:r w:rsidRPr="002C77A7">
        <w:rPr>
          <w:lang w:val="en-GB"/>
        </w:rPr>
        <w:t xml:space="preserve"> </w:t>
      </w:r>
      <w:r w:rsidRPr="002C77A7">
        <w:rPr>
          <w:lang w:val="en-GB"/>
        </w:rPr>
        <w:lastRenderedPageBreak/>
        <w:t>the existence of sunk costs</w:t>
      </w:r>
      <w:r w:rsidR="004F3B71">
        <w:rPr>
          <w:lang w:val="en-GB"/>
        </w:rPr>
        <w:t>, as they delay firms’ decisions to invest or disinvest. If there were no sunk costs, firms in theory, would react faster to changes in the level of aggregate demand, as investments would be more reversible. In that alternative scenario, firms could resell the assets in which they invested in with lower losses leading to a</w:t>
      </w:r>
      <w:r w:rsidR="004F3B71" w:rsidRPr="00834306">
        <w:rPr>
          <w:lang w:val="en-GB"/>
        </w:rPr>
        <w:t xml:space="preserve"> better outcome than before and making it easier to reverse the investment</w:t>
      </w:r>
      <w:r w:rsidR="004F3B71">
        <w:rPr>
          <w:lang w:val="en-GB"/>
        </w:rPr>
        <w:t>.</w:t>
      </w:r>
      <w:r w:rsidRPr="002C77A7">
        <w:rPr>
          <w:lang w:val="en-GB"/>
        </w:rPr>
        <w:t xml:space="preserve"> Pyndick (1991) highlights this notion by referring to the behaviour of managers of mines that simultaneously face sunk costs to open or exit a mine as well as output price uncertainty. In periods when the prices are low</w:t>
      </w:r>
      <w:r w:rsidR="00AD2B7B">
        <w:rPr>
          <w:lang w:val="en-GB"/>
        </w:rPr>
        <w:t>,</w:t>
      </w:r>
      <w:r w:rsidRPr="002C77A7">
        <w:rPr>
          <w:lang w:val="en-GB"/>
        </w:rPr>
        <w:t xml:space="preserve"> managers do not immediately shut down the mines nor do they open them back up when prices become high.</w:t>
      </w:r>
      <w:r w:rsidR="00DF26CC" w:rsidRPr="002C77A7">
        <w:rPr>
          <w:lang w:val="en-GB"/>
        </w:rPr>
        <w:t xml:space="preserve"> That is because disinvesting</w:t>
      </w:r>
      <w:r w:rsidR="00DB4B4D" w:rsidRPr="002C77A7">
        <w:rPr>
          <w:lang w:val="en-GB"/>
        </w:rPr>
        <w:t xml:space="preserve"> or investing </w:t>
      </w:r>
      <w:r w:rsidR="00DF26CC" w:rsidRPr="002C77A7">
        <w:rPr>
          <w:lang w:val="en-GB"/>
        </w:rPr>
        <w:t>entail</w:t>
      </w:r>
      <w:r w:rsidR="00DB4B4D" w:rsidRPr="002C77A7">
        <w:rPr>
          <w:lang w:val="en-GB"/>
        </w:rPr>
        <w:t>s</w:t>
      </w:r>
      <w:r w:rsidR="00DF26CC" w:rsidRPr="002C77A7">
        <w:rPr>
          <w:lang w:val="en-GB"/>
        </w:rPr>
        <w:t xml:space="preserve"> a variety of sunk costs that in turn creates an opportunity cost due to the probability that the project’s value might</w:t>
      </w:r>
      <w:r w:rsidR="00DB4B4D" w:rsidRPr="002C77A7">
        <w:rPr>
          <w:lang w:val="en-GB"/>
        </w:rPr>
        <w:t xml:space="preserve"> ris</w:t>
      </w:r>
      <w:r w:rsidR="00D71C34">
        <w:rPr>
          <w:lang w:val="en-GB"/>
        </w:rPr>
        <w:t xml:space="preserve">e, </w:t>
      </w:r>
      <w:r w:rsidR="00DB4B4D" w:rsidRPr="002C77A7">
        <w:rPr>
          <w:lang w:val="en-GB"/>
        </w:rPr>
        <w:t xml:space="preserve">or decrease, respectively </w:t>
      </w:r>
      <w:r w:rsidR="00DF26CC" w:rsidRPr="002C77A7">
        <w:rPr>
          <w:lang w:val="en-GB"/>
        </w:rPr>
        <w:t>(Pyndick</w:t>
      </w:r>
      <w:r w:rsidR="00D71C34">
        <w:rPr>
          <w:lang w:val="en-GB"/>
        </w:rPr>
        <w:t>,</w:t>
      </w:r>
      <w:r w:rsidR="00DF26CC" w:rsidRPr="002C77A7">
        <w:rPr>
          <w:lang w:val="en-GB"/>
        </w:rPr>
        <w:t xml:space="preserve"> 1991).</w:t>
      </w:r>
    </w:p>
    <w:p w14:paraId="16247EA3" w14:textId="7845F840" w:rsidR="00E976B8" w:rsidRDefault="001506AE" w:rsidP="0063438A">
      <w:pPr>
        <w:pStyle w:val="BodyText"/>
        <w:spacing w:line="360" w:lineRule="auto"/>
        <w:ind w:firstLine="720"/>
        <w:jc w:val="both"/>
        <w:rPr>
          <w:lang w:val="en-GB"/>
        </w:rPr>
      </w:pPr>
      <w:r w:rsidRPr="002C77A7">
        <w:rPr>
          <w:lang w:val="en-GB"/>
        </w:rPr>
        <w:t xml:space="preserve"> Therefore, non-convex adjustment costs are a key determinant of the investment’s band of inaction.</w:t>
      </w:r>
      <w:r w:rsidR="00E976B8">
        <w:rPr>
          <w:lang w:val="en-GB"/>
        </w:rPr>
        <w:br w:type="page"/>
      </w:r>
    </w:p>
    <w:p w14:paraId="606961CE" w14:textId="081DBE20" w:rsidR="00EE1365" w:rsidRPr="0063438A" w:rsidRDefault="00EE1365" w:rsidP="00EE1365">
      <w:pPr>
        <w:pStyle w:val="BodyText"/>
        <w:spacing w:before="1" w:line="360" w:lineRule="auto"/>
        <w:ind w:right="272"/>
        <w:jc w:val="center"/>
        <w:rPr>
          <w:lang w:val="en-GB"/>
        </w:rPr>
      </w:pPr>
      <w:r w:rsidRPr="001678A7">
        <w:rPr>
          <w:b/>
          <w:bCs/>
          <w:lang w:val="en-GB"/>
        </w:rPr>
        <w:lastRenderedPageBreak/>
        <w:t xml:space="preserve">Figure </w:t>
      </w:r>
      <w:r w:rsidR="00BA0EC6">
        <w:rPr>
          <w:b/>
          <w:bCs/>
          <w:lang w:val="en-GB"/>
        </w:rPr>
        <w:t>5</w:t>
      </w:r>
      <w:r w:rsidR="00DF2609">
        <w:rPr>
          <w:b/>
          <w:bCs/>
          <w:lang w:val="en-GB"/>
        </w:rPr>
        <w:t>.</w:t>
      </w:r>
      <w:r w:rsidRPr="001678A7">
        <w:rPr>
          <w:b/>
          <w:bCs/>
          <w:lang w:val="en-GB"/>
        </w:rPr>
        <w:t xml:space="preserve"> </w:t>
      </w:r>
      <w:r w:rsidR="00ED3108" w:rsidRPr="00ED3108">
        <w:rPr>
          <w:lang w:val="en-GB"/>
        </w:rPr>
        <w:t xml:space="preserve">Graphic Representation of the </w:t>
      </w:r>
      <w:r w:rsidRPr="00ED3108">
        <w:rPr>
          <w:lang w:val="en-GB"/>
        </w:rPr>
        <w:t xml:space="preserve">Non-ideal </w:t>
      </w:r>
      <w:r w:rsidR="00552F10">
        <w:rPr>
          <w:lang w:val="en-GB"/>
        </w:rPr>
        <w:t>R</w:t>
      </w:r>
      <w:r w:rsidRPr="00ED3108">
        <w:rPr>
          <w:lang w:val="en-GB"/>
        </w:rPr>
        <w:t xml:space="preserve">elay </w:t>
      </w:r>
      <w:r w:rsidR="00552F10">
        <w:rPr>
          <w:lang w:val="en-GB"/>
        </w:rPr>
        <w:t>M</w:t>
      </w:r>
      <w:r w:rsidRPr="00ED3108">
        <w:rPr>
          <w:lang w:val="en-GB"/>
        </w:rPr>
        <w:t>odel</w:t>
      </w:r>
      <w:r w:rsidR="008602F0">
        <w:rPr>
          <w:lang w:val="en-GB"/>
        </w:rPr>
        <w:t>.</w:t>
      </w:r>
    </w:p>
    <w:p w14:paraId="7ECF1EA7" w14:textId="6AD7F93B" w:rsidR="00621F93" w:rsidRPr="0063438A" w:rsidRDefault="00621F93" w:rsidP="00EE1365">
      <w:pPr>
        <w:pStyle w:val="BodyText"/>
        <w:spacing w:before="1" w:line="360" w:lineRule="auto"/>
        <w:ind w:right="272"/>
        <w:jc w:val="center"/>
        <w:rPr>
          <w:lang w:val="en-GB"/>
        </w:rPr>
      </w:pPr>
    </w:p>
    <w:p w14:paraId="7A814357" w14:textId="33437ACB" w:rsidR="00621F93" w:rsidRPr="00F40D74" w:rsidRDefault="00910FDD" w:rsidP="00EE1365">
      <w:pPr>
        <w:pStyle w:val="BodyText"/>
        <w:spacing w:before="1" w:line="360" w:lineRule="auto"/>
        <w:ind w:right="272"/>
        <w:jc w:val="center"/>
        <w:rPr>
          <w:lang w:val="en-GB"/>
        </w:rPr>
      </w:pPr>
      <w:r>
        <w:rPr>
          <w:noProof/>
          <w:lang w:val="en-GB"/>
        </w:rPr>
        <w:drawing>
          <wp:inline distT="0" distB="0" distL="0" distR="0" wp14:anchorId="5383BA81" wp14:editId="660BFB99">
            <wp:extent cx="5284087" cy="3069203"/>
            <wp:effectExtent l="0" t="0" r="0" b="0"/>
            <wp:docPr id="88225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7218" t="25145" r="25329" b="22595"/>
                    <a:stretch/>
                  </pic:blipFill>
                  <pic:spPr bwMode="auto">
                    <a:xfrm>
                      <a:off x="0" y="0"/>
                      <a:ext cx="5402348" cy="3137894"/>
                    </a:xfrm>
                    <a:prstGeom prst="rect">
                      <a:avLst/>
                    </a:prstGeom>
                    <a:noFill/>
                    <a:ln>
                      <a:noFill/>
                    </a:ln>
                    <a:extLst>
                      <a:ext uri="{53640926-AAD7-44D8-BBD7-CCE9431645EC}">
                        <a14:shadowObscured xmlns:a14="http://schemas.microsoft.com/office/drawing/2010/main"/>
                      </a:ext>
                    </a:extLst>
                  </pic:spPr>
                </pic:pic>
              </a:graphicData>
            </a:graphic>
          </wp:inline>
        </w:drawing>
      </w:r>
    </w:p>
    <w:p w14:paraId="1835FF78" w14:textId="6BF08AA5" w:rsidR="0073662C" w:rsidRDefault="0073662C" w:rsidP="0073662C">
      <w:pPr>
        <w:pStyle w:val="BodyText"/>
        <w:keepNext/>
        <w:spacing w:before="1" w:line="360" w:lineRule="auto"/>
        <w:ind w:right="272" w:firstLine="707"/>
        <w:jc w:val="both"/>
      </w:pPr>
    </w:p>
    <w:p w14:paraId="61B53E64" w14:textId="13609EB9" w:rsidR="000B3353" w:rsidRPr="00FB01CB" w:rsidRDefault="00EE1365" w:rsidP="00A3169E">
      <w:pPr>
        <w:pStyle w:val="BodyText"/>
        <w:spacing w:line="360" w:lineRule="auto"/>
        <w:ind w:firstLine="720"/>
        <w:jc w:val="both"/>
        <w:rPr>
          <w:lang w:val="en-GB"/>
        </w:rPr>
      </w:pPr>
      <w:r w:rsidRPr="00FB01CB">
        <w:rPr>
          <w:lang w:val="en-GB"/>
        </w:rPr>
        <w:t xml:space="preserve">Figure </w:t>
      </w:r>
      <w:r w:rsidR="003578F1" w:rsidRPr="00FB01CB">
        <w:rPr>
          <w:lang w:val="en-GB"/>
        </w:rPr>
        <w:t>5</w:t>
      </w:r>
      <w:r w:rsidRPr="00FB01CB">
        <w:rPr>
          <w:lang w:val="en-GB"/>
        </w:rPr>
        <w:t xml:space="preserve"> </w:t>
      </w:r>
      <w:r w:rsidR="001506AE" w:rsidRPr="00FB01CB">
        <w:rPr>
          <w:lang w:val="en-GB"/>
        </w:rPr>
        <w:t>offers a graphic description of the non-ideal relay model of firm</w:t>
      </w:r>
      <w:r w:rsidR="005D56AE" w:rsidRPr="00FB01CB">
        <w:rPr>
          <w:lang w:val="en-GB"/>
        </w:rPr>
        <w:t>-</w:t>
      </w:r>
      <w:r w:rsidR="001506AE" w:rsidRPr="00FB01CB">
        <w:rPr>
          <w:lang w:val="en-GB"/>
        </w:rPr>
        <w:t>level investment. T</w:t>
      </w:r>
      <w:r w:rsidR="00D5002F" w:rsidRPr="00FB01CB">
        <w:rPr>
          <w:lang w:val="en-GB"/>
        </w:rPr>
        <w:t>here</w:t>
      </w:r>
      <w:r w:rsidR="007746B6" w:rsidRPr="00FB01CB">
        <w:rPr>
          <w:lang w:val="en-GB"/>
        </w:rPr>
        <w:t xml:space="preserve"> </w:t>
      </w:r>
      <w:r w:rsidR="00A777A3" w:rsidRPr="00FB01CB">
        <w:rPr>
          <w:lang w:val="en-GB"/>
        </w:rPr>
        <w:t>are</w:t>
      </w:r>
      <w:r w:rsidR="007746B6" w:rsidRPr="00FB01CB">
        <w:rPr>
          <w:lang w:val="en-GB"/>
        </w:rPr>
        <w:t xml:space="preserve"> </w:t>
      </w:r>
      <w:r w:rsidR="00711105" w:rsidRPr="00FB01CB">
        <w:rPr>
          <w:lang w:val="en-GB"/>
        </w:rPr>
        <w:t xml:space="preserve">two possible trajectories that can be </w:t>
      </w:r>
      <w:r w:rsidR="001506AE" w:rsidRPr="00FB01CB">
        <w:rPr>
          <w:lang w:val="en-GB"/>
        </w:rPr>
        <w:t>followed,</w:t>
      </w:r>
      <w:r w:rsidR="009D5E75" w:rsidRPr="00FB01CB">
        <w:rPr>
          <w:lang w:val="en-GB"/>
        </w:rPr>
        <w:t xml:space="preserve"> </w:t>
      </w:r>
      <w:r w:rsidR="00711105" w:rsidRPr="00FB01CB">
        <w:rPr>
          <w:lang w:val="en-GB"/>
        </w:rPr>
        <w:t xml:space="preserve">regarding the decision to invest or disinvest. </w:t>
      </w:r>
      <w:r w:rsidR="00B62C69" w:rsidRPr="00FB01CB">
        <w:rPr>
          <w:lang w:val="en-GB"/>
        </w:rPr>
        <w:t xml:space="preserve">Namely the </w:t>
      </w:r>
      <w:r w:rsidR="003077A2" w:rsidRPr="00FB01CB">
        <w:rPr>
          <w:lang w:val="en-GB"/>
        </w:rPr>
        <w:t xml:space="preserve">trajectory to invest, </w:t>
      </w:r>
      <w:r w:rsidR="00AA259B" w:rsidRPr="00FB01CB">
        <w:rPr>
          <w:lang w:val="en-GB"/>
        </w:rPr>
        <w:t xml:space="preserve">in which </w:t>
      </w:r>
      <w:r w:rsidR="002D6D49" w:rsidRPr="00FB01CB">
        <w:rPr>
          <w:lang w:val="en-GB"/>
        </w:rPr>
        <w:t>a</w:t>
      </w:r>
      <w:r w:rsidR="00AA259B" w:rsidRPr="00FB01CB">
        <w:rPr>
          <w:lang w:val="en-GB"/>
        </w:rPr>
        <w:t xml:space="preserve"> firm </w:t>
      </w:r>
      <w:r w:rsidRPr="00FB01CB">
        <w:rPr>
          <w:lang w:val="en-GB"/>
        </w:rPr>
        <w:t xml:space="preserve">that </w:t>
      </w:r>
      <w:r w:rsidR="00AA259B" w:rsidRPr="00FB01CB">
        <w:rPr>
          <w:lang w:val="en-GB"/>
        </w:rPr>
        <w:t xml:space="preserve">starts from a </w:t>
      </w:r>
      <w:r w:rsidRPr="00FB01CB">
        <w:rPr>
          <w:lang w:val="en-GB"/>
        </w:rPr>
        <w:t>state</w:t>
      </w:r>
      <w:r w:rsidR="00AA259B" w:rsidRPr="00FB01CB">
        <w:rPr>
          <w:lang w:val="en-GB"/>
        </w:rPr>
        <w:t xml:space="preserve"> of </w:t>
      </w:r>
      <w:r w:rsidR="00013B67" w:rsidRPr="00FB01CB">
        <w:rPr>
          <w:lang w:val="en-GB"/>
        </w:rPr>
        <w:t>0 (</w:t>
      </w:r>
      <w:r w:rsidRPr="00FB01CB">
        <w:rPr>
          <w:i/>
          <w:iCs/>
          <w:lang w:val="en-GB"/>
        </w:rPr>
        <w:t>i.e.</w:t>
      </w:r>
      <w:r w:rsidR="00D5002F" w:rsidRPr="00FB01CB">
        <w:rPr>
          <w:lang w:val="en-GB"/>
        </w:rPr>
        <w:t>,</w:t>
      </w:r>
      <w:r w:rsidRPr="00FB01CB">
        <w:rPr>
          <w:lang w:val="en-GB"/>
        </w:rPr>
        <w:t xml:space="preserve"> </w:t>
      </w:r>
      <w:r w:rsidR="002D6D49" w:rsidRPr="00FB01CB">
        <w:rPr>
          <w:lang w:val="en-GB"/>
        </w:rPr>
        <w:t xml:space="preserve">no </w:t>
      </w:r>
      <w:r w:rsidR="00013B67" w:rsidRPr="00FB01CB">
        <w:rPr>
          <w:lang w:val="en-GB"/>
        </w:rPr>
        <w:t xml:space="preserve">investment) </w:t>
      </w:r>
      <w:r w:rsidR="00FF7711" w:rsidRPr="00FB01CB">
        <w:rPr>
          <w:lang w:val="en-GB"/>
        </w:rPr>
        <w:t>starts</w:t>
      </w:r>
      <w:r w:rsidR="00D5002F" w:rsidRPr="00FB01CB">
        <w:rPr>
          <w:lang w:val="en-GB"/>
        </w:rPr>
        <w:t xml:space="preserve"> to invest </w:t>
      </w:r>
      <w:r w:rsidR="00013B67" w:rsidRPr="00FB01CB">
        <w:rPr>
          <w:lang w:val="en-GB"/>
        </w:rPr>
        <w:t xml:space="preserve">as the level of aggregate demand </w:t>
      </w:r>
      <w:r w:rsidR="00D81168" w:rsidRPr="00FB01CB">
        <w:rPr>
          <w:lang w:val="en-GB"/>
        </w:rPr>
        <w:t>surpas</w:t>
      </w:r>
      <w:r w:rsidR="003B3905" w:rsidRPr="00FB01CB">
        <w:rPr>
          <w:lang w:val="en-GB"/>
        </w:rPr>
        <w:t>ses</w:t>
      </w:r>
      <w:r w:rsidR="00D81168" w:rsidRPr="00FB01CB">
        <w:rPr>
          <w:lang w:val="en-GB"/>
        </w:rPr>
        <w:t xml:space="preserve"> the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j</m:t>
            </m:r>
          </m:sub>
        </m:sSub>
      </m:oMath>
      <w:r w:rsidR="00D81168" w:rsidRPr="00FB01CB">
        <w:rPr>
          <w:lang w:val="en-GB"/>
        </w:rPr>
        <w:t xml:space="preserve"> investment trigger</w:t>
      </w:r>
      <w:r w:rsidR="00AF4B18" w:rsidRPr="00FB01CB">
        <w:rPr>
          <w:lang w:val="en-GB"/>
        </w:rPr>
        <w:t xml:space="preserve"> (black arrows depict the</w:t>
      </w:r>
      <w:r w:rsidR="001506AE" w:rsidRPr="00FB01CB">
        <w:rPr>
          <w:lang w:val="en-GB"/>
        </w:rPr>
        <w:t xml:space="preserve"> trajectory in which</w:t>
      </w:r>
      <w:r w:rsidR="00AF4B18" w:rsidRPr="00FB01CB">
        <w:rPr>
          <w:lang w:val="en-GB"/>
        </w:rPr>
        <w:t xml:space="preserve"> investment </w:t>
      </w:r>
      <w:r w:rsidR="004E1DAA" w:rsidRPr="00FB01CB">
        <w:rPr>
          <w:lang w:val="en-GB"/>
        </w:rPr>
        <w:t>occur</w:t>
      </w:r>
      <w:r w:rsidR="005D56AE" w:rsidRPr="00FB01CB">
        <w:rPr>
          <w:lang w:val="en-GB"/>
        </w:rPr>
        <w:t>s</w:t>
      </w:r>
      <w:r w:rsidR="00AF4B18" w:rsidRPr="00FB01CB">
        <w:rPr>
          <w:lang w:val="en-GB"/>
        </w:rPr>
        <w:t xml:space="preserve">) </w:t>
      </w:r>
      <w:r w:rsidR="004E1DAA" w:rsidRPr="00FB01CB">
        <w:rPr>
          <w:lang w:val="en-GB"/>
        </w:rPr>
        <w:t xml:space="preserve">and the trajectory </w:t>
      </w:r>
      <w:r w:rsidR="00DB6531" w:rsidRPr="00FB01CB">
        <w:rPr>
          <w:lang w:val="en-GB"/>
        </w:rPr>
        <w:t>of</w:t>
      </w:r>
      <w:r w:rsidR="004E1DAA" w:rsidRPr="00FB01CB">
        <w:rPr>
          <w:lang w:val="en-GB"/>
        </w:rPr>
        <w:t xml:space="preserve"> disinvest</w:t>
      </w:r>
      <w:r w:rsidR="00AC2552" w:rsidRPr="00FB01CB">
        <w:rPr>
          <w:lang w:val="en-GB"/>
        </w:rPr>
        <w:t>ment</w:t>
      </w:r>
      <w:r w:rsidR="004E1DAA" w:rsidRPr="00FB01CB">
        <w:rPr>
          <w:lang w:val="en-GB"/>
        </w:rPr>
        <w:t xml:space="preserve"> </w:t>
      </w:r>
      <w:r w:rsidR="00AC2552" w:rsidRPr="00FB01CB">
        <w:rPr>
          <w:lang w:val="en-GB"/>
        </w:rPr>
        <w:t xml:space="preserve">in which </w:t>
      </w:r>
      <w:r w:rsidR="00D5002F" w:rsidRPr="00FB01CB">
        <w:rPr>
          <w:lang w:val="en-GB"/>
        </w:rPr>
        <w:t>a</w:t>
      </w:r>
      <w:r w:rsidR="00AC2552" w:rsidRPr="00FB01CB">
        <w:rPr>
          <w:lang w:val="en-GB"/>
        </w:rPr>
        <w:t xml:space="preserve"> firm </w:t>
      </w:r>
      <w:r w:rsidR="00D5002F" w:rsidRPr="00FB01CB">
        <w:rPr>
          <w:lang w:val="en-GB"/>
        </w:rPr>
        <w:t xml:space="preserve">that </w:t>
      </w:r>
      <w:r w:rsidR="004E1DAA" w:rsidRPr="00FB01CB">
        <w:rPr>
          <w:lang w:val="en-GB"/>
        </w:rPr>
        <w:t>star</w:t>
      </w:r>
      <w:r w:rsidR="00AC2552" w:rsidRPr="00FB01CB">
        <w:rPr>
          <w:lang w:val="en-GB"/>
        </w:rPr>
        <w:t>ts</w:t>
      </w:r>
      <w:r w:rsidR="004E1DAA" w:rsidRPr="00FB01CB">
        <w:rPr>
          <w:lang w:val="en-GB"/>
        </w:rPr>
        <w:t xml:space="preserve"> from a</w:t>
      </w:r>
      <w:r w:rsidR="00D5245B" w:rsidRPr="00FB01CB">
        <w:rPr>
          <w:lang w:val="en-GB"/>
        </w:rPr>
        <w:t xml:space="preserve"> </w:t>
      </w:r>
      <w:r w:rsidR="00D5002F" w:rsidRPr="00FB01CB">
        <w:rPr>
          <w:lang w:val="en-GB"/>
        </w:rPr>
        <w:t>state</w:t>
      </w:r>
      <w:r w:rsidR="00D5245B" w:rsidRPr="00FB01CB">
        <w:rPr>
          <w:lang w:val="en-GB"/>
        </w:rPr>
        <w:t xml:space="preserve"> </w:t>
      </w:r>
      <w:r w:rsidR="003B166B" w:rsidRPr="00FB01CB">
        <w:rPr>
          <w:lang w:val="en-GB"/>
        </w:rPr>
        <w:t xml:space="preserve">of </w:t>
      </w:r>
      <w:r w:rsidR="005A1363" w:rsidRPr="00FB01CB">
        <w:rPr>
          <w:lang w:val="en-GB"/>
        </w:rPr>
        <w:t>1</w:t>
      </w:r>
      <w:r w:rsidR="00D5245B" w:rsidRPr="00FB01CB">
        <w:rPr>
          <w:lang w:val="en-GB"/>
        </w:rPr>
        <w:t xml:space="preserve"> (</w:t>
      </w:r>
      <w:r w:rsidR="00D5002F" w:rsidRPr="00FB01CB">
        <w:rPr>
          <w:i/>
          <w:iCs/>
          <w:lang w:val="en-GB"/>
        </w:rPr>
        <w:t>i.e.</w:t>
      </w:r>
      <w:r w:rsidR="00D5002F" w:rsidRPr="00FB01CB">
        <w:rPr>
          <w:lang w:val="en-GB"/>
        </w:rPr>
        <w:t xml:space="preserve"> an </w:t>
      </w:r>
      <w:r w:rsidR="00D5245B" w:rsidRPr="00FB01CB">
        <w:rPr>
          <w:lang w:val="en-GB"/>
        </w:rPr>
        <w:t>investment has occurred</w:t>
      </w:r>
      <w:r w:rsidR="001506AE" w:rsidRPr="00FB01CB">
        <w:rPr>
          <w:lang w:val="en-GB"/>
        </w:rPr>
        <w:t xml:space="preserve"> in the previous period</w:t>
      </w:r>
      <w:r w:rsidR="00D5245B" w:rsidRPr="00FB01CB">
        <w:rPr>
          <w:lang w:val="en-GB"/>
        </w:rPr>
        <w:t>)</w:t>
      </w:r>
      <w:r w:rsidR="00BD0DB3" w:rsidRPr="00FB01CB">
        <w:rPr>
          <w:lang w:val="en-GB"/>
        </w:rPr>
        <w:t xml:space="preserve"> </w:t>
      </w:r>
      <w:r w:rsidR="00FF7711" w:rsidRPr="00FB01CB">
        <w:rPr>
          <w:lang w:val="en-GB"/>
        </w:rPr>
        <w:t>starts</w:t>
      </w:r>
      <w:r w:rsidR="00D5002F" w:rsidRPr="00FB01CB">
        <w:rPr>
          <w:lang w:val="en-GB"/>
        </w:rPr>
        <w:t xml:space="preserve"> to disinvest</w:t>
      </w:r>
      <w:r w:rsidR="00BD0DB3" w:rsidRPr="00FB01CB">
        <w:rPr>
          <w:lang w:val="en-GB"/>
        </w:rPr>
        <w:t xml:space="preserve"> as t</w:t>
      </w:r>
      <w:r w:rsidR="003B166B" w:rsidRPr="00FB01CB">
        <w:rPr>
          <w:lang w:val="en-GB"/>
        </w:rPr>
        <w:t>h</w:t>
      </w:r>
      <w:r w:rsidR="00BD0DB3" w:rsidRPr="00FB01CB">
        <w:rPr>
          <w:lang w:val="en-GB"/>
        </w:rPr>
        <w:t>e</w:t>
      </w:r>
      <w:r w:rsidR="003B166B" w:rsidRPr="00FB01CB">
        <w:rPr>
          <w:lang w:val="en-GB"/>
        </w:rPr>
        <w:t xml:space="preserve"> level of aggregate demand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m:t>
            </m:r>
          </m:sub>
        </m:sSub>
      </m:oMath>
      <w:r w:rsidR="005A1363" w:rsidRPr="00FB01CB">
        <w:rPr>
          <w:lang w:val="en-GB"/>
        </w:rPr>
        <w:t xml:space="preserve"> fall</w:t>
      </w:r>
      <w:r w:rsidR="00E122A2" w:rsidRPr="00FB01CB">
        <w:rPr>
          <w:lang w:val="en-GB"/>
        </w:rPr>
        <w:t>s</w:t>
      </w:r>
      <w:r w:rsidR="005A1363" w:rsidRPr="00FB01CB">
        <w:rPr>
          <w:lang w:val="en-GB"/>
        </w:rPr>
        <w:t xml:space="preserve"> be</w:t>
      </w:r>
      <w:r w:rsidR="00E122A2" w:rsidRPr="00FB01CB">
        <w:rPr>
          <w:lang w:val="en-GB"/>
        </w:rPr>
        <w:t>low</w:t>
      </w:r>
      <w:r w:rsidR="005A1363" w:rsidRPr="00FB01CB">
        <w:rPr>
          <w:lang w:val="en-GB"/>
        </w:rPr>
        <w:t xml:space="preserve"> the </w:t>
      </w:r>
      <m:oMath>
        <m:sSub>
          <m:sSubPr>
            <m:ctrlPr>
              <w:rPr>
                <w:rFonts w:ascii="Cambria Math" w:hAnsi="Cambria Math"/>
                <w:i/>
                <w:lang w:val="en-GB"/>
              </w:rPr>
            </m:ctrlPr>
          </m:sSubPr>
          <m:e>
            <m:r>
              <w:rPr>
                <w:rFonts w:ascii="Cambria Math" w:hAnsi="Cambria Math"/>
                <w:lang w:val="en-GB"/>
              </w:rPr>
              <m:t>α</m:t>
            </m:r>
          </m:e>
          <m:sub>
            <m:r>
              <w:rPr>
                <w:rFonts w:ascii="Cambria Math" w:hAnsi="Cambria Math"/>
                <w:lang w:val="en-GB"/>
              </w:rPr>
              <m:t>j</m:t>
            </m:r>
          </m:sub>
        </m:sSub>
      </m:oMath>
      <w:r w:rsidR="009D5E75" w:rsidRPr="00FB01CB">
        <w:rPr>
          <w:lang w:val="en-GB"/>
        </w:rPr>
        <w:t>,</w:t>
      </w:r>
      <w:r w:rsidR="005A1363" w:rsidRPr="00FB01CB">
        <w:rPr>
          <w:lang w:val="en-GB"/>
        </w:rPr>
        <w:t xml:space="preserve"> disinvestment trigger</w:t>
      </w:r>
      <w:r w:rsidR="00E122A2" w:rsidRPr="00FB01CB">
        <w:rPr>
          <w:lang w:val="en-GB"/>
        </w:rPr>
        <w:t xml:space="preserve"> (white arrows depict the </w:t>
      </w:r>
      <w:r w:rsidR="001506AE" w:rsidRPr="00FB01CB">
        <w:rPr>
          <w:lang w:val="en-GB"/>
        </w:rPr>
        <w:t>trajectory of disinvestment</w:t>
      </w:r>
      <w:r w:rsidR="00E122A2" w:rsidRPr="00FB01CB">
        <w:rPr>
          <w:lang w:val="en-GB"/>
        </w:rPr>
        <w:t>)</w:t>
      </w:r>
      <w:r w:rsidR="005A1363" w:rsidRPr="00FB01CB">
        <w:rPr>
          <w:lang w:val="en-GB"/>
        </w:rPr>
        <w:t>.</w:t>
      </w:r>
      <w:r w:rsidR="00027E23" w:rsidRPr="00FB01CB">
        <w:rPr>
          <w:lang w:val="en-GB"/>
        </w:rPr>
        <w:t xml:space="preserve"> </w:t>
      </w:r>
      <w:r w:rsidR="000B3353" w:rsidRPr="00FB01CB">
        <w:rPr>
          <w:lang w:val="en-GB"/>
        </w:rPr>
        <w:t>For any given</w:t>
      </w:r>
      <w:r w:rsidR="004F3B71" w:rsidRPr="00FB01CB">
        <w:rPr>
          <w:lang w:val="en-GB"/>
        </w:rPr>
        <w:t xml:space="preserve"> value of aggregate demand</w:t>
      </w:r>
      <w:r w:rsidR="000B3353" w:rsidRPr="00FB01CB">
        <w:rPr>
          <w:lang w:val="en-GB"/>
        </w:rPr>
        <w:t xml:space="preserve"> between </w:t>
      </w:r>
      <m:oMath>
        <m:sSub>
          <m:sSubPr>
            <m:ctrlPr>
              <w:rPr>
                <w:rFonts w:ascii="Cambria Math" w:hAnsi="Cambria Math"/>
                <w:i/>
                <w:lang w:val="en-GB"/>
              </w:rPr>
            </m:ctrlPr>
          </m:sSubPr>
          <m:e>
            <m:r>
              <w:rPr>
                <w:rFonts w:ascii="Cambria Math" w:hAnsi="Cambria Math"/>
                <w:lang w:val="en-GB"/>
              </w:rPr>
              <m:t>α</m:t>
            </m:r>
          </m:e>
          <m:sub>
            <m:r>
              <w:rPr>
                <w:rFonts w:ascii="Cambria Math" w:hAnsi="Cambria Math"/>
                <w:lang w:val="en-GB"/>
              </w:rPr>
              <m:t>j</m:t>
            </m:r>
          </m:sub>
        </m:sSub>
      </m:oMath>
      <w:r w:rsidR="000B3353" w:rsidRPr="00FB01CB">
        <w:rPr>
          <w:lang w:val="en-GB"/>
        </w:rPr>
        <w:t xml:space="preserve"> and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j</m:t>
            </m:r>
          </m:sub>
        </m:sSub>
      </m:oMath>
      <w:r w:rsidR="000B3353" w:rsidRPr="00FB01CB">
        <w:rPr>
          <w:vertAlign w:val="subscript"/>
          <w:lang w:val="en-GB"/>
        </w:rPr>
        <w:t xml:space="preserve"> </w:t>
      </w:r>
      <w:r w:rsidR="000B3353" w:rsidRPr="00FB01CB">
        <w:rPr>
          <w:lang w:val="en-GB"/>
        </w:rPr>
        <w:t xml:space="preserve">there is path dependency, in the sense that </w:t>
      </w:r>
      <w:r w:rsidR="000308A2" w:rsidRPr="00FB01CB">
        <w:rPr>
          <w:lang w:val="en-GB"/>
        </w:rPr>
        <w:t xml:space="preserve">in order </w:t>
      </w:r>
      <w:r w:rsidR="000B3353" w:rsidRPr="00FB01CB">
        <w:rPr>
          <w:lang w:val="en-GB"/>
        </w:rPr>
        <w:t>to know whether the firm is invest</w:t>
      </w:r>
      <w:r w:rsidRPr="00FB01CB">
        <w:rPr>
          <w:lang w:val="en-GB"/>
        </w:rPr>
        <w:t>ing</w:t>
      </w:r>
      <w:r w:rsidR="000B3353" w:rsidRPr="00FB01CB">
        <w:rPr>
          <w:lang w:val="en-GB"/>
        </w:rPr>
        <w:t xml:space="preserve"> or disinvest</w:t>
      </w:r>
      <w:r w:rsidRPr="00FB01CB">
        <w:rPr>
          <w:lang w:val="en-GB"/>
        </w:rPr>
        <w:t>ing</w:t>
      </w:r>
      <w:r w:rsidR="000B3353" w:rsidRPr="00FB01CB">
        <w:rPr>
          <w:lang w:val="en-GB"/>
        </w:rPr>
        <w:t xml:space="preserve"> requires knowing its previous </w:t>
      </w:r>
      <w:r w:rsidR="00D71C34" w:rsidRPr="00FB01CB">
        <w:rPr>
          <w:lang w:val="en-GB"/>
        </w:rPr>
        <w:t xml:space="preserve">investment </w:t>
      </w:r>
      <w:r w:rsidR="000B3353" w:rsidRPr="00FB01CB">
        <w:rPr>
          <w:lang w:val="en-GB"/>
        </w:rPr>
        <w:t>state.</w:t>
      </w:r>
    </w:p>
    <w:p w14:paraId="328A40D3" w14:textId="31FC0C70" w:rsidR="00C00B10" w:rsidRPr="00936884" w:rsidRDefault="00FF7711" w:rsidP="00A3169E">
      <w:pPr>
        <w:pStyle w:val="BodyText"/>
        <w:spacing w:line="360" w:lineRule="auto"/>
        <w:ind w:firstLine="720"/>
        <w:jc w:val="both"/>
        <w:rPr>
          <w:lang w:val="en-GB"/>
        </w:rPr>
      </w:pPr>
      <w:r w:rsidRPr="00FB01CB">
        <w:rPr>
          <w:lang w:val="en-GB"/>
        </w:rPr>
        <w:t>It is also the case that before</w:t>
      </w:r>
      <w:r w:rsidR="00C00B10" w:rsidRPr="00FB01CB">
        <w:rPr>
          <w:lang w:val="en-GB"/>
        </w:rPr>
        <w:t xml:space="preserve"> a firm decides to either invest or disinvest,</w:t>
      </w:r>
      <w:r w:rsidRPr="00FB01CB">
        <w:rPr>
          <w:lang w:val="en-GB"/>
        </w:rPr>
        <w:t xml:space="preserve"> </w:t>
      </w:r>
      <w:r w:rsidR="00C00B10" w:rsidRPr="00FB01CB">
        <w:rPr>
          <w:lang w:val="en-GB"/>
        </w:rPr>
        <w:t xml:space="preserve">very often </w:t>
      </w:r>
      <w:r w:rsidRPr="00FB01CB">
        <w:rPr>
          <w:lang w:val="en-GB"/>
        </w:rPr>
        <w:t xml:space="preserve">it </w:t>
      </w:r>
      <w:r w:rsidR="00C00B10" w:rsidRPr="00FB01CB">
        <w:rPr>
          <w:lang w:val="en-GB"/>
        </w:rPr>
        <w:t xml:space="preserve">does not possess perfect information. Information about future economic and financial variables such as demand </w:t>
      </w:r>
      <w:r w:rsidR="000308A2" w:rsidRPr="00FB01CB">
        <w:rPr>
          <w:lang w:val="en-GB"/>
        </w:rPr>
        <w:t>for</w:t>
      </w:r>
      <w:r w:rsidR="00C00B10" w:rsidRPr="00FB01CB">
        <w:rPr>
          <w:lang w:val="en-GB"/>
        </w:rPr>
        <w:t xml:space="preserve"> goods and services, and interest rates</w:t>
      </w:r>
      <w:r w:rsidRPr="00FB01CB">
        <w:rPr>
          <w:lang w:val="en-GB"/>
        </w:rPr>
        <w:t xml:space="preserve"> is</w:t>
      </w:r>
      <w:r w:rsidR="00ED3108" w:rsidRPr="00FB01CB">
        <w:rPr>
          <w:lang w:val="en-GB"/>
        </w:rPr>
        <w:t xml:space="preserve"> of</w:t>
      </w:r>
      <w:r w:rsidRPr="00FB01CB">
        <w:rPr>
          <w:lang w:val="en-GB"/>
        </w:rPr>
        <w:t xml:space="preserve"> paramount </w:t>
      </w:r>
      <w:r w:rsidR="00ED3108" w:rsidRPr="00FB01CB">
        <w:rPr>
          <w:lang w:val="en-GB"/>
        </w:rPr>
        <w:t xml:space="preserve">importance </w:t>
      </w:r>
      <w:r w:rsidRPr="00FB01CB">
        <w:rPr>
          <w:lang w:val="en-GB"/>
        </w:rPr>
        <w:t>for a correct cost-benefit analysi</w:t>
      </w:r>
      <w:r w:rsidR="00ED3108" w:rsidRPr="00FB01CB">
        <w:rPr>
          <w:lang w:val="en-GB"/>
        </w:rPr>
        <w:t>s</w:t>
      </w:r>
      <w:r w:rsidRPr="00FB01CB">
        <w:rPr>
          <w:lang w:val="en-GB"/>
        </w:rPr>
        <w:t xml:space="preserve">. Consider the following example, knowing that the level of </w:t>
      </w:r>
      <w:r w:rsidR="00E976B8" w:rsidRPr="00FB01CB">
        <w:rPr>
          <w:lang w:val="en-GB"/>
        </w:rPr>
        <w:t>aggregate demand</w:t>
      </w:r>
      <w:r w:rsidRPr="00FB01CB">
        <w:rPr>
          <w:lang w:val="en-GB"/>
        </w:rPr>
        <w:t xml:space="preserve"> is one of the main drivers of investment, if there is </w:t>
      </w:r>
      <w:r w:rsidR="005C3992" w:rsidRPr="00FB01CB">
        <w:rPr>
          <w:lang w:val="en-GB"/>
        </w:rPr>
        <w:t xml:space="preserve">a high demand </w:t>
      </w:r>
      <w:r w:rsidRPr="00FB01CB">
        <w:rPr>
          <w:lang w:val="en-GB"/>
        </w:rPr>
        <w:t xml:space="preserve">uncertainty, the profitability of a given project will be unknown. </w:t>
      </w:r>
      <w:r w:rsidR="005C3992" w:rsidRPr="00FB01CB">
        <w:rPr>
          <w:lang w:val="en-GB"/>
        </w:rPr>
        <w:t>In this case</w:t>
      </w:r>
      <w:r w:rsidRPr="00FB01CB">
        <w:rPr>
          <w:lang w:val="en-GB"/>
        </w:rPr>
        <w:t xml:space="preserve">, the </w:t>
      </w:r>
      <w:r w:rsidRPr="00936884">
        <w:rPr>
          <w:lang w:val="en-GB"/>
        </w:rPr>
        <w:lastRenderedPageBreak/>
        <w:t xml:space="preserve">firm </w:t>
      </w:r>
      <w:r w:rsidR="005C3992">
        <w:rPr>
          <w:lang w:val="en-GB"/>
        </w:rPr>
        <w:t>has a strong incentive to</w:t>
      </w:r>
      <w:r w:rsidRPr="00936884">
        <w:rPr>
          <w:lang w:val="en-GB"/>
        </w:rPr>
        <w:t xml:space="preserve"> await further information (that is gradually arriving) before deciding. Likewise, so will the firm postpone the decision of disinvestment amid an environment of uncertainty. </w:t>
      </w:r>
      <w:r w:rsidR="00D74035">
        <w:rPr>
          <w:lang w:val="en-GB"/>
        </w:rPr>
        <w:t>Therefore,</w:t>
      </w:r>
      <w:r w:rsidRPr="00936884">
        <w:rPr>
          <w:lang w:val="en-GB"/>
        </w:rPr>
        <w:t xml:space="preserve"> the higher the level of uncertainty the wider the band of inaction.</w:t>
      </w:r>
    </w:p>
    <w:p w14:paraId="2733567F" w14:textId="10DA6A9C" w:rsidR="005D56AE" w:rsidRDefault="00FF7711" w:rsidP="00A3169E">
      <w:pPr>
        <w:pStyle w:val="BodyText"/>
        <w:spacing w:line="360" w:lineRule="auto"/>
        <w:ind w:firstLine="720"/>
        <w:jc w:val="both"/>
        <w:rPr>
          <w:lang w:val="en-GB"/>
        </w:rPr>
      </w:pPr>
      <w:r w:rsidRPr="00936884">
        <w:rPr>
          <w:lang w:val="en-GB"/>
        </w:rPr>
        <w:t>Since the firm decides in a context of uncertainty</w:t>
      </w:r>
      <w:r w:rsidR="00353F1D">
        <w:rPr>
          <w:lang w:val="en-GB"/>
        </w:rPr>
        <w:t>,</w:t>
      </w:r>
      <w:r w:rsidRPr="00936884">
        <w:rPr>
          <w:lang w:val="en-GB"/>
        </w:rPr>
        <w:t xml:space="preserve"> and considering that investment opportunities may not extinguish themselves in a short period, there is value in waiting to enter the market</w:t>
      </w:r>
      <w:r w:rsidR="00D74035">
        <w:rPr>
          <w:lang w:val="en-GB"/>
        </w:rPr>
        <w:t>, or to invest</w:t>
      </w:r>
      <w:r w:rsidRPr="00936884">
        <w:rPr>
          <w:lang w:val="en-GB"/>
        </w:rPr>
        <w:t xml:space="preserve"> (</w:t>
      </w:r>
      <w:r w:rsidR="000C28F0" w:rsidRPr="00936884">
        <w:rPr>
          <w:lang w:val="en-GB"/>
        </w:rPr>
        <w:t>Pyndick, 1991</w:t>
      </w:r>
      <w:r w:rsidR="00C20D72">
        <w:rPr>
          <w:lang w:val="en-GB"/>
        </w:rPr>
        <w:t>,</w:t>
      </w:r>
      <w:r w:rsidR="000C28F0" w:rsidRPr="00936884">
        <w:rPr>
          <w:lang w:val="en-GB"/>
        </w:rPr>
        <w:t xml:space="preserve"> </w:t>
      </w:r>
      <w:r w:rsidR="00353F1D">
        <w:rPr>
          <w:lang w:val="en-GB"/>
        </w:rPr>
        <w:t xml:space="preserve">and </w:t>
      </w:r>
      <w:r w:rsidRPr="00936884">
        <w:rPr>
          <w:lang w:val="en-GB"/>
        </w:rPr>
        <w:t>Dixit, 1992).</w:t>
      </w:r>
    </w:p>
    <w:p w14:paraId="0DA4DA0D" w14:textId="263897A6" w:rsidR="00353F1D" w:rsidRDefault="00CD1B53" w:rsidP="00A3169E">
      <w:pPr>
        <w:pStyle w:val="BodyText"/>
        <w:spacing w:line="360" w:lineRule="auto"/>
        <w:ind w:firstLine="720"/>
        <w:jc w:val="both"/>
        <w:rPr>
          <w:lang w:val="en-GB"/>
        </w:rPr>
      </w:pPr>
      <w:r>
        <w:rPr>
          <w:lang w:val="en-GB"/>
        </w:rPr>
        <w:t>T</w:t>
      </w:r>
      <w:r w:rsidR="00FF7711" w:rsidRPr="00936884">
        <w:rPr>
          <w:lang w:val="en-GB"/>
        </w:rPr>
        <w:t>he opportunity that the firm has to invest</w:t>
      </w:r>
      <w:r w:rsidR="00353F1D">
        <w:rPr>
          <w:lang w:val="en-GB"/>
        </w:rPr>
        <w:t xml:space="preserve"> can be viewed </w:t>
      </w:r>
      <w:r w:rsidR="00FF7711" w:rsidRPr="00936884">
        <w:rPr>
          <w:lang w:val="en-GB"/>
        </w:rPr>
        <w:t>as an option</w:t>
      </w:r>
      <w:r>
        <w:rPr>
          <w:lang w:val="en-GB"/>
        </w:rPr>
        <w:t xml:space="preserve"> similar to a financial call option</w:t>
      </w:r>
      <w:r w:rsidR="00FF7711" w:rsidRPr="00936884">
        <w:rPr>
          <w:lang w:val="en-GB"/>
        </w:rPr>
        <w:t xml:space="preserve">. Therefore, </w:t>
      </w:r>
      <w:r w:rsidR="00353F1D">
        <w:rPr>
          <w:lang w:val="en-GB"/>
        </w:rPr>
        <w:t xml:space="preserve">the firm </w:t>
      </w:r>
      <w:r w:rsidR="00FF7711" w:rsidRPr="00936884">
        <w:rPr>
          <w:lang w:val="en-GB"/>
        </w:rPr>
        <w:t xml:space="preserve">has the possibility but not the obligation to acquire an asset at a posterior date. When a firm decides to undertake </w:t>
      </w:r>
      <w:r>
        <w:rPr>
          <w:lang w:val="en-GB"/>
        </w:rPr>
        <w:t xml:space="preserve">an </w:t>
      </w:r>
      <w:r w:rsidR="00FF7711" w:rsidRPr="00936884">
        <w:rPr>
          <w:lang w:val="en-GB"/>
        </w:rPr>
        <w:t xml:space="preserve">irreversible investment it exercises its option to invest. The firm pays the sunk cost, acquiring an asset with fluctuating value and relinquishing the potential </w:t>
      </w:r>
      <w:r w:rsidR="00353F1D">
        <w:rPr>
          <w:lang w:val="en-GB"/>
        </w:rPr>
        <w:t xml:space="preserve">of </w:t>
      </w:r>
      <w:r w:rsidR="00FF7711" w:rsidRPr="00936884">
        <w:rPr>
          <w:lang w:val="en-GB"/>
        </w:rPr>
        <w:t>wait</w:t>
      </w:r>
      <w:r w:rsidR="00353F1D">
        <w:rPr>
          <w:lang w:val="en-GB"/>
        </w:rPr>
        <w:t>ing</w:t>
      </w:r>
      <w:r w:rsidR="00FF7711" w:rsidRPr="00936884">
        <w:rPr>
          <w:lang w:val="en-GB"/>
        </w:rPr>
        <w:t xml:space="preserve"> for new information that could affect the </w:t>
      </w:r>
      <w:r w:rsidR="00353F1D">
        <w:rPr>
          <w:lang w:val="en-GB"/>
        </w:rPr>
        <w:t>profitability</w:t>
      </w:r>
      <w:r w:rsidR="00FF7711" w:rsidRPr="00936884">
        <w:rPr>
          <w:lang w:val="en-GB"/>
        </w:rPr>
        <w:t xml:space="preserve"> of the investment project. By waiting</w:t>
      </w:r>
      <w:r>
        <w:rPr>
          <w:lang w:val="en-GB"/>
        </w:rPr>
        <w:t>,</w:t>
      </w:r>
      <w:r w:rsidR="00FF7711" w:rsidRPr="00936884">
        <w:rPr>
          <w:lang w:val="en-GB"/>
        </w:rPr>
        <w:t xml:space="preserve"> the firm is therefore forgoing the stream of cash flows it would have received had it invested and opens itself to the possibility other firms might enter the market, yet in turn receives valuable information that can significantly impact the decision to invest altogether (</w:t>
      </w:r>
      <w:r w:rsidR="00ED3108">
        <w:rPr>
          <w:lang w:val="en-GB"/>
        </w:rPr>
        <w:t>see</w:t>
      </w:r>
      <w:r w:rsidR="00395266">
        <w:rPr>
          <w:lang w:val="en-GB"/>
        </w:rPr>
        <w:t>,</w:t>
      </w:r>
      <w:r w:rsidR="00ED3108">
        <w:rPr>
          <w:lang w:val="en-GB"/>
        </w:rPr>
        <w:t xml:space="preserve"> </w:t>
      </w:r>
      <w:r w:rsidR="00ED3108" w:rsidRPr="00395266">
        <w:rPr>
          <w:i/>
          <w:iCs/>
          <w:lang w:val="en-GB"/>
        </w:rPr>
        <w:t>e</w:t>
      </w:r>
      <w:r w:rsidR="00395266" w:rsidRPr="00395266">
        <w:rPr>
          <w:i/>
          <w:iCs/>
          <w:lang w:val="en-GB"/>
        </w:rPr>
        <w:t>.</w:t>
      </w:r>
      <w:r w:rsidR="00ED3108" w:rsidRPr="00395266">
        <w:rPr>
          <w:i/>
          <w:iCs/>
          <w:lang w:val="en-GB"/>
        </w:rPr>
        <w:t>g.</w:t>
      </w:r>
      <w:r w:rsidR="00ED3108">
        <w:rPr>
          <w:lang w:val="en-GB"/>
        </w:rPr>
        <w:t xml:space="preserve">, </w:t>
      </w:r>
      <w:r w:rsidR="007E79B6" w:rsidRPr="00936884">
        <w:rPr>
          <w:lang w:val="en-GB"/>
        </w:rPr>
        <w:t>Dixit</w:t>
      </w:r>
      <w:r w:rsidR="00ED3108">
        <w:rPr>
          <w:lang w:val="en-GB"/>
        </w:rPr>
        <w:t>,</w:t>
      </w:r>
      <w:r w:rsidR="007E79B6" w:rsidRPr="00936884">
        <w:rPr>
          <w:lang w:val="en-GB"/>
        </w:rPr>
        <w:t xml:space="preserve"> 1992</w:t>
      </w:r>
      <w:r w:rsidR="00ED3108">
        <w:rPr>
          <w:lang w:val="en-GB"/>
        </w:rPr>
        <w:t>,</w:t>
      </w:r>
      <w:r w:rsidR="007E79B6" w:rsidRPr="00936884">
        <w:rPr>
          <w:lang w:val="en-GB"/>
        </w:rPr>
        <w:t xml:space="preserve"> Dixit &amp; Pyndick</w:t>
      </w:r>
      <w:r w:rsidR="00ED3108">
        <w:rPr>
          <w:lang w:val="en-GB"/>
        </w:rPr>
        <w:t>,</w:t>
      </w:r>
      <w:r w:rsidR="007E79B6" w:rsidRPr="00936884">
        <w:rPr>
          <w:lang w:val="en-GB"/>
        </w:rPr>
        <w:t xml:space="preserve"> 1994</w:t>
      </w:r>
      <w:r w:rsidR="00ED3108">
        <w:rPr>
          <w:lang w:val="en-GB"/>
        </w:rPr>
        <w:t>,</w:t>
      </w:r>
      <w:r w:rsidR="007E79B6" w:rsidRPr="00936884">
        <w:rPr>
          <w:lang w:val="en-GB"/>
        </w:rPr>
        <w:t xml:space="preserve"> Bontempi</w:t>
      </w:r>
      <w:r w:rsidR="00ED3108">
        <w:rPr>
          <w:lang w:val="en-GB"/>
        </w:rPr>
        <w:t>,</w:t>
      </w:r>
      <w:r w:rsidR="007E79B6" w:rsidRPr="00936884">
        <w:rPr>
          <w:lang w:val="en-GB"/>
        </w:rPr>
        <w:t xml:space="preserve"> 2016</w:t>
      </w:r>
      <w:r w:rsidR="00ED3108">
        <w:rPr>
          <w:lang w:val="en-GB"/>
        </w:rPr>
        <w:t>,</w:t>
      </w:r>
      <w:r w:rsidR="007E79B6" w:rsidRPr="00936884">
        <w:rPr>
          <w:lang w:val="en-GB"/>
        </w:rPr>
        <w:t xml:space="preserve"> </w:t>
      </w:r>
      <w:r w:rsidR="00FF7711" w:rsidRPr="00936884">
        <w:rPr>
          <w:lang w:val="en-GB"/>
        </w:rPr>
        <w:t xml:space="preserve">Belke </w:t>
      </w:r>
      <w:r w:rsidR="00FF7711" w:rsidRPr="0095181F">
        <w:rPr>
          <w:i/>
          <w:iCs/>
          <w:lang w:val="en-GB"/>
        </w:rPr>
        <w:t>et al</w:t>
      </w:r>
      <w:r w:rsidR="00FF7711" w:rsidRPr="00936884">
        <w:rPr>
          <w:lang w:val="en-GB"/>
        </w:rPr>
        <w:t>.</w:t>
      </w:r>
      <w:r w:rsidR="00ED3108">
        <w:rPr>
          <w:lang w:val="en-GB"/>
        </w:rPr>
        <w:t>,</w:t>
      </w:r>
      <w:r w:rsidR="00FF7711" w:rsidRPr="00936884">
        <w:rPr>
          <w:lang w:val="en-GB"/>
        </w:rPr>
        <w:t xml:space="preserve"> 2019</w:t>
      </w:r>
      <w:r w:rsidR="00ED3108">
        <w:rPr>
          <w:lang w:val="en-GB"/>
        </w:rPr>
        <w:t>,</w:t>
      </w:r>
      <w:r w:rsidR="00FF7711" w:rsidRPr="00936884">
        <w:rPr>
          <w:lang w:val="en-GB"/>
        </w:rPr>
        <w:t xml:space="preserve"> </w:t>
      </w:r>
      <w:r w:rsidR="00ED3108">
        <w:rPr>
          <w:lang w:val="en-GB"/>
        </w:rPr>
        <w:t xml:space="preserve">and </w:t>
      </w:r>
      <w:r w:rsidR="00FF7711" w:rsidRPr="00936884">
        <w:rPr>
          <w:lang w:val="en-GB"/>
        </w:rPr>
        <w:t>Belke &amp; G</w:t>
      </w:r>
      <w:r w:rsidR="00FF7711" w:rsidRPr="00936884">
        <w:rPr>
          <w:rFonts w:cs="Frutiger LT Pro 45 Light"/>
          <w:color w:val="211D1E"/>
          <w:lang w:val="en-GB"/>
        </w:rPr>
        <w:t>ö</w:t>
      </w:r>
      <w:r w:rsidR="00FF7711" w:rsidRPr="00936884">
        <w:rPr>
          <w:lang w:val="en-GB"/>
        </w:rPr>
        <w:t>cke</w:t>
      </w:r>
      <w:r w:rsidR="00ED3108">
        <w:rPr>
          <w:lang w:val="en-GB"/>
        </w:rPr>
        <w:t>,</w:t>
      </w:r>
      <w:r w:rsidR="00FF7711" w:rsidRPr="00936884">
        <w:rPr>
          <w:lang w:val="en-GB"/>
        </w:rPr>
        <w:t xml:space="preserve"> 2019).</w:t>
      </w:r>
    </w:p>
    <w:p w14:paraId="254DAF4E" w14:textId="29BDCB92" w:rsidR="00FF7711" w:rsidRPr="00936884" w:rsidRDefault="00FF7711" w:rsidP="00A3169E">
      <w:pPr>
        <w:pStyle w:val="BodyText"/>
        <w:spacing w:line="360" w:lineRule="auto"/>
        <w:ind w:firstLine="720"/>
        <w:jc w:val="both"/>
        <w:rPr>
          <w:lang w:val="en-GB"/>
        </w:rPr>
      </w:pPr>
      <w:r w:rsidRPr="00936884">
        <w:rPr>
          <w:lang w:val="en-GB"/>
        </w:rPr>
        <w:t xml:space="preserve">The </w:t>
      </w:r>
      <w:r w:rsidR="00ED3108">
        <w:rPr>
          <w:lang w:val="en-GB"/>
        </w:rPr>
        <w:t xml:space="preserve">firm’s </w:t>
      </w:r>
      <w:r w:rsidRPr="00936884">
        <w:rPr>
          <w:lang w:val="en-GB"/>
        </w:rPr>
        <w:t xml:space="preserve">decision </w:t>
      </w:r>
      <w:r w:rsidR="00ED3108">
        <w:rPr>
          <w:lang w:val="en-GB"/>
        </w:rPr>
        <w:t>to invest depends</w:t>
      </w:r>
      <w:r w:rsidRPr="00936884">
        <w:rPr>
          <w:lang w:val="en-GB"/>
        </w:rPr>
        <w:t xml:space="preserve"> on a comparison between the present expected value of waiting and see</w:t>
      </w:r>
      <w:r w:rsidR="00ED3108">
        <w:rPr>
          <w:lang w:val="en-GB"/>
        </w:rPr>
        <w:t>,</w:t>
      </w:r>
      <w:r w:rsidRPr="00936884">
        <w:rPr>
          <w:lang w:val="en-GB"/>
        </w:rPr>
        <w:t xml:space="preserve"> and the present expected value of </w:t>
      </w:r>
      <w:r w:rsidR="00ED3108">
        <w:rPr>
          <w:lang w:val="en-GB"/>
        </w:rPr>
        <w:t>investing immediately</w:t>
      </w:r>
      <w:r w:rsidRPr="00936884">
        <w:rPr>
          <w:lang w:val="en-GB"/>
        </w:rPr>
        <w:t xml:space="preserve">. Likewise, the decision to exit the market is based on the expected value of waiting and see and the present expected value of </w:t>
      </w:r>
      <w:r w:rsidR="00ED3108">
        <w:rPr>
          <w:lang w:val="en-GB"/>
        </w:rPr>
        <w:t xml:space="preserve">disinvesting </w:t>
      </w:r>
      <w:r w:rsidRPr="00936884">
        <w:rPr>
          <w:lang w:val="en-GB"/>
        </w:rPr>
        <w:t>immediately. Indifference within strategies of both sets results in an investment and disinvestment trigger, respectively (</w:t>
      </w:r>
      <w:r w:rsidR="006F247D">
        <w:rPr>
          <w:lang w:val="en-GB"/>
        </w:rPr>
        <w:t xml:space="preserve">see for more detail, </w:t>
      </w:r>
      <w:r w:rsidRPr="00936884">
        <w:rPr>
          <w:lang w:val="en-GB"/>
        </w:rPr>
        <w:t xml:space="preserve">Belke </w:t>
      </w:r>
      <w:r w:rsidRPr="0095181F">
        <w:rPr>
          <w:i/>
          <w:iCs/>
          <w:lang w:val="en-GB"/>
        </w:rPr>
        <w:t>et al</w:t>
      </w:r>
      <w:r w:rsidRPr="00936884">
        <w:rPr>
          <w:lang w:val="en-GB"/>
        </w:rPr>
        <w:t>.</w:t>
      </w:r>
      <w:r w:rsidR="002E3C4B">
        <w:rPr>
          <w:lang w:val="en-GB"/>
        </w:rPr>
        <w:t>,</w:t>
      </w:r>
      <w:r w:rsidRPr="00936884">
        <w:rPr>
          <w:lang w:val="en-GB"/>
        </w:rPr>
        <w:t xml:space="preserve"> 2019).</w:t>
      </w:r>
    </w:p>
    <w:p w14:paraId="5DBB0CA9" w14:textId="4CF51663" w:rsidR="00615112" w:rsidRDefault="00615112" w:rsidP="00A3169E">
      <w:pPr>
        <w:pStyle w:val="BodyText"/>
        <w:spacing w:line="360" w:lineRule="auto"/>
        <w:ind w:firstLine="720"/>
        <w:jc w:val="both"/>
        <w:rPr>
          <w:lang w:val="en-GB"/>
        </w:rPr>
      </w:pPr>
      <w:r w:rsidRPr="00936884">
        <w:rPr>
          <w:lang w:val="en-GB"/>
        </w:rPr>
        <w:t>The band of inaction is</w:t>
      </w:r>
      <w:r w:rsidR="00FF7711" w:rsidRPr="00936884">
        <w:rPr>
          <w:lang w:val="en-GB"/>
        </w:rPr>
        <w:t xml:space="preserve"> the</w:t>
      </w:r>
      <w:r w:rsidR="0000000E" w:rsidRPr="00936884">
        <w:rPr>
          <w:lang w:val="en-GB"/>
        </w:rPr>
        <w:t>refore</w:t>
      </w:r>
      <w:r w:rsidR="004E214A" w:rsidRPr="00936884">
        <w:rPr>
          <w:lang w:val="en-GB"/>
        </w:rPr>
        <w:t xml:space="preserve"> a</w:t>
      </w:r>
      <w:r w:rsidRPr="00936884">
        <w:rPr>
          <w:lang w:val="en-GB"/>
        </w:rPr>
        <w:t>ffected</w:t>
      </w:r>
      <w:r w:rsidR="00F9628E" w:rsidRPr="00936884">
        <w:rPr>
          <w:lang w:val="en-GB"/>
        </w:rPr>
        <w:t xml:space="preserve"> not only</w:t>
      </w:r>
      <w:r w:rsidRPr="00936884">
        <w:rPr>
          <w:lang w:val="en-GB"/>
        </w:rPr>
        <w:t xml:space="preserve"> by the </w:t>
      </w:r>
      <w:r w:rsidR="00F9628E" w:rsidRPr="00936884">
        <w:rPr>
          <w:lang w:val="en-GB"/>
        </w:rPr>
        <w:t xml:space="preserve">presence of non-convex adjustment costs but also by the </w:t>
      </w:r>
      <w:r w:rsidRPr="00936884">
        <w:rPr>
          <w:lang w:val="en-GB"/>
        </w:rPr>
        <w:t>level of uncertainty</w:t>
      </w:r>
      <w:r w:rsidR="00D5002F" w:rsidRPr="00936884">
        <w:rPr>
          <w:lang w:val="en-GB"/>
        </w:rPr>
        <w:t xml:space="preserve"> </w:t>
      </w:r>
      <w:r w:rsidR="00F9628E" w:rsidRPr="00936884">
        <w:rPr>
          <w:lang w:val="en-GB"/>
        </w:rPr>
        <w:t>related to future demand</w:t>
      </w:r>
      <w:r w:rsidRPr="00936884">
        <w:rPr>
          <w:lang w:val="en-GB"/>
        </w:rPr>
        <w:t xml:space="preserve"> (</w:t>
      </w:r>
      <w:r w:rsidR="006B4C9F">
        <w:rPr>
          <w:lang w:val="en-GB"/>
        </w:rPr>
        <w:t>see</w:t>
      </w:r>
      <w:r w:rsidR="00395266">
        <w:rPr>
          <w:lang w:val="en-GB"/>
        </w:rPr>
        <w:t>,</w:t>
      </w:r>
      <w:r w:rsidR="006B4C9F">
        <w:rPr>
          <w:lang w:val="en-GB"/>
        </w:rPr>
        <w:t xml:space="preserve"> </w:t>
      </w:r>
      <w:r w:rsidR="007A49F7" w:rsidRPr="00936884">
        <w:rPr>
          <w:lang w:val="en-GB"/>
        </w:rPr>
        <w:t>Dixit</w:t>
      </w:r>
      <w:r w:rsidR="00ED3108">
        <w:rPr>
          <w:lang w:val="en-GB"/>
        </w:rPr>
        <w:t>,</w:t>
      </w:r>
      <w:r w:rsidR="007A49F7" w:rsidRPr="00936884">
        <w:rPr>
          <w:lang w:val="en-GB"/>
        </w:rPr>
        <w:t xml:space="preserve"> 1992</w:t>
      </w:r>
      <w:r w:rsidR="00ED3108">
        <w:rPr>
          <w:lang w:val="en-GB"/>
        </w:rPr>
        <w:t>,</w:t>
      </w:r>
      <w:r w:rsidR="007A49F7" w:rsidRPr="00936884">
        <w:rPr>
          <w:lang w:val="en-GB"/>
        </w:rPr>
        <w:t xml:space="preserve"> Bontempi</w:t>
      </w:r>
      <w:r w:rsidR="00ED3108">
        <w:rPr>
          <w:lang w:val="en-GB"/>
        </w:rPr>
        <w:t>,</w:t>
      </w:r>
      <w:r w:rsidR="007A49F7" w:rsidRPr="00936884">
        <w:rPr>
          <w:lang w:val="en-GB"/>
        </w:rPr>
        <w:t xml:space="preserve"> 2016</w:t>
      </w:r>
      <w:r w:rsidR="00ED3108">
        <w:rPr>
          <w:lang w:val="en-GB"/>
        </w:rPr>
        <w:t>,</w:t>
      </w:r>
      <w:r w:rsidR="007A49F7" w:rsidRPr="00936884">
        <w:rPr>
          <w:lang w:val="en-GB"/>
        </w:rPr>
        <w:t xml:space="preserve"> </w:t>
      </w:r>
      <w:r w:rsidRPr="00936884">
        <w:rPr>
          <w:lang w:val="en-GB"/>
        </w:rPr>
        <w:t xml:space="preserve">Belke </w:t>
      </w:r>
      <w:r w:rsidRPr="0095181F">
        <w:rPr>
          <w:i/>
          <w:iCs/>
          <w:lang w:val="en-GB"/>
        </w:rPr>
        <w:t>et al</w:t>
      </w:r>
      <w:r w:rsidRPr="00936884">
        <w:rPr>
          <w:lang w:val="en-GB"/>
        </w:rPr>
        <w:t>.</w:t>
      </w:r>
      <w:r w:rsidR="00ED3108">
        <w:rPr>
          <w:lang w:val="en-GB"/>
        </w:rPr>
        <w:t>,</w:t>
      </w:r>
      <w:r w:rsidRPr="00936884">
        <w:rPr>
          <w:lang w:val="en-GB"/>
        </w:rPr>
        <w:t xml:space="preserve"> 2019, Belke &amp; G</w:t>
      </w:r>
      <w:r w:rsidRPr="00936884">
        <w:rPr>
          <w:rFonts w:cs="Frutiger LT Pro 45 Light"/>
          <w:color w:val="211D1E"/>
          <w:lang w:val="en-GB"/>
        </w:rPr>
        <w:t>ö</w:t>
      </w:r>
      <w:r w:rsidRPr="00936884">
        <w:rPr>
          <w:lang w:val="en-GB"/>
        </w:rPr>
        <w:t>cke</w:t>
      </w:r>
      <w:r w:rsidR="00ED3108">
        <w:rPr>
          <w:lang w:val="en-GB"/>
        </w:rPr>
        <w:t>,</w:t>
      </w:r>
      <w:r w:rsidRPr="00936884">
        <w:rPr>
          <w:lang w:val="en-GB"/>
        </w:rPr>
        <w:t xml:space="preserve"> 2019).</w:t>
      </w:r>
    </w:p>
    <w:p w14:paraId="51838A59" w14:textId="2B9051C1" w:rsidR="007A7F03" w:rsidRPr="0063438A" w:rsidRDefault="007A7F03" w:rsidP="00F13999">
      <w:pPr>
        <w:pStyle w:val="Heading3"/>
        <w:numPr>
          <w:ilvl w:val="1"/>
          <w:numId w:val="24"/>
        </w:numPr>
        <w:tabs>
          <w:tab w:val="left" w:pos="426"/>
        </w:tabs>
        <w:ind w:left="0" w:firstLine="17"/>
        <w:rPr>
          <w:b w:val="0"/>
          <w:bCs w:val="0"/>
          <w:lang w:val="en-GB"/>
        </w:rPr>
      </w:pPr>
      <w:r>
        <w:rPr>
          <w:lang w:val="en-GB"/>
        </w:rPr>
        <w:br w:type="page"/>
      </w:r>
      <w:r>
        <w:rPr>
          <w:lang w:val="en-GB"/>
        </w:rPr>
        <w:lastRenderedPageBreak/>
        <w:t xml:space="preserve">The Preisach </w:t>
      </w:r>
      <w:r w:rsidR="00874251">
        <w:rPr>
          <w:lang w:val="en-GB"/>
        </w:rPr>
        <w:t>M</w:t>
      </w:r>
      <w:r>
        <w:rPr>
          <w:lang w:val="en-GB"/>
        </w:rPr>
        <w:t>odel</w:t>
      </w:r>
    </w:p>
    <w:p w14:paraId="6E166067" w14:textId="77777777" w:rsidR="007A7F03" w:rsidRPr="0063438A" w:rsidRDefault="007A7F03" w:rsidP="00A35328">
      <w:pPr>
        <w:pStyle w:val="BodyText"/>
        <w:spacing w:line="360" w:lineRule="auto"/>
        <w:ind w:firstLine="720"/>
        <w:jc w:val="both"/>
        <w:rPr>
          <w:lang w:val="en-GB"/>
        </w:rPr>
      </w:pPr>
    </w:p>
    <w:p w14:paraId="441C3AC6" w14:textId="6D0CA8EF" w:rsidR="00FF058C" w:rsidRPr="002C77A7" w:rsidRDefault="000D4ACB" w:rsidP="002C77A7">
      <w:pPr>
        <w:pStyle w:val="BodyText"/>
        <w:spacing w:line="360" w:lineRule="auto"/>
        <w:ind w:firstLine="720"/>
        <w:jc w:val="both"/>
        <w:rPr>
          <w:lang w:val="en-GB"/>
        </w:rPr>
      </w:pPr>
      <w:r w:rsidRPr="002C77A7">
        <w:rPr>
          <w:lang w:val="en-GB"/>
        </w:rPr>
        <w:t xml:space="preserve">To describe the aggregate </w:t>
      </w:r>
      <w:r w:rsidR="003462F7" w:rsidRPr="002C77A7">
        <w:rPr>
          <w:lang w:val="en-GB"/>
        </w:rPr>
        <w:t>dynamics of investment</w:t>
      </w:r>
      <w:r w:rsidR="00A63BDC" w:rsidRPr="002C77A7">
        <w:rPr>
          <w:lang w:val="en-GB"/>
        </w:rPr>
        <w:t xml:space="preserve"> we use the Preisach model</w:t>
      </w:r>
      <w:r w:rsidR="004945F5" w:rsidRPr="002C77A7">
        <w:rPr>
          <w:lang w:val="en-GB"/>
        </w:rPr>
        <w:t xml:space="preserve"> </w:t>
      </w:r>
      <w:r w:rsidR="00353F1D">
        <w:rPr>
          <w:lang w:val="en-GB"/>
        </w:rPr>
        <w:t>of hysteresis</w:t>
      </w:r>
      <w:r w:rsidR="00927132">
        <w:rPr>
          <w:lang w:val="en-GB"/>
        </w:rPr>
        <w:t>,</w:t>
      </w:r>
      <w:r w:rsidR="00353F1D">
        <w:rPr>
          <w:lang w:val="en-GB"/>
        </w:rPr>
        <w:t xml:space="preserve"> </w:t>
      </w:r>
      <w:r w:rsidR="004945F5" w:rsidRPr="002C77A7">
        <w:rPr>
          <w:lang w:val="en-GB"/>
        </w:rPr>
        <w:t>which can be viewed as</w:t>
      </w:r>
      <w:r w:rsidR="00D27673" w:rsidRPr="002C77A7">
        <w:rPr>
          <w:lang w:val="en-GB"/>
        </w:rPr>
        <w:t xml:space="preserve"> an aggregation procedure from</w:t>
      </w:r>
      <w:r w:rsidR="005F64CB" w:rsidRPr="002C77A7">
        <w:rPr>
          <w:lang w:val="en-GB"/>
        </w:rPr>
        <w:t xml:space="preserve"> firm</w:t>
      </w:r>
      <w:r w:rsidR="004945F5" w:rsidRPr="002C77A7">
        <w:rPr>
          <w:lang w:val="en-GB"/>
        </w:rPr>
        <w:t>-level investment behaviour</w:t>
      </w:r>
      <w:r w:rsidR="005F64CB" w:rsidRPr="002C77A7">
        <w:rPr>
          <w:lang w:val="en-GB"/>
        </w:rPr>
        <w:t xml:space="preserve"> described</w:t>
      </w:r>
      <w:r w:rsidR="00D27673" w:rsidRPr="002C77A7">
        <w:rPr>
          <w:lang w:val="en-GB"/>
        </w:rPr>
        <w:t xml:space="preserve"> by </w:t>
      </w:r>
      <w:r w:rsidRPr="002C77A7">
        <w:rPr>
          <w:lang w:val="en-GB"/>
        </w:rPr>
        <w:t xml:space="preserve">the </w:t>
      </w:r>
      <w:r w:rsidR="00D27673" w:rsidRPr="002C77A7">
        <w:rPr>
          <w:lang w:val="en-GB"/>
        </w:rPr>
        <w:t>non-ideal relay</w:t>
      </w:r>
      <w:r w:rsidRPr="002C77A7">
        <w:rPr>
          <w:lang w:val="en-GB"/>
        </w:rPr>
        <w:t xml:space="preserve"> model</w:t>
      </w:r>
      <w:r w:rsidR="004945F5" w:rsidRPr="002C77A7">
        <w:rPr>
          <w:lang w:val="en-GB"/>
        </w:rPr>
        <w:t xml:space="preserve"> up to the macroeconomic level</w:t>
      </w:r>
      <w:r w:rsidRPr="002C77A7">
        <w:rPr>
          <w:lang w:val="en-GB"/>
        </w:rPr>
        <w:t>.</w:t>
      </w:r>
    </w:p>
    <w:p w14:paraId="45973956" w14:textId="72B2A9A4" w:rsidR="00622525" w:rsidRPr="002C77A7" w:rsidRDefault="0019004D" w:rsidP="002C77A7">
      <w:pPr>
        <w:pStyle w:val="BodyText"/>
        <w:spacing w:line="360" w:lineRule="auto"/>
        <w:ind w:firstLine="720"/>
        <w:jc w:val="both"/>
        <w:rPr>
          <w:lang w:val="en-GB"/>
        </w:rPr>
      </w:pPr>
      <w:r w:rsidRPr="002C77A7">
        <w:rPr>
          <w:lang w:val="en-GB"/>
        </w:rPr>
        <w:t>As G</w:t>
      </w:r>
      <w:r w:rsidRPr="002C77A7">
        <w:rPr>
          <w:rFonts w:cs="Frutiger LT Pro 45 Light"/>
          <w:color w:val="211D1E"/>
          <w:lang w:val="en-GB"/>
        </w:rPr>
        <w:t>ö</w:t>
      </w:r>
      <w:r w:rsidRPr="002C77A7">
        <w:rPr>
          <w:lang w:val="en-GB"/>
        </w:rPr>
        <w:t>cke (2002) puts it, aggregation leads to a stronger pattern of hysteresis. Strong hysteresis</w:t>
      </w:r>
      <w:r w:rsidR="004945F5" w:rsidRPr="002C77A7">
        <w:rPr>
          <w:lang w:val="en-GB"/>
        </w:rPr>
        <w:t xml:space="preserve"> that</w:t>
      </w:r>
      <w:r w:rsidRPr="002C77A7">
        <w:rPr>
          <w:lang w:val="en-GB"/>
        </w:rPr>
        <w:t xml:space="preserve"> arises at the macro level has different properties that are well defined in Amable </w:t>
      </w:r>
      <w:r w:rsidRPr="0095181F">
        <w:rPr>
          <w:i/>
          <w:iCs/>
          <w:lang w:val="en-GB"/>
        </w:rPr>
        <w:t>et al</w:t>
      </w:r>
      <w:r w:rsidRPr="002C77A7">
        <w:rPr>
          <w:lang w:val="en-GB"/>
        </w:rPr>
        <w:t xml:space="preserve">. (1994). </w:t>
      </w:r>
      <w:r w:rsidR="00AE13BD" w:rsidRPr="002C77A7">
        <w:rPr>
          <w:lang w:val="en-GB"/>
        </w:rPr>
        <w:t>Different</w:t>
      </w:r>
      <w:r w:rsidR="004945F5" w:rsidRPr="002C77A7">
        <w:rPr>
          <w:lang w:val="en-GB"/>
        </w:rPr>
        <w:t>ly from</w:t>
      </w:r>
      <w:r w:rsidRPr="002C77A7">
        <w:rPr>
          <w:lang w:val="en-GB"/>
        </w:rPr>
        <w:t xml:space="preserve"> the </w:t>
      </w:r>
      <w:r w:rsidR="004945F5" w:rsidRPr="002C77A7">
        <w:rPr>
          <w:lang w:val="en-GB"/>
        </w:rPr>
        <w:t>dynamics described by</w:t>
      </w:r>
      <w:r w:rsidRPr="002C77A7">
        <w:rPr>
          <w:lang w:val="en-GB"/>
        </w:rPr>
        <w:t xml:space="preserve"> the </w:t>
      </w:r>
      <w:r w:rsidR="00AE4E4E">
        <w:rPr>
          <w:lang w:val="en-GB"/>
        </w:rPr>
        <w:t>n</w:t>
      </w:r>
      <w:r w:rsidRPr="002C77A7">
        <w:rPr>
          <w:lang w:val="en-GB"/>
        </w:rPr>
        <w:t>on-</w:t>
      </w:r>
      <w:r w:rsidR="00AE4E4E">
        <w:rPr>
          <w:lang w:val="en-GB"/>
        </w:rPr>
        <w:t>i</w:t>
      </w:r>
      <w:r w:rsidRPr="002C77A7">
        <w:rPr>
          <w:lang w:val="en-GB"/>
        </w:rPr>
        <w:t xml:space="preserve">deal </w:t>
      </w:r>
      <w:r w:rsidR="00AE4E4E">
        <w:rPr>
          <w:lang w:val="en-GB"/>
        </w:rPr>
        <w:t>r</w:t>
      </w:r>
      <w:r w:rsidRPr="002C77A7">
        <w:rPr>
          <w:lang w:val="en-GB"/>
        </w:rPr>
        <w:t xml:space="preserve">elay model, the current </w:t>
      </w:r>
      <w:r w:rsidR="00817277" w:rsidRPr="002C77A7">
        <w:rPr>
          <w:lang w:val="en-GB"/>
        </w:rPr>
        <w:t>output</w:t>
      </w:r>
      <w:r w:rsidRPr="002C77A7">
        <w:rPr>
          <w:lang w:val="en-GB"/>
        </w:rPr>
        <w:t xml:space="preserve"> of the hysteretic system</w:t>
      </w:r>
      <w:r w:rsidR="004945F5" w:rsidRPr="002C77A7">
        <w:rPr>
          <w:lang w:val="en-GB"/>
        </w:rPr>
        <w:t xml:space="preserve"> at the aggregate level</w:t>
      </w:r>
      <w:r w:rsidRPr="002C77A7">
        <w:rPr>
          <w:lang w:val="en-GB"/>
        </w:rPr>
        <w:t xml:space="preserve"> depends now on a much richer history than before. In the </w:t>
      </w:r>
      <w:r w:rsidR="00AE4E4E">
        <w:rPr>
          <w:lang w:val="en-GB"/>
        </w:rPr>
        <w:t>n</w:t>
      </w:r>
      <w:r w:rsidRPr="002C77A7">
        <w:rPr>
          <w:lang w:val="en-GB"/>
        </w:rPr>
        <w:t>on-</w:t>
      </w:r>
      <w:r w:rsidR="00AE4E4E">
        <w:rPr>
          <w:lang w:val="en-GB"/>
        </w:rPr>
        <w:t>i</w:t>
      </w:r>
      <w:r w:rsidRPr="002C77A7">
        <w:rPr>
          <w:lang w:val="en-GB"/>
        </w:rPr>
        <w:t xml:space="preserve">deal </w:t>
      </w:r>
      <w:r w:rsidR="00AE4E4E">
        <w:rPr>
          <w:lang w:val="en-GB"/>
        </w:rPr>
        <w:t>r</w:t>
      </w:r>
      <w:r w:rsidRPr="002C77A7">
        <w:rPr>
          <w:lang w:val="en-GB"/>
        </w:rPr>
        <w:t xml:space="preserve">elay </w:t>
      </w:r>
      <w:r w:rsidR="004945F5" w:rsidRPr="002C77A7">
        <w:rPr>
          <w:lang w:val="en-GB"/>
        </w:rPr>
        <w:t>m</w:t>
      </w:r>
      <w:r w:rsidR="004B0AEB" w:rsidRPr="002C77A7">
        <w:rPr>
          <w:lang w:val="en-GB"/>
        </w:rPr>
        <w:t>odel</w:t>
      </w:r>
      <w:r w:rsidR="004945F5" w:rsidRPr="002C77A7">
        <w:rPr>
          <w:lang w:val="en-GB"/>
        </w:rPr>
        <w:t>,</w:t>
      </w:r>
      <w:r w:rsidRPr="002C77A7">
        <w:rPr>
          <w:lang w:val="en-GB"/>
        </w:rPr>
        <w:t xml:space="preserve"> there were critical thresholds that had to be </w:t>
      </w:r>
      <w:r w:rsidR="004945F5" w:rsidRPr="002C77A7">
        <w:rPr>
          <w:lang w:val="en-GB"/>
        </w:rPr>
        <w:t>surpassed</w:t>
      </w:r>
      <w:r w:rsidR="0068322A" w:rsidRPr="002C77A7">
        <w:rPr>
          <w:lang w:val="en-GB"/>
        </w:rPr>
        <w:t xml:space="preserve">, </w:t>
      </w:r>
      <w:r w:rsidR="004945F5" w:rsidRPr="002C77A7">
        <w:rPr>
          <w:lang w:val="en-GB"/>
        </w:rPr>
        <w:t xml:space="preserve">to produce </w:t>
      </w:r>
      <w:r w:rsidRPr="002C77A7">
        <w:rPr>
          <w:lang w:val="en-GB"/>
        </w:rPr>
        <w:t>remanence effects</w:t>
      </w:r>
      <w:r w:rsidR="004945F5" w:rsidRPr="002C77A7">
        <w:rPr>
          <w:lang w:val="en-GB"/>
        </w:rPr>
        <w:t>. At the aggregate level, however</w:t>
      </w:r>
      <w:r w:rsidR="00622525" w:rsidRPr="002C77A7">
        <w:rPr>
          <w:lang w:val="en-GB"/>
        </w:rPr>
        <w:t>,</w:t>
      </w:r>
      <w:r w:rsidR="004945F5" w:rsidRPr="002C77A7">
        <w:rPr>
          <w:lang w:val="en-GB"/>
        </w:rPr>
        <w:t xml:space="preserve"> due to the</w:t>
      </w:r>
      <w:r w:rsidR="00622525" w:rsidRPr="002C77A7">
        <w:rPr>
          <w:lang w:val="en-GB"/>
        </w:rPr>
        <w:t xml:space="preserve"> heterogen</w:t>
      </w:r>
      <w:r w:rsidR="004945F5" w:rsidRPr="002C77A7">
        <w:rPr>
          <w:lang w:val="en-GB"/>
        </w:rPr>
        <w:t>e</w:t>
      </w:r>
      <w:r w:rsidR="00622525" w:rsidRPr="002C77A7">
        <w:rPr>
          <w:lang w:val="en-GB"/>
        </w:rPr>
        <w:t xml:space="preserve">ous nature of </w:t>
      </w:r>
      <w:r w:rsidR="004945F5" w:rsidRPr="002C77A7">
        <w:rPr>
          <w:lang w:val="en-GB"/>
        </w:rPr>
        <w:t xml:space="preserve">the </w:t>
      </w:r>
      <w:r w:rsidR="00622525" w:rsidRPr="002C77A7">
        <w:rPr>
          <w:lang w:val="en-GB"/>
        </w:rPr>
        <w:t>firm’s investment and disinvestment triggers</w:t>
      </w:r>
      <w:r w:rsidR="004945F5" w:rsidRPr="002C77A7">
        <w:rPr>
          <w:lang w:val="en-GB"/>
        </w:rPr>
        <w:t xml:space="preserve"> every transitory shock in the input variable originates remanence</w:t>
      </w:r>
      <w:r w:rsidR="004945F5" w:rsidRPr="002C77A7">
        <w:rPr>
          <w:rStyle w:val="FootnoteReference"/>
          <w:lang w:val="en-GB"/>
        </w:rPr>
        <w:footnoteReference w:id="7"/>
      </w:r>
      <w:r w:rsidRPr="002C77A7">
        <w:rPr>
          <w:lang w:val="en-GB"/>
        </w:rPr>
        <w:t xml:space="preserve">. </w:t>
      </w:r>
      <w:r w:rsidR="004945F5" w:rsidRPr="002C77A7">
        <w:rPr>
          <w:lang w:val="en-GB"/>
        </w:rPr>
        <w:t xml:space="preserve">Moreover, and still, in contrast with the Non-Ideal Relay model, the magnitude of the remanence effects depends now on the magnitude of the change in the exogenous variable (Amable </w:t>
      </w:r>
      <w:r w:rsidR="004945F5" w:rsidRPr="0095181F">
        <w:rPr>
          <w:i/>
          <w:iCs/>
          <w:lang w:val="en-GB"/>
        </w:rPr>
        <w:t>et al</w:t>
      </w:r>
      <w:r w:rsidR="004945F5" w:rsidRPr="002C77A7">
        <w:rPr>
          <w:lang w:val="en-GB"/>
        </w:rPr>
        <w:t>., 1994). Another</w:t>
      </w:r>
      <w:r w:rsidR="00622525" w:rsidRPr="002C77A7">
        <w:rPr>
          <w:lang w:val="en-GB"/>
        </w:rPr>
        <w:t xml:space="preserve"> property of a hysteretic system that </w:t>
      </w:r>
      <w:r w:rsidR="004945F5" w:rsidRPr="002C77A7">
        <w:rPr>
          <w:lang w:val="en-GB"/>
        </w:rPr>
        <w:t>only emerges at the macro level is</w:t>
      </w:r>
      <w:r w:rsidR="00622525" w:rsidRPr="002C77A7">
        <w:rPr>
          <w:lang w:val="en-GB"/>
        </w:rPr>
        <w:t xml:space="preserve"> selectivity. Selectivity refers to the notion that the equilibrium investment level neither dismisses all previous shocks nor does it remember all past shocks. The only shocks that are not erased from the system’s memory are the non-dominated extrema. This notion will become clearer in the coming paragraphs.</w:t>
      </w:r>
    </w:p>
    <w:p w14:paraId="198CC7C7" w14:textId="77777777" w:rsidR="00BB443A" w:rsidRDefault="004945F5" w:rsidP="002C77A7">
      <w:pPr>
        <w:pStyle w:val="BodyText"/>
        <w:spacing w:line="360" w:lineRule="auto"/>
        <w:ind w:firstLine="720"/>
        <w:jc w:val="both"/>
        <w:rPr>
          <w:lang w:val="en-GB"/>
        </w:rPr>
      </w:pPr>
      <w:r w:rsidRPr="002C77A7">
        <w:rPr>
          <w:lang w:val="en-GB"/>
        </w:rPr>
        <w:t>To illustrate the aggregate dynamics of investment l</w:t>
      </w:r>
      <w:r w:rsidR="00B33962" w:rsidRPr="002C77A7">
        <w:rPr>
          <w:lang w:val="en-GB"/>
        </w:rPr>
        <w:t xml:space="preserve">et us consider </w:t>
      </w:r>
      <w:r w:rsidR="00F41AB6" w:rsidRPr="002C77A7">
        <w:rPr>
          <w:lang w:val="en-GB"/>
        </w:rPr>
        <w:t xml:space="preserve">a set of all potentially </w:t>
      </w:r>
      <w:r w:rsidR="00B33962" w:rsidRPr="002C77A7">
        <w:rPr>
          <w:lang w:val="en-GB"/>
        </w:rPr>
        <w:t xml:space="preserve">investing </w:t>
      </w:r>
      <w:r w:rsidR="00F41AB6" w:rsidRPr="002C77A7">
        <w:rPr>
          <w:lang w:val="en-GB"/>
        </w:rPr>
        <w:t>firms</w:t>
      </w:r>
      <w:r w:rsidR="00B33962" w:rsidRPr="002C77A7">
        <w:rPr>
          <w:lang w:val="en-GB"/>
        </w:rPr>
        <w:t>, each one characterised by a pair</w:t>
      </w:r>
      <w:r w:rsidR="00F41AB6" w:rsidRPr="002C77A7">
        <w:rPr>
          <w:lang w:val="en-GB"/>
        </w:rPr>
        <w:t xml:space="preserve"> of </w:t>
      </w:r>
      <w:r w:rsidR="00192D50" w:rsidRPr="002C77A7">
        <w:rPr>
          <w:lang w:val="en-GB"/>
        </w:rPr>
        <w:t xml:space="preserve">investment and disinvestment </w:t>
      </w:r>
      <w:r w:rsidR="00F41AB6" w:rsidRPr="002C77A7">
        <w:rPr>
          <w:lang w:val="en-GB"/>
        </w:rPr>
        <w:t>triggers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j</m:t>
            </m:r>
          </m:sub>
        </m:sSub>
      </m:oMath>
      <w:r w:rsidR="00F41AB6" w:rsidRPr="002C77A7">
        <w:rPr>
          <w:lang w:val="en-GB"/>
        </w:rPr>
        <w:t xml:space="preserve"> and </w:t>
      </w:r>
      <m:oMath>
        <m:sSub>
          <m:sSubPr>
            <m:ctrlPr>
              <w:rPr>
                <w:rFonts w:ascii="Cambria Math" w:hAnsi="Cambria Math"/>
                <w:i/>
                <w:lang w:val="en-GB"/>
              </w:rPr>
            </m:ctrlPr>
          </m:sSubPr>
          <m:e>
            <m:r>
              <w:rPr>
                <w:rFonts w:ascii="Cambria Math" w:hAnsi="Cambria Math"/>
                <w:lang w:val="en-GB"/>
              </w:rPr>
              <m:t>α</m:t>
            </m:r>
          </m:e>
          <m:sub>
            <m:r>
              <w:rPr>
                <w:rFonts w:ascii="Cambria Math" w:hAnsi="Cambria Math"/>
                <w:lang w:val="en-GB"/>
              </w:rPr>
              <m:t>j</m:t>
            </m:r>
          </m:sub>
        </m:sSub>
      </m:oMath>
      <w:r w:rsidR="00F41AB6" w:rsidRPr="002C77A7">
        <w:rPr>
          <w:vertAlign w:val="subscript"/>
          <w:lang w:val="en-GB"/>
        </w:rPr>
        <w:t xml:space="preserve">, </w:t>
      </w:r>
      <w:r w:rsidR="00F41AB6" w:rsidRPr="002C77A7">
        <w:rPr>
          <w:lang w:val="en-GB"/>
        </w:rPr>
        <w:t xml:space="preserve">respectively) where </w:t>
      </w:r>
      <w:bookmarkStart w:id="21" w:name="_Hlk132116411"/>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j</m:t>
            </m:r>
          </m:sub>
        </m:sSub>
        <m:r>
          <w:rPr>
            <w:rFonts w:ascii="Cambria Math" w:hAnsi="Cambria Math"/>
            <w:lang w:val="en-GB"/>
          </w:rPr>
          <m:t xml:space="preserve"> ≥ </m:t>
        </m:r>
        <m:sSub>
          <m:sSubPr>
            <m:ctrlPr>
              <w:rPr>
                <w:rFonts w:ascii="Cambria Math" w:hAnsi="Cambria Math"/>
                <w:i/>
                <w:lang w:val="en-GB"/>
              </w:rPr>
            </m:ctrlPr>
          </m:sSubPr>
          <m:e>
            <m:r>
              <w:rPr>
                <w:rFonts w:ascii="Cambria Math" w:hAnsi="Cambria Math"/>
                <w:lang w:val="en-GB"/>
              </w:rPr>
              <m:t>α</m:t>
            </m:r>
          </m:e>
          <m:sub>
            <m:r>
              <w:rPr>
                <w:rFonts w:ascii="Cambria Math" w:hAnsi="Cambria Math"/>
                <w:lang w:val="en-GB"/>
              </w:rPr>
              <m:t>j</m:t>
            </m:r>
          </m:sub>
        </m:sSub>
      </m:oMath>
      <w:bookmarkEnd w:id="21"/>
      <w:r w:rsidR="00F41AB6" w:rsidRPr="002C77A7">
        <w:rPr>
          <w:lang w:val="en-GB"/>
        </w:rPr>
        <w:t xml:space="preserve">. This set of </w:t>
      </w:r>
      <w:r w:rsidR="00B33962" w:rsidRPr="002C77A7">
        <w:rPr>
          <w:lang w:val="en-GB"/>
        </w:rPr>
        <w:t xml:space="preserve">potentially investing </w:t>
      </w:r>
      <w:r w:rsidR="00F41AB6" w:rsidRPr="002C77A7">
        <w:rPr>
          <w:lang w:val="en-GB"/>
        </w:rPr>
        <w:t>firms can be represented by a triangle</w:t>
      </w:r>
      <w:r w:rsidR="00B33962" w:rsidRPr="002C77A7">
        <w:rPr>
          <w:lang w:val="en-GB"/>
        </w:rPr>
        <w:t xml:space="preserve"> </w:t>
      </w:r>
      <m:oMath>
        <m:r>
          <w:rPr>
            <w:rFonts w:ascii="Cambria Math" w:hAnsi="Cambria Math"/>
            <w:lang w:val="en-GB"/>
          </w:rPr>
          <m:t>T</m:t>
        </m:r>
      </m:oMath>
      <w:r w:rsidR="00B33962" w:rsidRPr="002C77A7">
        <w:rPr>
          <w:lang w:val="en-GB"/>
        </w:rPr>
        <w:t xml:space="preserve"> (Preisach Triangle), defined as (see also Figure 6 b):</w:t>
      </w:r>
    </w:p>
    <w:p w14:paraId="6BBE083F" w14:textId="2C2B70A2" w:rsidR="00075192" w:rsidRPr="002C77A7" w:rsidRDefault="00F41AB6" w:rsidP="002C77A7">
      <w:pPr>
        <w:pStyle w:val="BodyText"/>
        <w:spacing w:line="360" w:lineRule="auto"/>
        <w:ind w:firstLine="720"/>
        <w:jc w:val="both"/>
        <w:rPr>
          <w:lang w:val="en-GB"/>
        </w:rPr>
      </w:pPr>
      <w:r w:rsidRPr="002C77A7">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3"/>
        <w:gridCol w:w="1354"/>
      </w:tblGrid>
      <w:tr w:rsidR="00CA4209" w:rsidRPr="002C77A7" w14:paraId="31C10A9C" w14:textId="77777777" w:rsidTr="00B33962">
        <w:tc>
          <w:tcPr>
            <w:tcW w:w="7601" w:type="dxa"/>
          </w:tcPr>
          <w:p w14:paraId="7FE49300" w14:textId="7DA06BE2" w:rsidR="00CA4209" w:rsidRPr="002C77A7" w:rsidRDefault="00CA4209" w:rsidP="002C77A7">
            <w:pPr>
              <w:pStyle w:val="BodyText"/>
              <w:spacing w:line="360" w:lineRule="auto"/>
              <w:ind w:firstLine="720"/>
              <w:jc w:val="both"/>
              <w:rPr>
                <w:lang w:val="en-GB"/>
              </w:rPr>
            </w:pPr>
            <m:oMathPara>
              <m:oMath>
                <m:r>
                  <w:rPr>
                    <w:rFonts w:ascii="Cambria Math" w:hAnsi="Cambria Math"/>
                    <w:lang w:val="en-GB"/>
                  </w:rPr>
                  <m:t xml:space="preserve">T= </m:t>
                </m:r>
                <m:d>
                  <m:dPr>
                    <m:begChr m:val="{"/>
                    <m:endChr m:val="}"/>
                    <m:ctrlPr>
                      <w:rPr>
                        <w:rFonts w:ascii="Cambria Math" w:hAnsi="Cambria Math"/>
                        <w:i/>
                        <w:lang w:val="en-GB"/>
                      </w:rPr>
                    </m:ctrlPr>
                  </m:dPr>
                  <m:e>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α</m:t>
                            </m:r>
                          </m:e>
                          <m:sub>
                            <m:r>
                              <w:rPr>
                                <w:rFonts w:ascii="Cambria Math" w:hAnsi="Cambria Math"/>
                                <w:lang w:val="en-GB"/>
                              </w:rPr>
                              <m:t>j</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j</m:t>
                            </m:r>
                          </m:sub>
                        </m:sSub>
                        <m:r>
                          <w:rPr>
                            <w:rFonts w:ascii="Cambria Math" w:hAnsi="Cambria Math"/>
                            <w:lang w:val="en-GB"/>
                          </w:rPr>
                          <m:t xml:space="preserve"> </m:t>
                        </m:r>
                      </m:e>
                    </m:d>
                    <m:r>
                      <w:rPr>
                        <w:rFonts w:ascii="Cambria Math" w:hAnsi="Cambria Math"/>
                        <w:lang w:val="en-GB"/>
                      </w:rPr>
                      <m:t xml:space="preserve"> : </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j</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α</m:t>
                        </m:r>
                      </m:e>
                      <m:sub>
                        <m:r>
                          <w:rPr>
                            <w:rFonts w:ascii="Cambria Math" w:hAnsi="Cambria Math"/>
                            <w:lang w:val="en-GB"/>
                          </w:rPr>
                          <m:t>j</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α</m:t>
                        </m:r>
                      </m:e>
                      <m:sub>
                        <m:r>
                          <w:rPr>
                            <w:rFonts w:ascii="Cambria Math" w:hAnsi="Cambria Math"/>
                            <w:lang w:val="en-GB"/>
                          </w:rPr>
                          <m:t>j</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α</m:t>
                        </m:r>
                      </m:e>
                      <m:sub>
                        <m:r>
                          <w:rPr>
                            <w:rFonts w:ascii="Cambria Math" w:hAnsi="Cambria Math"/>
                            <w:lang w:val="en-GB"/>
                          </w:rPr>
                          <m:t>min</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j</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max</m:t>
                        </m:r>
                      </m:sub>
                    </m:sSub>
                  </m:e>
                </m:d>
              </m:oMath>
            </m:oMathPara>
          </w:p>
        </w:tc>
        <w:tc>
          <w:tcPr>
            <w:tcW w:w="906" w:type="dxa"/>
          </w:tcPr>
          <w:p w14:paraId="7EE852E5" w14:textId="501FCC70" w:rsidR="00CA4209" w:rsidRPr="002C77A7" w:rsidRDefault="00CA4209" w:rsidP="002C77A7">
            <w:pPr>
              <w:pStyle w:val="BodyText"/>
              <w:spacing w:line="360" w:lineRule="auto"/>
              <w:ind w:firstLine="720"/>
              <w:jc w:val="both"/>
              <w:rPr>
                <w:lang w:val="en-GB"/>
              </w:rPr>
            </w:pPr>
            <w:r w:rsidRPr="002C77A7">
              <w:rPr>
                <w:lang w:val="en-GB"/>
              </w:rPr>
              <w:t>(</w:t>
            </w:r>
            <w:r w:rsidR="00116C73">
              <w:rPr>
                <w:lang w:val="en-GB"/>
              </w:rPr>
              <w:t>2</w:t>
            </w:r>
            <w:r w:rsidR="007236C1" w:rsidRPr="002C77A7">
              <w:rPr>
                <w:lang w:val="en-GB"/>
              </w:rPr>
              <w:t>.1</w:t>
            </w:r>
            <w:r w:rsidRPr="002C77A7">
              <w:rPr>
                <w:lang w:val="en-GB"/>
              </w:rPr>
              <w:t>)</w:t>
            </w:r>
          </w:p>
        </w:tc>
      </w:tr>
    </w:tbl>
    <w:p w14:paraId="41CADBDC" w14:textId="77777777" w:rsidR="00BB443A" w:rsidRDefault="00BB443A" w:rsidP="002C77A7">
      <w:pPr>
        <w:pStyle w:val="BodyText"/>
        <w:spacing w:line="360" w:lineRule="auto"/>
        <w:ind w:firstLine="720"/>
        <w:jc w:val="both"/>
        <w:rPr>
          <w:lang w:val="en-GB"/>
        </w:rPr>
      </w:pPr>
    </w:p>
    <w:p w14:paraId="58176109" w14:textId="4B7E5F3B" w:rsidR="006E1EB3" w:rsidRDefault="00B33962" w:rsidP="00500DD1">
      <w:pPr>
        <w:pStyle w:val="BodyText"/>
        <w:spacing w:line="360" w:lineRule="auto"/>
        <w:ind w:firstLine="720"/>
        <w:jc w:val="both"/>
        <w:rPr>
          <w:lang w:val="en-GB"/>
        </w:rPr>
      </w:pPr>
      <w:r w:rsidRPr="002C77A7">
        <w:rPr>
          <w:lang w:val="en-GB"/>
        </w:rPr>
        <w:t xml:space="preserve">Where </w:t>
      </w:r>
      <m:oMath>
        <m:sSub>
          <m:sSubPr>
            <m:ctrlPr>
              <w:rPr>
                <w:rFonts w:ascii="Cambria Math" w:hAnsi="Cambria Math"/>
                <w:i/>
                <w:lang w:val="en-GB"/>
              </w:rPr>
            </m:ctrlPr>
          </m:sSubPr>
          <m:e>
            <m:r>
              <w:rPr>
                <w:rFonts w:ascii="Cambria Math" w:hAnsi="Cambria Math"/>
                <w:lang w:val="en-GB"/>
              </w:rPr>
              <m:t>α</m:t>
            </m:r>
          </m:e>
          <m:sub>
            <m:r>
              <w:rPr>
                <w:rFonts w:ascii="Cambria Math" w:hAnsi="Cambria Math"/>
                <w:lang w:val="en-GB"/>
              </w:rPr>
              <m:t>min</m:t>
            </m:r>
          </m:sub>
        </m:sSub>
      </m:oMath>
      <w:r w:rsidRPr="002C77A7">
        <w:rPr>
          <w:lang w:val="en-GB"/>
        </w:rPr>
        <w:t xml:space="preserve"> is the disinvestment trigger of the firm with the lowest disinvestment trigger, and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max</m:t>
            </m:r>
          </m:sub>
        </m:sSub>
      </m:oMath>
      <w:r w:rsidRPr="002C77A7">
        <w:rPr>
          <w:lang w:val="en-GB"/>
        </w:rPr>
        <w:t xml:space="preserve"> is the investment trigger of the firm with the highest investment </w:t>
      </w:r>
      <w:r w:rsidR="00504A76" w:rsidRPr="002C77A7">
        <w:rPr>
          <w:lang w:val="en-GB"/>
        </w:rPr>
        <w:t>trigger.</w:t>
      </w:r>
      <w:r w:rsidR="006E1EB3">
        <w:rPr>
          <w:lang w:val="en-GB"/>
        </w:rPr>
        <w:br w:type="page"/>
      </w:r>
    </w:p>
    <w:p w14:paraId="19E27A53" w14:textId="77777777" w:rsidR="006E1EB3" w:rsidRDefault="006E1EB3" w:rsidP="00B33962">
      <w:pPr>
        <w:pStyle w:val="BodyText"/>
        <w:spacing w:line="360" w:lineRule="auto"/>
        <w:ind w:right="272" w:firstLine="720"/>
        <w:jc w:val="both"/>
        <w:rPr>
          <w:lang w:val="en-GB"/>
        </w:rPr>
        <w:sectPr w:rsidR="006E1EB3" w:rsidSect="0066680A">
          <w:pgSz w:w="11910" w:h="16840"/>
          <w:pgMar w:top="1701" w:right="1418" w:bottom="1701" w:left="1985" w:header="0" w:footer="1004" w:gutter="0"/>
          <w:cols w:space="720"/>
        </w:sectPr>
      </w:pPr>
    </w:p>
    <w:p w14:paraId="2E29EFD5" w14:textId="0ECC30D3" w:rsidR="00B33962" w:rsidRDefault="00B33962" w:rsidP="00B33962">
      <w:pPr>
        <w:pStyle w:val="BodyText"/>
        <w:spacing w:line="360" w:lineRule="auto"/>
        <w:ind w:right="272" w:firstLine="720"/>
        <w:jc w:val="both"/>
        <w:rPr>
          <w:lang w:val="en-GB"/>
        </w:rPr>
      </w:pPr>
    </w:p>
    <w:p w14:paraId="7B32CC3D" w14:textId="4F71A868" w:rsidR="00BB3FF3" w:rsidRPr="008602F0" w:rsidRDefault="00000467" w:rsidP="00BB3FF3">
      <w:pPr>
        <w:pStyle w:val="BodyText"/>
        <w:spacing w:line="360" w:lineRule="auto"/>
        <w:ind w:right="272"/>
        <w:jc w:val="center"/>
        <w:rPr>
          <w:lang w:val="en-GB"/>
        </w:rPr>
      </w:pPr>
      <w:r w:rsidRPr="008602F0">
        <w:rPr>
          <w:b/>
          <w:bCs/>
          <w:lang w:val="en-GB"/>
        </w:rPr>
        <w:t xml:space="preserve">Figure </w:t>
      </w:r>
      <w:r w:rsidR="00BA0EC6" w:rsidRPr="008602F0">
        <w:rPr>
          <w:b/>
          <w:bCs/>
          <w:lang w:val="en-GB"/>
        </w:rPr>
        <w:t>6</w:t>
      </w:r>
      <w:r w:rsidR="00DF2609">
        <w:rPr>
          <w:lang w:val="en-GB"/>
        </w:rPr>
        <w:t>.</w:t>
      </w:r>
      <w:r w:rsidRPr="001B5B16">
        <w:rPr>
          <w:lang w:val="en-GB"/>
        </w:rPr>
        <w:t xml:space="preserve"> </w:t>
      </w:r>
      <w:r w:rsidR="006E1EB3" w:rsidRPr="008602F0">
        <w:rPr>
          <w:lang w:val="en-GB"/>
        </w:rPr>
        <w:t>Hysteretic</w:t>
      </w:r>
      <w:r w:rsidRPr="008602F0">
        <w:rPr>
          <w:lang w:val="en-GB"/>
        </w:rPr>
        <w:t xml:space="preserve"> Investment Dynamics</w:t>
      </w:r>
      <w:r w:rsidR="008602F0">
        <w:rPr>
          <w:lang w:val="en-GB"/>
        </w:rPr>
        <w:t>.</w:t>
      </w:r>
    </w:p>
    <w:p w14:paraId="2D32600F" w14:textId="77777777" w:rsidR="00BB3FF3" w:rsidRPr="00BB3FF3" w:rsidRDefault="00BB3FF3" w:rsidP="00BB3FF3">
      <w:pPr>
        <w:pStyle w:val="BodyText"/>
        <w:spacing w:line="360" w:lineRule="auto"/>
        <w:ind w:right="272"/>
        <w:jc w:val="center"/>
        <w:rPr>
          <w:lang w:val="en-GB"/>
        </w:rPr>
      </w:pPr>
    </w:p>
    <w:p w14:paraId="30E514CD" w14:textId="5315BEBA" w:rsidR="00000467" w:rsidRDefault="00AC3B82" w:rsidP="00745767">
      <w:pPr>
        <w:pStyle w:val="BodyText"/>
        <w:numPr>
          <w:ilvl w:val="0"/>
          <w:numId w:val="9"/>
        </w:numPr>
        <w:spacing w:line="360" w:lineRule="auto"/>
        <w:ind w:right="272" w:firstLine="905"/>
        <w:rPr>
          <w:lang w:val="en-GB"/>
        </w:rPr>
      </w:pPr>
      <w:r>
        <w:rPr>
          <w:noProof/>
          <w:lang w:val="en-GB"/>
        </w:rPr>
        <w:drawing>
          <wp:anchor distT="0" distB="0" distL="114300" distR="114300" simplePos="0" relativeHeight="251683328" behindDoc="1" locked="0" layoutInCell="1" allowOverlap="1" wp14:anchorId="7086CAF1" wp14:editId="717FDE09">
            <wp:simplePos x="0" y="0"/>
            <wp:positionH relativeFrom="column">
              <wp:posOffset>3344640</wp:posOffset>
            </wp:positionH>
            <wp:positionV relativeFrom="paragraph">
              <wp:posOffset>277495</wp:posOffset>
            </wp:positionV>
            <wp:extent cx="5485130" cy="4036695"/>
            <wp:effectExtent l="0" t="0" r="1270" b="1905"/>
            <wp:wrapTight wrapText="bothSides">
              <wp:wrapPolygon edited="0">
                <wp:start x="0" y="0"/>
                <wp:lineTo x="0" y="21508"/>
                <wp:lineTo x="21530" y="21508"/>
                <wp:lineTo x="21530" y="0"/>
                <wp:lineTo x="0" y="0"/>
              </wp:wrapPolygon>
            </wp:wrapTight>
            <wp:docPr id="5860080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4648" t="17842" b="11989"/>
                    <a:stretch/>
                  </pic:blipFill>
                  <pic:spPr bwMode="auto">
                    <a:xfrm>
                      <a:off x="0" y="0"/>
                      <a:ext cx="5485130" cy="40366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02E6A">
        <w:rPr>
          <w:noProof/>
          <w:lang w:val="en-GB"/>
        </w:rPr>
        <w:drawing>
          <wp:anchor distT="0" distB="0" distL="114300" distR="114300" simplePos="0" relativeHeight="251657728" behindDoc="1" locked="0" layoutInCell="1" allowOverlap="1" wp14:anchorId="7744107C" wp14:editId="2505B9CC">
            <wp:simplePos x="0" y="0"/>
            <wp:positionH relativeFrom="margin">
              <wp:posOffset>0</wp:posOffset>
            </wp:positionH>
            <wp:positionV relativeFrom="paragraph">
              <wp:posOffset>279400</wp:posOffset>
            </wp:positionV>
            <wp:extent cx="3277235" cy="2619375"/>
            <wp:effectExtent l="0" t="0" r="0" b="9525"/>
            <wp:wrapTight wrapText="bothSides">
              <wp:wrapPolygon edited="0">
                <wp:start x="0" y="0"/>
                <wp:lineTo x="0" y="21521"/>
                <wp:lineTo x="21470" y="21521"/>
                <wp:lineTo x="21470"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9843" t="14764" r="16141" b="26966"/>
                    <a:stretch/>
                  </pic:blipFill>
                  <pic:spPr bwMode="auto">
                    <a:xfrm>
                      <a:off x="0" y="0"/>
                      <a:ext cx="3277235" cy="2619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745767">
        <w:rPr>
          <w:lang w:val="en-GB"/>
        </w:rPr>
        <w:t xml:space="preserve"> </w:t>
      </w:r>
      <w:r w:rsidR="00745767">
        <w:rPr>
          <w:lang w:val="en-GB"/>
        </w:rPr>
        <w:tab/>
      </w:r>
      <w:r w:rsidR="00745767">
        <w:rPr>
          <w:lang w:val="en-GB"/>
        </w:rPr>
        <w:tab/>
      </w:r>
      <w:r w:rsidR="00745767">
        <w:rPr>
          <w:lang w:val="en-GB"/>
        </w:rPr>
        <w:tab/>
      </w:r>
      <w:r w:rsidR="00745767">
        <w:rPr>
          <w:lang w:val="en-GB"/>
        </w:rPr>
        <w:tab/>
      </w:r>
      <w:r w:rsidR="00745767">
        <w:rPr>
          <w:lang w:val="en-GB"/>
        </w:rPr>
        <w:tab/>
      </w:r>
      <w:r w:rsidR="00745767">
        <w:rPr>
          <w:lang w:val="en-GB"/>
        </w:rPr>
        <w:tab/>
      </w:r>
      <w:r w:rsidR="00745767">
        <w:rPr>
          <w:lang w:val="en-GB"/>
        </w:rPr>
        <w:tab/>
      </w:r>
      <w:r w:rsidR="00745767">
        <w:rPr>
          <w:lang w:val="en-GB"/>
        </w:rPr>
        <w:tab/>
      </w:r>
      <w:r w:rsidR="00745767">
        <w:rPr>
          <w:lang w:val="en-GB"/>
        </w:rPr>
        <w:tab/>
      </w:r>
      <w:r w:rsidR="00745767">
        <w:rPr>
          <w:lang w:val="en-GB"/>
        </w:rPr>
        <w:tab/>
        <w:t>b)</w:t>
      </w:r>
    </w:p>
    <w:p w14:paraId="428AF5FD" w14:textId="5A3212F5" w:rsidR="00C84C38" w:rsidRPr="00745767" w:rsidRDefault="00C84C38" w:rsidP="008E4585">
      <w:pPr>
        <w:pStyle w:val="BodyText"/>
        <w:spacing w:line="360" w:lineRule="auto"/>
        <w:ind w:right="272" w:firstLine="707"/>
        <w:jc w:val="both"/>
      </w:pPr>
    </w:p>
    <w:p w14:paraId="238A0C1F" w14:textId="3673D9BA" w:rsidR="00C84C38" w:rsidRPr="00745767" w:rsidRDefault="00C84C38" w:rsidP="00C84C38">
      <w:pPr>
        <w:pStyle w:val="BodyText"/>
        <w:keepNext/>
        <w:spacing w:line="360" w:lineRule="auto"/>
        <w:ind w:right="272" w:firstLine="707"/>
        <w:jc w:val="both"/>
      </w:pPr>
    </w:p>
    <w:p w14:paraId="332B5C6F" w14:textId="34DD40BC" w:rsidR="008E4585" w:rsidRPr="00745767" w:rsidRDefault="008E4585" w:rsidP="008E4585">
      <w:pPr>
        <w:pStyle w:val="BodyText"/>
        <w:spacing w:line="360" w:lineRule="auto"/>
        <w:ind w:right="272" w:firstLine="707"/>
        <w:jc w:val="both"/>
      </w:pPr>
    </w:p>
    <w:p w14:paraId="593F1D4B" w14:textId="72BDA295" w:rsidR="002649C1" w:rsidRPr="00745767" w:rsidRDefault="002649C1" w:rsidP="008E4585">
      <w:pPr>
        <w:pStyle w:val="BodyText"/>
        <w:spacing w:line="360" w:lineRule="auto"/>
        <w:ind w:right="272" w:firstLine="707"/>
        <w:jc w:val="both"/>
      </w:pPr>
    </w:p>
    <w:p w14:paraId="1C04D574" w14:textId="2C498010" w:rsidR="00E25744" w:rsidRPr="00745767" w:rsidRDefault="00E25744" w:rsidP="0071221E">
      <w:pPr>
        <w:pStyle w:val="BodyText"/>
        <w:spacing w:line="360" w:lineRule="auto"/>
        <w:ind w:right="272" w:firstLine="707"/>
        <w:jc w:val="both"/>
      </w:pPr>
    </w:p>
    <w:p w14:paraId="577581ED" w14:textId="2221A69B" w:rsidR="00C84C38" w:rsidRPr="00745767" w:rsidRDefault="00C84C38" w:rsidP="0071221E">
      <w:pPr>
        <w:pStyle w:val="BodyText"/>
        <w:spacing w:line="360" w:lineRule="auto"/>
        <w:ind w:right="272" w:firstLine="707"/>
        <w:jc w:val="both"/>
      </w:pPr>
    </w:p>
    <w:p w14:paraId="3E7FBED1" w14:textId="364724E9" w:rsidR="00CB6CDD" w:rsidRDefault="00000467" w:rsidP="00B627D5">
      <w:pPr>
        <w:pStyle w:val="BodyText"/>
        <w:spacing w:line="360" w:lineRule="auto"/>
        <w:ind w:right="272"/>
        <w:jc w:val="center"/>
        <w:rPr>
          <w:lang w:val="en-GB"/>
        </w:rPr>
      </w:pPr>
      <w:r w:rsidRPr="00000467">
        <w:rPr>
          <w:iCs/>
          <w:sz w:val="20"/>
          <w:szCs w:val="20"/>
          <w:lang w:val="en-GB"/>
        </w:rPr>
        <w:t xml:space="preserve">Source: </w:t>
      </w:r>
      <w:r w:rsidR="00CE58FD">
        <w:rPr>
          <w:iCs/>
          <w:sz w:val="20"/>
          <w:szCs w:val="20"/>
          <w:lang w:val="en-GB"/>
        </w:rPr>
        <w:t xml:space="preserve">Based on </w:t>
      </w:r>
      <w:r w:rsidRPr="00000467">
        <w:rPr>
          <w:iCs/>
          <w:sz w:val="20"/>
          <w:szCs w:val="20"/>
          <w:lang w:val="en-GB"/>
        </w:rPr>
        <w:t>Mota and Vasconcelos (2012, p.99)</w:t>
      </w:r>
    </w:p>
    <w:p w14:paraId="3A6A83FC" w14:textId="77777777" w:rsidR="00504A76" w:rsidRDefault="00504A76" w:rsidP="00B540B0">
      <w:pPr>
        <w:pStyle w:val="BodyText"/>
        <w:spacing w:line="360" w:lineRule="auto"/>
        <w:ind w:right="272" w:firstLine="720"/>
        <w:jc w:val="both"/>
        <w:rPr>
          <w:lang w:val="en-GB"/>
        </w:rPr>
        <w:sectPr w:rsidR="00504A76" w:rsidSect="00BB3FF3">
          <w:pgSz w:w="16840" w:h="11910" w:orient="landscape"/>
          <w:pgMar w:top="1418" w:right="1701" w:bottom="1418" w:left="1701" w:header="0" w:footer="1004" w:gutter="0"/>
          <w:cols w:space="720"/>
        </w:sectPr>
      </w:pPr>
    </w:p>
    <w:p w14:paraId="531A90EE" w14:textId="615CB071" w:rsidR="005E5814" w:rsidRPr="00A648E2" w:rsidRDefault="00F81A48" w:rsidP="005026B0">
      <w:pPr>
        <w:pStyle w:val="BodyText"/>
        <w:spacing w:line="360" w:lineRule="auto"/>
        <w:ind w:firstLine="720"/>
        <w:jc w:val="both"/>
        <w:rPr>
          <w:lang w:val="en-GB"/>
        </w:rPr>
      </w:pPr>
      <w:r w:rsidRPr="00A648E2">
        <w:rPr>
          <w:lang w:val="en-GB"/>
        </w:rPr>
        <w:lastRenderedPageBreak/>
        <w:t xml:space="preserve">Let us now consider </w:t>
      </w:r>
      <w:r w:rsidR="00CB6CDD" w:rsidRPr="00A648E2">
        <w:rPr>
          <w:lang w:val="en-GB"/>
        </w:rPr>
        <w:t xml:space="preserve">the aggregate demand dynamics exhibited in </w:t>
      </w:r>
      <w:r w:rsidR="00FD38EE" w:rsidRPr="00A648E2">
        <w:rPr>
          <w:lang w:val="en-GB"/>
        </w:rPr>
        <w:t>F</w:t>
      </w:r>
      <w:r w:rsidRPr="00A648E2">
        <w:rPr>
          <w:lang w:val="en-GB"/>
        </w:rPr>
        <w:t xml:space="preserve">igure </w:t>
      </w:r>
      <w:r w:rsidR="00D12F2C" w:rsidRPr="00A648E2">
        <w:rPr>
          <w:lang w:val="en-GB"/>
        </w:rPr>
        <w:t>6</w:t>
      </w:r>
      <w:r w:rsidR="00CB6CDD" w:rsidRPr="00A648E2">
        <w:rPr>
          <w:lang w:val="en-GB"/>
        </w:rPr>
        <w:t xml:space="preserve"> a)</w:t>
      </w:r>
      <w:r w:rsidRPr="00A648E2">
        <w:rPr>
          <w:lang w:val="en-GB"/>
        </w:rPr>
        <w:t xml:space="preserve">. In the first period,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0</m:t>
            </m:r>
          </m:sub>
        </m:sSub>
      </m:oMath>
      <w:r w:rsidRPr="00A648E2">
        <w:rPr>
          <w:lang w:val="en-GB"/>
        </w:rPr>
        <w:t xml:space="preserve">, the level of aggregate demand,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t0</m:t>
            </m:r>
          </m:sub>
        </m:sSub>
      </m:oMath>
      <w:r w:rsidRPr="00A648E2">
        <w:rPr>
          <w:lang w:val="en-GB"/>
        </w:rPr>
        <w:t>, is 0</w:t>
      </w:r>
      <w:r w:rsidR="00F92F8E" w:rsidRPr="00A648E2">
        <w:rPr>
          <w:lang w:val="en-GB"/>
        </w:rPr>
        <w:t>,</w:t>
      </w:r>
      <w:r w:rsidRPr="00A648E2">
        <w:rPr>
          <w:lang w:val="en-GB"/>
        </w:rPr>
        <w:t xml:space="preserve"> and hence no firm </w:t>
      </w:r>
      <w:r w:rsidR="00F92F8E" w:rsidRPr="00A648E2">
        <w:rPr>
          <w:lang w:val="en-GB"/>
        </w:rPr>
        <w:t xml:space="preserve">is </w:t>
      </w:r>
      <w:r w:rsidRPr="00A648E2">
        <w:rPr>
          <w:lang w:val="en-GB"/>
        </w:rPr>
        <w:t>invest</w:t>
      </w:r>
      <w:r w:rsidR="00F92F8E" w:rsidRPr="00A648E2">
        <w:rPr>
          <w:lang w:val="en-GB"/>
        </w:rPr>
        <w:t>ing</w:t>
      </w:r>
      <w:r w:rsidRPr="00A648E2">
        <w:rPr>
          <w:lang w:val="en-GB"/>
        </w:rPr>
        <w:t xml:space="preserve"> since their </w:t>
      </w:r>
      <w:r w:rsidR="00192D50" w:rsidRPr="00A648E2">
        <w:rPr>
          <w:lang w:val="en-GB"/>
        </w:rPr>
        <w:t>investment</w:t>
      </w:r>
      <w:r w:rsidRPr="00A648E2">
        <w:rPr>
          <w:lang w:val="en-GB"/>
        </w:rPr>
        <w:t xml:space="preserve"> triggers have not been surpassed</w:t>
      </w:r>
      <w:r w:rsidR="00D51CAE" w:rsidRPr="00A648E2">
        <w:rPr>
          <w:lang w:val="en-GB"/>
        </w:rPr>
        <w:t xml:space="preserve"> (the area of inactive firms is represented by </w:t>
      </w:r>
      <m:oMath>
        <m:sSub>
          <m:sSubPr>
            <m:ctrlPr>
              <w:rPr>
                <w:rFonts w:ascii="Cambria Math" w:hAnsi="Cambria Math"/>
                <w:i/>
                <w:lang w:val="en-GB"/>
              </w:rPr>
            </m:ctrlPr>
          </m:sSubPr>
          <m:e>
            <m:r>
              <w:rPr>
                <w:rFonts w:ascii="Cambria Math" w:hAnsi="Cambria Math"/>
                <w:lang w:val="en-GB"/>
              </w:rPr>
              <m:t>B</m:t>
            </m:r>
          </m:e>
          <m:sub>
            <m:r>
              <w:rPr>
                <w:rFonts w:ascii="Cambria Math" w:hAnsi="Cambria Math"/>
                <w:lang w:val="en-GB"/>
              </w:rPr>
              <m:t>t</m:t>
            </m:r>
          </m:sub>
        </m:sSub>
      </m:oMath>
      <w:r w:rsidR="00D51CAE" w:rsidRPr="00A648E2">
        <w:rPr>
          <w:lang w:val="en-GB"/>
        </w:rPr>
        <w:t>)</w:t>
      </w:r>
      <w:r w:rsidRPr="00A648E2">
        <w:rPr>
          <w:lang w:val="en-GB"/>
        </w:rPr>
        <w:t xml:space="preserve">. In the following period,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1</m:t>
            </m:r>
          </m:sub>
        </m:sSub>
      </m:oMath>
      <w:r w:rsidRPr="00A648E2">
        <w:rPr>
          <w:lang w:val="en-GB"/>
        </w:rPr>
        <w:t xml:space="preserve">, </w:t>
      </w:r>
      <w:r w:rsidR="003B23D3" w:rsidRPr="00A648E2">
        <w:rPr>
          <w:lang w:val="en-GB"/>
        </w:rPr>
        <w:t xml:space="preserve">the level of aggregate demand rises to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t1</m:t>
            </m:r>
          </m:sub>
        </m:sSub>
      </m:oMath>
      <w:r w:rsidR="00907F84" w:rsidRPr="00A648E2">
        <w:rPr>
          <w:lang w:val="en-GB"/>
        </w:rPr>
        <w:t xml:space="preserve">, </w:t>
      </w:r>
      <w:r w:rsidR="003B23D3" w:rsidRPr="00A648E2">
        <w:rPr>
          <w:lang w:val="en-GB"/>
        </w:rPr>
        <w:t xml:space="preserve">which exceeds several </w:t>
      </w:r>
      <w:r w:rsidR="00775B6E" w:rsidRPr="00A648E2">
        <w:rPr>
          <w:lang w:val="en-GB"/>
        </w:rPr>
        <w:t>firms’</w:t>
      </w:r>
      <w:r w:rsidR="003B23D3" w:rsidRPr="00A648E2">
        <w:rPr>
          <w:lang w:val="en-GB"/>
        </w:rPr>
        <w:t xml:space="preserve"> </w:t>
      </w:r>
      <w:r w:rsidR="00192D50" w:rsidRPr="00A648E2">
        <w:rPr>
          <w:lang w:val="en-GB"/>
        </w:rPr>
        <w:t>investment</w:t>
      </w:r>
      <w:r w:rsidR="003B23D3" w:rsidRPr="00A648E2">
        <w:rPr>
          <w:lang w:val="en-GB"/>
        </w:rPr>
        <w:t xml:space="preserve"> trigger</w:t>
      </w:r>
      <w:r w:rsidR="004945F5" w:rsidRPr="00A648E2">
        <w:rPr>
          <w:lang w:val="en-GB"/>
        </w:rPr>
        <w:t>s</w:t>
      </w:r>
      <w:r w:rsidR="00907F84" w:rsidRPr="00A648E2">
        <w:rPr>
          <w:lang w:val="en-GB"/>
        </w:rPr>
        <w:t>,</w:t>
      </w:r>
      <w:r w:rsidR="00907F84" w:rsidRPr="00A648E2">
        <w:rPr>
          <w:i/>
          <w:lang w:val="en-GB"/>
        </w:rPr>
        <w:t xml:space="preserve">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j</m:t>
            </m:r>
          </m:sub>
        </m:sSub>
      </m:oMath>
      <w:r w:rsidR="00907F84" w:rsidRPr="00A648E2">
        <w:rPr>
          <w:iCs/>
          <w:lang w:val="en-GB"/>
        </w:rPr>
        <w:t>,</w:t>
      </w:r>
      <w:r w:rsidR="00907F84" w:rsidRPr="00A648E2">
        <w:rPr>
          <w:lang w:val="en-GB"/>
        </w:rPr>
        <w:t xml:space="preserve"> </w:t>
      </w:r>
      <w:r w:rsidR="003B23D3" w:rsidRPr="00A648E2">
        <w:rPr>
          <w:lang w:val="en-GB"/>
        </w:rPr>
        <w:t xml:space="preserve">and hence they </w:t>
      </w:r>
      <w:r w:rsidR="00907F84" w:rsidRPr="00A648E2">
        <w:rPr>
          <w:lang w:val="en-GB"/>
        </w:rPr>
        <w:t xml:space="preserve">start to </w:t>
      </w:r>
      <w:r w:rsidR="003B23D3" w:rsidRPr="00A648E2">
        <w:rPr>
          <w:lang w:val="en-GB"/>
        </w:rPr>
        <w:t xml:space="preserve">invest. The </w:t>
      </w:r>
      <w:r w:rsidR="00227ED5" w:rsidRPr="00A648E2">
        <w:rPr>
          <w:lang w:val="en-GB"/>
        </w:rPr>
        <w:t>number</w:t>
      </w:r>
      <w:r w:rsidR="003B23D3" w:rsidRPr="00A648E2">
        <w:rPr>
          <w:lang w:val="en-GB"/>
        </w:rPr>
        <w:t xml:space="preserve"> of firms that are now invest</w:t>
      </w:r>
      <w:r w:rsidR="00CB6CDD" w:rsidRPr="00A648E2">
        <w:rPr>
          <w:lang w:val="en-GB"/>
        </w:rPr>
        <w:t>ing</w:t>
      </w:r>
      <w:r w:rsidR="003B23D3" w:rsidRPr="00A648E2">
        <w:rPr>
          <w:lang w:val="en-GB"/>
        </w:rPr>
        <w:t xml:space="preserve"> can be </w:t>
      </w:r>
      <w:r w:rsidR="00CB6CDD" w:rsidRPr="00A648E2">
        <w:rPr>
          <w:lang w:val="en-GB"/>
        </w:rPr>
        <w:t>represented by</w:t>
      </w:r>
      <w:r w:rsidR="003B23D3" w:rsidRPr="00A648E2">
        <w:rPr>
          <w:lang w:val="en-GB"/>
        </w:rPr>
        <w:t xml:space="preserve"> the shaded area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t</m:t>
            </m:r>
          </m:sub>
        </m:sSub>
      </m:oMath>
      <w:r w:rsidR="004945F5" w:rsidRPr="00A648E2">
        <w:rPr>
          <w:lang w:val="en-GB"/>
        </w:rPr>
        <w:t xml:space="preserve"> </w:t>
      </w:r>
      <w:r w:rsidR="003B23D3" w:rsidRPr="00A648E2">
        <w:rPr>
          <w:lang w:val="en-GB"/>
        </w:rPr>
        <w:t xml:space="preserve">in </w:t>
      </w:r>
      <w:r w:rsidR="00FD38EE" w:rsidRPr="00A648E2">
        <w:rPr>
          <w:lang w:val="en-GB"/>
        </w:rPr>
        <w:t>F</w:t>
      </w:r>
      <w:r w:rsidR="003B23D3" w:rsidRPr="00A648E2">
        <w:rPr>
          <w:lang w:val="en-GB"/>
        </w:rPr>
        <w:t xml:space="preserve">igure </w:t>
      </w:r>
      <w:r w:rsidR="00BF64BB" w:rsidRPr="00A648E2">
        <w:rPr>
          <w:lang w:val="en-GB"/>
        </w:rPr>
        <w:t>6</w:t>
      </w:r>
      <w:r w:rsidR="003B23D3" w:rsidRPr="00A648E2">
        <w:rPr>
          <w:lang w:val="en-GB"/>
        </w:rPr>
        <w:t xml:space="preserve"> </w:t>
      </w:r>
      <w:r w:rsidR="003B23D3" w:rsidRPr="00A648E2">
        <w:rPr>
          <w:iCs/>
          <w:lang w:val="en-GB"/>
        </w:rPr>
        <w:t>b)</w:t>
      </w:r>
      <w:r w:rsidR="00BF64BB" w:rsidRPr="00A648E2">
        <w:rPr>
          <w:lang w:val="en-GB"/>
        </w:rPr>
        <w:t xml:space="preserve"> ii</w:t>
      </w:r>
      <w:r w:rsidR="003B23D3" w:rsidRPr="00A648E2">
        <w:rPr>
          <w:lang w:val="en-GB"/>
        </w:rPr>
        <w:t>, which results from a horizontal line shift</w:t>
      </w:r>
      <w:r w:rsidR="00C42530" w:rsidRPr="00A648E2">
        <w:rPr>
          <w:lang w:val="en-GB"/>
        </w:rPr>
        <w:t>ing</w:t>
      </w:r>
      <w:r w:rsidR="003B23D3" w:rsidRPr="00A648E2">
        <w:rPr>
          <w:lang w:val="en-GB"/>
        </w:rPr>
        <w:t xml:space="preserve"> upwards. I</w:t>
      </w:r>
      <w:r w:rsidR="00F92F8E" w:rsidRPr="00A648E2">
        <w:rPr>
          <w:lang w:val="en-GB"/>
        </w:rPr>
        <w:t>f i</w:t>
      </w:r>
      <w:r w:rsidR="003B23D3" w:rsidRPr="00A648E2">
        <w:rPr>
          <w:lang w:val="en-GB"/>
        </w:rPr>
        <w:t xml:space="preserve">n the following period,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2</m:t>
            </m:r>
          </m:sub>
        </m:sSub>
      </m:oMath>
      <w:r w:rsidR="003B23D3" w:rsidRPr="00A648E2">
        <w:rPr>
          <w:lang w:val="en-GB"/>
        </w:rPr>
        <w:t xml:space="preserve"> the level of aggregate demand falls to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t2</m:t>
            </m:r>
          </m:sub>
        </m:sSub>
      </m:oMath>
      <w:r w:rsidR="00F92F8E" w:rsidRPr="00A648E2">
        <w:rPr>
          <w:lang w:val="en-GB"/>
        </w:rPr>
        <w:t xml:space="preserve"> </w:t>
      </w:r>
      <w:r w:rsidR="00CB6CDD" w:rsidRPr="00A648E2">
        <w:rPr>
          <w:lang w:val="en-GB"/>
        </w:rPr>
        <w:t xml:space="preserve">for </w:t>
      </w:r>
      <w:r w:rsidR="003B23D3" w:rsidRPr="00A648E2">
        <w:rPr>
          <w:lang w:val="en-GB"/>
        </w:rPr>
        <w:t>some firms</w:t>
      </w:r>
      <w:r w:rsidR="00F92F8E" w:rsidRPr="00A648E2">
        <w:rPr>
          <w:lang w:val="en-GB"/>
        </w:rPr>
        <w:t>,</w:t>
      </w:r>
      <w:r w:rsidR="00D12F2C" w:rsidRPr="00A648E2">
        <w:rPr>
          <w:lang w:val="en-GB"/>
        </w:rPr>
        <w:t xml:space="preserve"> the</w:t>
      </w:r>
      <w:r w:rsidR="003B23D3" w:rsidRPr="00A648E2">
        <w:rPr>
          <w:lang w:val="en-GB"/>
        </w:rPr>
        <w:t xml:space="preserve"> exit trigger condition </w:t>
      </w:r>
      <w:r w:rsidR="00233F7B" w:rsidRPr="00A648E2">
        <w:rPr>
          <w:lang w:val="en-GB"/>
        </w:rPr>
        <w:t>is surpassed,</w:t>
      </w:r>
      <w:r w:rsidR="004945F5" w:rsidRPr="00A648E2">
        <w:rPr>
          <w:lang w:val="en-GB"/>
        </w:rPr>
        <w:t xml:space="preserve"> which means that</w:t>
      </w:r>
      <w:r w:rsidR="003B23D3" w:rsidRPr="00A648E2">
        <w:rPr>
          <w:lang w:val="en-GB"/>
        </w:rPr>
        <w:t xml:space="preserve"> they</w:t>
      </w:r>
      <w:r w:rsidR="00CB6CDD" w:rsidRPr="00A648E2">
        <w:rPr>
          <w:lang w:val="en-GB"/>
        </w:rPr>
        <w:t xml:space="preserve"> start to</w:t>
      </w:r>
      <w:r w:rsidR="003B23D3" w:rsidRPr="00A648E2">
        <w:rPr>
          <w:lang w:val="en-GB"/>
        </w:rPr>
        <w:t xml:space="preserve"> disinvest. The firms that are still invest</w:t>
      </w:r>
      <w:r w:rsidR="00CB6CDD" w:rsidRPr="00A648E2">
        <w:rPr>
          <w:lang w:val="en-GB"/>
        </w:rPr>
        <w:t>ing</w:t>
      </w:r>
      <w:r w:rsidR="003B23D3" w:rsidRPr="00A648E2">
        <w:rPr>
          <w:lang w:val="en-GB"/>
        </w:rPr>
        <w:t xml:space="preserve"> </w:t>
      </w:r>
      <w:r w:rsidR="00CB6CDD" w:rsidRPr="00A648E2">
        <w:rPr>
          <w:lang w:val="en-GB"/>
        </w:rPr>
        <w:t xml:space="preserve">are represented by </w:t>
      </w:r>
      <w:r w:rsidR="003B23D3" w:rsidRPr="00A648E2">
        <w:rPr>
          <w:lang w:val="en-GB"/>
        </w:rPr>
        <w:t xml:space="preserve">the shaded area in </w:t>
      </w:r>
      <w:r w:rsidR="00FD38EE" w:rsidRPr="00A648E2">
        <w:rPr>
          <w:lang w:val="en-GB"/>
        </w:rPr>
        <w:t>F</w:t>
      </w:r>
      <w:r w:rsidR="003B23D3" w:rsidRPr="00A648E2">
        <w:rPr>
          <w:lang w:val="en-GB"/>
        </w:rPr>
        <w:t xml:space="preserve">igure </w:t>
      </w:r>
      <w:r w:rsidR="00BF64BB" w:rsidRPr="00A648E2">
        <w:rPr>
          <w:lang w:val="en-GB"/>
        </w:rPr>
        <w:t>6</w:t>
      </w:r>
      <w:r w:rsidR="003B23D3" w:rsidRPr="00A648E2">
        <w:rPr>
          <w:lang w:val="en-GB"/>
        </w:rPr>
        <w:t xml:space="preserve"> </w:t>
      </w:r>
      <w:r w:rsidR="00BF64BB" w:rsidRPr="00A648E2">
        <w:rPr>
          <w:lang w:val="en-GB"/>
        </w:rPr>
        <w:t>b</w:t>
      </w:r>
      <w:r w:rsidR="003B23D3" w:rsidRPr="00A648E2">
        <w:rPr>
          <w:lang w:val="en-GB"/>
        </w:rPr>
        <w:t>)</w:t>
      </w:r>
      <w:r w:rsidR="00BF64BB" w:rsidRPr="00A648E2">
        <w:rPr>
          <w:lang w:val="en-GB"/>
        </w:rPr>
        <w:t xml:space="preserve"> iii</w:t>
      </w:r>
      <w:r w:rsidR="003B23D3" w:rsidRPr="00A648E2">
        <w:rPr>
          <w:lang w:val="en-GB"/>
        </w:rPr>
        <w:t>, which results from a vertical line shift</w:t>
      </w:r>
      <w:r w:rsidR="00233F7B" w:rsidRPr="00A648E2">
        <w:rPr>
          <w:lang w:val="en-GB"/>
        </w:rPr>
        <w:t>ing</w:t>
      </w:r>
      <w:r w:rsidR="003B23D3" w:rsidRPr="00A648E2">
        <w:rPr>
          <w:lang w:val="en-GB"/>
        </w:rPr>
        <w:t xml:space="preserve"> to the left.</w:t>
      </w:r>
    </w:p>
    <w:p w14:paraId="466CA0AE" w14:textId="77777777" w:rsidR="00A648E2" w:rsidRPr="00A648E2" w:rsidRDefault="005916DB" w:rsidP="005026B0">
      <w:pPr>
        <w:pStyle w:val="BodyText"/>
        <w:spacing w:line="360" w:lineRule="auto"/>
        <w:ind w:firstLine="720"/>
        <w:jc w:val="both"/>
        <w:rPr>
          <w:lang w:val="en-GB"/>
        </w:rPr>
        <w:sectPr w:rsidR="00A648E2" w:rsidRPr="00A648E2" w:rsidSect="0066680A">
          <w:pgSz w:w="11910" w:h="16840"/>
          <w:pgMar w:top="1701" w:right="1418" w:bottom="1701" w:left="1985" w:header="0" w:footer="1004" w:gutter="0"/>
          <w:cols w:space="720"/>
        </w:sectPr>
      </w:pPr>
      <w:r w:rsidRPr="00A648E2">
        <w:rPr>
          <w:lang w:val="en-GB"/>
        </w:rPr>
        <w:t xml:space="preserve">As mentioned before, selectivity is </w:t>
      </w:r>
      <w:r w:rsidR="004945F5" w:rsidRPr="00A648E2">
        <w:rPr>
          <w:lang w:val="en-GB"/>
        </w:rPr>
        <w:t xml:space="preserve">an </w:t>
      </w:r>
      <w:r w:rsidR="00233F7B" w:rsidRPr="00A648E2">
        <w:rPr>
          <w:lang w:val="en-GB"/>
        </w:rPr>
        <w:t>important</w:t>
      </w:r>
      <w:r w:rsidRPr="00A648E2">
        <w:rPr>
          <w:lang w:val="en-GB"/>
        </w:rPr>
        <w:t xml:space="preserve"> property of a hysteretic system. </w:t>
      </w:r>
      <w:r w:rsidR="0034669D" w:rsidRPr="00A648E2">
        <w:rPr>
          <w:lang w:val="en-GB"/>
        </w:rPr>
        <w:t xml:space="preserve">Selectivity entails that </w:t>
      </w:r>
      <w:r w:rsidRPr="00A648E2">
        <w:rPr>
          <w:lang w:val="en-GB"/>
        </w:rPr>
        <w:t>only the non-dominated extrema</w:t>
      </w:r>
      <w:r w:rsidR="00C667D3" w:rsidRPr="00A648E2">
        <w:rPr>
          <w:lang w:val="en-GB"/>
        </w:rPr>
        <w:t xml:space="preserve"> of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t1</m:t>
            </m:r>
          </m:sub>
        </m:sSub>
      </m:oMath>
      <w:r w:rsidRPr="00A648E2">
        <w:rPr>
          <w:lang w:val="en-GB"/>
        </w:rPr>
        <w:t xml:space="preserve"> matter </w:t>
      </w:r>
      <w:r w:rsidR="00FA429A" w:rsidRPr="00A648E2">
        <w:rPr>
          <w:lang w:val="en-GB"/>
        </w:rPr>
        <w:t>to determine the equilibrium path</w:t>
      </w:r>
      <w:r w:rsidR="00A971F4" w:rsidRPr="00A648E2">
        <w:rPr>
          <w:lang w:val="en-GB"/>
        </w:rPr>
        <w:t xml:space="preserve"> of aggregate investment</w:t>
      </w:r>
      <w:r w:rsidR="00FA429A" w:rsidRPr="00A648E2">
        <w:rPr>
          <w:lang w:val="en-GB"/>
        </w:rPr>
        <w:t>,</w:t>
      </w:r>
      <w:r w:rsidR="00A971F4" w:rsidRPr="00A648E2">
        <w:rPr>
          <w:lang w:val="en-GB"/>
        </w:rPr>
        <w:t xml:space="preserve"> </w:t>
      </w:r>
      <m:oMath>
        <m:sSub>
          <m:sSubPr>
            <m:ctrlPr>
              <w:rPr>
                <w:rFonts w:ascii="Cambria Math" w:hAnsi="Cambria Math"/>
                <w:i/>
                <w:lang w:val="en-GB"/>
              </w:rPr>
            </m:ctrlPr>
          </m:sSubPr>
          <m:e>
            <m:r>
              <w:rPr>
                <w:rFonts w:ascii="Cambria Math" w:hAnsi="Cambria Math"/>
                <w:lang w:val="en-GB"/>
              </w:rPr>
              <m:t>I</m:t>
            </m:r>
          </m:e>
          <m:sub>
            <m:r>
              <w:rPr>
                <w:rFonts w:ascii="Cambria Math" w:hAnsi="Cambria Math"/>
                <w:lang w:val="en-GB"/>
              </w:rPr>
              <m:t>t</m:t>
            </m:r>
          </m:sub>
        </m:sSub>
      </m:oMath>
      <w:r w:rsidR="00A971F4" w:rsidRPr="00A648E2">
        <w:rPr>
          <w:lang w:val="en-GB"/>
        </w:rPr>
        <w:t>,</w:t>
      </w:r>
      <w:r w:rsidR="00FA429A" w:rsidRPr="00A648E2">
        <w:rPr>
          <w:lang w:val="en-GB"/>
        </w:rPr>
        <w:t xml:space="preserve"> being the case that the values that are dominated are erased from the memory bank (Cross, 1995).</w:t>
      </w:r>
      <w:r w:rsidR="000F30DD" w:rsidRPr="00A648E2">
        <w:rPr>
          <w:lang w:val="en-GB"/>
        </w:rPr>
        <w:t xml:space="preserve"> </w:t>
      </w:r>
      <w:r w:rsidR="0034669D" w:rsidRPr="00A648E2">
        <w:rPr>
          <w:lang w:val="en-GB"/>
        </w:rPr>
        <w:t xml:space="preserve">We can observe this property graphically in Figure 6 a) from </w:t>
      </w:r>
      <w:r w:rsidR="005A0CCE" w:rsidRPr="00A648E2">
        <w:rPr>
          <w:lang w:val="en-GB"/>
        </w:rPr>
        <w:t xml:space="preserve">a level of aggregate demand,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t4</m:t>
            </m:r>
          </m:sub>
        </m:sSub>
      </m:oMath>
      <w:r w:rsidR="0034669D" w:rsidRPr="00A648E2">
        <w:rPr>
          <w:lang w:val="en-GB"/>
        </w:rPr>
        <w:t xml:space="preserve"> to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t5</m:t>
            </m:r>
          </m:sub>
        </m:sSub>
      </m:oMath>
      <w:r w:rsidR="0034669D" w:rsidRPr="00A648E2">
        <w:rPr>
          <w:lang w:val="en-GB"/>
        </w:rPr>
        <w:t xml:space="preserve"> which is a non-dominated extremum</w:t>
      </w:r>
      <w:r w:rsidR="005A0CCE" w:rsidRPr="00A648E2">
        <w:rPr>
          <w:lang w:val="en-GB"/>
        </w:rPr>
        <w:t>. F</w:t>
      </w:r>
      <w:r w:rsidR="0034669D" w:rsidRPr="00A648E2">
        <w:rPr>
          <w:lang w:val="en-GB"/>
        </w:rPr>
        <w:t>or that reason</w:t>
      </w:r>
      <w:r w:rsidR="005A0CCE" w:rsidRPr="00A648E2">
        <w:rPr>
          <w:lang w:val="en-GB"/>
        </w:rPr>
        <w:t xml:space="preserve">,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t5</m:t>
            </m:r>
          </m:sub>
        </m:sSub>
      </m:oMath>
      <w:r w:rsidR="005A0CCE" w:rsidRPr="00A648E2">
        <w:rPr>
          <w:lang w:val="en-GB"/>
        </w:rPr>
        <w:t xml:space="preserve"> </w:t>
      </w:r>
      <w:r w:rsidR="0034669D" w:rsidRPr="00A648E2">
        <w:rPr>
          <w:lang w:val="en-GB"/>
        </w:rPr>
        <w:t xml:space="preserve">will determine the path of aggregate investment, Figure 6 b) v to vi. </w:t>
      </w:r>
      <w:r w:rsidR="000F30DD" w:rsidRPr="00A648E2">
        <w:rPr>
          <w:lang w:val="en-GB"/>
        </w:rPr>
        <w:t>The memory bank is stored in the vertices of the staircase line</w:t>
      </w:r>
      <w:r w:rsidR="00F92533" w:rsidRPr="00A648E2">
        <w:rPr>
          <w:lang w:val="en-GB"/>
        </w:rPr>
        <w:t xml:space="preserve">, </w:t>
      </w:r>
      <m:oMath>
        <m:sSub>
          <m:sSubPr>
            <m:ctrlPr>
              <w:rPr>
                <w:rFonts w:ascii="Cambria Math" w:hAnsi="Cambria Math"/>
                <w:i/>
                <w:lang w:val="en-GB"/>
              </w:rPr>
            </m:ctrlPr>
          </m:sSubPr>
          <m:e>
            <m:r>
              <w:rPr>
                <w:rFonts w:ascii="Cambria Math" w:hAnsi="Cambria Math"/>
                <w:lang w:val="en-GB"/>
              </w:rPr>
              <m:t>O</m:t>
            </m:r>
          </m:e>
          <m:sub>
            <m:r>
              <w:rPr>
                <w:rFonts w:ascii="Cambria Math" w:hAnsi="Cambria Math"/>
                <w:lang w:val="en-GB"/>
              </w:rPr>
              <m:t>t</m:t>
            </m:r>
          </m:sub>
        </m:sSub>
      </m:oMath>
      <w:r w:rsidR="00F92533" w:rsidRPr="00A648E2">
        <w:rPr>
          <w:lang w:val="en-GB"/>
        </w:rPr>
        <w:t xml:space="preserve"> (Figure 6 b) v), </w:t>
      </w:r>
      <m:oMath>
        <m:d>
          <m:dPr>
            <m:begChr m:val="["/>
            <m:endChr m:val="]"/>
            <m:ctrlPr>
              <w:rPr>
                <w:rFonts w:ascii="Cambria Math" w:hAnsi="Cambria Math"/>
                <w:i/>
                <w:lang w:val="en-GB"/>
              </w:rPr>
            </m:ctrlPr>
          </m:dPr>
          <m:e>
            <m:r>
              <w:rPr>
                <w:rFonts w:ascii="Cambria Math" w:hAnsi="Cambria Math"/>
                <w:lang w:val="en-GB"/>
              </w:rPr>
              <m:t>(</m:t>
            </m:r>
            <m:sSub>
              <m:sSubPr>
                <m:ctrlPr>
                  <w:rPr>
                    <w:rFonts w:ascii="Cambria Math" w:hAnsi="Cambria Math"/>
                    <w:i/>
                    <w:lang w:val="en-GB"/>
                  </w:rPr>
                </m:ctrlPr>
              </m:sSubPr>
              <m:e>
                <m:r>
                  <w:rPr>
                    <w:rFonts w:ascii="Cambria Math" w:hAnsi="Cambria Math"/>
                    <w:lang w:val="en-GB"/>
                  </w:rPr>
                  <m:t>α</m:t>
                </m:r>
              </m:e>
              <m:sub>
                <m:r>
                  <w:rPr>
                    <w:rFonts w:ascii="Cambria Math" w:hAnsi="Cambria Math"/>
                    <w:lang w:val="en-GB"/>
                  </w:rPr>
                  <m:t>min</m:t>
                </m:r>
              </m:sub>
            </m:sSub>
            <m:r>
              <m:rPr>
                <m:sty m:val="p"/>
              </m:rP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t1</m:t>
                </m:r>
              </m:sub>
            </m:sSub>
            <m:r>
              <m:rPr>
                <m:sty m:val="p"/>
              </m:rP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t2</m:t>
                </m:r>
              </m:sub>
            </m:sSub>
            <m:r>
              <m:rPr>
                <m:sty m:val="p"/>
              </m:rP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t1</m:t>
                </m:r>
              </m:sub>
            </m:sSub>
            <m:r>
              <m:rPr>
                <m:sty m:val="p"/>
              </m:rP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t2,</m:t>
                </m:r>
              </m:sub>
            </m:sSub>
            <m:r>
              <m:rPr>
                <m:sty m:val="p"/>
              </m:rP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t3</m:t>
                </m:r>
              </m:sub>
            </m:sSub>
            <m:r>
              <m:rPr>
                <m:sty m:val="p"/>
              </m:rP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t4,</m:t>
                </m:r>
              </m:sub>
            </m:sSub>
            <m:r>
              <m:rPr>
                <m:sty m:val="p"/>
              </m:rP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t3</m:t>
                </m:r>
              </m:sub>
            </m:sSub>
            <m:r>
              <m:rPr>
                <m:sty m:val="p"/>
              </m:rPr>
              <w:rPr>
                <w:rFonts w:ascii="Cambria Math" w:hAnsi="Cambria Math"/>
                <w:lang w:val="en-GB"/>
              </w:rPr>
              <m:t>)</m:t>
            </m:r>
          </m:e>
        </m:d>
      </m:oMath>
      <w:r w:rsidR="00D63B53" w:rsidRPr="00A648E2">
        <w:rPr>
          <w:lang w:val="en-GB"/>
        </w:rPr>
        <w:t xml:space="preserve"> that establishes the division</w:t>
      </w:r>
      <w:r w:rsidR="00036F8E" w:rsidRPr="00A648E2">
        <w:rPr>
          <w:lang w:val="en-GB"/>
        </w:rPr>
        <w:t xml:space="preserve"> of</w:t>
      </w:r>
      <w:r w:rsidR="00D63B53" w:rsidRPr="00A648E2">
        <w:rPr>
          <w:lang w:val="en-GB"/>
        </w:rPr>
        <w:t xml:space="preserve"> the</w:t>
      </w:r>
      <w:r w:rsidR="00852AE6" w:rsidRPr="00A648E2">
        <w:rPr>
          <w:lang w:val="en-GB"/>
        </w:rPr>
        <w:t xml:space="preserve"> Preisach Triangle, between the</w:t>
      </w:r>
      <w:r w:rsidR="00D63B53" w:rsidRPr="00A648E2">
        <w:rPr>
          <w:lang w:val="en-GB"/>
        </w:rPr>
        <w:t xml:space="preserve"> shaded area (that represents firms</w:t>
      </w:r>
      <w:r w:rsidR="00EE58FF" w:rsidRPr="00A648E2">
        <w:rPr>
          <w:lang w:val="en-GB"/>
        </w:rPr>
        <w:t xml:space="preserve"> that are investing,</w:t>
      </w:r>
      <w:r w:rsidR="00282B4D" w:rsidRPr="00A648E2">
        <w:rPr>
          <w:i/>
          <w:lang w:val="en-GB"/>
        </w:rPr>
        <w:t xml:space="preserve">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t</m:t>
            </m:r>
          </m:sub>
        </m:sSub>
      </m:oMath>
      <w:r w:rsidR="00D63B53" w:rsidRPr="00A648E2">
        <w:rPr>
          <w:lang w:val="en-GB"/>
        </w:rPr>
        <w:t>) and the white area (that represents firms</w:t>
      </w:r>
      <w:r w:rsidR="00EE58FF" w:rsidRPr="00A648E2">
        <w:rPr>
          <w:lang w:val="en-GB"/>
        </w:rPr>
        <w:t xml:space="preserve"> that are not investing</w:t>
      </w:r>
      <w:r w:rsidR="00D63B53" w:rsidRPr="00A648E2">
        <w:rPr>
          <w:lang w:val="en-GB"/>
        </w:rPr>
        <w:t xml:space="preserve">, </w:t>
      </w:r>
      <m:oMath>
        <m:sSub>
          <m:sSubPr>
            <m:ctrlPr>
              <w:rPr>
                <w:rFonts w:ascii="Cambria Math" w:hAnsi="Cambria Math"/>
                <w:i/>
                <w:lang w:val="en-GB"/>
              </w:rPr>
            </m:ctrlPr>
          </m:sSubPr>
          <m:e>
            <m:r>
              <w:rPr>
                <w:rFonts w:ascii="Cambria Math" w:hAnsi="Cambria Math"/>
                <w:lang w:val="en-GB"/>
              </w:rPr>
              <m:t>B</m:t>
            </m:r>
          </m:e>
          <m:sub>
            <m:r>
              <w:rPr>
                <w:rFonts w:ascii="Cambria Math" w:hAnsi="Cambria Math"/>
                <w:lang w:val="en-GB"/>
              </w:rPr>
              <m:t>t</m:t>
            </m:r>
          </m:sub>
        </m:sSub>
      </m:oMath>
      <w:r w:rsidR="00D63B53" w:rsidRPr="00A648E2">
        <w:rPr>
          <w:lang w:val="en-GB"/>
        </w:rPr>
        <w:t xml:space="preserve">). </w:t>
      </w:r>
      <w:r w:rsidR="00915AC8" w:rsidRPr="00A648E2">
        <w:rPr>
          <w:lang w:val="en-GB"/>
        </w:rPr>
        <w:t xml:space="preserve">The output of the system at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4</m:t>
            </m:r>
          </m:sub>
        </m:sSub>
      </m:oMath>
      <w:r w:rsidR="00915AC8" w:rsidRPr="00A648E2">
        <w:rPr>
          <w:lang w:val="en-GB"/>
        </w:rPr>
        <w:t xml:space="preserve"> depends on the sequence of aggregate demand levels </w:t>
      </w:r>
      <m:oMath>
        <m:d>
          <m:dPr>
            <m:begChr m:val="{"/>
            <m:endChr m:val="}"/>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t1</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t3</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t4</m:t>
                </m:r>
              </m:sub>
            </m:sSub>
          </m:e>
        </m:d>
      </m:oMath>
      <w:r w:rsidR="00915AC8" w:rsidRPr="00A648E2">
        <w:rPr>
          <w:lang w:val="en-GB"/>
        </w:rPr>
        <w:t xml:space="preserve">. At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5</m:t>
            </m:r>
          </m:sub>
        </m:sSub>
      </m:oMath>
      <w:r w:rsidR="00915AC8" w:rsidRPr="00A648E2">
        <w:rPr>
          <w:lang w:val="en-GB"/>
        </w:rPr>
        <w:t xml:space="preserve"> it </w:t>
      </w:r>
      <w:r w:rsidR="00936884" w:rsidRPr="00A648E2">
        <w:rPr>
          <w:lang w:val="en-GB"/>
        </w:rPr>
        <w:t>occurs</w:t>
      </w:r>
      <w:r w:rsidR="00915AC8" w:rsidRPr="00A648E2">
        <w:rPr>
          <w:lang w:val="en-GB"/>
        </w:rPr>
        <w:t xml:space="preserve"> that the previous memory sequence is eliminated by the new absolute maximum,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t5</m:t>
            </m:r>
          </m:sub>
        </m:sSub>
      </m:oMath>
      <w:r w:rsidR="00915AC8" w:rsidRPr="00A648E2">
        <w:rPr>
          <w:lang w:val="en-GB"/>
        </w:rPr>
        <w:t>. Consequently, to know the</w:t>
      </w:r>
      <w:r w:rsidR="00EE58FF" w:rsidRPr="00A648E2">
        <w:rPr>
          <w:lang w:val="en-GB"/>
        </w:rPr>
        <w:t xml:space="preserve"> current</w:t>
      </w:r>
      <w:r w:rsidR="00915AC8" w:rsidRPr="00A648E2">
        <w:rPr>
          <w:lang w:val="en-GB"/>
        </w:rPr>
        <w:t xml:space="preserve"> value of </w:t>
      </w:r>
      <m:oMath>
        <m:sSub>
          <m:sSubPr>
            <m:ctrlPr>
              <w:rPr>
                <w:rFonts w:ascii="Cambria Math" w:hAnsi="Cambria Math"/>
                <w:i/>
                <w:lang w:val="en-GB"/>
              </w:rPr>
            </m:ctrlPr>
          </m:sSubPr>
          <m:e>
            <m:r>
              <w:rPr>
                <w:rFonts w:ascii="Cambria Math" w:hAnsi="Cambria Math"/>
                <w:lang w:val="en-GB"/>
              </w:rPr>
              <m:t>I</m:t>
            </m:r>
          </m:e>
          <m:sub>
            <m:r>
              <w:rPr>
                <w:rFonts w:ascii="Cambria Math" w:hAnsi="Cambria Math"/>
                <w:lang w:val="en-GB"/>
              </w:rPr>
              <m:t>t</m:t>
            </m:r>
          </m:sub>
        </m:sSub>
      </m:oMath>
      <w:r w:rsidR="00915AC8" w:rsidRPr="00A648E2">
        <w:rPr>
          <w:lang w:val="en-GB"/>
        </w:rPr>
        <w:t>, it is only necessary to know the local maxima and minima that have not been eliminated, which in turn forms the reduced memory sequence (</w:t>
      </w:r>
      <w:r w:rsidR="00F673E1" w:rsidRPr="00A648E2">
        <w:rPr>
          <w:lang w:val="en-GB"/>
        </w:rPr>
        <w:t>Mota &amp; Vasconcelos, 2022</w:t>
      </w:r>
      <w:r w:rsidR="00A25C14" w:rsidRPr="00A648E2">
        <w:rPr>
          <w:lang w:val="en-GB"/>
        </w:rPr>
        <w:t>b</w:t>
      </w:r>
      <w:r w:rsidR="00915AC8" w:rsidRPr="00A648E2">
        <w:rPr>
          <w:lang w:val="en-GB"/>
        </w:rPr>
        <w:t>)</w:t>
      </w:r>
      <w:r w:rsidR="00F673E1" w:rsidRPr="00A648E2">
        <w:rPr>
          <w:lang w:val="en-GB"/>
        </w:rPr>
        <w:t>.</w:t>
      </w:r>
    </w:p>
    <w:p w14:paraId="1B0E87A8" w14:textId="4CDB7F21" w:rsidR="00C84628" w:rsidRDefault="00C84628" w:rsidP="00A648E2">
      <w:pPr>
        <w:pStyle w:val="BodyText"/>
        <w:spacing w:line="360" w:lineRule="auto"/>
        <w:ind w:firstLine="720"/>
        <w:jc w:val="center"/>
        <w:rPr>
          <w:lang w:val="en-GB"/>
        </w:rPr>
      </w:pPr>
      <w:r>
        <w:rPr>
          <w:lang w:val="en-GB"/>
        </w:rPr>
        <w:br w:type="page"/>
      </w:r>
      <w:r w:rsidR="00465119" w:rsidRPr="001678A7">
        <w:rPr>
          <w:b/>
          <w:bCs/>
          <w:lang w:val="en-GB"/>
        </w:rPr>
        <w:lastRenderedPageBreak/>
        <w:t>Figure 7</w:t>
      </w:r>
      <w:r w:rsidR="00DF2609">
        <w:rPr>
          <w:b/>
          <w:bCs/>
          <w:lang w:val="en-GB"/>
        </w:rPr>
        <w:t>.</w:t>
      </w:r>
      <w:r w:rsidR="00465119" w:rsidRPr="001678A7">
        <w:rPr>
          <w:b/>
          <w:bCs/>
          <w:lang w:val="en-GB"/>
        </w:rPr>
        <w:t xml:space="preserve"> </w:t>
      </w:r>
      <w:r w:rsidR="00465119" w:rsidRPr="008602F0">
        <w:rPr>
          <w:lang w:val="en-GB"/>
        </w:rPr>
        <w:t xml:space="preserve">Preisach </w:t>
      </w:r>
      <w:r w:rsidR="00EE58FF">
        <w:rPr>
          <w:lang w:val="en-GB"/>
        </w:rPr>
        <w:t>L</w:t>
      </w:r>
      <w:r w:rsidR="00465119" w:rsidRPr="008602F0">
        <w:rPr>
          <w:lang w:val="en-GB"/>
        </w:rPr>
        <w:t>oop of Hysteresis</w:t>
      </w:r>
      <w:r w:rsidR="008602F0">
        <w:rPr>
          <w:lang w:val="en-GB"/>
        </w:rPr>
        <w:t>.</w:t>
      </w:r>
    </w:p>
    <w:p w14:paraId="22A795D4" w14:textId="77777777" w:rsidR="009B2106" w:rsidRDefault="009B2106" w:rsidP="00C84628">
      <w:pPr>
        <w:pStyle w:val="BodyText"/>
        <w:spacing w:line="360" w:lineRule="auto"/>
        <w:ind w:right="272" w:firstLine="720"/>
        <w:jc w:val="center"/>
        <w:rPr>
          <w:b/>
          <w:bCs/>
          <w:lang w:val="en-GB"/>
        </w:rPr>
      </w:pPr>
    </w:p>
    <w:p w14:paraId="1B7439E5" w14:textId="4A241CD5" w:rsidR="00C84628" w:rsidRPr="001678A7" w:rsidRDefault="009B2106" w:rsidP="00C84628">
      <w:pPr>
        <w:pStyle w:val="BodyText"/>
        <w:spacing w:line="360" w:lineRule="auto"/>
        <w:ind w:right="272" w:firstLine="720"/>
        <w:jc w:val="center"/>
        <w:rPr>
          <w:b/>
          <w:bCs/>
          <w:lang w:val="en-GB"/>
        </w:rPr>
      </w:pPr>
      <w:r>
        <w:rPr>
          <w:noProof/>
          <w:lang w:val="en-GB"/>
        </w:rPr>
        <w:drawing>
          <wp:inline distT="0" distB="0" distL="0" distR="0" wp14:anchorId="1CE2ED08" wp14:editId="20650B5C">
            <wp:extent cx="4548937" cy="3737582"/>
            <wp:effectExtent l="0" t="0" r="4445" b="0"/>
            <wp:docPr id="1997542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8945" t="5757" r="6777" b="2326"/>
                    <a:stretch/>
                  </pic:blipFill>
                  <pic:spPr bwMode="auto">
                    <a:xfrm>
                      <a:off x="0" y="0"/>
                      <a:ext cx="4549948" cy="3738412"/>
                    </a:xfrm>
                    <a:prstGeom prst="rect">
                      <a:avLst/>
                    </a:prstGeom>
                    <a:noFill/>
                    <a:ln>
                      <a:noFill/>
                    </a:ln>
                    <a:extLst>
                      <a:ext uri="{53640926-AAD7-44D8-BBD7-CCE9431645EC}">
                        <a14:shadowObscured xmlns:a14="http://schemas.microsoft.com/office/drawing/2010/main"/>
                      </a:ext>
                    </a:extLst>
                  </pic:spPr>
                </pic:pic>
              </a:graphicData>
            </a:graphic>
          </wp:inline>
        </w:drawing>
      </w:r>
    </w:p>
    <w:p w14:paraId="21F62539" w14:textId="77777777" w:rsidR="00C84628" w:rsidRDefault="00C84628" w:rsidP="00C84628">
      <w:pPr>
        <w:pStyle w:val="BodyText"/>
        <w:spacing w:line="360" w:lineRule="auto"/>
        <w:ind w:right="272"/>
        <w:jc w:val="center"/>
        <w:rPr>
          <w:lang w:val="en-GB"/>
        </w:rPr>
      </w:pPr>
    </w:p>
    <w:p w14:paraId="6B43B6AE" w14:textId="6646EA6A" w:rsidR="000E2885" w:rsidRPr="005026B0" w:rsidRDefault="00C84628" w:rsidP="00C84628">
      <w:pPr>
        <w:pStyle w:val="BodyText"/>
        <w:spacing w:line="360" w:lineRule="auto"/>
        <w:ind w:right="272"/>
        <w:jc w:val="center"/>
        <w:rPr>
          <w:sz w:val="20"/>
          <w:szCs w:val="20"/>
          <w:lang w:val="en-GB"/>
        </w:rPr>
      </w:pPr>
      <w:r w:rsidRPr="005026B0">
        <w:rPr>
          <w:sz w:val="20"/>
          <w:szCs w:val="20"/>
          <w:lang w:val="en-GB"/>
        </w:rPr>
        <w:t>Source: Based on Mota and Vasconcelos (2022</w:t>
      </w:r>
      <w:r w:rsidR="00A25C14" w:rsidRPr="005026B0">
        <w:rPr>
          <w:sz w:val="20"/>
          <w:szCs w:val="20"/>
          <w:lang w:val="en-GB"/>
        </w:rPr>
        <w:t>c</w:t>
      </w:r>
      <w:r w:rsidRPr="005026B0">
        <w:rPr>
          <w:sz w:val="20"/>
          <w:szCs w:val="20"/>
          <w:lang w:val="en-GB"/>
        </w:rPr>
        <w:t>, p.6)</w:t>
      </w:r>
    </w:p>
    <w:p w14:paraId="34BDD740" w14:textId="77777777" w:rsidR="005A0CCE" w:rsidRDefault="005A0CCE" w:rsidP="00A3169E">
      <w:pPr>
        <w:pStyle w:val="BodyText"/>
        <w:spacing w:line="360" w:lineRule="auto"/>
        <w:ind w:firstLine="720"/>
        <w:jc w:val="both"/>
        <w:rPr>
          <w:lang w:val="en-GB"/>
        </w:rPr>
      </w:pPr>
    </w:p>
    <w:p w14:paraId="08DB2819" w14:textId="0D03C1FB" w:rsidR="00642135" w:rsidRPr="00025A44" w:rsidRDefault="00FA429A" w:rsidP="00A3169E">
      <w:pPr>
        <w:pStyle w:val="BodyText"/>
        <w:spacing w:line="360" w:lineRule="auto"/>
        <w:ind w:firstLine="720"/>
        <w:jc w:val="both"/>
        <w:rPr>
          <w:lang w:val="en-GB"/>
        </w:rPr>
      </w:pPr>
      <w:r w:rsidRPr="00025A44">
        <w:rPr>
          <w:lang w:val="en-GB"/>
        </w:rPr>
        <w:t xml:space="preserve">The graphical representation of the </w:t>
      </w:r>
      <w:r w:rsidR="006604E0" w:rsidRPr="00025A44">
        <w:rPr>
          <w:lang w:val="en-GB"/>
        </w:rPr>
        <w:t xml:space="preserve">relationship between the </w:t>
      </w:r>
      <w:r w:rsidRPr="00025A44">
        <w:rPr>
          <w:lang w:val="en-GB"/>
        </w:rPr>
        <w:t>areas of the Preisach triangle</w:t>
      </w:r>
      <w:r w:rsidR="006604E0" w:rsidRPr="00025A44">
        <w:rPr>
          <w:lang w:val="en-GB"/>
        </w:rPr>
        <w:t xml:space="preserve"> (in Figure 6 b) and the</w:t>
      </w:r>
      <w:r w:rsidR="00686F52" w:rsidRPr="00025A44">
        <w:rPr>
          <w:lang w:val="en-GB"/>
        </w:rPr>
        <w:t xml:space="preserve"> value</w:t>
      </w:r>
      <w:r w:rsidR="006604E0" w:rsidRPr="00025A44">
        <w:rPr>
          <w:lang w:val="en-GB"/>
        </w:rPr>
        <w:t xml:space="preserve"> aggregate demand shock variable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m:t>
            </m:r>
          </m:sub>
        </m:sSub>
      </m:oMath>
      <w:r w:rsidR="00686F52" w:rsidRPr="00025A44">
        <w:rPr>
          <w:lang w:val="en-GB"/>
        </w:rPr>
        <w:t>, known as the Preisach loop of Hysteresis is shown in Figure 7</w:t>
      </w:r>
      <w:r w:rsidR="006604E0" w:rsidRPr="00025A44">
        <w:rPr>
          <w:lang w:val="en-GB"/>
        </w:rPr>
        <w:t>.</w:t>
      </w:r>
      <w:r w:rsidRPr="00025A44">
        <w:rPr>
          <w:lang w:val="en-GB"/>
        </w:rPr>
        <w:t xml:space="preserve"> It is composed </w:t>
      </w:r>
      <w:r w:rsidR="00C84628" w:rsidRPr="00025A44">
        <w:rPr>
          <w:lang w:val="en-GB"/>
        </w:rPr>
        <w:t>of</w:t>
      </w:r>
      <w:r w:rsidRPr="00025A44">
        <w:rPr>
          <w:lang w:val="en-GB"/>
        </w:rPr>
        <w:t xml:space="preserve"> two major loops and several minor loops. The major loop </w:t>
      </w:r>
      <w:r w:rsidR="006604E0" w:rsidRPr="00025A44">
        <w:rPr>
          <w:lang w:val="en-GB"/>
        </w:rPr>
        <w:t>represents the reaction of investment</w:t>
      </w:r>
      <w:r w:rsidR="008425CD" w:rsidRPr="00025A44">
        <w:rPr>
          <w:lang w:val="en-GB"/>
        </w:rPr>
        <w:t xml:space="preserve"> when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m:t>
            </m:r>
          </m:sub>
        </m:sSub>
      </m:oMath>
      <w:r w:rsidR="006604E0" w:rsidRPr="00025A44">
        <w:rPr>
          <w:lang w:val="en-GB"/>
        </w:rPr>
        <w:t xml:space="preserve"> </w:t>
      </w:r>
      <w:r w:rsidR="008425CD" w:rsidRPr="00025A44">
        <w:rPr>
          <w:lang w:val="en-GB"/>
        </w:rPr>
        <w:t xml:space="preserve">increases </w:t>
      </w:r>
      <w:r w:rsidR="00C84628" w:rsidRPr="00025A44">
        <w:rPr>
          <w:lang w:val="en-GB"/>
        </w:rPr>
        <w:t xml:space="preserve">from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t0</m:t>
            </m:r>
          </m:sub>
        </m:sSub>
      </m:oMath>
      <w:r w:rsidR="008425CD" w:rsidRPr="00025A44">
        <w:rPr>
          <w:lang w:val="en-GB"/>
        </w:rPr>
        <w:t xml:space="preserve"> (in which no firm is investing)</w:t>
      </w:r>
      <w:r w:rsidR="00C84628" w:rsidRPr="00025A44">
        <w:rPr>
          <w:lang w:val="en-GB"/>
        </w:rPr>
        <w:t xml:space="preserve"> to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tM</m:t>
            </m:r>
          </m:sub>
        </m:sSub>
      </m:oMath>
      <w:r w:rsidR="008425CD" w:rsidRPr="00025A44">
        <w:rPr>
          <w:lang w:val="en-GB"/>
        </w:rPr>
        <w:t xml:space="preserve"> (in which all firms are investing) </w:t>
      </w:r>
      <w:r w:rsidR="00EE58FF" w:rsidRPr="00025A44">
        <w:rPr>
          <w:lang w:val="en-GB"/>
        </w:rPr>
        <w:t>referring to the</w:t>
      </w:r>
      <w:r w:rsidR="008425CD" w:rsidRPr="00025A44">
        <w:rPr>
          <w:lang w:val="en-GB"/>
        </w:rPr>
        <w:t xml:space="preserve"> upward branch </w:t>
      </w:r>
      <w:r w:rsidR="009B2106" w:rsidRPr="00025A44">
        <w:rPr>
          <w:lang w:val="en-GB"/>
        </w:rPr>
        <w:t xml:space="preserve">mM, </w:t>
      </w:r>
      <w:r w:rsidR="008425CD" w:rsidRPr="00025A44">
        <w:rPr>
          <w:lang w:val="en-GB"/>
        </w:rPr>
        <w:t xml:space="preserve">and the reaction of investment when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m:t>
            </m:r>
          </m:sub>
        </m:sSub>
      </m:oMath>
      <w:r w:rsidR="008425CD" w:rsidRPr="00025A44">
        <w:rPr>
          <w:lang w:val="en-GB"/>
        </w:rPr>
        <w:t xml:space="preserve"> decreases from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tM</m:t>
            </m:r>
          </m:sub>
        </m:sSub>
      </m:oMath>
      <w:r w:rsidR="008425CD" w:rsidRPr="00025A44">
        <w:rPr>
          <w:lang w:val="en-GB"/>
        </w:rPr>
        <w:t xml:space="preserve"> to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t0</m:t>
            </m:r>
          </m:sub>
        </m:sSub>
      </m:oMath>
      <w:r w:rsidR="008425CD" w:rsidRPr="00025A44">
        <w:rPr>
          <w:lang w:val="en-GB"/>
        </w:rPr>
        <w:t xml:space="preserve">, along a </w:t>
      </w:r>
      <w:r w:rsidR="00C470B5" w:rsidRPr="00025A44">
        <w:rPr>
          <w:lang w:val="en-GB"/>
        </w:rPr>
        <w:t>do</w:t>
      </w:r>
      <w:r w:rsidR="008425CD" w:rsidRPr="00025A44">
        <w:rPr>
          <w:lang w:val="en-GB"/>
        </w:rPr>
        <w:t>w</w:t>
      </w:r>
      <w:r w:rsidR="00C470B5" w:rsidRPr="00025A44">
        <w:rPr>
          <w:lang w:val="en-GB"/>
        </w:rPr>
        <w:t>nw</w:t>
      </w:r>
      <w:r w:rsidR="008425CD" w:rsidRPr="00025A44">
        <w:rPr>
          <w:lang w:val="en-GB"/>
        </w:rPr>
        <w:t>ard branch</w:t>
      </w:r>
      <w:r w:rsidR="009B2106" w:rsidRPr="00025A44">
        <w:rPr>
          <w:lang w:val="en-GB"/>
        </w:rPr>
        <w:t xml:space="preserve"> (Mm)</w:t>
      </w:r>
      <w:r w:rsidR="008425CD" w:rsidRPr="00025A44">
        <w:rPr>
          <w:lang w:val="en-GB"/>
        </w:rPr>
        <w:t>.</w:t>
      </w:r>
    </w:p>
    <w:p w14:paraId="2D1EF72E" w14:textId="392879F2" w:rsidR="00A10AFA" w:rsidRPr="00025A44" w:rsidRDefault="003048C2" w:rsidP="00A3169E">
      <w:pPr>
        <w:pStyle w:val="BodyText"/>
        <w:spacing w:line="360" w:lineRule="auto"/>
        <w:ind w:firstLine="720"/>
        <w:jc w:val="both"/>
        <w:rPr>
          <w:lang w:val="en-GB"/>
        </w:rPr>
      </w:pPr>
      <w:r w:rsidRPr="00025A44">
        <w:rPr>
          <w:lang w:val="en-GB"/>
        </w:rPr>
        <w:t xml:space="preserve">From the origin to point </w:t>
      </w:r>
      <m:oMath>
        <m:r>
          <w:rPr>
            <w:rFonts w:ascii="Cambria Math" w:hAnsi="Cambria Math"/>
          </w:rPr>
          <m:t>a</m:t>
        </m:r>
      </m:oMath>
      <w:r w:rsidRPr="00025A44">
        <w:rPr>
          <w:lang w:val="en-GB"/>
        </w:rPr>
        <w:t>, we can observe a minor loop</w:t>
      </w:r>
      <w:r w:rsidR="005D56AE" w:rsidRPr="00025A44">
        <w:rPr>
          <w:lang w:val="en-GB"/>
        </w:rPr>
        <w:t>. As the level of aggregate demand rises, firms gradually have their investment triggers</w:t>
      </w:r>
      <w:r w:rsidR="00686F52" w:rsidRPr="00025A44">
        <w:rPr>
          <w:lang w:val="en-GB"/>
        </w:rPr>
        <w:t xml:space="preserve"> surpassed</w:t>
      </w:r>
      <w:r w:rsidR="005D56AE" w:rsidRPr="00025A44">
        <w:rPr>
          <w:lang w:val="en-GB"/>
        </w:rPr>
        <w:t xml:space="preserve"> and consequently </w:t>
      </w:r>
      <w:r w:rsidR="00686F52" w:rsidRPr="00025A44">
        <w:rPr>
          <w:lang w:val="en-GB"/>
        </w:rPr>
        <w:t xml:space="preserve">they </w:t>
      </w:r>
      <w:r w:rsidR="005D56AE" w:rsidRPr="00025A44">
        <w:rPr>
          <w:lang w:val="en-GB"/>
        </w:rPr>
        <w:t>start to invest. I</w:t>
      </w:r>
      <w:r w:rsidRPr="00025A44">
        <w:rPr>
          <w:lang w:val="en-GB"/>
        </w:rPr>
        <w:t xml:space="preserve">nitially, </w:t>
      </w:r>
      <w:r w:rsidR="00A5636D" w:rsidRPr="00025A44">
        <w:rPr>
          <w:lang w:val="en-GB"/>
        </w:rPr>
        <w:t xml:space="preserve">there is a weak aggregate reaction because for most </w:t>
      </w:r>
      <w:r w:rsidRPr="00025A44">
        <w:rPr>
          <w:lang w:val="en-GB"/>
        </w:rPr>
        <w:t xml:space="preserve">firms </w:t>
      </w:r>
      <w:r w:rsidR="00A5636D" w:rsidRPr="00025A44">
        <w:rPr>
          <w:lang w:val="en-GB"/>
        </w:rPr>
        <w:t>their investment trigger</w:t>
      </w:r>
      <w:r w:rsidR="00686F52" w:rsidRPr="00025A44">
        <w:rPr>
          <w:lang w:val="en-GB"/>
        </w:rPr>
        <w:t>s are</w:t>
      </w:r>
      <w:r w:rsidR="00A5636D" w:rsidRPr="00025A44">
        <w:rPr>
          <w:lang w:val="en-GB"/>
        </w:rPr>
        <w:t xml:space="preserve"> not yet surpassed</w:t>
      </w:r>
      <w:r w:rsidR="00686F52" w:rsidRPr="00025A44">
        <w:rPr>
          <w:lang w:val="en-GB"/>
        </w:rPr>
        <w:t>. A</w:t>
      </w:r>
      <w:r w:rsidR="00A5636D" w:rsidRPr="00025A44">
        <w:rPr>
          <w:lang w:val="en-GB"/>
        </w:rPr>
        <w:t>nd as the aggregate demand level increases the</w:t>
      </w:r>
      <w:r w:rsidR="005D56AE" w:rsidRPr="00025A44">
        <w:rPr>
          <w:lang w:val="en-GB"/>
        </w:rPr>
        <w:t xml:space="preserve"> adjustment becomes</w:t>
      </w:r>
      <w:r w:rsidR="00310689" w:rsidRPr="00025A44">
        <w:rPr>
          <w:lang w:val="en-GB"/>
        </w:rPr>
        <w:t xml:space="preserve"> more intense</w:t>
      </w:r>
      <w:r w:rsidR="002A197A" w:rsidRPr="00025A44">
        <w:rPr>
          <w:lang w:val="en-GB"/>
        </w:rPr>
        <w:t>, as more firms have their investment triggers surpassed</w:t>
      </w:r>
      <w:r w:rsidR="005D56AE" w:rsidRPr="00025A44">
        <w:rPr>
          <w:lang w:val="en-GB"/>
        </w:rPr>
        <w:t>.</w:t>
      </w:r>
      <w:r w:rsidRPr="00025A44">
        <w:rPr>
          <w:lang w:val="en-GB"/>
        </w:rPr>
        <w:t xml:space="preserve"> </w:t>
      </w:r>
      <w:r w:rsidR="005D56AE" w:rsidRPr="00025A44">
        <w:rPr>
          <w:lang w:val="en-GB"/>
        </w:rPr>
        <w:t>Consequently, firms</w:t>
      </w:r>
      <w:r w:rsidR="00A5636D" w:rsidRPr="00025A44">
        <w:rPr>
          <w:lang w:val="en-GB"/>
        </w:rPr>
        <w:t xml:space="preserve"> </w:t>
      </w:r>
      <w:r w:rsidRPr="00025A44">
        <w:rPr>
          <w:lang w:val="en-GB"/>
        </w:rPr>
        <w:t xml:space="preserve">increase their investment </w:t>
      </w:r>
      <w:r w:rsidR="005D56AE" w:rsidRPr="00025A44">
        <w:rPr>
          <w:lang w:val="en-GB"/>
        </w:rPr>
        <w:t xml:space="preserve">levels </w:t>
      </w:r>
      <w:r w:rsidRPr="00025A44">
        <w:rPr>
          <w:lang w:val="en-GB"/>
        </w:rPr>
        <w:t>(</w:t>
      </w:r>
      <w:r w:rsidR="005D56AE" w:rsidRPr="00025A44">
        <w:rPr>
          <w:lang w:val="en-GB"/>
        </w:rPr>
        <w:t>F</w:t>
      </w:r>
      <w:r w:rsidRPr="00025A44">
        <w:rPr>
          <w:lang w:val="en-GB"/>
        </w:rPr>
        <w:t xml:space="preserve">igure 6 b) i to </w:t>
      </w:r>
      <w:r w:rsidR="005D56AE" w:rsidRPr="00025A44">
        <w:rPr>
          <w:lang w:val="en-GB"/>
        </w:rPr>
        <w:t>F</w:t>
      </w:r>
      <w:r w:rsidRPr="00025A44">
        <w:rPr>
          <w:lang w:val="en-GB"/>
        </w:rPr>
        <w:t xml:space="preserve">igure 6 b) ii). From </w:t>
      </w:r>
      <w:r w:rsidRPr="00025A44">
        <w:rPr>
          <w:lang w:val="en-GB"/>
        </w:rPr>
        <w:lastRenderedPageBreak/>
        <w:t xml:space="preserve">point </w:t>
      </w:r>
      <m:oMath>
        <m:r>
          <w:rPr>
            <w:rFonts w:ascii="Cambria Math" w:hAnsi="Cambria Math"/>
          </w:rPr>
          <m:t>b</m:t>
        </m:r>
      </m:oMath>
      <w:r w:rsidRPr="00025A44">
        <w:rPr>
          <w:lang w:val="en-GB"/>
        </w:rPr>
        <w:t xml:space="preserve"> to point </w:t>
      </w:r>
      <m:oMath>
        <m:r>
          <w:rPr>
            <w:rFonts w:ascii="Cambria Math" w:hAnsi="Cambria Math"/>
          </w:rPr>
          <m:t>a</m:t>
        </m:r>
      </m:oMath>
      <w:r w:rsidRPr="00025A44">
        <w:rPr>
          <w:lang w:val="en-GB"/>
        </w:rPr>
        <w:t xml:space="preserve"> we have another minor loop that represents a fall in aggregate demand from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t1</m:t>
            </m:r>
          </m:sub>
        </m:sSub>
      </m:oMath>
      <w:r w:rsidRPr="00025A44">
        <w:rPr>
          <w:lang w:val="en-GB"/>
        </w:rPr>
        <w:t xml:space="preserve"> to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t2</m:t>
            </m:r>
          </m:sub>
        </m:sSub>
      </m:oMath>
      <w:r w:rsidRPr="00025A44">
        <w:rPr>
          <w:lang w:val="en-GB"/>
        </w:rPr>
        <w:t xml:space="preserve"> and again we can observe a </w:t>
      </w:r>
      <w:r w:rsidR="00934FE3" w:rsidRPr="00025A44">
        <w:rPr>
          <w:lang w:val="en-GB"/>
        </w:rPr>
        <w:t xml:space="preserve">weak </w:t>
      </w:r>
      <w:r w:rsidR="005D56AE" w:rsidRPr="00025A44">
        <w:rPr>
          <w:lang w:val="en-GB"/>
        </w:rPr>
        <w:t xml:space="preserve">initial </w:t>
      </w:r>
      <w:r w:rsidR="00934FE3" w:rsidRPr="00025A44">
        <w:rPr>
          <w:lang w:val="en-GB"/>
        </w:rPr>
        <w:t>aggregate reaction</w:t>
      </w:r>
      <w:r w:rsidRPr="00025A44">
        <w:rPr>
          <w:lang w:val="en-GB"/>
        </w:rPr>
        <w:t xml:space="preserve">, and as the </w:t>
      </w:r>
      <w:r w:rsidR="00934FE3" w:rsidRPr="00025A44">
        <w:rPr>
          <w:lang w:val="en-GB"/>
        </w:rPr>
        <w:t>negative variation</w:t>
      </w:r>
      <w:r w:rsidRPr="00025A44">
        <w:rPr>
          <w:lang w:val="en-GB"/>
        </w:rPr>
        <w:t xml:space="preserve"> in aggregate demand intensifies so do </w:t>
      </w:r>
      <w:r w:rsidR="005D56AE" w:rsidRPr="00025A44">
        <w:rPr>
          <w:lang w:val="en-GB"/>
        </w:rPr>
        <w:t xml:space="preserve">more </w:t>
      </w:r>
      <w:r w:rsidRPr="00025A44">
        <w:rPr>
          <w:lang w:val="en-GB"/>
        </w:rPr>
        <w:t xml:space="preserve">firms </w:t>
      </w:r>
      <w:r w:rsidR="00934FE3" w:rsidRPr="00025A44">
        <w:rPr>
          <w:lang w:val="en-GB"/>
        </w:rPr>
        <w:t>have their respective disinvestment trigger surpassed and consequently</w:t>
      </w:r>
      <w:r w:rsidR="002A197A" w:rsidRPr="00025A44">
        <w:rPr>
          <w:lang w:val="en-GB"/>
        </w:rPr>
        <w:t xml:space="preserve"> disinvest.</w:t>
      </w:r>
    </w:p>
    <w:p w14:paraId="38CF3A08" w14:textId="087DD6D7" w:rsidR="00A10AFA" w:rsidRPr="0063438A" w:rsidRDefault="00A10AFA" w:rsidP="00A10AFA">
      <w:pPr>
        <w:pStyle w:val="Heading1"/>
        <w:ind w:left="0"/>
        <w:rPr>
          <w:b w:val="0"/>
          <w:bCs w:val="0"/>
          <w:sz w:val="24"/>
          <w:szCs w:val="24"/>
        </w:rPr>
      </w:pPr>
      <w:r>
        <w:rPr>
          <w:lang w:val="en-GB"/>
        </w:rPr>
        <w:br w:type="page"/>
      </w:r>
      <w:bookmarkStart w:id="22" w:name="_Hlk136194017"/>
      <w:r>
        <w:lastRenderedPageBreak/>
        <w:t xml:space="preserve">Chapter </w:t>
      </w:r>
      <w:r w:rsidR="00F13999">
        <w:t>3</w:t>
      </w:r>
      <w:r>
        <w:t xml:space="preserve">. The </w:t>
      </w:r>
      <w:r w:rsidR="00603585">
        <w:t>E</w:t>
      </w:r>
      <w:r>
        <w:t xml:space="preserve">mpirical </w:t>
      </w:r>
      <w:r w:rsidR="00603585">
        <w:t>S</w:t>
      </w:r>
      <w:r>
        <w:t>trategy</w:t>
      </w:r>
      <w:bookmarkEnd w:id="22"/>
    </w:p>
    <w:p w14:paraId="4167DFF9" w14:textId="77777777" w:rsidR="009C76F2" w:rsidRPr="0063438A" w:rsidRDefault="009C76F2" w:rsidP="005D49B5">
      <w:pPr>
        <w:pStyle w:val="Heading3"/>
        <w:tabs>
          <w:tab w:val="left" w:pos="934"/>
        </w:tabs>
        <w:spacing w:before="1"/>
        <w:ind w:left="-17" w:firstLine="0"/>
        <w:rPr>
          <w:b w:val="0"/>
          <w:bCs w:val="0"/>
          <w:lang w:val="en-GB"/>
        </w:rPr>
      </w:pPr>
    </w:p>
    <w:p w14:paraId="290EEA6D" w14:textId="77777777" w:rsidR="00F13999" w:rsidRPr="00F13999" w:rsidRDefault="00F13999" w:rsidP="00F13999">
      <w:pPr>
        <w:pStyle w:val="ListParagraph"/>
        <w:numPr>
          <w:ilvl w:val="0"/>
          <w:numId w:val="8"/>
        </w:numPr>
        <w:tabs>
          <w:tab w:val="left" w:pos="934"/>
        </w:tabs>
        <w:spacing w:before="1"/>
        <w:jc w:val="both"/>
        <w:outlineLvl w:val="2"/>
        <w:rPr>
          <w:b/>
          <w:bCs/>
          <w:vanish/>
          <w:sz w:val="24"/>
          <w:szCs w:val="24"/>
          <w:lang w:val="en-GB"/>
        </w:rPr>
      </w:pPr>
    </w:p>
    <w:p w14:paraId="1F4BE5CF" w14:textId="77777777" w:rsidR="00F13999" w:rsidRPr="00F13999" w:rsidRDefault="00F13999" w:rsidP="00F13999">
      <w:pPr>
        <w:pStyle w:val="ListParagraph"/>
        <w:numPr>
          <w:ilvl w:val="0"/>
          <w:numId w:val="8"/>
        </w:numPr>
        <w:tabs>
          <w:tab w:val="left" w:pos="934"/>
        </w:tabs>
        <w:spacing w:before="1"/>
        <w:jc w:val="both"/>
        <w:outlineLvl w:val="2"/>
        <w:rPr>
          <w:b/>
          <w:bCs/>
          <w:vanish/>
          <w:sz w:val="24"/>
          <w:szCs w:val="24"/>
          <w:lang w:val="en-GB"/>
        </w:rPr>
      </w:pPr>
    </w:p>
    <w:p w14:paraId="7F6C4234" w14:textId="3C443256" w:rsidR="005E59D0" w:rsidRPr="00FB0BDF" w:rsidRDefault="005E59D0" w:rsidP="00F13999">
      <w:pPr>
        <w:pStyle w:val="Heading3"/>
        <w:numPr>
          <w:ilvl w:val="1"/>
          <w:numId w:val="8"/>
        </w:numPr>
        <w:tabs>
          <w:tab w:val="left" w:pos="934"/>
        </w:tabs>
        <w:spacing w:before="1"/>
        <w:jc w:val="both"/>
        <w:rPr>
          <w:b w:val="0"/>
          <w:bCs w:val="0"/>
          <w:lang w:val="en-GB"/>
        </w:rPr>
      </w:pPr>
      <w:r w:rsidRPr="005E59D0">
        <w:rPr>
          <w:lang w:val="en-GB"/>
        </w:rPr>
        <w:t>The Play Model of H</w:t>
      </w:r>
      <w:r>
        <w:rPr>
          <w:lang w:val="en-GB"/>
        </w:rPr>
        <w:t>ysteresis</w:t>
      </w:r>
    </w:p>
    <w:p w14:paraId="654D1F72" w14:textId="77777777" w:rsidR="005E59D0" w:rsidRDefault="005E59D0" w:rsidP="00A35328">
      <w:pPr>
        <w:pStyle w:val="Heading3"/>
        <w:tabs>
          <w:tab w:val="left" w:pos="934"/>
        </w:tabs>
        <w:spacing w:line="360" w:lineRule="auto"/>
        <w:ind w:left="0" w:firstLine="720"/>
        <w:jc w:val="both"/>
        <w:rPr>
          <w:lang w:val="en-GB"/>
        </w:rPr>
      </w:pPr>
    </w:p>
    <w:p w14:paraId="114CA5A9" w14:textId="74183765" w:rsidR="00BF2A78" w:rsidRPr="00025A44" w:rsidRDefault="00A83D8A" w:rsidP="00A3169E">
      <w:pPr>
        <w:pStyle w:val="Heading3"/>
        <w:tabs>
          <w:tab w:val="left" w:pos="934"/>
        </w:tabs>
        <w:spacing w:line="360" w:lineRule="auto"/>
        <w:ind w:left="0" w:firstLine="720"/>
        <w:jc w:val="both"/>
        <w:rPr>
          <w:b w:val="0"/>
          <w:bCs w:val="0"/>
          <w:lang w:val="en-GB"/>
        </w:rPr>
      </w:pPr>
      <w:r w:rsidRPr="00025A44">
        <w:rPr>
          <w:b w:val="0"/>
          <w:bCs w:val="0"/>
          <w:lang w:val="en-GB"/>
        </w:rPr>
        <w:t xml:space="preserve">To identify hysteresis empirically, we </w:t>
      </w:r>
      <w:r w:rsidR="009C76F2" w:rsidRPr="00025A44">
        <w:rPr>
          <w:b w:val="0"/>
          <w:bCs w:val="0"/>
          <w:lang w:val="en-GB"/>
        </w:rPr>
        <w:t>apply</w:t>
      </w:r>
      <w:r w:rsidRPr="00025A44">
        <w:rPr>
          <w:b w:val="0"/>
          <w:bCs w:val="0"/>
          <w:lang w:val="en-GB"/>
        </w:rPr>
        <w:t xml:space="preserve"> the </w:t>
      </w:r>
      <w:r w:rsidR="00EA1A4C" w:rsidRPr="00025A44">
        <w:rPr>
          <w:b w:val="0"/>
          <w:bCs w:val="0"/>
          <w:lang w:val="en-GB"/>
        </w:rPr>
        <w:t>l</w:t>
      </w:r>
      <w:r w:rsidRPr="00025A44">
        <w:rPr>
          <w:b w:val="0"/>
          <w:bCs w:val="0"/>
          <w:lang w:val="en-GB"/>
        </w:rPr>
        <w:t xml:space="preserve">inear </w:t>
      </w:r>
      <w:r w:rsidR="00EA1A4C" w:rsidRPr="00025A44">
        <w:rPr>
          <w:b w:val="0"/>
          <w:bCs w:val="0"/>
          <w:lang w:val="en-GB"/>
        </w:rPr>
        <w:t>p</w:t>
      </w:r>
      <w:r w:rsidRPr="00025A44">
        <w:rPr>
          <w:b w:val="0"/>
          <w:bCs w:val="0"/>
          <w:lang w:val="en-GB"/>
        </w:rPr>
        <w:t>lay model of hysteresis.</w:t>
      </w:r>
      <w:r w:rsidR="00CB6911" w:rsidRPr="00025A44">
        <w:rPr>
          <w:b w:val="0"/>
          <w:bCs w:val="0"/>
          <w:lang w:val="en-GB"/>
        </w:rPr>
        <w:t xml:space="preserve"> </w:t>
      </w:r>
      <w:r w:rsidRPr="00025A44">
        <w:rPr>
          <w:b w:val="0"/>
          <w:bCs w:val="0"/>
          <w:lang w:val="en-GB"/>
        </w:rPr>
        <w:t xml:space="preserve">This model </w:t>
      </w:r>
      <w:r w:rsidR="009C76F2" w:rsidRPr="00025A44">
        <w:rPr>
          <w:b w:val="0"/>
          <w:bCs w:val="0"/>
          <w:lang w:val="en-GB"/>
        </w:rPr>
        <w:t>can be viewed as a</w:t>
      </w:r>
      <w:r w:rsidRPr="00025A44">
        <w:rPr>
          <w:b w:val="0"/>
          <w:bCs w:val="0"/>
          <w:lang w:val="en-GB"/>
        </w:rPr>
        <w:t xml:space="preserve"> </w:t>
      </w:r>
      <w:r w:rsidR="005B7A17" w:rsidRPr="00025A44">
        <w:rPr>
          <w:b w:val="0"/>
          <w:bCs w:val="0"/>
          <w:lang w:val="en-GB"/>
        </w:rPr>
        <w:t>piecewise-</w:t>
      </w:r>
      <w:r w:rsidRPr="00025A44">
        <w:rPr>
          <w:b w:val="0"/>
          <w:bCs w:val="0"/>
          <w:lang w:val="en-GB"/>
        </w:rPr>
        <w:t>linear approximation of the Preisach hysteresis loop</w:t>
      </w:r>
      <w:r w:rsidR="00EA617E" w:rsidRPr="00025A44">
        <w:rPr>
          <w:b w:val="0"/>
          <w:bCs w:val="0"/>
          <w:lang w:val="en-GB"/>
        </w:rPr>
        <w:t xml:space="preserve"> where the slope of the linear </w:t>
      </w:r>
      <w:r w:rsidR="004F0012" w:rsidRPr="00025A44">
        <w:rPr>
          <w:b w:val="0"/>
          <w:bCs w:val="0"/>
          <w:lang w:val="en-GB"/>
        </w:rPr>
        <w:t>branches</w:t>
      </w:r>
      <w:r w:rsidR="00EA617E" w:rsidRPr="00025A44">
        <w:rPr>
          <w:b w:val="0"/>
          <w:bCs w:val="0"/>
          <w:lang w:val="en-GB"/>
        </w:rPr>
        <w:t xml:space="preserve"> changes at extrema</w:t>
      </w:r>
      <w:r w:rsidR="009C76F2" w:rsidRPr="00025A44">
        <w:rPr>
          <w:b w:val="0"/>
          <w:bCs w:val="0"/>
          <w:lang w:val="en-GB"/>
        </w:rPr>
        <w:t xml:space="preserve"> (</w:t>
      </w:r>
      <w:r w:rsidR="000925CF" w:rsidRPr="00025A44">
        <w:rPr>
          <w:b w:val="0"/>
          <w:bCs w:val="0"/>
          <w:lang w:val="en-GB"/>
        </w:rPr>
        <w:t>Mota &amp; Vasconcelos, 2022</w:t>
      </w:r>
      <w:r w:rsidR="00A25C14" w:rsidRPr="00025A44">
        <w:rPr>
          <w:b w:val="0"/>
          <w:bCs w:val="0"/>
          <w:lang w:val="en-GB"/>
        </w:rPr>
        <w:t>c</w:t>
      </w:r>
      <w:r w:rsidR="000925CF" w:rsidRPr="00025A44">
        <w:rPr>
          <w:b w:val="0"/>
          <w:bCs w:val="0"/>
          <w:lang w:val="en-GB"/>
        </w:rPr>
        <w:t>)</w:t>
      </w:r>
      <w:r w:rsidR="00CB6911" w:rsidRPr="00025A44">
        <w:rPr>
          <w:b w:val="0"/>
          <w:bCs w:val="0"/>
          <w:lang w:val="en-GB"/>
        </w:rPr>
        <w:t>.</w:t>
      </w:r>
    </w:p>
    <w:p w14:paraId="5D0C4DB9" w14:textId="64358410" w:rsidR="000B4CE7" w:rsidRPr="00025A44" w:rsidRDefault="000B4CE7" w:rsidP="00A3169E">
      <w:pPr>
        <w:pStyle w:val="Heading3"/>
        <w:tabs>
          <w:tab w:val="left" w:pos="934"/>
        </w:tabs>
        <w:spacing w:line="360" w:lineRule="auto"/>
        <w:ind w:left="0" w:firstLine="720"/>
        <w:jc w:val="both"/>
        <w:rPr>
          <w:b w:val="0"/>
          <w:bCs w:val="0"/>
          <w:lang w:val="en-GB"/>
        </w:rPr>
      </w:pPr>
      <w:r w:rsidRPr="00025A44">
        <w:rPr>
          <w:b w:val="0"/>
          <w:bCs w:val="0"/>
          <w:lang w:val="en-GB"/>
        </w:rPr>
        <w:t>Figure 8 exhibits the graphic</w:t>
      </w:r>
      <w:r w:rsidR="000E2885" w:rsidRPr="00025A44">
        <w:rPr>
          <w:b w:val="0"/>
          <w:bCs w:val="0"/>
          <w:lang w:val="en-GB"/>
        </w:rPr>
        <w:t xml:space="preserve"> representation of th</w:t>
      </w:r>
      <w:r w:rsidRPr="00025A44">
        <w:rPr>
          <w:b w:val="0"/>
          <w:bCs w:val="0"/>
          <w:lang w:val="en-GB"/>
        </w:rPr>
        <w:t>e</w:t>
      </w:r>
      <w:r w:rsidR="000E2885" w:rsidRPr="00025A44">
        <w:rPr>
          <w:b w:val="0"/>
          <w:bCs w:val="0"/>
          <w:lang w:val="en-GB"/>
        </w:rPr>
        <w:t xml:space="preserve"> </w:t>
      </w:r>
      <w:r w:rsidRPr="00025A44">
        <w:rPr>
          <w:b w:val="0"/>
          <w:bCs w:val="0"/>
          <w:lang w:val="en-GB"/>
        </w:rPr>
        <w:t xml:space="preserve">play </w:t>
      </w:r>
      <w:r w:rsidR="000E2885" w:rsidRPr="00025A44">
        <w:rPr>
          <w:b w:val="0"/>
          <w:bCs w:val="0"/>
          <w:lang w:val="en-GB"/>
        </w:rPr>
        <w:t>model</w:t>
      </w:r>
      <w:r w:rsidR="00B0738D" w:rsidRPr="00025A44">
        <w:rPr>
          <w:b w:val="0"/>
          <w:bCs w:val="0"/>
          <w:lang w:val="en-GB"/>
        </w:rPr>
        <w:t xml:space="preserve"> </w:t>
      </w:r>
      <w:r w:rsidRPr="00025A44">
        <w:rPr>
          <w:b w:val="0"/>
          <w:bCs w:val="0"/>
          <w:lang w:val="en-GB"/>
        </w:rPr>
        <w:t>of hysteresis. The model is characterised by</w:t>
      </w:r>
      <w:r w:rsidR="000E2885" w:rsidRPr="00025A44">
        <w:rPr>
          <w:b w:val="0"/>
          <w:bCs w:val="0"/>
          <w:lang w:val="en-GB"/>
        </w:rPr>
        <w:t xml:space="preserve"> two steep lines</w:t>
      </w:r>
      <w:r w:rsidR="004F0012" w:rsidRPr="00025A44">
        <w:rPr>
          <w:b w:val="0"/>
          <w:bCs w:val="0"/>
          <w:lang w:val="en-GB"/>
        </w:rPr>
        <w:t>:</w:t>
      </w:r>
      <w:r w:rsidR="000E2885" w:rsidRPr="00025A44">
        <w:rPr>
          <w:b w:val="0"/>
          <w:bCs w:val="0"/>
          <w:lang w:val="en-GB"/>
        </w:rPr>
        <w:t xml:space="preserve"> an upward spurt line and a downward spurt line. </w:t>
      </w:r>
      <w:r w:rsidRPr="00025A44">
        <w:rPr>
          <w:b w:val="0"/>
          <w:bCs w:val="0"/>
          <w:lang w:val="en-GB"/>
        </w:rPr>
        <w:t xml:space="preserve">These two </w:t>
      </w:r>
      <w:r w:rsidR="000E2885" w:rsidRPr="00025A44">
        <w:rPr>
          <w:b w:val="0"/>
          <w:bCs w:val="0"/>
          <w:lang w:val="en-GB"/>
        </w:rPr>
        <w:t>spurt lines</w:t>
      </w:r>
      <w:r w:rsidRPr="00025A44">
        <w:rPr>
          <w:b w:val="0"/>
          <w:bCs w:val="0"/>
          <w:lang w:val="en-GB"/>
        </w:rPr>
        <w:t xml:space="preserve"> are connected with</w:t>
      </w:r>
      <w:r w:rsidR="000E2885" w:rsidRPr="00025A44">
        <w:rPr>
          <w:b w:val="0"/>
          <w:bCs w:val="0"/>
          <w:lang w:val="en-GB"/>
        </w:rPr>
        <w:t xml:space="preserve"> flatter lines </w:t>
      </w:r>
      <w:r w:rsidRPr="00025A44">
        <w:rPr>
          <w:b w:val="0"/>
          <w:bCs w:val="0"/>
          <w:lang w:val="en-GB"/>
        </w:rPr>
        <w:t xml:space="preserve">called the </w:t>
      </w:r>
      <w:r w:rsidR="000E2885" w:rsidRPr="00025A44">
        <w:rPr>
          <w:b w:val="0"/>
          <w:bCs w:val="0"/>
          <w:i/>
          <w:iCs/>
          <w:lang w:val="en-GB"/>
        </w:rPr>
        <w:t>play lines</w:t>
      </w:r>
      <w:r w:rsidRPr="00025A44">
        <w:rPr>
          <w:b w:val="0"/>
          <w:bCs w:val="0"/>
          <w:lang w:val="en-GB"/>
        </w:rPr>
        <w:t>.</w:t>
      </w:r>
    </w:p>
    <w:p w14:paraId="36C0B226" w14:textId="19B29E45" w:rsidR="00B25999" w:rsidRPr="00025A44" w:rsidRDefault="002B0040" w:rsidP="00A3169E">
      <w:pPr>
        <w:pStyle w:val="Heading3"/>
        <w:tabs>
          <w:tab w:val="left" w:pos="934"/>
        </w:tabs>
        <w:spacing w:line="360" w:lineRule="auto"/>
        <w:ind w:left="0" w:firstLine="720"/>
        <w:jc w:val="both"/>
        <w:rPr>
          <w:b w:val="0"/>
          <w:bCs w:val="0"/>
          <w:lang w:val="en-GB"/>
        </w:rPr>
      </w:pPr>
      <w:r w:rsidRPr="00025A44">
        <w:rPr>
          <w:b w:val="0"/>
          <w:bCs w:val="0"/>
          <w:lang w:val="en-GB"/>
        </w:rPr>
        <w:t>In t</w:t>
      </w:r>
      <w:r w:rsidR="002A004C" w:rsidRPr="00025A44">
        <w:rPr>
          <w:b w:val="0"/>
          <w:bCs w:val="0"/>
          <w:lang w:val="en-GB"/>
        </w:rPr>
        <w:t>his model</w:t>
      </w:r>
      <w:r w:rsidRPr="00025A44">
        <w:rPr>
          <w:b w:val="0"/>
          <w:bCs w:val="0"/>
          <w:lang w:val="en-GB"/>
        </w:rPr>
        <w:t>,</w:t>
      </w:r>
      <w:r w:rsidR="002A004C" w:rsidRPr="00025A44">
        <w:rPr>
          <w:b w:val="0"/>
          <w:bCs w:val="0"/>
          <w:lang w:val="en-GB"/>
        </w:rPr>
        <w:t xml:space="preserve"> </w:t>
      </w:r>
      <w:r w:rsidRPr="00025A44">
        <w:rPr>
          <w:b w:val="0"/>
          <w:bCs w:val="0"/>
          <w:lang w:val="en-GB"/>
        </w:rPr>
        <w:t xml:space="preserve">following </w:t>
      </w:r>
      <w:r w:rsidR="00FA29A6" w:rsidRPr="00025A44">
        <w:rPr>
          <w:b w:val="0"/>
          <w:bCs w:val="0"/>
          <w:lang w:val="en-GB"/>
        </w:rPr>
        <w:t>a</w:t>
      </w:r>
      <w:r w:rsidRPr="00025A44">
        <w:rPr>
          <w:b w:val="0"/>
          <w:bCs w:val="0"/>
          <w:lang w:val="en-GB"/>
        </w:rPr>
        <w:t xml:space="preserve"> relatively small </w:t>
      </w:r>
      <w:r w:rsidR="00FA29A6" w:rsidRPr="00025A44">
        <w:rPr>
          <w:b w:val="0"/>
          <w:bCs w:val="0"/>
          <w:lang w:val="en-GB"/>
        </w:rPr>
        <w:t xml:space="preserve">aggregate demand shock </w:t>
      </w:r>
      <w:r w:rsidR="002A004C" w:rsidRPr="00025A44">
        <w:rPr>
          <w:b w:val="0"/>
          <w:bCs w:val="0"/>
          <w:lang w:val="en-GB"/>
        </w:rPr>
        <w:t xml:space="preserve">there </w:t>
      </w:r>
      <w:r w:rsidR="00025A44">
        <w:rPr>
          <w:b w:val="0"/>
          <w:bCs w:val="0"/>
          <w:lang w:val="en-GB"/>
        </w:rPr>
        <w:t>is</w:t>
      </w:r>
      <w:r w:rsidR="002A004C" w:rsidRPr="00025A44">
        <w:rPr>
          <w:b w:val="0"/>
          <w:bCs w:val="0"/>
          <w:lang w:val="en-GB"/>
        </w:rPr>
        <w:t xml:space="preserve"> a </w:t>
      </w:r>
      <w:r w:rsidRPr="00025A44">
        <w:rPr>
          <w:b w:val="0"/>
          <w:bCs w:val="0"/>
          <w:lang w:val="en-GB"/>
        </w:rPr>
        <w:t xml:space="preserve">small </w:t>
      </w:r>
      <w:r w:rsidR="00FD38EE" w:rsidRPr="00025A44">
        <w:rPr>
          <w:b w:val="0"/>
          <w:bCs w:val="0"/>
          <w:lang w:val="en-GB"/>
        </w:rPr>
        <w:t>c</w:t>
      </w:r>
      <w:r w:rsidRPr="00025A44">
        <w:rPr>
          <w:b w:val="0"/>
          <w:bCs w:val="0"/>
          <w:lang w:val="en-GB"/>
        </w:rPr>
        <w:t xml:space="preserve">hange in </w:t>
      </w:r>
      <w:r w:rsidR="001660ED" w:rsidRPr="00025A44">
        <w:rPr>
          <w:b w:val="0"/>
          <w:bCs w:val="0"/>
          <w:lang w:val="en-GB"/>
        </w:rPr>
        <w:t xml:space="preserve">aggregate </w:t>
      </w:r>
      <w:r w:rsidRPr="00025A44">
        <w:rPr>
          <w:b w:val="0"/>
          <w:bCs w:val="0"/>
          <w:lang w:val="en-GB"/>
        </w:rPr>
        <w:t>investment</w:t>
      </w:r>
      <w:r w:rsidR="002A004C" w:rsidRPr="00025A44">
        <w:rPr>
          <w:b w:val="0"/>
          <w:bCs w:val="0"/>
          <w:lang w:val="en-GB"/>
        </w:rPr>
        <w:t xml:space="preserve">, along </w:t>
      </w:r>
      <w:r w:rsidRPr="00025A44">
        <w:rPr>
          <w:b w:val="0"/>
          <w:bCs w:val="0"/>
          <w:lang w:val="en-GB"/>
        </w:rPr>
        <w:t>a</w:t>
      </w:r>
      <w:r w:rsidR="002A004C" w:rsidRPr="00025A44">
        <w:rPr>
          <w:b w:val="0"/>
          <w:bCs w:val="0"/>
          <w:lang w:val="en-GB"/>
        </w:rPr>
        <w:t xml:space="preserve"> play line</w:t>
      </w:r>
      <w:r w:rsidRPr="00025A44">
        <w:rPr>
          <w:b w:val="0"/>
          <w:bCs w:val="0"/>
          <w:lang w:val="en-GB"/>
        </w:rPr>
        <w:t>.</w:t>
      </w:r>
      <w:r w:rsidR="00B25999" w:rsidRPr="00025A44">
        <w:rPr>
          <w:b w:val="0"/>
          <w:bCs w:val="0"/>
          <w:lang w:val="en-GB"/>
        </w:rPr>
        <w:t xml:space="preserve"> </w:t>
      </w:r>
      <w:r w:rsidRPr="00025A44">
        <w:rPr>
          <w:b w:val="0"/>
          <w:bCs w:val="0"/>
          <w:lang w:val="en-GB"/>
        </w:rPr>
        <w:t>O</w:t>
      </w:r>
      <w:r w:rsidR="002A004C" w:rsidRPr="00025A44">
        <w:rPr>
          <w:b w:val="0"/>
          <w:bCs w:val="0"/>
          <w:lang w:val="en-GB"/>
        </w:rPr>
        <w:t xml:space="preserve">nly </w:t>
      </w:r>
      <w:r w:rsidR="00B25999" w:rsidRPr="00025A44">
        <w:rPr>
          <w:b w:val="0"/>
          <w:bCs w:val="0"/>
          <w:lang w:val="en-GB"/>
        </w:rPr>
        <w:t>when</w:t>
      </w:r>
      <w:r w:rsidRPr="00025A44">
        <w:rPr>
          <w:b w:val="0"/>
          <w:bCs w:val="0"/>
          <w:lang w:val="en-GB"/>
        </w:rPr>
        <w:t xml:space="preserve"> the</w:t>
      </w:r>
      <w:r w:rsidR="002A004C" w:rsidRPr="00025A44">
        <w:rPr>
          <w:b w:val="0"/>
          <w:bCs w:val="0"/>
          <w:lang w:val="en-GB"/>
        </w:rPr>
        <w:t xml:space="preserve"> shock is of significant dimension </w:t>
      </w:r>
      <w:r w:rsidR="00B25999" w:rsidRPr="00025A44">
        <w:rPr>
          <w:b w:val="0"/>
          <w:bCs w:val="0"/>
          <w:lang w:val="en-GB"/>
        </w:rPr>
        <w:t xml:space="preserve">is </w:t>
      </w:r>
      <w:r w:rsidR="002A004C" w:rsidRPr="00025A44">
        <w:rPr>
          <w:b w:val="0"/>
          <w:bCs w:val="0"/>
          <w:lang w:val="en-GB"/>
        </w:rPr>
        <w:t xml:space="preserve">the </w:t>
      </w:r>
      <w:r w:rsidRPr="00025A44">
        <w:rPr>
          <w:b w:val="0"/>
          <w:bCs w:val="0"/>
          <w:lang w:val="en-GB"/>
        </w:rPr>
        <w:t xml:space="preserve">reaction of investment </w:t>
      </w:r>
      <w:r w:rsidR="00CE3FD1" w:rsidRPr="00025A44">
        <w:rPr>
          <w:b w:val="0"/>
          <w:bCs w:val="0"/>
          <w:lang w:val="en-GB"/>
        </w:rPr>
        <w:t>stronger</w:t>
      </w:r>
      <w:r w:rsidR="004F0012" w:rsidRPr="00025A44">
        <w:rPr>
          <w:b w:val="0"/>
          <w:bCs w:val="0"/>
          <w:lang w:val="en-GB"/>
        </w:rPr>
        <w:t>,</w:t>
      </w:r>
      <w:r w:rsidR="00B25999" w:rsidRPr="00025A44">
        <w:rPr>
          <w:b w:val="0"/>
          <w:bCs w:val="0"/>
          <w:lang w:val="en-GB"/>
        </w:rPr>
        <w:t xml:space="preserve"> which is represented by </w:t>
      </w:r>
      <w:r w:rsidR="004F0012" w:rsidRPr="00025A44">
        <w:rPr>
          <w:b w:val="0"/>
          <w:bCs w:val="0"/>
          <w:lang w:val="en-GB"/>
        </w:rPr>
        <w:t>a movement along a spurt line</w:t>
      </w:r>
      <w:r w:rsidR="002A004C" w:rsidRPr="00025A44">
        <w:rPr>
          <w:b w:val="0"/>
          <w:bCs w:val="0"/>
          <w:lang w:val="en-GB"/>
        </w:rPr>
        <w:t>.</w:t>
      </w:r>
    </w:p>
    <w:p w14:paraId="6A1ECDDC" w14:textId="31511488" w:rsidR="00B25999" w:rsidRPr="00025A44" w:rsidRDefault="004F0012" w:rsidP="00A3169E">
      <w:pPr>
        <w:pStyle w:val="Heading3"/>
        <w:tabs>
          <w:tab w:val="left" w:pos="934"/>
        </w:tabs>
        <w:spacing w:line="360" w:lineRule="auto"/>
        <w:ind w:left="0" w:firstLine="720"/>
        <w:jc w:val="both"/>
        <w:rPr>
          <w:b w:val="0"/>
          <w:bCs w:val="0"/>
          <w:lang w:val="en-GB"/>
        </w:rPr>
      </w:pPr>
      <w:r w:rsidRPr="00025A44">
        <w:rPr>
          <w:b w:val="0"/>
          <w:bCs w:val="0"/>
          <w:lang w:val="en-GB"/>
        </w:rPr>
        <w:t>Beginning in a spurt line, f</w:t>
      </w:r>
      <w:r w:rsidR="005579CF" w:rsidRPr="00025A44">
        <w:rPr>
          <w:b w:val="0"/>
          <w:bCs w:val="0"/>
          <w:lang w:val="en-GB"/>
        </w:rPr>
        <w:t xml:space="preserve">ollowing </w:t>
      </w:r>
      <w:r w:rsidRPr="00025A44">
        <w:rPr>
          <w:b w:val="0"/>
          <w:bCs w:val="0"/>
          <w:lang w:val="en-GB"/>
        </w:rPr>
        <w:t>a</w:t>
      </w:r>
      <w:r w:rsidR="005579CF" w:rsidRPr="00025A44">
        <w:rPr>
          <w:b w:val="0"/>
          <w:bCs w:val="0"/>
          <w:lang w:val="en-GB"/>
        </w:rPr>
        <w:t xml:space="preserve"> reversal of a </w:t>
      </w:r>
      <w:r w:rsidR="00CE3FD1" w:rsidRPr="00025A44">
        <w:rPr>
          <w:b w:val="0"/>
          <w:bCs w:val="0"/>
          <w:lang w:val="en-GB"/>
        </w:rPr>
        <w:t xml:space="preserve">positive (negative) </w:t>
      </w:r>
      <w:r w:rsidR="005579CF" w:rsidRPr="00025A44">
        <w:rPr>
          <w:b w:val="0"/>
          <w:bCs w:val="0"/>
          <w:lang w:val="en-GB"/>
        </w:rPr>
        <w:t>shock</w:t>
      </w:r>
      <w:r w:rsidR="00603585" w:rsidRPr="00025A44">
        <w:rPr>
          <w:b w:val="0"/>
          <w:bCs w:val="0"/>
          <w:lang w:val="en-GB"/>
        </w:rPr>
        <w:t>,</w:t>
      </w:r>
      <w:r w:rsidR="005579CF" w:rsidRPr="00025A44">
        <w:rPr>
          <w:b w:val="0"/>
          <w:bCs w:val="0"/>
          <w:lang w:val="en-GB"/>
        </w:rPr>
        <w:t xml:space="preserve"> firms</w:t>
      </w:r>
      <w:r w:rsidR="00231607" w:rsidRPr="00025A44">
        <w:rPr>
          <w:b w:val="0"/>
          <w:bCs w:val="0"/>
          <w:lang w:val="en-GB"/>
        </w:rPr>
        <w:t xml:space="preserve"> do</w:t>
      </w:r>
      <w:r w:rsidR="005579CF" w:rsidRPr="00025A44">
        <w:rPr>
          <w:b w:val="0"/>
          <w:bCs w:val="0"/>
          <w:lang w:val="en-GB"/>
        </w:rPr>
        <w:t xml:space="preserve"> not immediately </w:t>
      </w:r>
      <w:r w:rsidR="00CE3FD1" w:rsidRPr="00025A44">
        <w:rPr>
          <w:b w:val="0"/>
          <w:bCs w:val="0"/>
          <w:lang w:val="en-GB"/>
        </w:rPr>
        <w:t>start disinves</w:t>
      </w:r>
      <w:r w:rsidR="005579CF" w:rsidRPr="00025A44">
        <w:rPr>
          <w:b w:val="0"/>
          <w:bCs w:val="0"/>
          <w:lang w:val="en-GB"/>
        </w:rPr>
        <w:t>t</w:t>
      </w:r>
      <w:r w:rsidR="00CE3FD1" w:rsidRPr="00025A44">
        <w:rPr>
          <w:b w:val="0"/>
          <w:bCs w:val="0"/>
          <w:lang w:val="en-GB"/>
        </w:rPr>
        <w:t>ing</w:t>
      </w:r>
      <w:r w:rsidR="005579CF" w:rsidRPr="00025A44">
        <w:rPr>
          <w:b w:val="0"/>
          <w:bCs w:val="0"/>
          <w:lang w:val="en-GB"/>
        </w:rPr>
        <w:t xml:space="preserve"> </w:t>
      </w:r>
      <w:r w:rsidR="00CE3FD1" w:rsidRPr="00025A44">
        <w:rPr>
          <w:b w:val="0"/>
          <w:bCs w:val="0"/>
          <w:lang w:val="en-GB"/>
        </w:rPr>
        <w:t xml:space="preserve">(investing) </w:t>
      </w:r>
      <w:r w:rsidR="005579CF" w:rsidRPr="00025A44">
        <w:rPr>
          <w:b w:val="0"/>
          <w:bCs w:val="0"/>
          <w:lang w:val="en-GB"/>
        </w:rPr>
        <w:t xml:space="preserve">at the same rate </w:t>
      </w:r>
      <w:r w:rsidRPr="00025A44">
        <w:rPr>
          <w:b w:val="0"/>
          <w:bCs w:val="0"/>
          <w:lang w:val="en-GB"/>
        </w:rPr>
        <w:t>as they were</w:t>
      </w:r>
      <w:r w:rsidR="00CE3FD1" w:rsidRPr="00025A44">
        <w:rPr>
          <w:b w:val="0"/>
          <w:bCs w:val="0"/>
          <w:lang w:val="en-GB"/>
        </w:rPr>
        <w:t xml:space="preserve"> investing</w:t>
      </w:r>
      <w:r w:rsidR="005579CF" w:rsidRPr="00025A44">
        <w:rPr>
          <w:b w:val="0"/>
          <w:bCs w:val="0"/>
          <w:lang w:val="en-GB"/>
        </w:rPr>
        <w:t xml:space="preserve"> </w:t>
      </w:r>
      <w:r w:rsidR="00CE3FD1" w:rsidRPr="00025A44">
        <w:rPr>
          <w:b w:val="0"/>
          <w:bCs w:val="0"/>
          <w:lang w:val="en-GB"/>
        </w:rPr>
        <w:t>(disinvesting)</w:t>
      </w:r>
      <w:r w:rsidRPr="00025A44">
        <w:rPr>
          <w:b w:val="0"/>
          <w:bCs w:val="0"/>
          <w:lang w:val="en-GB"/>
        </w:rPr>
        <w:t>.</w:t>
      </w:r>
      <w:r w:rsidR="00CE3FD1" w:rsidRPr="00025A44">
        <w:rPr>
          <w:b w:val="0"/>
          <w:bCs w:val="0"/>
          <w:lang w:val="en-GB"/>
        </w:rPr>
        <w:t xml:space="preserve"> </w:t>
      </w:r>
      <w:r w:rsidR="00624D56" w:rsidRPr="00025A44">
        <w:rPr>
          <w:b w:val="0"/>
          <w:bCs w:val="0"/>
          <w:lang w:val="en-GB"/>
        </w:rPr>
        <w:t xml:space="preserve">A small variation in aggregate demand will result in a small variation </w:t>
      </w:r>
      <w:r w:rsidR="00603585" w:rsidRPr="00025A44">
        <w:rPr>
          <w:b w:val="0"/>
          <w:bCs w:val="0"/>
          <w:lang w:val="en-GB"/>
        </w:rPr>
        <w:t>in</w:t>
      </w:r>
      <w:r w:rsidR="00624D56" w:rsidRPr="00025A44">
        <w:rPr>
          <w:b w:val="0"/>
          <w:bCs w:val="0"/>
          <w:lang w:val="en-GB"/>
        </w:rPr>
        <w:t xml:space="preserve"> </w:t>
      </w:r>
      <w:r w:rsidR="00603585" w:rsidRPr="00025A44">
        <w:rPr>
          <w:b w:val="0"/>
          <w:bCs w:val="0"/>
          <w:lang w:val="en-GB"/>
        </w:rPr>
        <w:t>aggregate</w:t>
      </w:r>
      <w:r w:rsidR="00624D56" w:rsidRPr="00025A44">
        <w:rPr>
          <w:b w:val="0"/>
          <w:bCs w:val="0"/>
          <w:lang w:val="en-GB"/>
        </w:rPr>
        <w:t xml:space="preserve"> investment</w:t>
      </w:r>
      <w:r w:rsidR="00603585" w:rsidRPr="00025A44">
        <w:rPr>
          <w:b w:val="0"/>
          <w:bCs w:val="0"/>
          <w:lang w:val="en-GB"/>
        </w:rPr>
        <w:t>,</w:t>
      </w:r>
      <w:r w:rsidR="00624D56" w:rsidRPr="00025A44">
        <w:rPr>
          <w:b w:val="0"/>
          <w:bCs w:val="0"/>
          <w:lang w:val="en-GB"/>
        </w:rPr>
        <w:t xml:space="preserve"> since for most firms, th</w:t>
      </w:r>
      <w:r w:rsidR="00603585" w:rsidRPr="00025A44">
        <w:rPr>
          <w:b w:val="0"/>
          <w:bCs w:val="0"/>
          <w:lang w:val="en-GB"/>
        </w:rPr>
        <w:t>e change in</w:t>
      </w:r>
      <w:r w:rsidR="00624D56" w:rsidRPr="00025A44">
        <w:rPr>
          <w:b w:val="0"/>
          <w:bCs w:val="0"/>
          <w:lang w:val="en-GB"/>
        </w:rPr>
        <w:t xml:space="preserve"> aggregate demand change </w:t>
      </w:r>
      <w:r w:rsidR="00603585" w:rsidRPr="00025A44">
        <w:rPr>
          <w:b w:val="0"/>
          <w:bCs w:val="0"/>
          <w:lang w:val="en-GB"/>
        </w:rPr>
        <w:t>is not</w:t>
      </w:r>
      <w:r w:rsidR="00624D56" w:rsidRPr="00025A44">
        <w:rPr>
          <w:b w:val="0"/>
          <w:bCs w:val="0"/>
          <w:lang w:val="en-GB"/>
        </w:rPr>
        <w:t xml:space="preserve"> enough to overcome their investment</w:t>
      </w:r>
      <w:r w:rsidR="00603585" w:rsidRPr="00025A44">
        <w:rPr>
          <w:b w:val="0"/>
          <w:bCs w:val="0"/>
          <w:lang w:val="en-GB"/>
        </w:rPr>
        <w:t xml:space="preserve"> trigger</w:t>
      </w:r>
      <w:r w:rsidR="00624D56" w:rsidRPr="00025A44">
        <w:rPr>
          <w:b w:val="0"/>
          <w:bCs w:val="0"/>
          <w:lang w:val="en-GB"/>
        </w:rPr>
        <w:t>. For this reason, the initial</w:t>
      </w:r>
      <w:r w:rsidR="00603585" w:rsidRPr="00025A44">
        <w:rPr>
          <w:b w:val="0"/>
          <w:bCs w:val="0"/>
          <w:lang w:val="en-GB"/>
        </w:rPr>
        <w:t xml:space="preserve"> investment</w:t>
      </w:r>
      <w:r w:rsidR="005579CF" w:rsidRPr="00025A44">
        <w:rPr>
          <w:b w:val="0"/>
          <w:bCs w:val="0"/>
          <w:lang w:val="en-GB"/>
        </w:rPr>
        <w:t xml:space="preserve"> reaction </w:t>
      </w:r>
      <w:r w:rsidR="00603585" w:rsidRPr="00025A44">
        <w:rPr>
          <w:b w:val="0"/>
          <w:bCs w:val="0"/>
          <w:lang w:val="en-GB"/>
        </w:rPr>
        <w:t xml:space="preserve">of firms </w:t>
      </w:r>
      <w:r w:rsidR="005579CF" w:rsidRPr="00025A44">
        <w:rPr>
          <w:b w:val="0"/>
          <w:bCs w:val="0"/>
          <w:lang w:val="en-GB"/>
        </w:rPr>
        <w:t>is</w:t>
      </w:r>
      <w:r w:rsidR="00603585" w:rsidRPr="00025A44">
        <w:rPr>
          <w:b w:val="0"/>
          <w:bCs w:val="0"/>
          <w:lang w:val="en-GB"/>
        </w:rPr>
        <w:t xml:space="preserve"> represented</w:t>
      </w:r>
      <w:r w:rsidR="005579CF" w:rsidRPr="00025A44">
        <w:rPr>
          <w:b w:val="0"/>
          <w:bCs w:val="0"/>
          <w:lang w:val="en-GB"/>
        </w:rPr>
        <w:t xml:space="preserve"> along a play line</w:t>
      </w:r>
      <w:r w:rsidR="00603585" w:rsidRPr="00025A44">
        <w:rPr>
          <w:b w:val="0"/>
          <w:bCs w:val="0"/>
          <w:lang w:val="en-GB"/>
        </w:rPr>
        <w:t>.</w:t>
      </w:r>
      <w:r w:rsidR="00624D56" w:rsidRPr="00025A44">
        <w:rPr>
          <w:b w:val="0"/>
          <w:bCs w:val="0"/>
          <w:lang w:val="en-GB"/>
        </w:rPr>
        <w:t xml:space="preserve"> </w:t>
      </w:r>
      <w:r w:rsidR="00603585" w:rsidRPr="00025A44">
        <w:rPr>
          <w:b w:val="0"/>
          <w:bCs w:val="0"/>
          <w:lang w:val="en-GB"/>
        </w:rPr>
        <w:t>O</w:t>
      </w:r>
      <w:r w:rsidR="005579CF" w:rsidRPr="00025A44">
        <w:rPr>
          <w:b w:val="0"/>
          <w:bCs w:val="0"/>
          <w:lang w:val="en-GB"/>
        </w:rPr>
        <w:t xml:space="preserve">nly after a significant aggregate demand shock, </w:t>
      </w:r>
      <w:r w:rsidR="00603585" w:rsidRPr="00025A44">
        <w:rPr>
          <w:b w:val="0"/>
          <w:bCs w:val="0"/>
          <w:lang w:val="en-GB"/>
        </w:rPr>
        <w:t xml:space="preserve">there </w:t>
      </w:r>
      <w:r w:rsidR="005579CF" w:rsidRPr="00025A44">
        <w:rPr>
          <w:b w:val="0"/>
          <w:bCs w:val="0"/>
          <w:lang w:val="en-GB"/>
        </w:rPr>
        <w:t xml:space="preserve">is </w:t>
      </w:r>
      <w:r w:rsidR="00603585" w:rsidRPr="00025A44">
        <w:rPr>
          <w:b w:val="0"/>
          <w:bCs w:val="0"/>
          <w:lang w:val="en-GB"/>
        </w:rPr>
        <w:t xml:space="preserve">a stronger reaction of </w:t>
      </w:r>
      <w:r w:rsidR="005579CF" w:rsidRPr="00025A44">
        <w:rPr>
          <w:b w:val="0"/>
          <w:bCs w:val="0"/>
          <w:lang w:val="en-GB"/>
        </w:rPr>
        <w:t>investment</w:t>
      </w:r>
      <w:r w:rsidR="00603585" w:rsidRPr="00025A44">
        <w:rPr>
          <w:b w:val="0"/>
          <w:bCs w:val="0"/>
          <w:lang w:val="en-GB"/>
        </w:rPr>
        <w:t xml:space="preserve">, </w:t>
      </w:r>
      <w:r w:rsidR="005579CF" w:rsidRPr="00025A44">
        <w:rPr>
          <w:b w:val="0"/>
          <w:bCs w:val="0"/>
          <w:lang w:val="en-GB"/>
        </w:rPr>
        <w:t>represented graphically by the</w:t>
      </w:r>
      <w:r w:rsidR="0079050B" w:rsidRPr="00025A44">
        <w:rPr>
          <w:b w:val="0"/>
          <w:bCs w:val="0"/>
          <w:lang w:val="en-GB"/>
        </w:rPr>
        <w:t xml:space="preserve"> variation </w:t>
      </w:r>
      <w:r w:rsidR="00603585" w:rsidRPr="00025A44">
        <w:rPr>
          <w:b w:val="0"/>
          <w:bCs w:val="0"/>
          <w:lang w:val="en-GB"/>
        </w:rPr>
        <w:t xml:space="preserve">of investment </w:t>
      </w:r>
      <w:r w:rsidR="0079050B" w:rsidRPr="00025A44">
        <w:rPr>
          <w:b w:val="0"/>
          <w:bCs w:val="0"/>
          <w:lang w:val="en-GB"/>
        </w:rPr>
        <w:t>along the</w:t>
      </w:r>
      <w:r w:rsidR="005579CF" w:rsidRPr="00025A44">
        <w:rPr>
          <w:b w:val="0"/>
          <w:bCs w:val="0"/>
          <w:lang w:val="en-GB"/>
        </w:rPr>
        <w:t xml:space="preserve"> spurt</w:t>
      </w:r>
      <w:r w:rsidR="00CE3FD1" w:rsidRPr="00025A44">
        <w:rPr>
          <w:b w:val="0"/>
          <w:bCs w:val="0"/>
          <w:lang w:val="en-GB"/>
        </w:rPr>
        <w:t xml:space="preserve"> </w:t>
      </w:r>
      <w:r w:rsidR="00603585" w:rsidRPr="00025A44">
        <w:rPr>
          <w:b w:val="0"/>
          <w:bCs w:val="0"/>
          <w:lang w:val="en-GB"/>
        </w:rPr>
        <w:t>lines</w:t>
      </w:r>
      <w:r w:rsidR="00624D56" w:rsidRPr="00025A44">
        <w:rPr>
          <w:b w:val="0"/>
          <w:bCs w:val="0"/>
          <w:lang w:val="en-GB"/>
        </w:rPr>
        <w:t>, as th</w:t>
      </w:r>
      <w:r w:rsidR="00603585" w:rsidRPr="00025A44">
        <w:rPr>
          <w:b w:val="0"/>
          <w:bCs w:val="0"/>
          <w:lang w:val="en-GB"/>
        </w:rPr>
        <w:t>e larger</w:t>
      </w:r>
      <w:r w:rsidR="00624D56" w:rsidRPr="00025A44">
        <w:rPr>
          <w:b w:val="0"/>
          <w:bCs w:val="0"/>
          <w:lang w:val="en-GB"/>
        </w:rPr>
        <w:t xml:space="preserve"> aggregate demand change will surpass most firms</w:t>
      </w:r>
      <w:r w:rsidR="00603585" w:rsidRPr="00025A44">
        <w:rPr>
          <w:b w:val="0"/>
          <w:bCs w:val="0"/>
          <w:lang w:val="en-GB"/>
        </w:rPr>
        <w:t>'</w:t>
      </w:r>
      <w:r w:rsidR="00624D56" w:rsidRPr="00025A44">
        <w:rPr>
          <w:b w:val="0"/>
          <w:bCs w:val="0"/>
          <w:lang w:val="en-GB"/>
        </w:rPr>
        <w:t xml:space="preserve"> investment thresholds</w:t>
      </w:r>
      <w:r w:rsidR="005579CF" w:rsidRPr="00025A44">
        <w:rPr>
          <w:b w:val="0"/>
          <w:bCs w:val="0"/>
          <w:lang w:val="en-GB"/>
        </w:rPr>
        <w:t>.</w:t>
      </w:r>
    </w:p>
    <w:p w14:paraId="39C852A7" w14:textId="146D9EFF" w:rsidR="0046528F" w:rsidRDefault="0079050B" w:rsidP="00025A44">
      <w:pPr>
        <w:pStyle w:val="Heading3"/>
        <w:tabs>
          <w:tab w:val="left" w:pos="934"/>
        </w:tabs>
        <w:spacing w:line="360" w:lineRule="auto"/>
        <w:ind w:left="0" w:firstLine="720"/>
        <w:jc w:val="both"/>
        <w:rPr>
          <w:lang w:val="en-GB"/>
        </w:rPr>
      </w:pPr>
      <w:r w:rsidRPr="00025A44">
        <w:rPr>
          <w:b w:val="0"/>
          <w:bCs w:val="0"/>
          <w:lang w:val="en-GB"/>
        </w:rPr>
        <w:t xml:space="preserve">The </w:t>
      </w:r>
      <w:r w:rsidR="00D0523B" w:rsidRPr="00025A44">
        <w:rPr>
          <w:b w:val="0"/>
          <w:bCs w:val="0"/>
          <w:lang w:val="en-GB"/>
        </w:rPr>
        <w:t xml:space="preserve">minimum </w:t>
      </w:r>
      <w:r w:rsidRPr="00025A44">
        <w:rPr>
          <w:b w:val="0"/>
          <w:bCs w:val="0"/>
          <w:lang w:val="en-GB"/>
        </w:rPr>
        <w:t xml:space="preserve">variation of aggregate demand </w:t>
      </w:r>
      <w:r w:rsidR="00D0523B" w:rsidRPr="00025A44">
        <w:rPr>
          <w:b w:val="0"/>
          <w:bCs w:val="0"/>
          <w:lang w:val="en-GB"/>
        </w:rPr>
        <w:t xml:space="preserve">that causes a </w:t>
      </w:r>
      <w:r w:rsidRPr="00025A44">
        <w:rPr>
          <w:b w:val="0"/>
          <w:bCs w:val="0"/>
          <w:lang w:val="en-GB"/>
        </w:rPr>
        <w:t xml:space="preserve">stronger reaction of </w:t>
      </w:r>
      <w:r w:rsidR="00D0523B" w:rsidRPr="00025A44">
        <w:rPr>
          <w:b w:val="0"/>
          <w:bCs w:val="0"/>
          <w:lang w:val="en-GB"/>
        </w:rPr>
        <w:t xml:space="preserve">aggregate </w:t>
      </w:r>
      <w:r w:rsidRPr="00025A44">
        <w:rPr>
          <w:b w:val="0"/>
          <w:bCs w:val="0"/>
          <w:lang w:val="en-GB"/>
        </w:rPr>
        <w:t xml:space="preserve">investment (along a spurt line) is </w:t>
      </w:r>
      <w:r w:rsidR="00377505" w:rsidRPr="00025A44">
        <w:rPr>
          <w:b w:val="0"/>
          <w:bCs w:val="0"/>
          <w:lang w:val="en-GB"/>
        </w:rPr>
        <w:t>called ‘</w:t>
      </w:r>
      <w:r w:rsidRPr="00025A44">
        <w:rPr>
          <w:b w:val="0"/>
          <w:bCs w:val="0"/>
          <w:lang w:val="en-GB"/>
        </w:rPr>
        <w:t>the play interval</w:t>
      </w:r>
      <w:r w:rsidR="00377505" w:rsidRPr="00025A44">
        <w:rPr>
          <w:b w:val="0"/>
          <w:bCs w:val="0"/>
          <w:lang w:val="en-GB"/>
        </w:rPr>
        <w:t>’</w:t>
      </w:r>
      <w:r w:rsidR="00104EF3">
        <w:rPr>
          <w:b w:val="0"/>
          <w:bCs w:val="0"/>
          <w:lang w:val="en-GB"/>
        </w:rPr>
        <w:t>,</w:t>
      </w:r>
      <w:r w:rsidR="00377505" w:rsidRPr="00025A44">
        <w:rPr>
          <w:b w:val="0"/>
          <w:bCs w:val="0"/>
          <w:lang w:val="en-GB"/>
        </w:rPr>
        <w:t xml:space="preserve"> </w:t>
      </w:r>
      <m:oMath>
        <m:r>
          <w:rPr>
            <w:rFonts w:ascii="Cambria Math" w:hAnsi="Cambria Math"/>
            <w:lang w:val="en-GB"/>
          </w:rPr>
          <m:t>γ</m:t>
        </m:r>
      </m:oMath>
      <w:r w:rsidR="00377505" w:rsidRPr="00025A44">
        <w:rPr>
          <w:b w:val="0"/>
          <w:bCs w:val="0"/>
          <w:lang w:val="en-GB"/>
        </w:rPr>
        <w:t xml:space="preserve">, </w:t>
      </w:r>
      <w:r w:rsidR="00603585" w:rsidRPr="00025A44">
        <w:rPr>
          <w:b w:val="0"/>
          <w:bCs w:val="0"/>
          <w:lang w:val="en-GB"/>
        </w:rPr>
        <w:t>which</w:t>
      </w:r>
      <w:r w:rsidR="00377505" w:rsidRPr="00025A44">
        <w:rPr>
          <w:b w:val="0"/>
          <w:bCs w:val="0"/>
          <w:lang w:val="en-GB"/>
        </w:rPr>
        <w:t xml:space="preserve"> is interpreted as, an</w:t>
      </w:r>
      <w:r w:rsidRPr="00025A44">
        <w:rPr>
          <w:b w:val="0"/>
          <w:bCs w:val="0"/>
          <w:lang w:val="en-GB"/>
        </w:rPr>
        <w:t xml:space="preserve"> investment’s band-of-inaction</w:t>
      </w:r>
      <w:r w:rsidR="00377505" w:rsidRPr="00025A44">
        <w:rPr>
          <w:b w:val="0"/>
          <w:bCs w:val="0"/>
          <w:lang w:val="en-GB"/>
        </w:rPr>
        <w:t>.</w:t>
      </w:r>
      <w:r w:rsidRPr="00025A44">
        <w:rPr>
          <w:b w:val="0"/>
          <w:bCs w:val="0"/>
          <w:lang w:val="en-GB"/>
        </w:rPr>
        <w:t xml:space="preserve"> </w:t>
      </w:r>
      <w:r w:rsidR="00377505" w:rsidRPr="00025A44">
        <w:rPr>
          <w:b w:val="0"/>
          <w:bCs w:val="0"/>
          <w:lang w:val="en-GB"/>
        </w:rPr>
        <w:t xml:space="preserve">The investment band of inaction </w:t>
      </w:r>
      <w:r w:rsidRPr="00025A44">
        <w:rPr>
          <w:b w:val="0"/>
          <w:bCs w:val="0"/>
          <w:lang w:val="en-GB"/>
        </w:rPr>
        <w:t xml:space="preserve">is a positive function of the magnitude of </w:t>
      </w:r>
      <w:r w:rsidR="00377505" w:rsidRPr="00025A44">
        <w:rPr>
          <w:b w:val="0"/>
          <w:bCs w:val="0"/>
          <w:lang w:val="en-GB"/>
        </w:rPr>
        <w:t xml:space="preserve">the </w:t>
      </w:r>
      <w:r w:rsidRPr="00025A44">
        <w:rPr>
          <w:b w:val="0"/>
          <w:bCs w:val="0"/>
          <w:lang w:val="en-GB"/>
        </w:rPr>
        <w:t xml:space="preserve">non-convex adjustment costs and the level of </w:t>
      </w:r>
      <w:r w:rsidR="00377505" w:rsidRPr="00025A44">
        <w:rPr>
          <w:b w:val="0"/>
          <w:bCs w:val="0"/>
          <w:lang w:val="en-GB"/>
        </w:rPr>
        <w:t xml:space="preserve">aggregate demand </w:t>
      </w:r>
      <w:r w:rsidRPr="00025A44">
        <w:rPr>
          <w:b w:val="0"/>
          <w:bCs w:val="0"/>
          <w:lang w:val="en-GB"/>
        </w:rPr>
        <w:t xml:space="preserve">uncertainty. </w:t>
      </w:r>
      <w:r w:rsidR="00377505" w:rsidRPr="00025A44">
        <w:rPr>
          <w:b w:val="0"/>
          <w:bCs w:val="0"/>
          <w:lang w:val="en-GB"/>
        </w:rPr>
        <w:t xml:space="preserve">Within our framework, </w:t>
      </w:r>
      <w:r w:rsidRPr="00025A44">
        <w:rPr>
          <w:b w:val="0"/>
          <w:bCs w:val="0"/>
          <w:lang w:val="en-GB"/>
        </w:rPr>
        <w:t xml:space="preserve">the width of </w:t>
      </w:r>
      <w:r w:rsidR="00377505" w:rsidRPr="00025A44">
        <w:rPr>
          <w:b w:val="0"/>
          <w:bCs w:val="0"/>
          <w:lang w:val="en-GB"/>
        </w:rPr>
        <w:t>th</w:t>
      </w:r>
      <w:r w:rsidR="00603585" w:rsidRPr="00025A44">
        <w:rPr>
          <w:b w:val="0"/>
          <w:bCs w:val="0"/>
          <w:lang w:val="en-GB"/>
        </w:rPr>
        <w:t>is investment band of inaction (</w:t>
      </w:r>
      <w:r w:rsidR="00603585" w:rsidRPr="00025A44">
        <w:rPr>
          <w:b w:val="0"/>
          <w:bCs w:val="0"/>
          <w:i/>
          <w:iCs/>
          <w:lang w:val="en-GB"/>
        </w:rPr>
        <w:t>i.e.</w:t>
      </w:r>
      <w:r w:rsidR="00603585" w:rsidRPr="00025A44">
        <w:rPr>
          <w:b w:val="0"/>
          <w:bCs w:val="0"/>
          <w:lang w:val="en-GB"/>
        </w:rPr>
        <w:t xml:space="preserve"> the play interval</w:t>
      </w:r>
      <w:r w:rsidR="00E92E54" w:rsidRPr="00025A44">
        <w:rPr>
          <w:b w:val="0"/>
          <w:bCs w:val="0"/>
          <w:lang w:val="en-GB"/>
        </w:rPr>
        <w:t xml:space="preserve">, </w:t>
      </w:r>
      <m:oMath>
        <m:r>
          <w:rPr>
            <w:rFonts w:ascii="Cambria Math" w:hAnsi="Cambria Math"/>
            <w:lang w:val="en-GB"/>
          </w:rPr>
          <m:t>γ</m:t>
        </m:r>
      </m:oMath>
      <w:r w:rsidR="00603585" w:rsidRPr="00025A44">
        <w:rPr>
          <w:b w:val="0"/>
          <w:bCs w:val="0"/>
          <w:lang w:val="en-GB"/>
        </w:rPr>
        <w:t>)</w:t>
      </w:r>
      <w:r w:rsidR="00377505" w:rsidRPr="00025A44">
        <w:rPr>
          <w:b w:val="0"/>
          <w:bCs w:val="0"/>
          <w:lang w:val="en-GB"/>
        </w:rPr>
        <w:t xml:space="preserve"> is used as an indicator of the magnitude of hysteresis effects</w:t>
      </w:r>
      <w:r w:rsidRPr="00025A44">
        <w:rPr>
          <w:b w:val="0"/>
          <w:bCs w:val="0"/>
          <w:lang w:val="en-GB"/>
        </w:rPr>
        <w:t>.</w:t>
      </w:r>
      <w:r w:rsidR="0046528F">
        <w:rPr>
          <w:lang w:val="en-GB"/>
        </w:rPr>
        <w:br w:type="page"/>
      </w:r>
    </w:p>
    <w:p w14:paraId="01C4E497" w14:textId="77777777" w:rsidR="0046528F" w:rsidRDefault="00B25999" w:rsidP="004E18F8">
      <w:pPr>
        <w:pStyle w:val="Heading3"/>
        <w:tabs>
          <w:tab w:val="left" w:pos="934"/>
        </w:tabs>
        <w:spacing w:before="1" w:line="360" w:lineRule="auto"/>
        <w:ind w:left="0" w:firstLine="720"/>
        <w:jc w:val="center"/>
        <w:rPr>
          <w:b w:val="0"/>
          <w:bCs w:val="0"/>
          <w:lang w:val="en-GB"/>
        </w:rPr>
      </w:pPr>
      <w:r w:rsidRPr="001678A7">
        <w:rPr>
          <w:lang w:val="en-GB"/>
        </w:rPr>
        <w:lastRenderedPageBreak/>
        <w:t xml:space="preserve">Figure </w:t>
      </w:r>
      <w:r>
        <w:rPr>
          <w:lang w:val="en-GB"/>
        </w:rPr>
        <w:t>8</w:t>
      </w:r>
      <w:r w:rsidR="00377505">
        <w:rPr>
          <w:lang w:val="en-GB"/>
        </w:rPr>
        <w:t>.</w:t>
      </w:r>
      <w:r w:rsidRPr="001678A7">
        <w:rPr>
          <w:lang w:val="en-GB"/>
        </w:rPr>
        <w:t xml:space="preserve"> </w:t>
      </w:r>
      <w:r w:rsidRPr="008602F0">
        <w:rPr>
          <w:b w:val="0"/>
          <w:bCs w:val="0"/>
          <w:lang w:val="en-GB"/>
        </w:rPr>
        <w:t>Linear Play loop</w:t>
      </w:r>
      <w:r w:rsidR="008602F0" w:rsidRPr="008602F0">
        <w:rPr>
          <w:b w:val="0"/>
          <w:bCs w:val="0"/>
          <w:lang w:val="en-GB"/>
        </w:rPr>
        <w:t>.</w:t>
      </w:r>
    </w:p>
    <w:p w14:paraId="4F4AD3BD" w14:textId="29806012" w:rsidR="00B25999" w:rsidRDefault="0046528F" w:rsidP="004E18F8">
      <w:pPr>
        <w:pStyle w:val="Heading3"/>
        <w:tabs>
          <w:tab w:val="left" w:pos="934"/>
        </w:tabs>
        <w:spacing w:before="1" w:line="360" w:lineRule="auto"/>
        <w:ind w:left="0" w:firstLine="720"/>
        <w:jc w:val="center"/>
        <w:rPr>
          <w:lang w:val="en-GB"/>
        </w:rPr>
      </w:pPr>
      <w:r w:rsidRPr="0046528F">
        <w:rPr>
          <w:noProof/>
          <w:lang w:val="en-GB"/>
        </w:rPr>
        <w:t xml:space="preserve"> </w:t>
      </w:r>
      <w:r w:rsidR="0071556B">
        <w:rPr>
          <w:noProof/>
          <w:lang w:val="en-GB"/>
        </w:rPr>
        <w:drawing>
          <wp:inline distT="0" distB="0" distL="0" distR="0" wp14:anchorId="4C181277" wp14:editId="3E04E1D3">
            <wp:extent cx="5146159" cy="3755502"/>
            <wp:effectExtent l="0" t="0" r="0" b="0"/>
            <wp:docPr id="17943141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159229" cy="3765040"/>
                    </a:xfrm>
                    <a:prstGeom prst="rect">
                      <a:avLst/>
                    </a:prstGeom>
                    <a:noFill/>
                    <a:ln>
                      <a:noFill/>
                    </a:ln>
                  </pic:spPr>
                </pic:pic>
              </a:graphicData>
            </a:graphic>
          </wp:inline>
        </w:drawing>
      </w:r>
    </w:p>
    <w:p w14:paraId="6F374375" w14:textId="595DFFB9" w:rsidR="00B25999" w:rsidRDefault="00B25999" w:rsidP="00B25999">
      <w:pPr>
        <w:pStyle w:val="Heading3"/>
        <w:tabs>
          <w:tab w:val="left" w:pos="934"/>
        </w:tabs>
        <w:spacing w:before="1" w:line="360" w:lineRule="auto"/>
        <w:ind w:left="0" w:firstLine="720"/>
        <w:jc w:val="center"/>
        <w:rPr>
          <w:b w:val="0"/>
          <w:bCs w:val="0"/>
          <w:lang w:val="en-GB"/>
        </w:rPr>
      </w:pPr>
    </w:p>
    <w:p w14:paraId="341C4E23" w14:textId="20C6EEBE" w:rsidR="002B0040" w:rsidRDefault="0067495D" w:rsidP="004E18F8">
      <w:pPr>
        <w:pStyle w:val="Heading3"/>
        <w:tabs>
          <w:tab w:val="left" w:pos="934"/>
        </w:tabs>
        <w:spacing w:before="1" w:line="360" w:lineRule="auto"/>
        <w:ind w:left="0" w:firstLine="720"/>
        <w:jc w:val="center"/>
        <w:rPr>
          <w:b w:val="0"/>
          <w:iCs/>
          <w:sz w:val="20"/>
          <w:szCs w:val="20"/>
          <w:lang w:val="en-GB"/>
        </w:rPr>
      </w:pPr>
      <w:r w:rsidRPr="002B0040">
        <w:rPr>
          <w:b w:val="0"/>
          <w:bCs w:val="0"/>
          <w:sz w:val="20"/>
          <w:szCs w:val="20"/>
          <w:lang w:val="en-GB"/>
        </w:rPr>
        <w:t>Source:</w:t>
      </w:r>
      <w:r w:rsidR="002B0040" w:rsidRPr="002B0040">
        <w:rPr>
          <w:b w:val="0"/>
          <w:bCs w:val="0"/>
          <w:sz w:val="20"/>
          <w:szCs w:val="20"/>
          <w:lang w:val="en-GB"/>
        </w:rPr>
        <w:t xml:space="preserve"> Adapted</w:t>
      </w:r>
      <w:r w:rsidR="002B0040">
        <w:rPr>
          <w:b w:val="0"/>
          <w:bCs w:val="0"/>
          <w:sz w:val="20"/>
          <w:szCs w:val="20"/>
          <w:lang w:val="en-GB"/>
        </w:rPr>
        <w:t xml:space="preserve"> </w:t>
      </w:r>
      <w:r w:rsidR="0090699F">
        <w:rPr>
          <w:b w:val="0"/>
          <w:bCs w:val="0"/>
          <w:sz w:val="20"/>
          <w:szCs w:val="20"/>
          <w:lang w:val="en-GB"/>
        </w:rPr>
        <w:t xml:space="preserve">from </w:t>
      </w:r>
      <w:r w:rsidR="0090699F" w:rsidRPr="002B0040">
        <w:rPr>
          <w:b w:val="0"/>
          <w:bCs w:val="0"/>
          <w:sz w:val="20"/>
          <w:szCs w:val="20"/>
          <w:lang w:val="en-GB"/>
        </w:rPr>
        <w:t>Mota</w:t>
      </w:r>
      <w:r w:rsidR="002B0040" w:rsidRPr="002B0040">
        <w:rPr>
          <w:b w:val="0"/>
          <w:iCs/>
          <w:sz w:val="20"/>
          <w:szCs w:val="20"/>
          <w:lang w:val="en-GB"/>
        </w:rPr>
        <w:t xml:space="preserve"> &amp; Vasconcelos (2022</w:t>
      </w:r>
      <w:r w:rsidR="00A25C14">
        <w:rPr>
          <w:b w:val="0"/>
          <w:iCs/>
          <w:sz w:val="20"/>
          <w:szCs w:val="20"/>
          <w:lang w:val="en-GB"/>
        </w:rPr>
        <w:t>c</w:t>
      </w:r>
      <w:r w:rsidR="002B0040" w:rsidRPr="002B0040">
        <w:rPr>
          <w:b w:val="0"/>
          <w:iCs/>
          <w:sz w:val="20"/>
          <w:szCs w:val="20"/>
          <w:lang w:val="en-GB"/>
        </w:rPr>
        <w:t>).</w:t>
      </w:r>
    </w:p>
    <w:p w14:paraId="4EE763F7" w14:textId="77777777" w:rsidR="00076121" w:rsidRDefault="00076121" w:rsidP="00076121">
      <w:pPr>
        <w:pStyle w:val="Heading3"/>
        <w:tabs>
          <w:tab w:val="left" w:pos="934"/>
        </w:tabs>
        <w:spacing w:before="1" w:line="360" w:lineRule="auto"/>
        <w:ind w:left="0" w:firstLine="720"/>
        <w:rPr>
          <w:b w:val="0"/>
          <w:iCs/>
          <w:sz w:val="20"/>
          <w:szCs w:val="20"/>
          <w:lang w:val="en-GB"/>
        </w:rPr>
      </w:pPr>
    </w:p>
    <w:p w14:paraId="01482B5F" w14:textId="59243BF5" w:rsidR="00354630" w:rsidRPr="000524CA" w:rsidRDefault="00354630" w:rsidP="00A3169E">
      <w:pPr>
        <w:pStyle w:val="Heading3"/>
        <w:tabs>
          <w:tab w:val="left" w:pos="934"/>
        </w:tabs>
        <w:spacing w:line="360" w:lineRule="auto"/>
        <w:ind w:left="0" w:firstLine="720"/>
        <w:jc w:val="both"/>
        <w:rPr>
          <w:b w:val="0"/>
          <w:bCs w:val="0"/>
          <w:lang w:val="en-GB"/>
        </w:rPr>
      </w:pPr>
      <w:r w:rsidRPr="005C599C">
        <w:rPr>
          <w:b w:val="0"/>
          <w:bCs w:val="0"/>
          <w:lang w:val="en-GB"/>
        </w:rPr>
        <w:t>To better understand how changes in aggregate demand,</w:t>
      </w:r>
      <w:r w:rsidRPr="000524CA">
        <w:rPr>
          <w:b w:val="0"/>
          <w:bCs w:val="0"/>
          <w:lang w:val="en-GB"/>
        </w:rPr>
        <w:t xml:space="preserve"> </w:t>
      </w:r>
      <m:oMath>
        <m:sSub>
          <m:sSubPr>
            <m:ctrlPr>
              <w:rPr>
                <w:rFonts w:ascii="Cambria Math" w:hAnsi="Cambria Math"/>
                <w:b w:val="0"/>
                <w:bCs w:val="0"/>
                <w:i/>
                <w:lang w:val="en-GB"/>
              </w:rPr>
            </m:ctrlPr>
          </m:sSubPr>
          <m:e>
            <m:r>
              <w:rPr>
                <w:rFonts w:ascii="Cambria Math" w:hAnsi="Cambria Math"/>
                <w:lang w:val="en-GB"/>
              </w:rPr>
              <m:t>x</m:t>
            </m:r>
          </m:e>
          <m:sub>
            <m:r>
              <w:rPr>
                <w:rFonts w:ascii="Cambria Math" w:hAnsi="Cambria Math"/>
                <w:lang w:val="en-GB"/>
              </w:rPr>
              <m:t>t</m:t>
            </m:r>
          </m:sub>
        </m:sSub>
      </m:oMath>
      <w:r w:rsidRPr="005C599C">
        <w:rPr>
          <w:b w:val="0"/>
          <w:bCs w:val="0"/>
          <w:lang w:val="en-GB"/>
        </w:rPr>
        <w:t xml:space="preserve">, affect the aggregate investment, </w:t>
      </w:r>
      <m:oMath>
        <m:sSub>
          <m:sSubPr>
            <m:ctrlPr>
              <w:rPr>
                <w:rFonts w:ascii="Cambria Math" w:hAnsi="Cambria Math"/>
                <w:b w:val="0"/>
                <w:bCs w:val="0"/>
                <w:i/>
                <w:lang w:val="en-GB"/>
              </w:rPr>
            </m:ctrlPr>
          </m:sSubPr>
          <m:e>
            <m:r>
              <w:rPr>
                <w:rFonts w:ascii="Cambria Math" w:hAnsi="Cambria Math"/>
                <w:lang w:val="en-GB"/>
              </w:rPr>
              <m:t>I</m:t>
            </m:r>
          </m:e>
          <m:sub>
            <m:r>
              <w:rPr>
                <w:rFonts w:ascii="Cambria Math" w:hAnsi="Cambria Math"/>
                <w:lang w:val="en-GB"/>
              </w:rPr>
              <m:t>t</m:t>
            </m:r>
          </m:sub>
        </m:sSub>
      </m:oMath>
      <w:r w:rsidRPr="005C599C">
        <w:rPr>
          <w:b w:val="0"/>
          <w:bCs w:val="0"/>
          <w:lang w:val="en-GB"/>
        </w:rPr>
        <w:t>, within the Linear Play model</w:t>
      </w:r>
      <w:r w:rsidR="00B87B1A" w:rsidRPr="005C599C">
        <w:rPr>
          <w:b w:val="0"/>
          <w:bCs w:val="0"/>
          <w:lang w:val="en-GB"/>
        </w:rPr>
        <w:t>, l</w:t>
      </w:r>
      <w:r w:rsidR="008D7B08" w:rsidRPr="005C599C">
        <w:rPr>
          <w:b w:val="0"/>
          <w:bCs w:val="0"/>
          <w:lang w:val="en-GB"/>
        </w:rPr>
        <w:t>et us assume that s</w:t>
      </w:r>
      <w:r w:rsidRPr="005C599C">
        <w:rPr>
          <w:b w:val="0"/>
          <w:bCs w:val="0"/>
          <w:lang w:val="en-GB"/>
        </w:rPr>
        <w:t xml:space="preserve">tarting from </w:t>
      </w:r>
      <w:r w:rsidR="000F4EA7" w:rsidRPr="005C599C">
        <w:rPr>
          <w:b w:val="0"/>
          <w:bCs w:val="0"/>
          <w:lang w:val="en-GB"/>
        </w:rPr>
        <w:t xml:space="preserve">point </w:t>
      </w:r>
      <m:oMath>
        <m:r>
          <w:rPr>
            <w:rFonts w:ascii="Cambria Math" w:hAnsi="Cambria Math"/>
            <w:lang w:val="en-GB"/>
          </w:rPr>
          <m:t>a</m:t>
        </m:r>
      </m:oMath>
      <w:r w:rsidR="000F4EA7" w:rsidRPr="000524CA">
        <w:rPr>
          <w:b w:val="0"/>
          <w:bCs w:val="0"/>
          <w:lang w:val="en-GB"/>
        </w:rPr>
        <w:t xml:space="preserve"> (</w:t>
      </w:r>
      <m:oMath>
        <m:sSub>
          <m:sSubPr>
            <m:ctrlPr>
              <w:rPr>
                <w:rFonts w:ascii="Cambria Math" w:hAnsi="Cambria Math"/>
                <w:b w:val="0"/>
                <w:bCs w:val="0"/>
                <w:i/>
                <w:lang w:val="en-GB"/>
              </w:rPr>
            </m:ctrlPr>
          </m:sSubPr>
          <m:e>
            <m:r>
              <w:rPr>
                <w:rFonts w:ascii="Cambria Math" w:hAnsi="Cambria Math"/>
                <w:lang w:val="en-GB"/>
              </w:rPr>
              <m:t>x</m:t>
            </m:r>
          </m:e>
          <m:sub>
            <m:r>
              <w:rPr>
                <w:rFonts w:ascii="Cambria Math" w:hAnsi="Cambria Math"/>
                <w:lang w:val="en-GB"/>
              </w:rPr>
              <m:t>t0</m:t>
            </m:r>
          </m:sub>
        </m:sSub>
      </m:oMath>
      <w:r w:rsidR="000F4EA7" w:rsidRPr="005C599C">
        <w:rPr>
          <w:b w:val="0"/>
          <w:bCs w:val="0"/>
          <w:lang w:val="en-GB"/>
        </w:rPr>
        <w:t>,</w:t>
      </w:r>
      <w:r w:rsidR="000F4EA7" w:rsidRPr="005C599C">
        <w:rPr>
          <w:b w:val="0"/>
          <w:bCs w:val="0"/>
          <w:i/>
          <w:lang w:val="en-GB"/>
        </w:rPr>
        <w:t xml:space="preserve"> </w:t>
      </w:r>
      <m:oMath>
        <m:sSub>
          <m:sSubPr>
            <m:ctrlPr>
              <w:rPr>
                <w:rFonts w:ascii="Cambria Math" w:hAnsi="Cambria Math"/>
                <w:b w:val="0"/>
                <w:bCs w:val="0"/>
                <w:i/>
                <w:lang w:val="en-GB"/>
              </w:rPr>
            </m:ctrlPr>
          </m:sSubPr>
          <m:e>
            <m:r>
              <w:rPr>
                <w:rFonts w:ascii="Cambria Math" w:hAnsi="Cambria Math"/>
                <w:lang w:val="en-GB"/>
              </w:rPr>
              <m:t>I</m:t>
            </m:r>
          </m:e>
          <m:sub>
            <m:r>
              <w:rPr>
                <w:rFonts w:ascii="Cambria Math" w:hAnsi="Cambria Math"/>
                <w:lang w:val="en-GB"/>
              </w:rPr>
              <m:t>t0</m:t>
            </m:r>
          </m:sub>
        </m:sSub>
      </m:oMath>
      <w:r w:rsidR="000F4EA7" w:rsidRPr="005C599C">
        <w:rPr>
          <w:b w:val="0"/>
          <w:bCs w:val="0"/>
          <w:iCs/>
          <w:lang w:val="en-GB"/>
        </w:rPr>
        <w:t>)</w:t>
      </w:r>
      <w:r w:rsidRPr="005C599C">
        <w:rPr>
          <w:b w:val="0"/>
          <w:bCs w:val="0"/>
          <w:lang w:val="en-GB"/>
        </w:rPr>
        <w:t xml:space="preserve"> there is a</w:t>
      </w:r>
      <w:r w:rsidR="008D7B08" w:rsidRPr="005C599C">
        <w:rPr>
          <w:b w:val="0"/>
          <w:bCs w:val="0"/>
          <w:lang w:val="en-GB"/>
        </w:rPr>
        <w:t xml:space="preserve">n increase in </w:t>
      </w:r>
      <w:r w:rsidRPr="005C599C">
        <w:rPr>
          <w:b w:val="0"/>
          <w:bCs w:val="0"/>
          <w:lang w:val="en-GB"/>
        </w:rPr>
        <w:t>aggregate demand</w:t>
      </w:r>
      <w:r w:rsidR="008D7B08" w:rsidRPr="005C599C">
        <w:rPr>
          <w:b w:val="0"/>
          <w:bCs w:val="0"/>
          <w:lang w:val="en-GB"/>
        </w:rPr>
        <w:t xml:space="preserve"> up to</w:t>
      </w:r>
      <w:r w:rsidRPr="005C599C">
        <w:rPr>
          <w:b w:val="0"/>
          <w:bCs w:val="0"/>
          <w:lang w:val="en-GB"/>
        </w:rPr>
        <w:t xml:space="preserve"> </w:t>
      </w:r>
      <m:oMath>
        <m:sSub>
          <m:sSubPr>
            <m:ctrlPr>
              <w:rPr>
                <w:rFonts w:ascii="Cambria Math" w:hAnsi="Cambria Math"/>
                <w:b w:val="0"/>
                <w:bCs w:val="0"/>
                <w:i/>
                <w:lang w:val="en-GB"/>
              </w:rPr>
            </m:ctrlPr>
          </m:sSubPr>
          <m:e>
            <m:r>
              <w:rPr>
                <w:rFonts w:ascii="Cambria Math" w:hAnsi="Cambria Math"/>
                <w:lang w:val="en-GB"/>
              </w:rPr>
              <m:t>x</m:t>
            </m:r>
          </m:e>
          <m:sub>
            <m:r>
              <w:rPr>
                <w:rFonts w:ascii="Cambria Math" w:hAnsi="Cambria Math"/>
                <w:lang w:val="en-GB"/>
              </w:rPr>
              <m:t>t1</m:t>
            </m:r>
          </m:sub>
        </m:sSub>
      </m:oMath>
      <w:r w:rsidR="008D7B08" w:rsidRPr="005C599C">
        <w:rPr>
          <w:b w:val="0"/>
          <w:bCs w:val="0"/>
          <w:lang w:val="en-GB"/>
        </w:rPr>
        <w:t>. This</w:t>
      </w:r>
      <w:r w:rsidRPr="005C599C">
        <w:rPr>
          <w:b w:val="0"/>
          <w:bCs w:val="0"/>
          <w:lang w:val="en-GB"/>
        </w:rPr>
        <w:t xml:space="preserve"> originates initially a weak response of aggregate investment</w:t>
      </w:r>
      <w:r w:rsidR="00171B8F" w:rsidRPr="005C599C">
        <w:rPr>
          <w:b w:val="0"/>
          <w:bCs w:val="0"/>
          <w:lang w:val="en-GB"/>
        </w:rPr>
        <w:t xml:space="preserve"> (along a play line)</w:t>
      </w:r>
      <w:r w:rsidRPr="005C599C">
        <w:rPr>
          <w:b w:val="0"/>
          <w:bCs w:val="0"/>
          <w:lang w:val="en-GB"/>
        </w:rPr>
        <w:t xml:space="preserve">, </w:t>
      </w:r>
      <w:r w:rsidR="006F0124" w:rsidRPr="005C599C">
        <w:rPr>
          <w:b w:val="0"/>
          <w:bCs w:val="0"/>
          <w:lang w:val="en-GB"/>
        </w:rPr>
        <w:t>until a</w:t>
      </w:r>
      <w:r w:rsidR="000F1B3D" w:rsidRPr="005C599C">
        <w:rPr>
          <w:b w:val="0"/>
          <w:bCs w:val="0"/>
          <w:lang w:val="en-GB"/>
        </w:rPr>
        <w:t xml:space="preserve"> threshold value </w:t>
      </w:r>
      <m:oMath>
        <m:sSubSup>
          <m:sSubSupPr>
            <m:ctrlPr>
              <w:rPr>
                <w:rFonts w:ascii="Cambria Math" w:hAnsi="Cambria Math"/>
                <w:b w:val="0"/>
                <w:bCs w:val="0"/>
                <w:i/>
                <w:lang w:val="en-GB"/>
              </w:rPr>
            </m:ctrlPr>
          </m:sSubSupPr>
          <m:e>
            <m:r>
              <w:rPr>
                <w:rFonts w:ascii="Cambria Math" w:hAnsi="Cambria Math"/>
                <w:lang w:val="en-GB"/>
              </w:rPr>
              <m:t>x</m:t>
            </m:r>
          </m:e>
          <m:sub>
            <m:r>
              <w:rPr>
                <w:rFonts w:ascii="Cambria Math" w:hAnsi="Cambria Math"/>
                <w:lang w:val="en-GB"/>
              </w:rPr>
              <m:t>t1</m:t>
            </m:r>
          </m:sub>
          <m:sup>
            <m:r>
              <w:rPr>
                <w:rFonts w:ascii="Cambria Math" w:hAnsi="Cambria Math"/>
                <w:lang w:val="en-GB"/>
              </w:rPr>
              <m:t>S</m:t>
            </m:r>
          </m:sup>
        </m:sSubSup>
      </m:oMath>
      <w:r w:rsidR="008D7B08" w:rsidRPr="005C599C">
        <w:rPr>
          <w:b w:val="0"/>
          <w:bCs w:val="0"/>
          <w:lang w:val="en-GB"/>
        </w:rPr>
        <w:t xml:space="preserve"> </w:t>
      </w:r>
      <w:r w:rsidR="000F1B3D" w:rsidRPr="005C599C">
        <w:rPr>
          <w:b w:val="0"/>
          <w:bCs w:val="0"/>
          <w:lang w:val="en-GB"/>
        </w:rPr>
        <w:t xml:space="preserve">is </w:t>
      </w:r>
      <w:r w:rsidR="008D7B08" w:rsidRPr="005C599C">
        <w:rPr>
          <w:b w:val="0"/>
          <w:bCs w:val="0"/>
          <w:lang w:val="en-GB"/>
        </w:rPr>
        <w:t>sur</w:t>
      </w:r>
      <w:r w:rsidR="000F1B3D" w:rsidRPr="005C599C">
        <w:rPr>
          <w:b w:val="0"/>
          <w:bCs w:val="0"/>
          <w:lang w:val="en-GB"/>
        </w:rPr>
        <w:t xml:space="preserve">passed (at </w:t>
      </w:r>
      <w:r w:rsidRPr="005C599C">
        <w:rPr>
          <w:b w:val="0"/>
          <w:bCs w:val="0"/>
          <w:lang w:val="en-GB"/>
        </w:rPr>
        <w:t xml:space="preserve">point </w:t>
      </w:r>
      <m:oMath>
        <m:r>
          <w:rPr>
            <w:rFonts w:ascii="Cambria Math" w:hAnsi="Cambria Math"/>
            <w:lang w:val="en-GB"/>
          </w:rPr>
          <m:t>b</m:t>
        </m:r>
      </m:oMath>
      <w:r w:rsidRPr="005C599C">
        <w:rPr>
          <w:b w:val="0"/>
          <w:bCs w:val="0"/>
          <w:lang w:val="en-GB"/>
        </w:rPr>
        <w:t>)</w:t>
      </w:r>
      <w:r w:rsidR="000F1B3D" w:rsidRPr="005C599C">
        <w:rPr>
          <w:b w:val="0"/>
          <w:bCs w:val="0"/>
          <w:lang w:val="en-GB"/>
        </w:rPr>
        <w:t>.</w:t>
      </w:r>
      <w:r w:rsidR="008D7B08" w:rsidRPr="005C599C">
        <w:rPr>
          <w:b w:val="0"/>
          <w:bCs w:val="0"/>
          <w:lang w:val="en-GB"/>
        </w:rPr>
        <w:t xml:space="preserve"> As mentioned before, w</w:t>
      </w:r>
      <w:r w:rsidR="000F1B3D" w:rsidRPr="005C599C">
        <w:rPr>
          <w:b w:val="0"/>
          <w:bCs w:val="0"/>
          <w:lang w:val="en-GB"/>
        </w:rPr>
        <w:t xml:space="preserve">hat justifies this </w:t>
      </w:r>
      <w:r w:rsidR="008D7B08" w:rsidRPr="005C599C">
        <w:rPr>
          <w:b w:val="0"/>
          <w:bCs w:val="0"/>
          <w:lang w:val="en-GB"/>
        </w:rPr>
        <w:t xml:space="preserve">weak </w:t>
      </w:r>
      <w:r w:rsidR="000F1B3D" w:rsidRPr="005C599C">
        <w:rPr>
          <w:b w:val="0"/>
          <w:bCs w:val="0"/>
          <w:lang w:val="en-GB"/>
        </w:rPr>
        <w:t>reaction is the presence of non-convex, investment adjustment costs</w:t>
      </w:r>
      <w:r w:rsidR="00FC1403" w:rsidRPr="005C599C">
        <w:rPr>
          <w:b w:val="0"/>
          <w:bCs w:val="0"/>
          <w:lang w:val="en-GB"/>
        </w:rPr>
        <w:t xml:space="preserve"> interacting with uncertainty</w:t>
      </w:r>
      <w:r w:rsidR="000F1B3D" w:rsidRPr="005C599C">
        <w:rPr>
          <w:b w:val="0"/>
          <w:bCs w:val="0"/>
          <w:lang w:val="en-GB"/>
        </w:rPr>
        <w:t>.</w:t>
      </w:r>
      <w:r w:rsidR="00171B8F" w:rsidRPr="005C599C">
        <w:rPr>
          <w:b w:val="0"/>
          <w:bCs w:val="0"/>
          <w:lang w:val="en-GB"/>
        </w:rPr>
        <w:t xml:space="preserve"> </w:t>
      </w:r>
      <w:r w:rsidR="000F1B3D" w:rsidRPr="005C599C">
        <w:rPr>
          <w:b w:val="0"/>
          <w:bCs w:val="0"/>
          <w:lang w:val="en-GB"/>
        </w:rPr>
        <w:t>When the change in aggregate demand becomes large enough</w:t>
      </w:r>
      <w:r w:rsidR="008D7B08" w:rsidRPr="005C599C">
        <w:rPr>
          <w:b w:val="0"/>
          <w:bCs w:val="0"/>
          <w:lang w:val="en-GB"/>
        </w:rPr>
        <w:t xml:space="preserve">, </w:t>
      </w:r>
      <w:r w:rsidR="008D7B08" w:rsidRPr="005C599C">
        <w:rPr>
          <w:b w:val="0"/>
          <w:bCs w:val="0"/>
          <w:i/>
          <w:iCs/>
          <w:lang w:val="en-GB"/>
        </w:rPr>
        <w:t>i.e.</w:t>
      </w:r>
      <w:r w:rsidR="008D7B08" w:rsidRPr="005C599C">
        <w:rPr>
          <w:b w:val="0"/>
          <w:bCs w:val="0"/>
          <w:lang w:val="en-GB"/>
        </w:rPr>
        <w:t>, when</w:t>
      </w:r>
      <w:r w:rsidR="00171B8F" w:rsidRPr="005C599C">
        <w:rPr>
          <w:b w:val="0"/>
          <w:bCs w:val="0"/>
          <w:lang w:val="en-GB"/>
        </w:rPr>
        <w:t xml:space="preserve"> the aggregate demand threshold </w:t>
      </w:r>
      <m:oMath>
        <m:sSubSup>
          <m:sSubSupPr>
            <m:ctrlPr>
              <w:rPr>
                <w:rFonts w:ascii="Cambria Math" w:hAnsi="Cambria Math"/>
                <w:b w:val="0"/>
                <w:bCs w:val="0"/>
                <w:i/>
                <w:lang w:val="en-GB"/>
              </w:rPr>
            </m:ctrlPr>
          </m:sSubSupPr>
          <m:e>
            <m:r>
              <w:rPr>
                <w:rFonts w:ascii="Cambria Math" w:hAnsi="Cambria Math"/>
                <w:lang w:val="en-GB"/>
              </w:rPr>
              <m:t>x</m:t>
            </m:r>
          </m:e>
          <m:sub>
            <m:r>
              <w:rPr>
                <w:rFonts w:ascii="Cambria Math" w:hAnsi="Cambria Math"/>
                <w:lang w:val="en-GB"/>
              </w:rPr>
              <m:t>t1</m:t>
            </m:r>
          </m:sub>
          <m:sup>
            <m:r>
              <w:rPr>
                <w:rFonts w:ascii="Cambria Math" w:hAnsi="Cambria Math"/>
                <w:lang w:val="en-GB"/>
              </w:rPr>
              <m:t>S</m:t>
            </m:r>
          </m:sup>
        </m:sSubSup>
      </m:oMath>
      <w:r w:rsidR="00171B8F" w:rsidRPr="005C599C">
        <w:rPr>
          <w:b w:val="0"/>
          <w:bCs w:val="0"/>
          <w:lang w:val="en-GB"/>
        </w:rPr>
        <w:t xml:space="preserve"> is surpassed, </w:t>
      </w:r>
      <w:r w:rsidR="000F1B3D" w:rsidRPr="005C599C">
        <w:rPr>
          <w:b w:val="0"/>
          <w:bCs w:val="0"/>
          <w:lang w:val="en-GB"/>
        </w:rPr>
        <w:t xml:space="preserve">there is </w:t>
      </w:r>
      <w:r w:rsidR="00171B8F" w:rsidRPr="005C599C">
        <w:rPr>
          <w:b w:val="0"/>
          <w:bCs w:val="0"/>
          <w:lang w:val="en-GB"/>
        </w:rPr>
        <w:t>a stronger response of aggregate investment</w:t>
      </w:r>
      <w:r w:rsidR="008D7B08" w:rsidRPr="005C599C">
        <w:rPr>
          <w:b w:val="0"/>
          <w:bCs w:val="0"/>
          <w:lang w:val="en-GB"/>
        </w:rPr>
        <w:t xml:space="preserve"> to changes in aggregate demand along the upward spurt line. The system moves to point</w:t>
      </w:r>
      <w:r w:rsidR="00171B8F" w:rsidRPr="005C599C">
        <w:rPr>
          <w:b w:val="0"/>
          <w:bCs w:val="0"/>
          <w:lang w:val="en-GB"/>
        </w:rPr>
        <w:t xml:space="preserve"> </w:t>
      </w:r>
      <m:oMath>
        <m:r>
          <w:rPr>
            <w:rFonts w:ascii="Cambria Math" w:hAnsi="Cambria Math"/>
            <w:lang w:val="en-GB"/>
          </w:rPr>
          <m:t>c</m:t>
        </m:r>
      </m:oMath>
      <w:r w:rsidR="00171B8F" w:rsidRPr="005C599C">
        <w:rPr>
          <w:b w:val="0"/>
          <w:bCs w:val="0"/>
          <w:lang w:val="en-GB"/>
        </w:rPr>
        <w:t>. Hence if aggregate demand rises from</w:t>
      </w:r>
      <w:r w:rsidR="00171B8F" w:rsidRPr="000524CA">
        <w:rPr>
          <w:b w:val="0"/>
          <w:bCs w:val="0"/>
          <w:lang w:val="en-GB"/>
        </w:rPr>
        <w:t xml:space="preserve"> </w:t>
      </w:r>
      <m:oMath>
        <m:sSub>
          <m:sSubPr>
            <m:ctrlPr>
              <w:rPr>
                <w:rFonts w:ascii="Cambria Math" w:hAnsi="Cambria Math"/>
                <w:b w:val="0"/>
                <w:bCs w:val="0"/>
                <w:i/>
                <w:lang w:val="en-GB"/>
              </w:rPr>
            </m:ctrlPr>
          </m:sSubPr>
          <m:e>
            <m:r>
              <w:rPr>
                <w:rFonts w:ascii="Cambria Math" w:hAnsi="Cambria Math"/>
                <w:lang w:val="en-GB"/>
              </w:rPr>
              <m:t>x</m:t>
            </m:r>
          </m:e>
          <m:sub>
            <m:r>
              <w:rPr>
                <w:rFonts w:ascii="Cambria Math" w:hAnsi="Cambria Math"/>
                <w:lang w:val="en-GB"/>
              </w:rPr>
              <m:t>t0</m:t>
            </m:r>
          </m:sub>
        </m:sSub>
      </m:oMath>
      <w:r w:rsidR="00171B8F" w:rsidRPr="000524CA">
        <w:rPr>
          <w:b w:val="0"/>
          <w:bCs w:val="0"/>
          <w:lang w:val="en-GB"/>
        </w:rPr>
        <w:t xml:space="preserve"> to </w:t>
      </w:r>
      <m:oMath>
        <m:sSub>
          <m:sSubPr>
            <m:ctrlPr>
              <w:rPr>
                <w:rFonts w:ascii="Cambria Math" w:hAnsi="Cambria Math"/>
                <w:b w:val="0"/>
                <w:bCs w:val="0"/>
                <w:i/>
                <w:lang w:val="en-GB"/>
              </w:rPr>
            </m:ctrlPr>
          </m:sSubPr>
          <m:e>
            <m:r>
              <w:rPr>
                <w:rFonts w:ascii="Cambria Math" w:hAnsi="Cambria Math"/>
                <w:lang w:val="en-GB"/>
              </w:rPr>
              <m:t>x</m:t>
            </m:r>
          </m:e>
          <m:sub>
            <m:r>
              <w:rPr>
                <w:rFonts w:ascii="Cambria Math" w:hAnsi="Cambria Math"/>
                <w:lang w:val="en-GB"/>
              </w:rPr>
              <m:t>t1</m:t>
            </m:r>
          </m:sub>
        </m:sSub>
      </m:oMath>
      <w:r w:rsidR="00E469D4" w:rsidRPr="005C599C">
        <w:rPr>
          <w:b w:val="0"/>
          <w:bCs w:val="0"/>
          <w:lang w:val="en-GB"/>
        </w:rPr>
        <w:t>,</w:t>
      </w:r>
      <w:r w:rsidR="00171B8F" w:rsidRPr="005C599C">
        <w:rPr>
          <w:b w:val="0"/>
          <w:bCs w:val="0"/>
          <w:lang w:val="en-GB"/>
        </w:rPr>
        <w:t xml:space="preserve"> the level of aggregate investment follows the sequence </w:t>
      </w:r>
      <m:oMath>
        <m:r>
          <w:rPr>
            <w:rFonts w:ascii="Cambria Math" w:hAnsi="Cambria Math"/>
            <w:lang w:val="en-GB"/>
          </w:rPr>
          <m:t>abc</m:t>
        </m:r>
      </m:oMath>
      <w:r w:rsidR="00171B8F" w:rsidRPr="005C599C">
        <w:rPr>
          <w:b w:val="0"/>
          <w:bCs w:val="0"/>
          <w:lang w:val="en-GB"/>
        </w:rPr>
        <w:t xml:space="preserve">. </w:t>
      </w:r>
      <w:r w:rsidR="00E469D4" w:rsidRPr="005C599C">
        <w:rPr>
          <w:b w:val="0"/>
          <w:bCs w:val="0"/>
          <w:lang w:val="en-GB"/>
        </w:rPr>
        <w:t xml:space="preserve">From point </w:t>
      </w:r>
      <m:oMath>
        <m:r>
          <w:rPr>
            <w:rFonts w:ascii="Cambria Math" w:hAnsi="Cambria Math"/>
            <w:lang w:val="en-GB"/>
          </w:rPr>
          <m:t>c</m:t>
        </m:r>
      </m:oMath>
      <w:r w:rsidR="00E469D4" w:rsidRPr="005C599C">
        <w:rPr>
          <w:b w:val="0"/>
          <w:bCs w:val="0"/>
          <w:lang w:val="en-GB"/>
        </w:rPr>
        <w:t>, if</w:t>
      </w:r>
      <w:r w:rsidR="006F0124" w:rsidRPr="005C599C">
        <w:rPr>
          <w:b w:val="0"/>
          <w:bCs w:val="0"/>
          <w:lang w:val="en-GB"/>
        </w:rPr>
        <w:t xml:space="preserve"> aggregate demand </w:t>
      </w:r>
      <w:r w:rsidR="00E469D4" w:rsidRPr="005C599C">
        <w:rPr>
          <w:b w:val="0"/>
          <w:bCs w:val="0"/>
          <w:lang w:val="en-GB"/>
        </w:rPr>
        <w:t>decreases t</w:t>
      </w:r>
      <w:r w:rsidR="00FC23E0" w:rsidRPr="005C599C">
        <w:rPr>
          <w:b w:val="0"/>
          <w:bCs w:val="0"/>
          <w:lang w:val="en-GB"/>
        </w:rPr>
        <w:t xml:space="preserve">o </w:t>
      </w:r>
      <m:oMath>
        <m:sSub>
          <m:sSubPr>
            <m:ctrlPr>
              <w:rPr>
                <w:rFonts w:ascii="Cambria Math" w:hAnsi="Cambria Math"/>
                <w:b w:val="0"/>
                <w:bCs w:val="0"/>
                <w:i/>
                <w:lang w:val="en-GB"/>
              </w:rPr>
            </m:ctrlPr>
          </m:sSubPr>
          <m:e>
            <m:r>
              <w:rPr>
                <w:rFonts w:ascii="Cambria Math" w:hAnsi="Cambria Math"/>
                <w:lang w:val="en-GB"/>
              </w:rPr>
              <m:t>x</m:t>
            </m:r>
          </m:e>
          <m:sub>
            <m:r>
              <w:rPr>
                <w:rFonts w:ascii="Cambria Math" w:hAnsi="Cambria Math"/>
                <w:lang w:val="en-GB"/>
              </w:rPr>
              <m:t>t2</m:t>
            </m:r>
          </m:sub>
        </m:sSub>
      </m:oMath>
      <w:r w:rsidR="00025A44" w:rsidRPr="005C599C">
        <w:rPr>
          <w:b w:val="0"/>
          <w:bCs w:val="0"/>
          <w:lang w:val="en-GB"/>
        </w:rPr>
        <w:t>,</w:t>
      </w:r>
      <w:r w:rsidR="00E469D4" w:rsidRPr="005C599C">
        <w:rPr>
          <w:b w:val="0"/>
          <w:bCs w:val="0"/>
          <w:lang w:val="en-GB"/>
        </w:rPr>
        <w:t xml:space="preserve"> i</w:t>
      </w:r>
      <w:r w:rsidR="006F0124" w:rsidRPr="005C599C">
        <w:rPr>
          <w:b w:val="0"/>
          <w:bCs w:val="0"/>
          <w:lang w:val="en-GB"/>
        </w:rPr>
        <w:t>nitially</w:t>
      </w:r>
      <w:r w:rsidR="00E469D4" w:rsidRPr="005C599C">
        <w:rPr>
          <w:b w:val="0"/>
          <w:bCs w:val="0"/>
          <w:lang w:val="en-GB"/>
        </w:rPr>
        <w:t>,</w:t>
      </w:r>
      <w:r w:rsidR="006F0124" w:rsidRPr="005C599C">
        <w:rPr>
          <w:b w:val="0"/>
          <w:bCs w:val="0"/>
          <w:lang w:val="en-GB"/>
        </w:rPr>
        <w:t xml:space="preserve"> there </w:t>
      </w:r>
      <w:r w:rsidR="006E5EBD" w:rsidRPr="005C599C">
        <w:rPr>
          <w:b w:val="0"/>
          <w:bCs w:val="0"/>
          <w:lang w:val="en-GB"/>
        </w:rPr>
        <w:t xml:space="preserve">is </w:t>
      </w:r>
      <w:r w:rsidR="006F0124" w:rsidRPr="005C599C">
        <w:rPr>
          <w:b w:val="0"/>
          <w:bCs w:val="0"/>
          <w:lang w:val="en-GB"/>
        </w:rPr>
        <w:t xml:space="preserve">a weak response of aggregate investment to </w:t>
      </w:r>
      <w:r w:rsidR="00E469D4" w:rsidRPr="005C599C">
        <w:rPr>
          <w:b w:val="0"/>
          <w:bCs w:val="0"/>
          <w:lang w:val="en-GB"/>
        </w:rPr>
        <w:t xml:space="preserve">the </w:t>
      </w:r>
      <w:r w:rsidR="007345CE" w:rsidRPr="005C599C">
        <w:rPr>
          <w:b w:val="0"/>
          <w:bCs w:val="0"/>
          <w:lang w:val="en-GB"/>
        </w:rPr>
        <w:t xml:space="preserve">negative </w:t>
      </w:r>
      <w:r w:rsidR="006F0124" w:rsidRPr="005C599C">
        <w:rPr>
          <w:b w:val="0"/>
          <w:bCs w:val="0"/>
          <w:lang w:val="en-GB"/>
        </w:rPr>
        <w:t>aggregate demand variation, due to non-convex investment adjustment costs</w:t>
      </w:r>
      <w:r w:rsidR="00E469D4" w:rsidRPr="005C599C">
        <w:rPr>
          <w:b w:val="0"/>
          <w:bCs w:val="0"/>
          <w:lang w:val="en-GB"/>
        </w:rPr>
        <w:t>,</w:t>
      </w:r>
      <w:r w:rsidR="006E5EBD" w:rsidRPr="005C599C">
        <w:rPr>
          <w:b w:val="0"/>
          <w:bCs w:val="0"/>
          <w:lang w:val="en-GB"/>
        </w:rPr>
        <w:t xml:space="preserve"> </w:t>
      </w:r>
      <w:r w:rsidR="006F0124" w:rsidRPr="005C599C">
        <w:rPr>
          <w:b w:val="0"/>
          <w:bCs w:val="0"/>
          <w:lang w:val="en-GB"/>
        </w:rPr>
        <w:t>along a play line</w:t>
      </w:r>
      <w:r w:rsidR="007345CE" w:rsidRPr="005C599C">
        <w:rPr>
          <w:b w:val="0"/>
          <w:bCs w:val="0"/>
          <w:lang w:val="en-GB"/>
        </w:rPr>
        <w:t xml:space="preserve"> </w:t>
      </w:r>
      <w:r w:rsidR="00E469D4" w:rsidRPr="005C599C">
        <w:rPr>
          <w:b w:val="0"/>
          <w:bCs w:val="0"/>
          <w:lang w:val="en-GB"/>
        </w:rPr>
        <w:t>that has moved upwards</w:t>
      </w:r>
      <w:r w:rsidR="006F0124" w:rsidRPr="005C599C">
        <w:rPr>
          <w:b w:val="0"/>
          <w:bCs w:val="0"/>
          <w:lang w:val="en-GB"/>
        </w:rPr>
        <w:t xml:space="preserve">. When aggregate </w:t>
      </w:r>
      <w:r w:rsidR="006F0124" w:rsidRPr="005C599C">
        <w:rPr>
          <w:b w:val="0"/>
          <w:bCs w:val="0"/>
          <w:lang w:val="en-GB"/>
        </w:rPr>
        <w:lastRenderedPageBreak/>
        <w:t>demand become</w:t>
      </w:r>
      <w:r w:rsidR="006E5EBD" w:rsidRPr="005C599C">
        <w:rPr>
          <w:b w:val="0"/>
          <w:bCs w:val="0"/>
          <w:lang w:val="en-GB"/>
        </w:rPr>
        <w:t>s</w:t>
      </w:r>
      <w:r w:rsidR="006F0124" w:rsidRPr="005C599C">
        <w:rPr>
          <w:b w:val="0"/>
          <w:bCs w:val="0"/>
          <w:lang w:val="en-GB"/>
        </w:rPr>
        <w:t xml:space="preserve"> sufficiently low,</w:t>
      </w:r>
      <w:r w:rsidR="00E469D4" w:rsidRPr="005C599C">
        <w:rPr>
          <w:b w:val="0"/>
          <w:bCs w:val="0"/>
          <w:lang w:val="en-GB"/>
        </w:rPr>
        <w:t xml:space="preserve"> </w:t>
      </w:r>
      <w:r w:rsidR="00E469D4" w:rsidRPr="005C599C">
        <w:rPr>
          <w:b w:val="0"/>
          <w:bCs w:val="0"/>
          <w:i/>
          <w:iCs/>
          <w:lang w:val="en-GB"/>
        </w:rPr>
        <w:t>i.e.</w:t>
      </w:r>
      <w:r w:rsidR="00E469D4" w:rsidRPr="005C599C">
        <w:rPr>
          <w:b w:val="0"/>
          <w:bCs w:val="0"/>
          <w:lang w:val="en-GB"/>
        </w:rPr>
        <w:t>, when</w:t>
      </w:r>
      <w:r w:rsidR="006F0124" w:rsidRPr="005C599C">
        <w:rPr>
          <w:b w:val="0"/>
          <w:bCs w:val="0"/>
          <w:lang w:val="en-GB"/>
        </w:rPr>
        <w:t xml:space="preserve"> a threshold </w:t>
      </w:r>
      <w:r w:rsidR="006F0124" w:rsidRPr="000524CA">
        <w:rPr>
          <w:b w:val="0"/>
          <w:bCs w:val="0"/>
          <w:lang w:val="en-GB"/>
        </w:rPr>
        <w:t xml:space="preserve">value </w:t>
      </w:r>
      <m:oMath>
        <m:sSubSup>
          <m:sSubSupPr>
            <m:ctrlPr>
              <w:rPr>
                <w:rFonts w:ascii="Cambria Math" w:hAnsi="Cambria Math"/>
                <w:b w:val="0"/>
                <w:bCs w:val="0"/>
                <w:i/>
                <w:lang w:val="en-GB"/>
              </w:rPr>
            </m:ctrlPr>
          </m:sSubSupPr>
          <m:e>
            <m:r>
              <w:rPr>
                <w:rFonts w:ascii="Cambria Math" w:hAnsi="Cambria Math"/>
                <w:lang w:val="en-GB"/>
              </w:rPr>
              <m:t>x</m:t>
            </m:r>
          </m:e>
          <m:sub>
            <m:r>
              <w:rPr>
                <w:rFonts w:ascii="Cambria Math" w:hAnsi="Cambria Math"/>
                <w:lang w:val="en-GB"/>
              </w:rPr>
              <m:t>t2</m:t>
            </m:r>
          </m:sub>
          <m:sup>
            <m:r>
              <w:rPr>
                <w:rFonts w:ascii="Cambria Math" w:hAnsi="Cambria Math"/>
                <w:lang w:val="en-GB"/>
              </w:rPr>
              <m:t>S</m:t>
            </m:r>
          </m:sup>
        </m:sSubSup>
      </m:oMath>
      <w:r w:rsidR="00E469D4" w:rsidRPr="000524CA">
        <w:rPr>
          <w:b w:val="0"/>
          <w:bCs w:val="0"/>
          <w:lang w:val="en-GB"/>
        </w:rPr>
        <w:t xml:space="preserve"> is surpassed (at point </w:t>
      </w:r>
      <m:oMath>
        <m:r>
          <w:rPr>
            <w:rFonts w:ascii="Cambria Math" w:hAnsi="Cambria Math"/>
            <w:lang w:val="en-GB"/>
          </w:rPr>
          <m:t>d</m:t>
        </m:r>
      </m:oMath>
      <w:r w:rsidR="00E469D4" w:rsidRPr="000524CA">
        <w:rPr>
          <w:b w:val="0"/>
          <w:bCs w:val="0"/>
          <w:lang w:val="en-GB"/>
        </w:rPr>
        <w:t xml:space="preserve">), </w:t>
      </w:r>
      <w:r w:rsidR="007345CE" w:rsidRPr="000524CA">
        <w:rPr>
          <w:b w:val="0"/>
          <w:bCs w:val="0"/>
          <w:lang w:val="en-GB"/>
        </w:rPr>
        <w:t>the aggregate investment</w:t>
      </w:r>
      <w:r w:rsidR="00E469D4" w:rsidRPr="000524CA">
        <w:rPr>
          <w:b w:val="0"/>
          <w:bCs w:val="0"/>
          <w:lang w:val="en-GB"/>
        </w:rPr>
        <w:t xml:space="preserve"> starts to respond strongly </w:t>
      </w:r>
      <w:r w:rsidR="007345CE" w:rsidRPr="000524CA">
        <w:rPr>
          <w:b w:val="0"/>
          <w:bCs w:val="0"/>
          <w:lang w:val="en-GB"/>
        </w:rPr>
        <w:t xml:space="preserve">along </w:t>
      </w:r>
      <w:r w:rsidR="00E469D4" w:rsidRPr="000524CA">
        <w:rPr>
          <w:b w:val="0"/>
          <w:bCs w:val="0"/>
          <w:lang w:val="en-GB"/>
        </w:rPr>
        <w:t xml:space="preserve">the </w:t>
      </w:r>
      <w:r w:rsidR="007345CE" w:rsidRPr="000524CA">
        <w:rPr>
          <w:b w:val="0"/>
          <w:bCs w:val="0"/>
          <w:lang w:val="en-GB"/>
        </w:rPr>
        <w:t xml:space="preserve">downward spurt. Hence if aggregate demand falls from </w:t>
      </w:r>
      <m:oMath>
        <m:sSub>
          <m:sSubPr>
            <m:ctrlPr>
              <w:rPr>
                <w:rFonts w:ascii="Cambria Math" w:hAnsi="Cambria Math"/>
                <w:b w:val="0"/>
                <w:bCs w:val="0"/>
                <w:i/>
                <w:lang w:val="en-GB"/>
              </w:rPr>
            </m:ctrlPr>
          </m:sSubPr>
          <m:e>
            <m:r>
              <w:rPr>
                <w:rFonts w:ascii="Cambria Math" w:hAnsi="Cambria Math"/>
                <w:lang w:val="en-GB"/>
              </w:rPr>
              <m:t>x</m:t>
            </m:r>
          </m:e>
          <m:sub>
            <m:r>
              <w:rPr>
                <w:rFonts w:ascii="Cambria Math" w:hAnsi="Cambria Math"/>
                <w:lang w:val="en-GB"/>
              </w:rPr>
              <m:t>t1</m:t>
            </m:r>
          </m:sub>
        </m:sSub>
      </m:oMath>
      <w:r w:rsidR="007345CE" w:rsidRPr="000524CA">
        <w:rPr>
          <w:b w:val="0"/>
          <w:bCs w:val="0"/>
          <w:lang w:val="en-GB"/>
        </w:rPr>
        <w:t xml:space="preserve"> to </w:t>
      </w:r>
      <m:oMath>
        <m:sSub>
          <m:sSubPr>
            <m:ctrlPr>
              <w:rPr>
                <w:rFonts w:ascii="Cambria Math" w:hAnsi="Cambria Math"/>
                <w:b w:val="0"/>
                <w:bCs w:val="0"/>
                <w:i/>
                <w:lang w:val="en-GB"/>
              </w:rPr>
            </m:ctrlPr>
          </m:sSubPr>
          <m:e>
            <m:r>
              <w:rPr>
                <w:rFonts w:ascii="Cambria Math" w:hAnsi="Cambria Math"/>
                <w:lang w:val="en-GB"/>
              </w:rPr>
              <m:t>x</m:t>
            </m:r>
          </m:e>
          <m:sub>
            <m:r>
              <w:rPr>
                <w:rFonts w:ascii="Cambria Math" w:hAnsi="Cambria Math"/>
                <w:lang w:val="en-GB"/>
              </w:rPr>
              <m:t>t2</m:t>
            </m:r>
          </m:sub>
        </m:sSub>
      </m:oMath>
      <w:r w:rsidR="007345CE" w:rsidRPr="000524CA">
        <w:rPr>
          <w:b w:val="0"/>
          <w:bCs w:val="0"/>
          <w:lang w:val="en-GB"/>
        </w:rPr>
        <w:t xml:space="preserve">, the level of aggregate investment follows the sequence </w:t>
      </w:r>
      <m:oMath>
        <m:r>
          <w:rPr>
            <w:rFonts w:ascii="Cambria Math" w:hAnsi="Cambria Math"/>
            <w:lang w:val="en-GB"/>
          </w:rPr>
          <m:t>cde</m:t>
        </m:r>
      </m:oMath>
      <w:r w:rsidR="00E469D4" w:rsidRPr="000524CA">
        <w:rPr>
          <w:b w:val="0"/>
          <w:bCs w:val="0"/>
          <w:lang w:val="en-GB"/>
        </w:rPr>
        <w:t>.</w:t>
      </w:r>
    </w:p>
    <w:p w14:paraId="157DB5D4" w14:textId="28C75884" w:rsidR="004C0A19" w:rsidRPr="005C599C" w:rsidRDefault="004F0012" w:rsidP="00A3169E">
      <w:pPr>
        <w:pStyle w:val="Heading3"/>
        <w:tabs>
          <w:tab w:val="left" w:pos="934"/>
        </w:tabs>
        <w:spacing w:line="360" w:lineRule="auto"/>
        <w:ind w:left="0" w:firstLine="720"/>
        <w:jc w:val="both"/>
        <w:rPr>
          <w:b w:val="0"/>
          <w:bCs w:val="0"/>
          <w:lang w:val="en-GB"/>
        </w:rPr>
      </w:pPr>
      <w:r w:rsidRPr="005C599C">
        <w:rPr>
          <w:b w:val="0"/>
          <w:bCs w:val="0"/>
          <w:lang w:val="en-GB"/>
        </w:rPr>
        <w:t xml:space="preserve">In line with the play model of hysteresis, to test </w:t>
      </w:r>
      <w:r w:rsidR="004C0A19" w:rsidRPr="005C599C">
        <w:rPr>
          <w:b w:val="0"/>
          <w:bCs w:val="0"/>
          <w:lang w:val="en-GB"/>
        </w:rPr>
        <w:t xml:space="preserve">the presence of hysteresis </w:t>
      </w:r>
      <w:r w:rsidRPr="005C599C">
        <w:rPr>
          <w:b w:val="0"/>
          <w:bCs w:val="0"/>
          <w:lang w:val="en-GB"/>
        </w:rPr>
        <w:t xml:space="preserve">in aggregate investment, we estimate </w:t>
      </w:r>
      <w:r w:rsidR="00E469D4" w:rsidRPr="005C599C">
        <w:rPr>
          <w:b w:val="0"/>
          <w:bCs w:val="0"/>
          <w:lang w:val="en-GB"/>
        </w:rPr>
        <w:t>a hysteretic investment</w:t>
      </w:r>
      <w:r w:rsidR="001113C9" w:rsidRPr="005C599C">
        <w:rPr>
          <w:b w:val="0"/>
          <w:bCs w:val="0"/>
          <w:lang w:val="en-GB"/>
        </w:rPr>
        <w:t xml:space="preserve"> </w:t>
      </w:r>
      <w:r w:rsidR="00E469D4" w:rsidRPr="005C599C">
        <w:rPr>
          <w:b w:val="0"/>
          <w:bCs w:val="0"/>
          <w:lang w:val="en-GB"/>
        </w:rPr>
        <w:t>E</w:t>
      </w:r>
      <w:r w:rsidR="001113C9" w:rsidRPr="005C599C">
        <w:rPr>
          <w:b w:val="0"/>
          <w:bCs w:val="0"/>
          <w:lang w:val="en-GB"/>
        </w:rPr>
        <w:t>quation</w:t>
      </w:r>
      <w:r w:rsidR="00E469D4" w:rsidRPr="005C599C">
        <w:rPr>
          <w:b w:val="0"/>
          <w:bCs w:val="0"/>
          <w:lang w:val="en-GB"/>
        </w:rPr>
        <w:t xml:space="preserve"> (</w:t>
      </w:r>
      <w:r w:rsidR="000524CA">
        <w:rPr>
          <w:b w:val="0"/>
          <w:bCs w:val="0"/>
          <w:lang w:val="en-GB"/>
        </w:rPr>
        <w:t>3</w:t>
      </w:r>
      <w:r w:rsidR="00E469D4" w:rsidRPr="005C599C">
        <w:rPr>
          <w:b w:val="0"/>
          <w:bCs w:val="0"/>
          <w:lang w:val="en-GB"/>
        </w:rPr>
        <w:t>.1).</w:t>
      </w:r>
    </w:p>
    <w:p w14:paraId="28523340" w14:textId="77777777" w:rsidR="004F0012" w:rsidRPr="005C599C" w:rsidRDefault="004F0012" w:rsidP="00B25999">
      <w:pPr>
        <w:pStyle w:val="Heading3"/>
        <w:tabs>
          <w:tab w:val="left" w:pos="934"/>
        </w:tabs>
        <w:spacing w:before="1" w:line="360" w:lineRule="auto"/>
        <w:ind w:left="0" w:firstLine="720"/>
        <w:jc w:val="both"/>
        <w:rPr>
          <w:b w:val="0"/>
          <w:bCs w:val="0"/>
          <w:lang w:val="en-GB"/>
        </w:rPr>
      </w:pPr>
    </w:p>
    <w:p w14:paraId="3DF5A79C" w14:textId="244B6ABC" w:rsidR="004F0012" w:rsidRPr="005C599C" w:rsidRDefault="00000000" w:rsidP="004F0012">
      <w:pPr>
        <w:pStyle w:val="Heading3"/>
        <w:tabs>
          <w:tab w:val="left" w:pos="934"/>
        </w:tabs>
        <w:spacing w:before="1" w:line="360" w:lineRule="auto"/>
        <w:ind w:left="0" w:firstLine="720"/>
        <w:jc w:val="center"/>
        <w:rPr>
          <w:b w:val="0"/>
          <w:bCs w:val="0"/>
          <w:lang w:val="en-GB"/>
        </w:rPr>
      </w:pPr>
      <m:oMath>
        <m:sSub>
          <m:sSubPr>
            <m:ctrlPr>
              <w:rPr>
                <w:rFonts w:ascii="Cambria Math" w:hAnsi="Cambria Math"/>
                <w:b w:val="0"/>
                <w:bCs w:val="0"/>
                <w:i/>
                <w:lang w:val="en-GB"/>
              </w:rPr>
            </m:ctrlPr>
          </m:sSubPr>
          <m:e>
            <m:r>
              <w:rPr>
                <w:rFonts w:ascii="Cambria Math" w:hAnsi="Cambria Math"/>
                <w:lang w:val="en-GB"/>
              </w:rPr>
              <m:t>I</m:t>
            </m:r>
          </m:e>
          <m:sub>
            <m:r>
              <w:rPr>
                <w:rFonts w:ascii="Cambria Math" w:hAnsi="Cambria Math"/>
                <w:lang w:val="en-GB"/>
              </w:rPr>
              <m:t>t</m:t>
            </m:r>
          </m:sub>
        </m:sSub>
        <m:r>
          <w:rPr>
            <w:rFonts w:ascii="Cambria Math" w:hAnsi="Cambria Math"/>
            <w:lang w:val="en-GB"/>
          </w:rPr>
          <m:t xml:space="preserve">= </m:t>
        </m:r>
        <m:sSub>
          <m:sSubPr>
            <m:ctrlPr>
              <w:rPr>
                <w:rFonts w:ascii="Cambria Math" w:hAnsi="Cambria Math"/>
                <w:b w:val="0"/>
                <w:bCs w:val="0"/>
                <w:i/>
                <w:lang w:val="en-GB"/>
              </w:rPr>
            </m:ctrlPr>
          </m:sSubPr>
          <m:e>
            <m:r>
              <w:rPr>
                <w:rFonts w:ascii="Cambria Math" w:hAnsi="Cambria Math"/>
                <w:lang w:val="en-GB"/>
              </w:rPr>
              <m:t>β</m:t>
            </m:r>
          </m:e>
          <m:sub>
            <m:r>
              <w:rPr>
                <w:rFonts w:ascii="Cambria Math" w:hAnsi="Cambria Math"/>
                <w:lang w:val="en-GB"/>
              </w:rPr>
              <m:t>0</m:t>
            </m:r>
          </m:sub>
        </m:sSub>
        <m:r>
          <w:rPr>
            <w:rFonts w:ascii="Cambria Math" w:hAnsi="Cambria Math"/>
            <w:lang w:val="en-GB"/>
          </w:rPr>
          <m:t>+</m:t>
        </m:r>
        <m:sSub>
          <m:sSubPr>
            <m:ctrlPr>
              <w:rPr>
                <w:rFonts w:ascii="Cambria Math" w:hAnsi="Cambria Math"/>
                <w:b w:val="0"/>
                <w:bCs w:val="0"/>
                <w:i/>
                <w:lang w:val="en-GB"/>
              </w:rPr>
            </m:ctrlPr>
          </m:sSubPr>
          <m:e>
            <m:r>
              <w:rPr>
                <w:rFonts w:ascii="Cambria Math" w:hAnsi="Cambria Math"/>
                <w:lang w:val="en-GB"/>
              </w:rPr>
              <m:t>β</m:t>
            </m:r>
          </m:e>
          <m:sub>
            <m:r>
              <w:rPr>
                <w:rFonts w:ascii="Cambria Math" w:hAnsi="Cambria Math"/>
                <w:lang w:val="en-GB"/>
              </w:rPr>
              <m:t>1</m:t>
            </m:r>
          </m:sub>
        </m:sSub>
        <m:sSub>
          <m:sSubPr>
            <m:ctrlPr>
              <w:rPr>
                <w:rFonts w:ascii="Cambria Math" w:hAnsi="Cambria Math"/>
                <w:b w:val="0"/>
                <w:bCs w:val="0"/>
                <w:i/>
                <w:lang w:val="en-GB"/>
              </w:rPr>
            </m:ctrlPr>
          </m:sSubPr>
          <m:e>
            <m:r>
              <w:rPr>
                <w:rFonts w:ascii="Cambria Math" w:hAnsi="Cambria Math"/>
                <w:lang w:val="en-GB"/>
              </w:rPr>
              <m:t>x</m:t>
            </m:r>
          </m:e>
          <m:sub>
            <m:r>
              <w:rPr>
                <w:rFonts w:ascii="Cambria Math" w:hAnsi="Cambria Math"/>
                <w:lang w:val="en-GB"/>
              </w:rPr>
              <m:t>t</m:t>
            </m:r>
          </m:sub>
        </m:sSub>
        <m:r>
          <w:rPr>
            <w:rFonts w:ascii="Cambria Math" w:hAnsi="Cambria Math"/>
            <w:lang w:val="en-GB"/>
          </w:rPr>
          <m:t>+</m:t>
        </m:r>
        <m:sSub>
          <m:sSubPr>
            <m:ctrlPr>
              <w:rPr>
                <w:rFonts w:ascii="Cambria Math" w:hAnsi="Cambria Math"/>
                <w:b w:val="0"/>
                <w:bCs w:val="0"/>
                <w:i/>
                <w:lang w:val="en-GB"/>
              </w:rPr>
            </m:ctrlPr>
          </m:sSubPr>
          <m:e>
            <m:r>
              <w:rPr>
                <w:rFonts w:ascii="Cambria Math" w:hAnsi="Cambria Math"/>
                <w:lang w:val="en-GB"/>
              </w:rPr>
              <m:t>β</m:t>
            </m:r>
          </m:e>
          <m:sub>
            <m:r>
              <w:rPr>
                <w:rFonts w:ascii="Cambria Math" w:hAnsi="Cambria Math"/>
                <w:lang w:val="en-GB"/>
              </w:rPr>
              <m:t>2</m:t>
            </m:r>
          </m:sub>
        </m:sSub>
        <m:sSub>
          <m:sSubPr>
            <m:ctrlPr>
              <w:rPr>
                <w:rFonts w:ascii="Cambria Math" w:hAnsi="Cambria Math"/>
                <w:b w:val="0"/>
                <w:bCs w:val="0"/>
                <w:i/>
                <w:lang w:val="en-GB"/>
              </w:rPr>
            </m:ctrlPr>
          </m:sSubPr>
          <m:e>
            <m:r>
              <w:rPr>
                <w:rFonts w:ascii="Cambria Math" w:hAnsi="Cambria Math"/>
                <w:lang w:val="en-GB"/>
              </w:rPr>
              <m:t>S</m:t>
            </m:r>
          </m:e>
          <m:sub>
            <m:r>
              <w:rPr>
                <w:rFonts w:ascii="Cambria Math" w:hAnsi="Cambria Math"/>
                <w:lang w:val="en-GB"/>
              </w:rPr>
              <m:t>t</m:t>
            </m:r>
          </m:sub>
        </m:sSub>
        <m:r>
          <w:rPr>
            <w:rFonts w:ascii="Cambria Math" w:hAnsi="Cambria Math"/>
            <w:lang w:val="en-GB"/>
          </w:rPr>
          <m:t>+</m:t>
        </m:r>
        <m:sSub>
          <m:sSubPr>
            <m:ctrlPr>
              <w:rPr>
                <w:rFonts w:ascii="Cambria Math" w:hAnsi="Cambria Math"/>
                <w:b w:val="0"/>
                <w:bCs w:val="0"/>
                <w:i/>
                <w:lang w:val="en-GB"/>
              </w:rPr>
            </m:ctrlPr>
          </m:sSubPr>
          <m:e>
            <m:r>
              <w:rPr>
                <w:rFonts w:ascii="Cambria Math" w:hAnsi="Cambria Math"/>
                <w:lang w:val="en-GB"/>
              </w:rPr>
              <m:t>β</m:t>
            </m:r>
          </m:e>
          <m:sub>
            <m:r>
              <w:rPr>
                <w:rFonts w:ascii="Cambria Math" w:hAnsi="Cambria Math"/>
                <w:lang w:val="en-GB"/>
              </w:rPr>
              <m:t>3</m:t>
            </m:r>
          </m:sub>
        </m:sSub>
        <m:sSub>
          <m:sSubPr>
            <m:ctrlPr>
              <w:rPr>
                <w:rFonts w:ascii="Cambria Math" w:hAnsi="Cambria Math"/>
                <w:b w:val="0"/>
                <w:bCs w:val="0"/>
                <w:i/>
                <w:lang w:val="en-GB"/>
              </w:rPr>
            </m:ctrlPr>
          </m:sSubPr>
          <m:e>
            <m:r>
              <w:rPr>
                <w:rFonts w:ascii="Cambria Math" w:hAnsi="Cambria Math"/>
                <w:lang w:val="en-GB"/>
              </w:rPr>
              <m:t>i</m:t>
            </m:r>
          </m:e>
          <m:sub>
            <m:r>
              <w:rPr>
                <w:rFonts w:ascii="Cambria Math" w:hAnsi="Cambria Math"/>
                <w:lang w:val="en-GB"/>
              </w:rPr>
              <m:t>t</m:t>
            </m:r>
          </m:sub>
        </m:sSub>
        <m:r>
          <w:rPr>
            <w:rFonts w:ascii="Cambria Math" w:hAnsi="Cambria Math"/>
            <w:lang w:val="en-GB"/>
          </w:rPr>
          <m:t>+</m:t>
        </m:r>
        <m:sSub>
          <m:sSubPr>
            <m:ctrlPr>
              <w:rPr>
                <w:rFonts w:ascii="Cambria Math" w:hAnsi="Cambria Math"/>
                <w:b w:val="0"/>
                <w:bCs w:val="0"/>
                <w:i/>
                <w:lang w:val="en-GB"/>
              </w:rPr>
            </m:ctrlPr>
          </m:sSubPr>
          <m:e>
            <m:r>
              <w:rPr>
                <w:rFonts w:ascii="Cambria Math" w:hAnsi="Cambria Math"/>
                <w:lang w:val="en-GB"/>
              </w:rPr>
              <m:t>β</m:t>
            </m:r>
          </m:e>
          <m:sub>
            <m:r>
              <w:rPr>
                <w:rFonts w:ascii="Cambria Math" w:hAnsi="Cambria Math"/>
                <w:lang w:val="en-GB"/>
              </w:rPr>
              <m:t>4</m:t>
            </m:r>
          </m:sub>
        </m:sSub>
        <m:sSub>
          <m:sSubPr>
            <m:ctrlPr>
              <w:rPr>
                <w:rFonts w:ascii="Cambria Math" w:hAnsi="Cambria Math"/>
                <w:b w:val="0"/>
                <w:bCs w:val="0"/>
                <w:i/>
                <w:lang w:val="en-GB"/>
              </w:rPr>
            </m:ctrlPr>
          </m:sSubPr>
          <m:e>
            <m:r>
              <w:rPr>
                <w:rFonts w:ascii="Cambria Math" w:hAnsi="Cambria Math"/>
                <w:lang w:val="en-GB"/>
              </w:rPr>
              <m:t>BCI</m:t>
            </m:r>
          </m:e>
          <m:sub>
            <m:r>
              <w:rPr>
                <w:rFonts w:ascii="Cambria Math" w:hAnsi="Cambria Math"/>
                <w:lang w:val="en-GB"/>
              </w:rPr>
              <m:t>t</m:t>
            </m:r>
          </m:sub>
        </m:sSub>
        <m:r>
          <w:rPr>
            <w:rFonts w:ascii="Cambria Math" w:hAnsi="Cambria Math"/>
            <w:lang w:val="en-GB"/>
          </w:rPr>
          <m:t>+</m:t>
        </m:r>
        <m:sSub>
          <m:sSubPr>
            <m:ctrlPr>
              <w:rPr>
                <w:rFonts w:ascii="Cambria Math" w:hAnsi="Cambria Math"/>
                <w:b w:val="0"/>
                <w:bCs w:val="0"/>
                <w:i/>
                <w:lang w:val="en-GB"/>
              </w:rPr>
            </m:ctrlPr>
          </m:sSubPr>
          <m:e>
            <m:r>
              <w:rPr>
                <w:rFonts w:ascii="Cambria Math" w:hAnsi="Cambria Math"/>
                <w:lang w:val="en-GB"/>
              </w:rPr>
              <m:t>ε</m:t>
            </m:r>
          </m:e>
          <m:sub>
            <m:r>
              <w:rPr>
                <w:rFonts w:ascii="Cambria Math" w:hAnsi="Cambria Math"/>
                <w:lang w:val="en-GB"/>
              </w:rPr>
              <m:t>t</m:t>
            </m:r>
          </m:sub>
        </m:sSub>
      </m:oMath>
      <w:r w:rsidR="004F0012" w:rsidRPr="005C599C">
        <w:rPr>
          <w:b w:val="0"/>
          <w:bCs w:val="0"/>
          <w:lang w:val="en-GB"/>
        </w:rPr>
        <w:tab/>
      </w:r>
      <w:r w:rsidR="004F0012" w:rsidRPr="005C599C">
        <w:rPr>
          <w:b w:val="0"/>
          <w:bCs w:val="0"/>
          <w:lang w:val="en-GB"/>
        </w:rPr>
        <w:tab/>
      </w:r>
      <w:r w:rsidR="004F0012" w:rsidRPr="005C599C">
        <w:rPr>
          <w:b w:val="0"/>
          <w:bCs w:val="0"/>
          <w:lang w:val="en-GB"/>
        </w:rPr>
        <w:tab/>
      </w:r>
      <w:r w:rsidR="004F0012" w:rsidRPr="005C599C">
        <w:rPr>
          <w:b w:val="0"/>
          <w:bCs w:val="0"/>
          <w:lang w:val="en-GB"/>
        </w:rPr>
        <w:tab/>
        <w:t>(</w:t>
      </w:r>
      <w:r w:rsidR="000524CA">
        <w:rPr>
          <w:b w:val="0"/>
          <w:bCs w:val="0"/>
          <w:lang w:val="en-GB"/>
        </w:rPr>
        <w:t>3</w:t>
      </w:r>
      <w:r w:rsidR="004F0012" w:rsidRPr="005C599C">
        <w:rPr>
          <w:b w:val="0"/>
          <w:bCs w:val="0"/>
          <w:lang w:val="en-GB"/>
        </w:rPr>
        <w:t>.1)</w:t>
      </w:r>
    </w:p>
    <w:p w14:paraId="2F788792" w14:textId="77777777" w:rsidR="004F0012" w:rsidRPr="005C599C" w:rsidRDefault="004F0012" w:rsidP="00134899">
      <w:pPr>
        <w:pStyle w:val="Heading3"/>
        <w:tabs>
          <w:tab w:val="left" w:pos="934"/>
        </w:tabs>
        <w:spacing w:before="1" w:line="360" w:lineRule="auto"/>
        <w:ind w:left="0" w:firstLine="936"/>
        <w:jc w:val="both"/>
        <w:rPr>
          <w:b w:val="0"/>
          <w:bCs w:val="0"/>
          <w:lang w:val="en-GB"/>
        </w:rPr>
      </w:pPr>
    </w:p>
    <w:p w14:paraId="646DA5D6" w14:textId="67F0E4EE" w:rsidR="00BF2A78" w:rsidRPr="005C599C" w:rsidRDefault="004C0A19" w:rsidP="00A35328">
      <w:pPr>
        <w:pStyle w:val="Heading3"/>
        <w:tabs>
          <w:tab w:val="left" w:pos="934"/>
        </w:tabs>
        <w:spacing w:line="360" w:lineRule="auto"/>
        <w:ind w:left="0" w:firstLine="720"/>
        <w:jc w:val="both"/>
        <w:rPr>
          <w:b w:val="0"/>
          <w:bCs w:val="0"/>
          <w:lang w:val="en-GB"/>
        </w:rPr>
      </w:pPr>
      <w:r w:rsidRPr="005C599C">
        <w:rPr>
          <w:b w:val="0"/>
          <w:bCs w:val="0"/>
          <w:lang w:val="en-GB"/>
        </w:rPr>
        <w:t xml:space="preserve">Where </w:t>
      </w:r>
      <m:oMath>
        <m:sSub>
          <m:sSubPr>
            <m:ctrlPr>
              <w:rPr>
                <w:rFonts w:ascii="Cambria Math" w:hAnsi="Cambria Math"/>
                <w:b w:val="0"/>
                <w:bCs w:val="0"/>
                <w:i/>
                <w:lang w:val="en-GB"/>
              </w:rPr>
            </m:ctrlPr>
          </m:sSubPr>
          <m:e>
            <m:r>
              <w:rPr>
                <w:rFonts w:ascii="Cambria Math" w:hAnsi="Cambria Math"/>
                <w:lang w:val="en-GB"/>
              </w:rPr>
              <m:t>x</m:t>
            </m:r>
          </m:e>
          <m:sub>
            <m:r>
              <w:rPr>
                <w:rFonts w:ascii="Cambria Math" w:hAnsi="Cambria Math"/>
                <w:lang w:val="en-GB"/>
              </w:rPr>
              <m:t>t</m:t>
            </m:r>
          </m:sub>
        </m:sSub>
      </m:oMath>
      <w:r w:rsidRPr="00A033F0">
        <w:rPr>
          <w:b w:val="0"/>
          <w:bCs w:val="0"/>
          <w:lang w:val="en-GB"/>
        </w:rPr>
        <w:t xml:space="preserve"> represents the aggregate demand in period </w:t>
      </w:r>
      <w:r w:rsidRPr="00A033F0">
        <w:rPr>
          <w:b w:val="0"/>
          <w:bCs w:val="0"/>
          <w:i/>
          <w:iCs/>
          <w:lang w:val="en-GB"/>
        </w:rPr>
        <w:t>t</w:t>
      </w:r>
      <w:r w:rsidRPr="00A033F0">
        <w:rPr>
          <w:b w:val="0"/>
          <w:bCs w:val="0"/>
          <w:lang w:val="en-GB"/>
        </w:rPr>
        <w:t xml:space="preserve">, </w:t>
      </w:r>
      <m:oMath>
        <m:sSub>
          <m:sSubPr>
            <m:ctrlPr>
              <w:rPr>
                <w:rFonts w:ascii="Cambria Math" w:hAnsi="Cambria Math"/>
                <w:b w:val="0"/>
                <w:bCs w:val="0"/>
                <w:i/>
                <w:lang w:val="en-GB"/>
              </w:rPr>
            </m:ctrlPr>
          </m:sSubPr>
          <m:e>
            <m:r>
              <w:rPr>
                <w:rFonts w:ascii="Cambria Math" w:hAnsi="Cambria Math"/>
                <w:lang w:val="en-GB"/>
              </w:rPr>
              <m:t>S</m:t>
            </m:r>
          </m:e>
          <m:sub>
            <m:r>
              <w:rPr>
                <w:rFonts w:ascii="Cambria Math" w:hAnsi="Cambria Math"/>
                <w:lang w:val="en-GB"/>
              </w:rPr>
              <m:t>t</m:t>
            </m:r>
          </m:sub>
        </m:sSub>
      </m:oMath>
      <w:r w:rsidRPr="00A033F0">
        <w:rPr>
          <w:b w:val="0"/>
          <w:bCs w:val="0"/>
          <w:lang w:val="en-GB"/>
        </w:rPr>
        <w:t xml:space="preserve"> represents the </w:t>
      </w:r>
      <w:r w:rsidR="00AD655E" w:rsidRPr="00A033F0">
        <w:rPr>
          <w:b w:val="0"/>
          <w:bCs w:val="0"/>
          <w:lang w:val="en-GB"/>
        </w:rPr>
        <w:t xml:space="preserve">hysteresis </w:t>
      </w:r>
      <w:r w:rsidRPr="00A033F0">
        <w:rPr>
          <w:b w:val="0"/>
          <w:bCs w:val="0"/>
          <w:lang w:val="en-GB"/>
        </w:rPr>
        <w:t>vari</w:t>
      </w:r>
      <w:r w:rsidR="007A58A7" w:rsidRPr="00A033F0">
        <w:rPr>
          <w:b w:val="0"/>
          <w:bCs w:val="0"/>
          <w:lang w:val="en-GB"/>
        </w:rPr>
        <w:t>a</w:t>
      </w:r>
      <w:r w:rsidRPr="00A033F0">
        <w:rPr>
          <w:b w:val="0"/>
          <w:bCs w:val="0"/>
          <w:lang w:val="en-GB"/>
        </w:rPr>
        <w:t>ble</w:t>
      </w:r>
      <w:r w:rsidR="00AD655E" w:rsidRPr="00A033F0">
        <w:rPr>
          <w:b w:val="0"/>
          <w:bCs w:val="0"/>
          <w:lang w:val="en-GB"/>
        </w:rPr>
        <w:t xml:space="preserve"> (called ‘the spurt variable’)</w:t>
      </w:r>
      <w:r w:rsidRPr="00A033F0">
        <w:rPr>
          <w:b w:val="0"/>
          <w:bCs w:val="0"/>
          <w:lang w:val="en-GB"/>
        </w:rPr>
        <w:t xml:space="preserve">, </w:t>
      </w:r>
      <m:oMath>
        <m:sSub>
          <m:sSubPr>
            <m:ctrlPr>
              <w:rPr>
                <w:rFonts w:ascii="Cambria Math" w:hAnsi="Cambria Math"/>
                <w:b w:val="0"/>
                <w:bCs w:val="0"/>
                <w:i/>
                <w:lang w:val="en-GB"/>
              </w:rPr>
            </m:ctrlPr>
          </m:sSubPr>
          <m:e>
            <m:r>
              <w:rPr>
                <w:rFonts w:ascii="Cambria Math" w:hAnsi="Cambria Math"/>
                <w:lang w:val="en-GB"/>
              </w:rPr>
              <m:t>i</m:t>
            </m:r>
          </m:e>
          <m:sub>
            <m:r>
              <w:rPr>
                <w:rFonts w:ascii="Cambria Math" w:hAnsi="Cambria Math"/>
                <w:lang w:val="en-GB"/>
              </w:rPr>
              <m:t>t</m:t>
            </m:r>
          </m:sub>
        </m:sSub>
      </m:oMath>
      <w:r w:rsidRPr="00A033F0">
        <w:rPr>
          <w:b w:val="0"/>
          <w:bCs w:val="0"/>
          <w:lang w:val="en-GB"/>
        </w:rPr>
        <w:t xml:space="preserve"> represents the interest rate, </w:t>
      </w:r>
      <m:oMath>
        <m:sSub>
          <m:sSubPr>
            <m:ctrlPr>
              <w:rPr>
                <w:rFonts w:ascii="Cambria Math" w:hAnsi="Cambria Math"/>
                <w:b w:val="0"/>
                <w:bCs w:val="0"/>
                <w:i/>
                <w:lang w:val="en-GB"/>
              </w:rPr>
            </m:ctrlPr>
          </m:sSubPr>
          <m:e>
            <m:r>
              <w:rPr>
                <w:rFonts w:ascii="Cambria Math" w:hAnsi="Cambria Math"/>
                <w:lang w:val="en-GB"/>
              </w:rPr>
              <m:t>BCI</m:t>
            </m:r>
          </m:e>
          <m:sub>
            <m:r>
              <w:rPr>
                <w:rFonts w:ascii="Cambria Math" w:hAnsi="Cambria Math"/>
                <w:lang w:val="en-GB"/>
              </w:rPr>
              <m:t>t</m:t>
            </m:r>
          </m:sub>
        </m:sSub>
      </m:oMath>
      <w:r w:rsidRPr="005C599C">
        <w:rPr>
          <w:b w:val="0"/>
          <w:bCs w:val="0"/>
          <w:lang w:val="en-GB"/>
        </w:rPr>
        <w:t xml:space="preserve"> represents the business confidence index, </w:t>
      </w:r>
      <w:r w:rsidR="004F0012" w:rsidRPr="00A033F0">
        <w:rPr>
          <w:b w:val="0"/>
          <w:bCs w:val="0"/>
          <w:lang w:val="en-GB"/>
        </w:rPr>
        <w:t xml:space="preserve">and </w:t>
      </w:r>
      <m:oMath>
        <m:sSub>
          <m:sSubPr>
            <m:ctrlPr>
              <w:rPr>
                <w:rFonts w:ascii="Cambria Math" w:hAnsi="Cambria Math"/>
                <w:b w:val="0"/>
                <w:bCs w:val="0"/>
                <w:i/>
                <w:lang w:val="en-GB"/>
              </w:rPr>
            </m:ctrlPr>
          </m:sSubPr>
          <m:e>
            <m:r>
              <w:rPr>
                <w:rFonts w:ascii="Cambria Math" w:hAnsi="Cambria Math"/>
                <w:lang w:val="en-GB"/>
              </w:rPr>
              <m:t>ε</m:t>
            </m:r>
          </m:e>
          <m:sub>
            <m:r>
              <w:rPr>
                <w:rFonts w:ascii="Cambria Math" w:hAnsi="Cambria Math"/>
                <w:lang w:val="en-GB"/>
              </w:rPr>
              <m:t>t</m:t>
            </m:r>
          </m:sub>
        </m:sSub>
      </m:oMath>
      <w:r w:rsidRPr="005C599C">
        <w:rPr>
          <w:b w:val="0"/>
          <w:bCs w:val="0"/>
          <w:lang w:val="en-GB"/>
        </w:rPr>
        <w:t xml:space="preserve"> </w:t>
      </w:r>
      <w:r w:rsidR="0025737E" w:rsidRPr="005C599C">
        <w:rPr>
          <w:b w:val="0"/>
          <w:bCs w:val="0"/>
          <w:lang w:val="en-GB"/>
        </w:rPr>
        <w:t>is a</w:t>
      </w:r>
      <w:r w:rsidRPr="005C599C">
        <w:rPr>
          <w:b w:val="0"/>
          <w:bCs w:val="0"/>
          <w:lang w:val="en-GB"/>
        </w:rPr>
        <w:t xml:space="preserve"> random</w:t>
      </w:r>
      <w:r w:rsidR="00975EF2" w:rsidRPr="005C599C">
        <w:rPr>
          <w:b w:val="0"/>
          <w:bCs w:val="0"/>
          <w:lang w:val="en-GB"/>
        </w:rPr>
        <w:t xml:space="preserve"> disturbance</w:t>
      </w:r>
      <w:r w:rsidRPr="005C599C">
        <w:rPr>
          <w:b w:val="0"/>
          <w:bCs w:val="0"/>
          <w:lang w:val="en-GB"/>
        </w:rPr>
        <w:t xml:space="preserve"> term</w:t>
      </w:r>
      <w:r w:rsidR="004F0012" w:rsidRPr="005C599C">
        <w:rPr>
          <w:b w:val="0"/>
          <w:bCs w:val="0"/>
          <w:lang w:val="en-GB"/>
        </w:rPr>
        <w:t xml:space="preserve"> with the usual properties of the linear regression model</w:t>
      </w:r>
      <w:r w:rsidRPr="005C599C">
        <w:rPr>
          <w:b w:val="0"/>
          <w:bCs w:val="0"/>
          <w:lang w:val="en-GB"/>
        </w:rPr>
        <w:t>.</w:t>
      </w:r>
    </w:p>
    <w:p w14:paraId="132B7464" w14:textId="3F80E5C4" w:rsidR="00C64EAF" w:rsidRPr="005C599C" w:rsidRDefault="00021AE9" w:rsidP="00A35328">
      <w:pPr>
        <w:pStyle w:val="Heading3"/>
        <w:tabs>
          <w:tab w:val="left" w:pos="934"/>
        </w:tabs>
        <w:spacing w:line="360" w:lineRule="auto"/>
        <w:ind w:left="0" w:firstLine="720"/>
        <w:jc w:val="both"/>
        <w:rPr>
          <w:b w:val="0"/>
          <w:bCs w:val="0"/>
          <w:lang w:val="en-GB"/>
        </w:rPr>
      </w:pPr>
      <w:r w:rsidRPr="005C599C">
        <w:rPr>
          <w:b w:val="0"/>
          <w:bCs w:val="0"/>
          <w:lang w:val="en-GB"/>
        </w:rPr>
        <w:t xml:space="preserve">The spurt </w:t>
      </w:r>
      <w:r w:rsidRPr="00A033F0">
        <w:rPr>
          <w:b w:val="0"/>
          <w:bCs w:val="0"/>
          <w:lang w:val="en-GB"/>
        </w:rPr>
        <w:t xml:space="preserve">variable, </w:t>
      </w:r>
      <m:oMath>
        <m:sSub>
          <m:sSubPr>
            <m:ctrlPr>
              <w:rPr>
                <w:rFonts w:ascii="Cambria Math" w:hAnsi="Cambria Math"/>
                <w:b w:val="0"/>
                <w:bCs w:val="0"/>
                <w:i/>
                <w:lang w:val="en-GB"/>
              </w:rPr>
            </m:ctrlPr>
          </m:sSubPr>
          <m:e>
            <m:r>
              <w:rPr>
                <w:rFonts w:ascii="Cambria Math" w:hAnsi="Cambria Math"/>
                <w:lang w:val="en-GB"/>
              </w:rPr>
              <m:t>S</m:t>
            </m:r>
          </m:e>
          <m:sub>
            <m:r>
              <w:rPr>
                <w:rFonts w:ascii="Cambria Math" w:hAnsi="Cambria Math"/>
                <w:lang w:val="en-GB"/>
              </w:rPr>
              <m:t>t</m:t>
            </m:r>
          </m:sub>
        </m:sSub>
      </m:oMath>
      <w:r w:rsidRPr="00A033F0">
        <w:rPr>
          <w:b w:val="0"/>
          <w:bCs w:val="0"/>
          <w:lang w:val="en-GB"/>
        </w:rPr>
        <w:t xml:space="preserve">, is </w:t>
      </w:r>
      <w:r w:rsidR="00DB330A" w:rsidRPr="00A033F0">
        <w:rPr>
          <w:b w:val="0"/>
          <w:bCs w:val="0"/>
          <w:lang w:val="en-GB"/>
        </w:rPr>
        <w:t>a hysteresis</w:t>
      </w:r>
      <w:r w:rsidR="001F4DBC" w:rsidRPr="00A033F0">
        <w:rPr>
          <w:b w:val="0"/>
          <w:bCs w:val="0"/>
          <w:lang w:val="en-GB"/>
        </w:rPr>
        <w:t>-</w:t>
      </w:r>
      <w:r w:rsidR="00DB330A" w:rsidRPr="00A033F0">
        <w:rPr>
          <w:b w:val="0"/>
          <w:bCs w:val="0"/>
          <w:lang w:val="en-GB"/>
        </w:rPr>
        <w:t xml:space="preserve">transformed </w:t>
      </w:r>
      <w:r w:rsidR="00AD655E" w:rsidRPr="00A033F0">
        <w:rPr>
          <w:b w:val="0"/>
          <w:bCs w:val="0"/>
          <w:lang w:val="en-GB"/>
        </w:rPr>
        <w:t xml:space="preserve">original forcing </w:t>
      </w:r>
      <w:r w:rsidR="00DB330A" w:rsidRPr="00A033F0">
        <w:rPr>
          <w:b w:val="0"/>
          <w:bCs w:val="0"/>
          <w:lang w:val="en-GB"/>
        </w:rPr>
        <w:t>variable,</w:t>
      </w:r>
      <w:r w:rsidR="0025737E" w:rsidRPr="00A033F0">
        <w:rPr>
          <w:b w:val="0"/>
          <w:bCs w:val="0"/>
          <w:i/>
          <w:lang w:val="en-GB"/>
        </w:rPr>
        <w:t xml:space="preserve"> </w:t>
      </w:r>
      <m:oMath>
        <m:sSub>
          <m:sSubPr>
            <m:ctrlPr>
              <w:rPr>
                <w:rFonts w:ascii="Cambria Math" w:hAnsi="Cambria Math"/>
                <w:b w:val="0"/>
                <w:bCs w:val="0"/>
                <w:i/>
                <w:lang w:val="en-GB"/>
              </w:rPr>
            </m:ctrlPr>
          </m:sSubPr>
          <m:e>
            <m:r>
              <w:rPr>
                <w:rFonts w:ascii="Cambria Math" w:hAnsi="Cambria Math"/>
                <w:lang w:val="en-GB"/>
              </w:rPr>
              <m:t>x</m:t>
            </m:r>
          </m:e>
          <m:sub>
            <m:r>
              <w:rPr>
                <w:rFonts w:ascii="Cambria Math" w:hAnsi="Cambria Math"/>
                <w:lang w:val="en-GB"/>
              </w:rPr>
              <m:t>t</m:t>
            </m:r>
          </m:sub>
        </m:sSub>
      </m:oMath>
      <w:r w:rsidR="00DB330A" w:rsidRPr="00A033F0">
        <w:rPr>
          <w:b w:val="0"/>
          <w:bCs w:val="0"/>
          <w:lang w:val="en-GB"/>
        </w:rPr>
        <w:t xml:space="preserve"> </w:t>
      </w:r>
      <w:r w:rsidR="0025737E" w:rsidRPr="00A033F0">
        <w:rPr>
          <w:b w:val="0"/>
          <w:bCs w:val="0"/>
          <w:lang w:val="en-GB"/>
        </w:rPr>
        <w:t>w</w:t>
      </w:r>
      <w:r w:rsidR="00DB330A" w:rsidRPr="00A033F0">
        <w:rPr>
          <w:b w:val="0"/>
          <w:bCs w:val="0"/>
          <w:lang w:val="en-GB"/>
        </w:rPr>
        <w:t>here small changes</w:t>
      </w:r>
      <w:r w:rsidR="00E327E4" w:rsidRPr="00A033F0">
        <w:rPr>
          <w:b w:val="0"/>
          <w:bCs w:val="0"/>
          <w:lang w:val="en-GB"/>
        </w:rPr>
        <w:t xml:space="preserve"> (</w:t>
      </w:r>
      <m:oMath>
        <m:r>
          <w:rPr>
            <w:rFonts w:ascii="Cambria Math" w:hAnsi="Cambria Math"/>
            <w:lang w:val="en-GB"/>
          </w:rPr>
          <m:t>∆</m:t>
        </m:r>
        <m:sSub>
          <m:sSubPr>
            <m:ctrlPr>
              <w:rPr>
                <w:rFonts w:ascii="Cambria Math" w:hAnsi="Cambria Math"/>
                <w:b w:val="0"/>
                <w:bCs w:val="0"/>
                <w:i/>
                <w:lang w:val="en-GB"/>
              </w:rPr>
            </m:ctrlPr>
          </m:sSubPr>
          <m:e>
            <m:r>
              <w:rPr>
                <w:rFonts w:ascii="Cambria Math" w:hAnsi="Cambria Math"/>
                <w:lang w:val="en-GB"/>
              </w:rPr>
              <m:t>x</m:t>
            </m:r>
          </m:e>
          <m:sub>
            <m:r>
              <w:rPr>
                <w:rFonts w:ascii="Cambria Math" w:hAnsi="Cambria Math"/>
                <w:lang w:val="en-GB"/>
              </w:rPr>
              <m:t>t</m:t>
            </m:r>
          </m:sub>
        </m:sSub>
        <m:r>
          <w:rPr>
            <w:rFonts w:ascii="Cambria Math" w:hAnsi="Cambria Math"/>
            <w:lang w:val="en-GB"/>
          </w:rPr>
          <m:t>&lt;γ</m:t>
        </m:r>
      </m:oMath>
      <w:r w:rsidR="00E327E4" w:rsidRPr="00A033F0">
        <w:rPr>
          <w:b w:val="0"/>
          <w:bCs w:val="0"/>
          <w:lang w:val="en-GB"/>
        </w:rPr>
        <w:t>)</w:t>
      </w:r>
      <w:r w:rsidR="003F5C3C" w:rsidRPr="00A033F0">
        <w:rPr>
          <w:b w:val="0"/>
          <w:bCs w:val="0"/>
          <w:lang w:val="en-GB"/>
        </w:rPr>
        <w:t xml:space="preserve"> </w:t>
      </w:r>
      <w:r w:rsidR="00DB330A" w:rsidRPr="00A033F0">
        <w:rPr>
          <w:b w:val="0"/>
          <w:bCs w:val="0"/>
          <w:lang w:val="en-GB"/>
        </w:rPr>
        <w:t>are</w:t>
      </w:r>
      <w:r w:rsidR="00DB330A" w:rsidRPr="005C599C">
        <w:rPr>
          <w:b w:val="0"/>
          <w:bCs w:val="0"/>
          <w:lang w:val="en-GB"/>
        </w:rPr>
        <w:t xml:space="preserve"> filtered away</w:t>
      </w:r>
      <w:r w:rsidR="0025737E" w:rsidRPr="005C599C">
        <w:rPr>
          <w:b w:val="0"/>
          <w:bCs w:val="0"/>
          <w:lang w:val="en-GB"/>
        </w:rPr>
        <w:t>. Therefore</w:t>
      </w:r>
      <w:r w:rsidR="0025737E" w:rsidRPr="00A033F0">
        <w:rPr>
          <w:b w:val="0"/>
          <w:bCs w:val="0"/>
          <w:lang w:val="en-GB"/>
        </w:rPr>
        <w:t xml:space="preserve">, </w:t>
      </w:r>
      <m:oMath>
        <m:sSub>
          <m:sSubPr>
            <m:ctrlPr>
              <w:rPr>
                <w:rFonts w:ascii="Cambria Math" w:hAnsi="Cambria Math"/>
                <w:b w:val="0"/>
                <w:bCs w:val="0"/>
                <w:i/>
                <w:lang w:val="en-GB"/>
              </w:rPr>
            </m:ctrlPr>
          </m:sSubPr>
          <m:e>
            <m:r>
              <w:rPr>
                <w:rFonts w:ascii="Cambria Math" w:hAnsi="Cambria Math"/>
                <w:lang w:val="en-GB"/>
              </w:rPr>
              <m:t>S</m:t>
            </m:r>
          </m:e>
          <m:sub>
            <m:r>
              <w:rPr>
                <w:rFonts w:ascii="Cambria Math" w:hAnsi="Cambria Math"/>
                <w:lang w:val="en-GB"/>
              </w:rPr>
              <m:t>t</m:t>
            </m:r>
          </m:sub>
        </m:sSub>
      </m:oMath>
      <w:r w:rsidR="0025737E" w:rsidRPr="00A033F0">
        <w:rPr>
          <w:b w:val="0"/>
          <w:bCs w:val="0"/>
          <w:lang w:val="en-GB"/>
        </w:rPr>
        <w:t xml:space="preserve"> can be viewed of as a filtered </w:t>
      </w:r>
      <m:oMath>
        <m:sSub>
          <m:sSubPr>
            <m:ctrlPr>
              <w:rPr>
                <w:rFonts w:ascii="Cambria Math" w:hAnsi="Cambria Math"/>
                <w:b w:val="0"/>
                <w:bCs w:val="0"/>
                <w:i/>
                <w:lang w:val="en-GB"/>
              </w:rPr>
            </m:ctrlPr>
          </m:sSubPr>
          <m:e>
            <m:r>
              <w:rPr>
                <w:rFonts w:ascii="Cambria Math" w:hAnsi="Cambria Math"/>
                <w:lang w:val="en-GB"/>
              </w:rPr>
              <m:t>x</m:t>
            </m:r>
          </m:e>
          <m:sub>
            <m:r>
              <w:rPr>
                <w:rFonts w:ascii="Cambria Math" w:hAnsi="Cambria Math"/>
                <w:lang w:val="en-GB"/>
              </w:rPr>
              <m:t>t</m:t>
            </m:r>
          </m:sub>
        </m:sSub>
      </m:oMath>
      <w:r w:rsidR="0025737E" w:rsidRPr="00A033F0">
        <w:rPr>
          <w:b w:val="0"/>
          <w:bCs w:val="0"/>
          <w:lang w:val="en-GB"/>
        </w:rPr>
        <w:t xml:space="preserve"> variable</w:t>
      </w:r>
      <w:r w:rsidR="00E327E4" w:rsidRPr="00A033F0">
        <w:rPr>
          <w:b w:val="0"/>
          <w:bCs w:val="0"/>
          <w:lang w:val="en-GB"/>
        </w:rPr>
        <w:t xml:space="preserve"> </w:t>
      </w:r>
      <w:r w:rsidR="00DB330A" w:rsidRPr="00A033F0">
        <w:rPr>
          <w:b w:val="0"/>
          <w:bCs w:val="0"/>
          <w:lang w:val="en-GB"/>
        </w:rPr>
        <w:t>(</w:t>
      </w:r>
      <w:r w:rsidR="008E2FBA" w:rsidRPr="00A033F0">
        <w:rPr>
          <w:b w:val="0"/>
          <w:bCs w:val="0"/>
          <w:lang w:val="en-GB"/>
        </w:rPr>
        <w:t>see for more detail</w:t>
      </w:r>
      <w:r w:rsidR="0025737E" w:rsidRPr="00A033F0">
        <w:rPr>
          <w:b w:val="0"/>
          <w:bCs w:val="0"/>
          <w:lang w:val="en-GB"/>
        </w:rPr>
        <w:t xml:space="preserve"> </w:t>
      </w:r>
      <w:r w:rsidR="00DB330A" w:rsidRPr="00A033F0">
        <w:rPr>
          <w:b w:val="0"/>
          <w:bCs w:val="0"/>
          <w:lang w:val="en-GB"/>
        </w:rPr>
        <w:t>Mota &amp; Vasconcelos, 2022</w:t>
      </w:r>
      <w:r w:rsidR="00A25C14" w:rsidRPr="00A033F0">
        <w:rPr>
          <w:b w:val="0"/>
          <w:bCs w:val="0"/>
          <w:lang w:val="en-GB"/>
        </w:rPr>
        <w:t>b</w:t>
      </w:r>
      <w:r w:rsidR="00DB330A" w:rsidRPr="00A033F0">
        <w:rPr>
          <w:b w:val="0"/>
          <w:bCs w:val="0"/>
          <w:lang w:val="en-GB"/>
        </w:rPr>
        <w:t>)</w:t>
      </w:r>
      <w:r w:rsidR="002B43DC" w:rsidRPr="00A033F0">
        <w:rPr>
          <w:b w:val="0"/>
          <w:bCs w:val="0"/>
          <w:lang w:val="en-GB"/>
        </w:rPr>
        <w:t xml:space="preserve">. </w:t>
      </w:r>
      <w:r w:rsidR="008F7E33" w:rsidRPr="00A033F0">
        <w:rPr>
          <w:b w:val="0"/>
          <w:bCs w:val="0"/>
          <w:lang w:val="en-GB"/>
        </w:rPr>
        <w:t xml:space="preserve">The spurt variable, </w:t>
      </w:r>
      <m:oMath>
        <m:sSub>
          <m:sSubPr>
            <m:ctrlPr>
              <w:rPr>
                <w:rFonts w:ascii="Cambria Math" w:hAnsi="Cambria Math"/>
                <w:b w:val="0"/>
                <w:bCs w:val="0"/>
                <w:i/>
                <w:lang w:val="en-GB"/>
              </w:rPr>
            </m:ctrlPr>
          </m:sSubPr>
          <m:e>
            <m:r>
              <w:rPr>
                <w:rFonts w:ascii="Cambria Math" w:hAnsi="Cambria Math"/>
                <w:lang w:val="en-GB"/>
              </w:rPr>
              <m:t>S</m:t>
            </m:r>
          </m:e>
          <m:sub>
            <m:r>
              <w:rPr>
                <w:rFonts w:ascii="Cambria Math" w:hAnsi="Cambria Math"/>
                <w:lang w:val="en-GB"/>
              </w:rPr>
              <m:t>t</m:t>
            </m:r>
          </m:sub>
        </m:sSub>
      </m:oMath>
      <w:r w:rsidR="008F7E33" w:rsidRPr="005C599C">
        <w:rPr>
          <w:b w:val="0"/>
          <w:bCs w:val="0"/>
          <w:lang w:val="en-GB"/>
        </w:rPr>
        <w:t>,</w:t>
      </w:r>
      <w:r w:rsidR="009145BE" w:rsidRPr="005C599C">
        <w:rPr>
          <w:b w:val="0"/>
          <w:bCs w:val="0"/>
          <w:lang w:val="en-GB"/>
        </w:rPr>
        <w:t xml:space="preserve"> is generated us</w:t>
      </w:r>
      <w:r w:rsidR="00AD655E" w:rsidRPr="005C599C">
        <w:rPr>
          <w:b w:val="0"/>
          <w:bCs w:val="0"/>
          <w:lang w:val="en-GB"/>
        </w:rPr>
        <w:t>ing</w:t>
      </w:r>
      <w:r w:rsidR="009145BE" w:rsidRPr="005C599C">
        <w:rPr>
          <w:b w:val="0"/>
          <w:bCs w:val="0"/>
          <w:lang w:val="en-GB"/>
        </w:rPr>
        <w:t xml:space="preserve"> a play</w:t>
      </w:r>
      <w:r w:rsidR="00AD655E" w:rsidRPr="005C599C">
        <w:rPr>
          <w:b w:val="0"/>
          <w:bCs w:val="0"/>
          <w:lang w:val="en-GB"/>
        </w:rPr>
        <w:t xml:space="preserve"> hysteresis</w:t>
      </w:r>
      <w:r w:rsidR="009145BE" w:rsidRPr="005C599C">
        <w:rPr>
          <w:b w:val="0"/>
          <w:bCs w:val="0"/>
          <w:lang w:val="en-GB"/>
        </w:rPr>
        <w:t xml:space="preserve"> algorithm first described </w:t>
      </w:r>
      <w:r w:rsidR="00AD655E" w:rsidRPr="005C599C">
        <w:rPr>
          <w:b w:val="0"/>
          <w:bCs w:val="0"/>
          <w:lang w:val="en-GB"/>
        </w:rPr>
        <w:t xml:space="preserve">in </w:t>
      </w:r>
      <w:r w:rsidR="008F7E33" w:rsidRPr="005C599C">
        <w:rPr>
          <w:b w:val="0"/>
          <w:bCs w:val="0"/>
          <w:lang w:val="en-GB"/>
        </w:rPr>
        <w:t>Göcke</w:t>
      </w:r>
      <w:r w:rsidR="009145BE" w:rsidRPr="005C599C">
        <w:rPr>
          <w:b w:val="0"/>
          <w:bCs w:val="0"/>
          <w:lang w:val="en-GB"/>
        </w:rPr>
        <w:t xml:space="preserve"> (1994)</w:t>
      </w:r>
      <w:r w:rsidR="00AD655E" w:rsidRPr="005C599C">
        <w:rPr>
          <w:b w:val="0"/>
          <w:bCs w:val="0"/>
          <w:lang w:val="en-GB"/>
        </w:rPr>
        <w:t>, and</w:t>
      </w:r>
      <w:r w:rsidR="009145BE" w:rsidRPr="005C599C">
        <w:rPr>
          <w:b w:val="0"/>
          <w:bCs w:val="0"/>
          <w:lang w:val="en-GB"/>
        </w:rPr>
        <w:t xml:space="preserve"> further developed by Göcke (2001), Belke </w:t>
      </w:r>
      <w:r w:rsidR="00AD655E" w:rsidRPr="005C599C">
        <w:rPr>
          <w:b w:val="0"/>
          <w:bCs w:val="0"/>
          <w:lang w:val="en-GB"/>
        </w:rPr>
        <w:t>and</w:t>
      </w:r>
      <w:r w:rsidR="009145BE" w:rsidRPr="005C599C">
        <w:rPr>
          <w:b w:val="0"/>
          <w:bCs w:val="0"/>
          <w:lang w:val="en-GB"/>
        </w:rPr>
        <w:t xml:space="preserve"> Göcke (2001</w:t>
      </w:r>
      <w:r w:rsidR="000045D9" w:rsidRPr="005C599C">
        <w:rPr>
          <w:b w:val="0"/>
          <w:bCs w:val="0"/>
          <w:lang w:val="en-GB"/>
        </w:rPr>
        <w:t>a</w:t>
      </w:r>
      <w:r w:rsidR="009145BE" w:rsidRPr="005C599C">
        <w:rPr>
          <w:b w:val="0"/>
          <w:bCs w:val="0"/>
          <w:lang w:val="en-GB"/>
        </w:rPr>
        <w:t xml:space="preserve">), Mota </w:t>
      </w:r>
      <w:r w:rsidR="009145BE" w:rsidRPr="005C599C">
        <w:rPr>
          <w:b w:val="0"/>
          <w:bCs w:val="0"/>
          <w:i/>
          <w:iCs/>
          <w:lang w:val="en-GB"/>
        </w:rPr>
        <w:t>et al</w:t>
      </w:r>
      <w:r w:rsidR="009145BE" w:rsidRPr="005C599C">
        <w:rPr>
          <w:b w:val="0"/>
          <w:bCs w:val="0"/>
          <w:lang w:val="en-GB"/>
        </w:rPr>
        <w:t xml:space="preserve">. (2012), Belke </w:t>
      </w:r>
      <w:r w:rsidR="009145BE" w:rsidRPr="005C599C">
        <w:rPr>
          <w:b w:val="0"/>
          <w:bCs w:val="0"/>
          <w:i/>
          <w:iCs/>
          <w:lang w:val="en-GB"/>
        </w:rPr>
        <w:t>et al</w:t>
      </w:r>
      <w:r w:rsidR="009145BE" w:rsidRPr="005C599C">
        <w:rPr>
          <w:b w:val="0"/>
          <w:bCs w:val="0"/>
          <w:lang w:val="en-GB"/>
        </w:rPr>
        <w:t xml:space="preserve">. (2013), Mota </w:t>
      </w:r>
      <w:r w:rsidR="00AD655E" w:rsidRPr="005C599C">
        <w:rPr>
          <w:b w:val="0"/>
          <w:bCs w:val="0"/>
          <w:lang w:val="en-GB"/>
        </w:rPr>
        <w:t>and</w:t>
      </w:r>
      <w:r w:rsidR="009145BE" w:rsidRPr="005C599C">
        <w:rPr>
          <w:b w:val="0"/>
          <w:bCs w:val="0"/>
          <w:lang w:val="en-GB"/>
        </w:rPr>
        <w:t xml:space="preserve"> Vasconcelos (2015,</w:t>
      </w:r>
      <w:r w:rsidR="00315DD4" w:rsidRPr="005C599C">
        <w:rPr>
          <w:b w:val="0"/>
          <w:bCs w:val="0"/>
          <w:lang w:val="en-GB"/>
        </w:rPr>
        <w:t xml:space="preserve"> </w:t>
      </w:r>
      <w:r w:rsidR="009145BE" w:rsidRPr="005C599C">
        <w:rPr>
          <w:b w:val="0"/>
          <w:bCs w:val="0"/>
          <w:lang w:val="en-GB"/>
        </w:rPr>
        <w:t>2020).</w:t>
      </w:r>
      <w:r w:rsidR="00757098" w:rsidRPr="005C599C">
        <w:rPr>
          <w:b w:val="0"/>
          <w:bCs w:val="0"/>
          <w:lang w:val="en-GB"/>
        </w:rPr>
        <w:t xml:space="preserve"> </w:t>
      </w:r>
      <w:r w:rsidR="0025737E" w:rsidRPr="005C599C">
        <w:rPr>
          <w:rStyle w:val="FootnoteReference"/>
          <w:b w:val="0"/>
          <w:bCs w:val="0"/>
          <w:lang w:val="en-GB"/>
        </w:rPr>
        <w:footnoteReference w:id="8"/>
      </w:r>
      <w:r w:rsidR="00AD655E" w:rsidRPr="005C599C">
        <w:rPr>
          <w:b w:val="0"/>
          <w:bCs w:val="0"/>
          <w:lang w:val="en-GB"/>
        </w:rPr>
        <w:t>In the estimation we use the algorithm implemented in MATLAB by Mota and Vasconcelos (2021) - s</w:t>
      </w:r>
      <w:r w:rsidR="00757098" w:rsidRPr="005C599C">
        <w:rPr>
          <w:b w:val="0"/>
          <w:bCs w:val="0"/>
          <w:lang w:val="en-GB"/>
        </w:rPr>
        <w:t xml:space="preserve">ee </w:t>
      </w:r>
      <w:r w:rsidR="00AD655E" w:rsidRPr="005C599C">
        <w:rPr>
          <w:b w:val="0"/>
          <w:bCs w:val="0"/>
          <w:lang w:val="en-GB"/>
        </w:rPr>
        <w:t>A</w:t>
      </w:r>
      <w:r w:rsidR="00757098" w:rsidRPr="005C599C">
        <w:rPr>
          <w:b w:val="0"/>
          <w:bCs w:val="0"/>
          <w:lang w:val="en-GB"/>
        </w:rPr>
        <w:t>lgorithm 1</w:t>
      </w:r>
      <w:r w:rsidR="00B31817" w:rsidRPr="005C599C">
        <w:rPr>
          <w:b w:val="0"/>
          <w:bCs w:val="0"/>
          <w:lang w:val="en-GB"/>
        </w:rPr>
        <w:t xml:space="preserve"> </w:t>
      </w:r>
      <w:r w:rsidR="002F4384" w:rsidRPr="005C599C">
        <w:rPr>
          <w:b w:val="0"/>
          <w:bCs w:val="0"/>
          <w:lang w:val="en-GB"/>
        </w:rPr>
        <w:t>i</w:t>
      </w:r>
      <w:r w:rsidR="00B31817" w:rsidRPr="005C599C">
        <w:rPr>
          <w:b w:val="0"/>
          <w:bCs w:val="0"/>
          <w:lang w:val="en-GB"/>
        </w:rPr>
        <w:t xml:space="preserve">n the </w:t>
      </w:r>
      <w:r w:rsidR="002F4384" w:rsidRPr="005C599C">
        <w:rPr>
          <w:b w:val="0"/>
          <w:bCs w:val="0"/>
          <w:lang w:val="en-GB"/>
        </w:rPr>
        <w:t>A</w:t>
      </w:r>
      <w:r w:rsidR="00B31817" w:rsidRPr="005C599C">
        <w:rPr>
          <w:b w:val="0"/>
          <w:bCs w:val="0"/>
          <w:lang w:val="en-GB"/>
        </w:rPr>
        <w:t>ppendix</w:t>
      </w:r>
      <w:r w:rsidR="002F4384" w:rsidRPr="005C599C">
        <w:rPr>
          <w:b w:val="0"/>
          <w:bCs w:val="0"/>
          <w:lang w:val="en-GB"/>
        </w:rPr>
        <w:t xml:space="preserve"> 2</w:t>
      </w:r>
      <w:r w:rsidR="00757098" w:rsidRPr="005C599C">
        <w:rPr>
          <w:b w:val="0"/>
          <w:bCs w:val="0"/>
          <w:lang w:val="en-GB"/>
        </w:rPr>
        <w:t>.</w:t>
      </w:r>
    </w:p>
    <w:p w14:paraId="0721AEC7" w14:textId="77777777" w:rsidR="00C64EAF" w:rsidRPr="005C599C" w:rsidRDefault="00C64EAF" w:rsidP="00A35328">
      <w:pPr>
        <w:pStyle w:val="ListParagraph"/>
        <w:widowControl/>
        <w:numPr>
          <w:ilvl w:val="0"/>
          <w:numId w:val="21"/>
        </w:numPr>
        <w:autoSpaceDE/>
        <w:autoSpaceDN/>
        <w:spacing w:line="360" w:lineRule="auto"/>
        <w:ind w:left="0" w:firstLine="720"/>
        <w:contextualSpacing/>
        <w:jc w:val="both"/>
        <w:rPr>
          <w:vanish/>
          <w:lang w:val="en-GB"/>
        </w:rPr>
      </w:pPr>
    </w:p>
    <w:p w14:paraId="4D48E932" w14:textId="0E1DDC27" w:rsidR="00F57C0A" w:rsidRPr="005C599C" w:rsidRDefault="007A58A7" w:rsidP="00A35328">
      <w:pPr>
        <w:pStyle w:val="Heading3"/>
        <w:tabs>
          <w:tab w:val="left" w:pos="934"/>
        </w:tabs>
        <w:spacing w:line="360" w:lineRule="auto"/>
        <w:ind w:left="0" w:firstLine="720"/>
        <w:jc w:val="both"/>
        <w:rPr>
          <w:b w:val="0"/>
          <w:bCs w:val="0"/>
          <w:lang w:val="en-GB"/>
        </w:rPr>
      </w:pPr>
      <w:r w:rsidRPr="005C599C">
        <w:rPr>
          <w:b w:val="0"/>
          <w:bCs w:val="0"/>
          <w:lang w:val="en-GB"/>
        </w:rPr>
        <w:t xml:space="preserve">In this </w:t>
      </w:r>
      <w:r w:rsidR="000E2A6D" w:rsidRPr="005C599C">
        <w:rPr>
          <w:b w:val="0"/>
          <w:bCs w:val="0"/>
          <w:lang w:val="en-GB"/>
        </w:rPr>
        <w:t>framework and</w:t>
      </w:r>
      <w:r w:rsidR="00E905F2" w:rsidRPr="005C599C">
        <w:rPr>
          <w:b w:val="0"/>
          <w:bCs w:val="0"/>
          <w:lang w:val="en-GB"/>
        </w:rPr>
        <w:t xml:space="preserve"> referring to </w:t>
      </w:r>
      <w:r w:rsidR="000E2A6D" w:rsidRPr="005C599C">
        <w:rPr>
          <w:b w:val="0"/>
          <w:bCs w:val="0"/>
          <w:lang w:val="en-GB"/>
        </w:rPr>
        <w:t>E</w:t>
      </w:r>
      <w:r w:rsidR="00E905F2" w:rsidRPr="005C599C">
        <w:rPr>
          <w:b w:val="0"/>
          <w:bCs w:val="0"/>
          <w:lang w:val="en-GB"/>
        </w:rPr>
        <w:t>quation (</w:t>
      </w:r>
      <w:r w:rsidR="002A0480">
        <w:rPr>
          <w:b w:val="0"/>
          <w:bCs w:val="0"/>
          <w:lang w:val="en-GB"/>
        </w:rPr>
        <w:t>3</w:t>
      </w:r>
      <w:r w:rsidR="00E905F2" w:rsidRPr="005C599C">
        <w:rPr>
          <w:b w:val="0"/>
          <w:bCs w:val="0"/>
          <w:lang w:val="en-GB"/>
        </w:rPr>
        <w:t>.1)</w:t>
      </w:r>
      <w:r w:rsidR="000E2A6D" w:rsidRPr="005C599C">
        <w:rPr>
          <w:b w:val="0"/>
          <w:bCs w:val="0"/>
          <w:lang w:val="en-GB"/>
        </w:rPr>
        <w:t xml:space="preserve"> and Figure 8</w:t>
      </w:r>
      <w:r w:rsidR="00E905F2" w:rsidRPr="005C599C">
        <w:rPr>
          <w:b w:val="0"/>
          <w:bCs w:val="0"/>
          <w:lang w:val="en-GB"/>
        </w:rPr>
        <w:t>,</w:t>
      </w:r>
      <w:r w:rsidR="000E2A6D" w:rsidRPr="005C599C">
        <w:rPr>
          <w:b w:val="0"/>
          <w:bCs w:val="0"/>
          <w:lang w:val="en-GB"/>
        </w:rPr>
        <w:t xml:space="preserve"> </w:t>
      </w:r>
      <w:r w:rsidR="000E2A6D" w:rsidRPr="00A033F0">
        <w:rPr>
          <w:b w:val="0"/>
          <w:bCs w:val="0"/>
          <w:lang w:val="en-GB"/>
        </w:rPr>
        <w:t>parameter</w:t>
      </w:r>
      <w:r w:rsidR="00F57C0A" w:rsidRPr="00A033F0">
        <w:rPr>
          <w:b w:val="0"/>
          <w:bCs w:val="0"/>
          <w:lang w:val="en-GB"/>
        </w:rPr>
        <w:t xml:space="preserve"> </w:t>
      </w:r>
      <m:oMath>
        <m:sSub>
          <m:sSubPr>
            <m:ctrlPr>
              <w:rPr>
                <w:rFonts w:ascii="Cambria Math" w:hAnsi="Cambria Math"/>
                <w:b w:val="0"/>
                <w:bCs w:val="0"/>
                <w:i/>
                <w:lang w:val="en-GB"/>
              </w:rPr>
            </m:ctrlPr>
          </m:sSubPr>
          <m:e>
            <m:r>
              <w:rPr>
                <w:rFonts w:ascii="Cambria Math" w:hAnsi="Cambria Math"/>
                <w:lang w:val="en-GB"/>
              </w:rPr>
              <m:t>β</m:t>
            </m:r>
          </m:e>
          <m:sub>
            <m:r>
              <w:rPr>
                <w:rFonts w:ascii="Cambria Math" w:hAnsi="Cambria Math"/>
                <w:lang w:val="en-GB"/>
              </w:rPr>
              <m:t>1</m:t>
            </m:r>
          </m:sub>
        </m:sSub>
      </m:oMath>
      <w:r w:rsidR="00F57C0A" w:rsidRPr="00A033F0">
        <w:rPr>
          <w:b w:val="0"/>
          <w:bCs w:val="0"/>
          <w:lang w:val="en-GB"/>
        </w:rPr>
        <w:t xml:space="preserve"> </w:t>
      </w:r>
      <w:r w:rsidR="00763B55" w:rsidRPr="00A033F0">
        <w:rPr>
          <w:b w:val="0"/>
          <w:bCs w:val="0"/>
          <w:lang w:val="en-GB"/>
        </w:rPr>
        <w:t>gives the reaction of aggregate investment,</w:t>
      </w:r>
      <w:r w:rsidR="00763B55" w:rsidRPr="00A033F0">
        <w:rPr>
          <w:b w:val="0"/>
          <w:bCs w:val="0"/>
          <w:i/>
          <w:lang w:val="en-GB"/>
        </w:rPr>
        <w:t xml:space="preserve"> </w:t>
      </w:r>
      <m:oMath>
        <m:sSub>
          <m:sSubPr>
            <m:ctrlPr>
              <w:rPr>
                <w:rFonts w:ascii="Cambria Math" w:hAnsi="Cambria Math"/>
                <w:b w:val="0"/>
                <w:bCs w:val="0"/>
                <w:i/>
                <w:lang w:val="en-GB"/>
              </w:rPr>
            </m:ctrlPr>
          </m:sSubPr>
          <m:e>
            <m:r>
              <w:rPr>
                <w:rFonts w:ascii="Cambria Math" w:hAnsi="Cambria Math"/>
                <w:lang w:val="en-GB"/>
              </w:rPr>
              <m:t>I</m:t>
            </m:r>
          </m:e>
          <m:sub>
            <m:r>
              <w:rPr>
                <w:rFonts w:ascii="Cambria Math" w:hAnsi="Cambria Math"/>
                <w:lang w:val="en-GB"/>
              </w:rPr>
              <m:t>t</m:t>
            </m:r>
          </m:sub>
        </m:sSub>
      </m:oMath>
      <w:r w:rsidR="00763B55" w:rsidRPr="00A033F0">
        <w:rPr>
          <w:b w:val="0"/>
          <w:bCs w:val="0"/>
          <w:lang w:val="en-GB"/>
        </w:rPr>
        <w:t xml:space="preserve">, </w:t>
      </w:r>
      <w:r w:rsidR="000E2A6D" w:rsidRPr="00A033F0">
        <w:rPr>
          <w:b w:val="0"/>
          <w:bCs w:val="0"/>
          <w:lang w:val="en-GB"/>
        </w:rPr>
        <w:t xml:space="preserve">to variations in aggregate demand </w:t>
      </w:r>
      <w:r w:rsidR="00763B55" w:rsidRPr="00A033F0">
        <w:rPr>
          <w:b w:val="0"/>
          <w:bCs w:val="0"/>
          <w:lang w:val="en-GB"/>
        </w:rPr>
        <w:t xml:space="preserve">along </w:t>
      </w:r>
      <w:r w:rsidR="00F57C0A" w:rsidRPr="00A033F0">
        <w:rPr>
          <w:b w:val="0"/>
          <w:bCs w:val="0"/>
          <w:lang w:val="en-GB"/>
        </w:rPr>
        <w:t>the play lines</w:t>
      </w:r>
      <w:r w:rsidR="000E2A6D" w:rsidRPr="00A033F0">
        <w:rPr>
          <w:b w:val="0"/>
          <w:bCs w:val="0"/>
          <w:lang w:val="en-GB"/>
        </w:rPr>
        <w:t xml:space="preserve"> while</w:t>
      </w:r>
      <w:r w:rsidR="00F57C0A" w:rsidRPr="00A033F0">
        <w:rPr>
          <w:b w:val="0"/>
          <w:bCs w:val="0"/>
          <w:lang w:val="en-GB"/>
        </w:rPr>
        <w:t xml:space="preserve"> </w:t>
      </w:r>
      <m:oMath>
        <m:sSub>
          <m:sSubPr>
            <m:ctrlPr>
              <w:rPr>
                <w:rFonts w:ascii="Cambria Math" w:hAnsi="Cambria Math"/>
                <w:b w:val="0"/>
                <w:bCs w:val="0"/>
                <w:i/>
                <w:lang w:val="en-GB"/>
              </w:rPr>
            </m:ctrlPr>
          </m:sSubPr>
          <m:e>
            <m:r>
              <w:rPr>
                <w:rFonts w:ascii="Cambria Math" w:hAnsi="Cambria Math"/>
                <w:lang w:val="en-GB"/>
              </w:rPr>
              <m:t>β</m:t>
            </m:r>
          </m:e>
          <m:sub>
            <m:r>
              <w:rPr>
                <w:rFonts w:ascii="Cambria Math" w:hAnsi="Cambria Math"/>
                <w:lang w:val="en-GB"/>
              </w:rPr>
              <m:t>1</m:t>
            </m:r>
          </m:sub>
        </m:sSub>
        <m:r>
          <w:rPr>
            <w:rFonts w:ascii="Cambria Math" w:hAnsi="Cambria Math"/>
            <w:lang w:val="en-GB"/>
          </w:rPr>
          <m:t>+</m:t>
        </m:r>
        <m:sSub>
          <m:sSubPr>
            <m:ctrlPr>
              <w:rPr>
                <w:rFonts w:ascii="Cambria Math" w:hAnsi="Cambria Math"/>
                <w:b w:val="0"/>
                <w:bCs w:val="0"/>
                <w:i/>
                <w:lang w:val="en-GB"/>
              </w:rPr>
            </m:ctrlPr>
          </m:sSubPr>
          <m:e>
            <m:r>
              <w:rPr>
                <w:rFonts w:ascii="Cambria Math" w:hAnsi="Cambria Math"/>
                <w:lang w:val="en-GB"/>
              </w:rPr>
              <m:t>β</m:t>
            </m:r>
          </m:e>
          <m:sub>
            <m:r>
              <w:rPr>
                <w:rFonts w:ascii="Cambria Math" w:hAnsi="Cambria Math"/>
                <w:lang w:val="en-GB"/>
              </w:rPr>
              <m:t>2</m:t>
            </m:r>
          </m:sub>
        </m:sSub>
      </m:oMath>
      <w:r w:rsidR="00F57C0A" w:rsidRPr="00A033F0">
        <w:rPr>
          <w:b w:val="0"/>
          <w:bCs w:val="0"/>
          <w:lang w:val="en-GB"/>
        </w:rPr>
        <w:t xml:space="preserve"> repr</w:t>
      </w:r>
      <w:r w:rsidR="00F57C0A" w:rsidRPr="005C599C">
        <w:rPr>
          <w:b w:val="0"/>
          <w:bCs w:val="0"/>
          <w:lang w:val="en-GB"/>
        </w:rPr>
        <w:t xml:space="preserve">esents the </w:t>
      </w:r>
      <w:r w:rsidR="000E2A6D" w:rsidRPr="005C599C">
        <w:rPr>
          <w:b w:val="0"/>
          <w:bCs w:val="0"/>
          <w:lang w:val="en-GB"/>
        </w:rPr>
        <w:t>reaction of aggregate investment along</w:t>
      </w:r>
      <w:r w:rsidR="00F57C0A" w:rsidRPr="005C599C">
        <w:rPr>
          <w:b w:val="0"/>
          <w:bCs w:val="0"/>
          <w:lang w:val="en-GB"/>
        </w:rPr>
        <w:t xml:space="preserve"> the spurt lines</w:t>
      </w:r>
      <w:r w:rsidR="00763B55" w:rsidRPr="005C599C">
        <w:rPr>
          <w:b w:val="0"/>
          <w:bCs w:val="0"/>
          <w:lang w:val="en-GB"/>
        </w:rPr>
        <w:t>.</w:t>
      </w:r>
      <w:r w:rsidR="00F57C0A" w:rsidRPr="005C599C">
        <w:rPr>
          <w:b w:val="0"/>
          <w:bCs w:val="0"/>
          <w:lang w:val="en-GB"/>
        </w:rPr>
        <w:t xml:space="preserve"> </w:t>
      </w:r>
      <w:r w:rsidR="0025737E" w:rsidRPr="005C599C">
        <w:rPr>
          <w:b w:val="0"/>
          <w:bCs w:val="0"/>
          <w:lang w:val="en-GB"/>
        </w:rPr>
        <w:t>Therefore, t</w:t>
      </w:r>
      <w:r w:rsidR="00F57C0A" w:rsidRPr="005C599C">
        <w:rPr>
          <w:b w:val="0"/>
          <w:bCs w:val="0"/>
          <w:lang w:val="en-GB"/>
        </w:rPr>
        <w:t xml:space="preserve">he presence of hysteresis is assessed by the result of the </w:t>
      </w:r>
      <w:r w:rsidR="00763B55" w:rsidRPr="005C599C">
        <w:rPr>
          <w:b w:val="0"/>
          <w:bCs w:val="0"/>
          <w:lang w:val="en-GB"/>
        </w:rPr>
        <w:t xml:space="preserve">following </w:t>
      </w:r>
      <w:r w:rsidR="00F57C0A" w:rsidRPr="005C599C">
        <w:rPr>
          <w:b w:val="0"/>
          <w:bCs w:val="0"/>
          <w:lang w:val="en-GB"/>
        </w:rPr>
        <w:t xml:space="preserve">hypothesis test over the </w:t>
      </w:r>
      <m:oMath>
        <m:sSub>
          <m:sSubPr>
            <m:ctrlPr>
              <w:rPr>
                <w:rFonts w:ascii="Cambria Math" w:hAnsi="Cambria Math"/>
                <w:b w:val="0"/>
                <w:bCs w:val="0"/>
                <w:i/>
                <w:lang w:val="en-GB"/>
              </w:rPr>
            </m:ctrlPr>
          </m:sSubPr>
          <m:e>
            <m:r>
              <w:rPr>
                <w:rFonts w:ascii="Cambria Math" w:hAnsi="Cambria Math"/>
                <w:lang w:val="en-GB"/>
              </w:rPr>
              <m:t>β</m:t>
            </m:r>
          </m:e>
          <m:sub>
            <m:r>
              <w:rPr>
                <w:rFonts w:ascii="Cambria Math" w:hAnsi="Cambria Math"/>
                <w:lang w:val="en-GB"/>
              </w:rPr>
              <m:t>2</m:t>
            </m:r>
          </m:sub>
        </m:sSub>
      </m:oMath>
      <w:r w:rsidR="00F57C0A" w:rsidRPr="005C599C">
        <w:rPr>
          <w:b w:val="0"/>
          <w:bCs w:val="0"/>
          <w:lang w:val="en-GB"/>
        </w:rPr>
        <w:t xml:space="preserve"> coefficient</w:t>
      </w:r>
      <w:r w:rsidR="0025737E" w:rsidRPr="005C599C">
        <w:rPr>
          <w:b w:val="0"/>
          <w:bCs w:val="0"/>
          <w:lang w:val="en-GB"/>
        </w:rPr>
        <w:t xml:space="preserve"> (see Belke </w:t>
      </w:r>
      <w:r w:rsidR="00607F07" w:rsidRPr="005C599C">
        <w:rPr>
          <w:b w:val="0"/>
          <w:bCs w:val="0"/>
          <w:lang w:val="en-GB"/>
        </w:rPr>
        <w:t>&amp;</w:t>
      </w:r>
      <w:r w:rsidR="0025737E" w:rsidRPr="005C599C">
        <w:rPr>
          <w:b w:val="0"/>
          <w:bCs w:val="0"/>
          <w:lang w:val="en-GB"/>
        </w:rPr>
        <w:t xml:space="preserve"> Göcke, 2021, and Mota </w:t>
      </w:r>
      <w:r w:rsidR="00607F07" w:rsidRPr="005C599C">
        <w:rPr>
          <w:b w:val="0"/>
          <w:bCs w:val="0"/>
          <w:lang w:val="en-GB"/>
        </w:rPr>
        <w:t>&amp;</w:t>
      </w:r>
      <w:r w:rsidR="0025737E" w:rsidRPr="005C599C">
        <w:rPr>
          <w:b w:val="0"/>
          <w:bCs w:val="0"/>
          <w:lang w:val="en-GB"/>
        </w:rPr>
        <w:t xml:space="preserve"> Vasconcelos, 2022a)</w:t>
      </w:r>
      <w:r w:rsidR="00F57C0A" w:rsidRPr="005C599C">
        <w:rPr>
          <w:b w:val="0"/>
          <w:bCs w:val="0"/>
          <w:lang w:val="en-GB"/>
        </w:rPr>
        <w:t>:</w:t>
      </w:r>
    </w:p>
    <w:p w14:paraId="0AE47A78" w14:textId="77777777" w:rsidR="00A87611" w:rsidRPr="005C599C" w:rsidRDefault="00A87611" w:rsidP="00A3169E">
      <w:pPr>
        <w:pStyle w:val="Heading3"/>
        <w:tabs>
          <w:tab w:val="left" w:pos="934"/>
        </w:tabs>
        <w:spacing w:line="360" w:lineRule="auto"/>
        <w:ind w:left="0" w:firstLine="720"/>
        <w:jc w:val="both"/>
        <w:rPr>
          <w:b w:val="0"/>
          <w:bCs w:val="0"/>
          <w:lang w:val="en-GB"/>
        </w:rPr>
      </w:pPr>
    </w:p>
    <w:p w14:paraId="303A3DC5" w14:textId="3EE303D8" w:rsidR="00F57C0A" w:rsidRPr="00155C2C" w:rsidRDefault="00000000" w:rsidP="00A3169E">
      <w:pPr>
        <w:pStyle w:val="Heading3"/>
        <w:tabs>
          <w:tab w:val="left" w:pos="934"/>
        </w:tabs>
        <w:spacing w:line="360" w:lineRule="auto"/>
        <w:ind w:left="0" w:firstLine="936"/>
        <w:jc w:val="both"/>
        <w:rPr>
          <w:b w:val="0"/>
          <w:bCs w:val="0"/>
          <w:lang w:val="en-GB"/>
        </w:rPr>
      </w:pPr>
      <m:oMathPara>
        <m:oMathParaPr>
          <m:jc m:val="center"/>
        </m:oMathParaPr>
        <m:oMath>
          <m:sSub>
            <m:sSubPr>
              <m:ctrlPr>
                <w:rPr>
                  <w:rFonts w:ascii="Cambria Math" w:hAnsi="Cambria Math"/>
                  <w:b w:val="0"/>
                  <w:bCs w:val="0"/>
                  <w:i/>
                  <w:lang w:val="en-GB"/>
                </w:rPr>
              </m:ctrlPr>
            </m:sSubPr>
            <m:e>
              <m:r>
                <w:rPr>
                  <w:rFonts w:ascii="Cambria Math" w:hAnsi="Cambria Math"/>
                  <w:lang w:val="en-GB"/>
                </w:rPr>
                <m:t>H</m:t>
              </m:r>
            </m:e>
            <m:sub>
              <m:r>
                <w:rPr>
                  <w:rFonts w:ascii="Cambria Math" w:hAnsi="Cambria Math"/>
                  <w:lang w:val="en-GB"/>
                </w:rPr>
                <m:t>0</m:t>
              </m:r>
            </m:sub>
          </m:sSub>
          <m:r>
            <w:rPr>
              <w:rFonts w:ascii="Cambria Math" w:hAnsi="Cambria Math"/>
              <w:lang w:val="en-GB"/>
            </w:rPr>
            <m:t xml:space="preserve">: </m:t>
          </m:r>
          <m:sSub>
            <m:sSubPr>
              <m:ctrlPr>
                <w:rPr>
                  <w:rFonts w:ascii="Cambria Math" w:hAnsi="Cambria Math"/>
                  <w:b w:val="0"/>
                  <w:bCs w:val="0"/>
                  <w:i/>
                  <w:lang w:val="en-GB"/>
                </w:rPr>
              </m:ctrlPr>
            </m:sSubPr>
            <m:e>
              <m:r>
                <w:rPr>
                  <w:rFonts w:ascii="Cambria Math" w:hAnsi="Cambria Math"/>
                  <w:lang w:val="en-GB"/>
                </w:rPr>
                <m:t>β</m:t>
              </m:r>
            </m:e>
            <m:sub>
              <m:r>
                <w:rPr>
                  <w:rFonts w:ascii="Cambria Math" w:hAnsi="Cambria Math"/>
                  <w:lang w:val="en-GB"/>
                </w:rPr>
                <m:t>2</m:t>
              </m:r>
            </m:sub>
          </m:sSub>
          <m:r>
            <w:rPr>
              <w:rFonts w:ascii="Cambria Math" w:hAnsi="Cambria Math"/>
              <w:lang w:val="en-GB"/>
            </w:rPr>
            <m:t>=0</m:t>
          </m:r>
        </m:oMath>
      </m:oMathPara>
    </w:p>
    <w:p w14:paraId="59DF5AED" w14:textId="736DB689" w:rsidR="00F57C0A" w:rsidRPr="00155C2C" w:rsidRDefault="00000000" w:rsidP="00A3169E">
      <w:pPr>
        <w:pStyle w:val="Heading3"/>
        <w:tabs>
          <w:tab w:val="left" w:pos="934"/>
        </w:tabs>
        <w:spacing w:line="360" w:lineRule="auto"/>
        <w:ind w:left="0" w:firstLine="936"/>
        <w:jc w:val="both"/>
        <w:rPr>
          <w:b w:val="0"/>
          <w:bCs w:val="0"/>
          <w:lang w:val="en-GB"/>
        </w:rPr>
      </w:pPr>
      <m:oMathPara>
        <m:oMath>
          <m:sSub>
            <m:sSubPr>
              <m:ctrlPr>
                <w:rPr>
                  <w:rFonts w:ascii="Cambria Math" w:hAnsi="Cambria Math"/>
                  <w:b w:val="0"/>
                  <w:bCs w:val="0"/>
                  <w:i/>
                  <w:lang w:val="en-GB"/>
                </w:rPr>
              </m:ctrlPr>
            </m:sSubPr>
            <m:e>
              <m:r>
                <w:rPr>
                  <w:rFonts w:ascii="Cambria Math" w:hAnsi="Cambria Math"/>
                  <w:lang w:val="en-GB"/>
                </w:rPr>
                <m:t>H</m:t>
              </m:r>
            </m:e>
            <m:sub>
              <m:r>
                <w:rPr>
                  <w:rFonts w:ascii="Cambria Math" w:hAnsi="Cambria Math"/>
                  <w:lang w:val="en-GB"/>
                </w:rPr>
                <m:t>1</m:t>
              </m:r>
            </m:sub>
          </m:sSub>
          <m:r>
            <w:rPr>
              <w:rFonts w:ascii="Cambria Math" w:hAnsi="Cambria Math"/>
              <w:lang w:val="en-GB"/>
            </w:rPr>
            <m:t xml:space="preserve">: </m:t>
          </m:r>
          <m:sSub>
            <m:sSubPr>
              <m:ctrlPr>
                <w:rPr>
                  <w:rFonts w:ascii="Cambria Math" w:hAnsi="Cambria Math"/>
                  <w:b w:val="0"/>
                  <w:bCs w:val="0"/>
                  <w:i/>
                  <w:lang w:val="en-GB"/>
                </w:rPr>
              </m:ctrlPr>
            </m:sSubPr>
            <m:e>
              <m:r>
                <w:rPr>
                  <w:rFonts w:ascii="Cambria Math" w:hAnsi="Cambria Math"/>
                  <w:lang w:val="en-GB"/>
                </w:rPr>
                <m:t>β</m:t>
              </m:r>
            </m:e>
            <m:sub>
              <m:r>
                <w:rPr>
                  <w:rFonts w:ascii="Cambria Math" w:hAnsi="Cambria Math"/>
                  <w:lang w:val="en-GB"/>
                </w:rPr>
                <m:t>2</m:t>
              </m:r>
            </m:sub>
          </m:sSub>
          <m:r>
            <w:rPr>
              <w:rFonts w:ascii="Cambria Math" w:hAnsi="Cambria Math"/>
              <w:lang w:val="en-GB"/>
            </w:rPr>
            <m:t>&gt;0</m:t>
          </m:r>
        </m:oMath>
      </m:oMathPara>
    </w:p>
    <w:p w14:paraId="05ADC3D3" w14:textId="77777777" w:rsidR="00E905F2" w:rsidRPr="005C599C" w:rsidRDefault="00E905F2" w:rsidP="00A3169E">
      <w:pPr>
        <w:pStyle w:val="Heading3"/>
        <w:tabs>
          <w:tab w:val="left" w:pos="934"/>
        </w:tabs>
        <w:spacing w:line="360" w:lineRule="auto"/>
        <w:ind w:left="0" w:firstLine="936"/>
        <w:jc w:val="both"/>
        <w:rPr>
          <w:b w:val="0"/>
          <w:bCs w:val="0"/>
          <w:lang w:val="en-GB"/>
        </w:rPr>
      </w:pPr>
    </w:p>
    <w:p w14:paraId="109B31FD" w14:textId="111F656F" w:rsidR="005A5CCD" w:rsidRPr="005C599C" w:rsidRDefault="00E35FE2" w:rsidP="00C54DA7">
      <w:pPr>
        <w:pStyle w:val="Heading3"/>
        <w:tabs>
          <w:tab w:val="left" w:pos="934"/>
        </w:tabs>
        <w:spacing w:line="360" w:lineRule="auto"/>
        <w:ind w:left="0" w:firstLine="720"/>
        <w:jc w:val="both"/>
        <w:rPr>
          <w:b w:val="0"/>
          <w:bCs w:val="0"/>
          <w:lang w:val="en-GB"/>
        </w:rPr>
      </w:pPr>
      <w:r w:rsidRPr="005C599C">
        <w:rPr>
          <w:b w:val="0"/>
          <w:bCs w:val="0"/>
          <w:lang w:val="en-GB"/>
        </w:rPr>
        <w:t>If the</w:t>
      </w:r>
      <w:r w:rsidR="00E101D8" w:rsidRPr="005C599C">
        <w:rPr>
          <w:b w:val="0"/>
          <w:bCs w:val="0"/>
          <w:lang w:val="en-GB"/>
        </w:rPr>
        <w:t xml:space="preserve"> Wald test statistic is greater than the critical </w:t>
      </w:r>
      <w:r w:rsidR="00C4550D" w:rsidRPr="005C599C">
        <w:rPr>
          <w:b w:val="0"/>
          <w:bCs w:val="0"/>
          <w:lang w:val="en-GB"/>
        </w:rPr>
        <w:t>value,</w:t>
      </w:r>
      <w:r w:rsidR="00E101D8" w:rsidRPr="005C599C">
        <w:rPr>
          <w:b w:val="0"/>
          <w:bCs w:val="0"/>
          <w:lang w:val="en-GB"/>
        </w:rPr>
        <w:t xml:space="preserve"> we reject the</w:t>
      </w:r>
      <w:r w:rsidRPr="005C599C">
        <w:rPr>
          <w:b w:val="0"/>
          <w:bCs w:val="0"/>
          <w:lang w:val="en-GB"/>
        </w:rPr>
        <w:t xml:space="preserve"> null hypothesis </w:t>
      </w:r>
      <w:r w:rsidR="00E101D8" w:rsidRPr="005C599C">
        <w:rPr>
          <w:b w:val="0"/>
          <w:bCs w:val="0"/>
          <w:lang w:val="en-GB"/>
        </w:rPr>
        <w:lastRenderedPageBreak/>
        <w:t xml:space="preserve">and hysteresis </w:t>
      </w:r>
      <w:r w:rsidRPr="005C599C">
        <w:rPr>
          <w:b w:val="0"/>
          <w:bCs w:val="0"/>
          <w:lang w:val="en-GB"/>
        </w:rPr>
        <w:t xml:space="preserve">effects </w:t>
      </w:r>
      <w:r w:rsidR="00E101D8" w:rsidRPr="005C599C">
        <w:rPr>
          <w:b w:val="0"/>
          <w:bCs w:val="0"/>
          <w:lang w:val="en-GB"/>
        </w:rPr>
        <w:t xml:space="preserve">appear to </w:t>
      </w:r>
      <w:r w:rsidRPr="005C599C">
        <w:rPr>
          <w:b w:val="0"/>
          <w:bCs w:val="0"/>
          <w:lang w:val="en-GB"/>
        </w:rPr>
        <w:t>manifest themselves in the data. If on the other hand</w:t>
      </w:r>
      <w:r w:rsidR="005B2302" w:rsidRPr="005C599C">
        <w:rPr>
          <w:b w:val="0"/>
          <w:bCs w:val="0"/>
          <w:lang w:val="en-GB"/>
        </w:rPr>
        <w:t>,</w:t>
      </w:r>
      <w:r w:rsidRPr="005C599C">
        <w:rPr>
          <w:b w:val="0"/>
          <w:bCs w:val="0"/>
          <w:lang w:val="en-GB"/>
        </w:rPr>
        <w:t xml:space="preserve"> the </w:t>
      </w:r>
      <w:r w:rsidR="00E101D8" w:rsidRPr="005C599C">
        <w:rPr>
          <w:b w:val="0"/>
          <w:bCs w:val="0"/>
          <w:lang w:val="en-GB"/>
        </w:rPr>
        <w:t xml:space="preserve">Wald test statistic is smaller than the critical value </w:t>
      </w:r>
      <w:r w:rsidRPr="005C599C">
        <w:rPr>
          <w:b w:val="0"/>
          <w:bCs w:val="0"/>
          <w:lang w:val="en-GB"/>
        </w:rPr>
        <w:t xml:space="preserve">then we </w:t>
      </w:r>
      <w:r w:rsidR="00C4550D" w:rsidRPr="005C599C">
        <w:rPr>
          <w:b w:val="0"/>
          <w:bCs w:val="0"/>
          <w:lang w:val="en-GB"/>
        </w:rPr>
        <w:t>fail to</w:t>
      </w:r>
      <w:r w:rsidRPr="005C599C">
        <w:rPr>
          <w:b w:val="0"/>
          <w:bCs w:val="0"/>
          <w:lang w:val="en-GB"/>
        </w:rPr>
        <w:t xml:space="preserve"> </w:t>
      </w:r>
      <w:r w:rsidR="00E101D8" w:rsidRPr="005C599C">
        <w:rPr>
          <w:b w:val="0"/>
          <w:bCs w:val="0"/>
          <w:lang w:val="en-GB"/>
        </w:rPr>
        <w:t xml:space="preserve">reject the null hypothesis </w:t>
      </w:r>
      <w:r w:rsidR="0025737E" w:rsidRPr="005C599C">
        <w:rPr>
          <w:b w:val="0"/>
          <w:bCs w:val="0"/>
          <w:lang w:val="en-GB"/>
        </w:rPr>
        <w:t>implying that we are not able to find hysteresis in the dynamics of investment.</w:t>
      </w:r>
    </w:p>
    <w:p w14:paraId="73D348E1" w14:textId="3CDA9B5F" w:rsidR="00E35FE2" w:rsidRPr="003333ED" w:rsidRDefault="003333ED" w:rsidP="00134899">
      <w:pPr>
        <w:spacing w:line="360" w:lineRule="auto"/>
        <w:ind w:firstLine="936"/>
        <w:jc w:val="both"/>
        <w:rPr>
          <w:sz w:val="24"/>
          <w:szCs w:val="24"/>
          <w:lang w:val="en-GB"/>
        </w:rPr>
      </w:pPr>
      <w:r>
        <w:rPr>
          <w:b/>
          <w:bCs/>
          <w:lang w:val="en-GB"/>
        </w:rPr>
        <w:br w:type="page"/>
      </w:r>
    </w:p>
    <w:p w14:paraId="4DCA533D" w14:textId="13EDCDCA" w:rsidR="005E59D0" w:rsidRPr="0063438A" w:rsidRDefault="005E59D0" w:rsidP="00540F45">
      <w:pPr>
        <w:pStyle w:val="Heading3"/>
        <w:numPr>
          <w:ilvl w:val="1"/>
          <w:numId w:val="8"/>
        </w:numPr>
        <w:tabs>
          <w:tab w:val="left" w:pos="934"/>
        </w:tabs>
        <w:spacing w:before="1"/>
        <w:ind w:left="426" w:hanging="426"/>
        <w:jc w:val="both"/>
        <w:rPr>
          <w:b w:val="0"/>
          <w:bCs w:val="0"/>
          <w:lang w:val="en-GB"/>
        </w:rPr>
      </w:pPr>
      <w:r>
        <w:rPr>
          <w:lang w:val="en-GB"/>
        </w:rPr>
        <w:lastRenderedPageBreak/>
        <w:t>The Data</w:t>
      </w:r>
    </w:p>
    <w:p w14:paraId="01B6BB65" w14:textId="77777777" w:rsidR="00114939" w:rsidRPr="0063438A" w:rsidRDefault="00114939" w:rsidP="00A35328">
      <w:pPr>
        <w:pStyle w:val="BodyText"/>
        <w:spacing w:line="360" w:lineRule="auto"/>
        <w:ind w:firstLine="720"/>
        <w:jc w:val="both"/>
        <w:rPr>
          <w:lang w:val="en-GB"/>
        </w:rPr>
      </w:pPr>
    </w:p>
    <w:p w14:paraId="35927491" w14:textId="7B1E1ED4" w:rsidR="008A406F" w:rsidRPr="008F4FF2" w:rsidRDefault="00086AF4" w:rsidP="00A3169E">
      <w:pPr>
        <w:pStyle w:val="BodyText"/>
        <w:spacing w:line="360" w:lineRule="auto"/>
        <w:ind w:firstLine="720"/>
        <w:jc w:val="both"/>
        <w:rPr>
          <w:lang w:val="en-GB"/>
        </w:rPr>
      </w:pPr>
      <w:r w:rsidRPr="008F4FF2">
        <w:rPr>
          <w:lang w:val="en-GB"/>
        </w:rPr>
        <w:t>In</w:t>
      </w:r>
      <w:r w:rsidR="0035668A" w:rsidRPr="008F4FF2">
        <w:rPr>
          <w:lang w:val="en-GB"/>
        </w:rPr>
        <w:t xml:space="preserve"> our research</w:t>
      </w:r>
      <w:r w:rsidR="002C77A7" w:rsidRPr="008F4FF2">
        <w:rPr>
          <w:lang w:val="en-GB"/>
        </w:rPr>
        <w:t>,</w:t>
      </w:r>
      <w:r w:rsidR="0035668A" w:rsidRPr="008F4FF2">
        <w:rPr>
          <w:lang w:val="en-GB"/>
        </w:rPr>
        <w:t xml:space="preserve"> </w:t>
      </w:r>
      <w:r w:rsidRPr="008F4FF2">
        <w:rPr>
          <w:lang w:val="en-GB"/>
        </w:rPr>
        <w:t xml:space="preserve">we use data from </w:t>
      </w:r>
      <w:r w:rsidR="0035668A" w:rsidRPr="008F4FF2">
        <w:rPr>
          <w:lang w:val="en-GB"/>
        </w:rPr>
        <w:t xml:space="preserve">the </w:t>
      </w:r>
      <w:r w:rsidR="002473D8" w:rsidRPr="008F4FF2">
        <w:rPr>
          <w:lang w:val="en-GB"/>
        </w:rPr>
        <w:t>G7 countries</w:t>
      </w:r>
      <w:r w:rsidRPr="008F4FF2">
        <w:rPr>
          <w:lang w:val="en-GB"/>
        </w:rPr>
        <w:t xml:space="preserve">, </w:t>
      </w:r>
      <w:r w:rsidRPr="008F4FF2">
        <w:rPr>
          <w:i/>
          <w:iCs/>
          <w:lang w:val="en-GB"/>
        </w:rPr>
        <w:t>i.e.</w:t>
      </w:r>
      <w:r w:rsidRPr="008F4FF2">
        <w:rPr>
          <w:lang w:val="en-GB"/>
        </w:rPr>
        <w:t xml:space="preserve">, </w:t>
      </w:r>
      <w:r w:rsidR="0035668A" w:rsidRPr="008F4FF2">
        <w:rPr>
          <w:lang w:val="en-GB"/>
        </w:rPr>
        <w:t xml:space="preserve">Canada, France, Italy, Germany, Japan, </w:t>
      </w:r>
      <w:r w:rsidR="00FD38EE" w:rsidRPr="008F4FF2">
        <w:rPr>
          <w:lang w:val="en-GB"/>
        </w:rPr>
        <w:t xml:space="preserve">the </w:t>
      </w:r>
      <w:r w:rsidR="008E0CE3" w:rsidRPr="008F4FF2">
        <w:rPr>
          <w:lang w:val="en-GB"/>
        </w:rPr>
        <w:t xml:space="preserve">United </w:t>
      </w:r>
      <w:r w:rsidR="008973B6" w:rsidRPr="008F4FF2">
        <w:rPr>
          <w:lang w:val="en-GB"/>
        </w:rPr>
        <w:t xml:space="preserve">Kingdom, and </w:t>
      </w:r>
      <w:r w:rsidR="00E85559" w:rsidRPr="008F4FF2">
        <w:rPr>
          <w:lang w:val="en-GB"/>
        </w:rPr>
        <w:t xml:space="preserve">the </w:t>
      </w:r>
      <w:r w:rsidR="008973B6" w:rsidRPr="008F4FF2">
        <w:rPr>
          <w:lang w:val="en-GB"/>
        </w:rPr>
        <w:t>United States</w:t>
      </w:r>
      <w:r w:rsidRPr="008F4FF2">
        <w:rPr>
          <w:lang w:val="en-GB"/>
        </w:rPr>
        <w:t>,</w:t>
      </w:r>
      <w:r w:rsidR="008A406F" w:rsidRPr="008F4FF2">
        <w:rPr>
          <w:lang w:val="en-GB"/>
        </w:rPr>
        <w:t xml:space="preserve"> for the period </w:t>
      </w:r>
      <w:r w:rsidRPr="008F4FF2">
        <w:rPr>
          <w:lang w:val="en-GB"/>
        </w:rPr>
        <w:t>from</w:t>
      </w:r>
      <w:r w:rsidR="008A406F" w:rsidRPr="008F4FF2">
        <w:rPr>
          <w:lang w:val="en-GB"/>
        </w:rPr>
        <w:t xml:space="preserve"> the first quarter of 2000 </w:t>
      </w:r>
      <w:r w:rsidRPr="008F4FF2">
        <w:rPr>
          <w:lang w:val="en-GB"/>
        </w:rPr>
        <w:t xml:space="preserve">to </w:t>
      </w:r>
      <w:r w:rsidR="008A406F" w:rsidRPr="008F4FF2">
        <w:rPr>
          <w:lang w:val="en-GB"/>
        </w:rPr>
        <w:t>the last quarter of 2022.</w:t>
      </w:r>
    </w:p>
    <w:p w14:paraId="3666AE89" w14:textId="4D91ADB1" w:rsidR="004C6C0B" w:rsidRPr="008F4FF2" w:rsidRDefault="000922BF" w:rsidP="00A3169E">
      <w:pPr>
        <w:pStyle w:val="BodyText"/>
        <w:spacing w:line="360" w:lineRule="auto"/>
        <w:ind w:firstLine="720"/>
        <w:jc w:val="both"/>
        <w:rPr>
          <w:lang w:val="en-GB"/>
        </w:rPr>
      </w:pPr>
      <w:r w:rsidRPr="008F4FF2">
        <w:rPr>
          <w:lang w:val="en-GB"/>
        </w:rPr>
        <w:t xml:space="preserve">Regarding </w:t>
      </w:r>
      <w:r w:rsidR="00622869" w:rsidRPr="008F4FF2">
        <w:rPr>
          <w:lang w:val="en-GB"/>
        </w:rPr>
        <w:t xml:space="preserve">our dependent variable – aggregate investment, </w:t>
      </w:r>
      <m:oMath>
        <m:sSub>
          <m:sSubPr>
            <m:ctrlPr>
              <w:rPr>
                <w:rFonts w:ascii="Cambria Math" w:hAnsi="Cambria Math"/>
                <w:i/>
                <w:lang w:val="en-GB"/>
              </w:rPr>
            </m:ctrlPr>
          </m:sSubPr>
          <m:e>
            <m:r>
              <w:rPr>
                <w:rFonts w:ascii="Cambria Math" w:hAnsi="Cambria Math"/>
                <w:lang w:val="en-GB"/>
              </w:rPr>
              <m:t>I</m:t>
            </m:r>
          </m:e>
          <m:sub>
            <m:r>
              <w:rPr>
                <w:rFonts w:ascii="Cambria Math" w:hAnsi="Cambria Math"/>
                <w:lang w:val="en-GB"/>
              </w:rPr>
              <m:t>t</m:t>
            </m:r>
          </m:sub>
        </m:sSub>
      </m:oMath>
      <w:r w:rsidR="00622869" w:rsidRPr="008F4FF2">
        <w:rPr>
          <w:lang w:val="en-GB"/>
        </w:rPr>
        <w:t xml:space="preserve">, we use </w:t>
      </w:r>
      <w:r w:rsidRPr="008F4FF2">
        <w:rPr>
          <w:lang w:val="en-GB"/>
        </w:rPr>
        <w:t>the gross fixed capital formation</w:t>
      </w:r>
      <w:r w:rsidR="00622869" w:rsidRPr="008F4FF2">
        <w:rPr>
          <w:lang w:val="en-GB"/>
        </w:rPr>
        <w:t>, retrieved from OECD</w:t>
      </w:r>
      <w:r w:rsidR="00157FCC" w:rsidRPr="008F4FF2">
        <w:rPr>
          <w:lang w:val="en-GB"/>
        </w:rPr>
        <w:t xml:space="preserve"> </w:t>
      </w:r>
      <w:r w:rsidR="00622869" w:rsidRPr="008F4FF2">
        <w:rPr>
          <w:lang w:val="en-GB"/>
        </w:rPr>
        <w:t>- Quarterly National Accounts, separated by</w:t>
      </w:r>
      <w:r w:rsidRPr="008F4FF2">
        <w:rPr>
          <w:lang w:val="en-GB"/>
        </w:rPr>
        <w:t xml:space="preserve"> tangible assets</w:t>
      </w:r>
      <w:r w:rsidR="008E2FBA" w:rsidRPr="008F4FF2">
        <w:rPr>
          <w:lang w:val="en-GB"/>
        </w:rPr>
        <w:t xml:space="preserve">, </w:t>
      </w:r>
      <m:oMath>
        <m:sSub>
          <m:sSubPr>
            <m:ctrlPr>
              <w:rPr>
                <w:rFonts w:ascii="Cambria Math" w:hAnsi="Cambria Math"/>
                <w:i/>
              </w:rPr>
            </m:ctrlPr>
          </m:sSubPr>
          <m:e>
            <m:r>
              <w:rPr>
                <w:rFonts w:ascii="Cambria Math" w:hAnsi="Cambria Math"/>
              </w:rPr>
              <m:t>I</m:t>
            </m:r>
            <m:r>
              <w:rPr>
                <w:rFonts w:ascii="Cambria Math" w:hAnsi="Cambria Math"/>
                <w:lang w:val="en-GB"/>
              </w:rPr>
              <m:t>_</m:t>
            </m:r>
            <m:r>
              <w:rPr>
                <w:rFonts w:ascii="Cambria Math" w:hAnsi="Cambria Math"/>
              </w:rPr>
              <m:t>TAN</m:t>
            </m:r>
          </m:e>
          <m:sub>
            <m:r>
              <w:rPr>
                <w:rFonts w:ascii="Cambria Math" w:hAnsi="Cambria Math"/>
              </w:rPr>
              <m:t>t</m:t>
            </m:r>
          </m:sub>
        </m:sSub>
      </m:oMath>
      <w:r w:rsidR="008E2FBA" w:rsidRPr="00834306">
        <w:rPr>
          <w:lang w:val="en-GB"/>
        </w:rPr>
        <w:t xml:space="preserve"> </w:t>
      </w:r>
      <w:r w:rsidRPr="008F4FF2">
        <w:rPr>
          <w:lang w:val="en-GB"/>
        </w:rPr>
        <w:t>and intangible assets</w:t>
      </w:r>
      <w:r w:rsidR="008E2FBA" w:rsidRPr="008F4FF2">
        <w:rPr>
          <w:lang w:val="en-GB"/>
        </w:rPr>
        <w:t xml:space="preserve">, </w:t>
      </w:r>
      <m:oMath>
        <m:sSub>
          <m:sSubPr>
            <m:ctrlPr>
              <w:rPr>
                <w:rFonts w:ascii="Cambria Math" w:hAnsi="Cambria Math"/>
                <w:i/>
              </w:rPr>
            </m:ctrlPr>
          </m:sSubPr>
          <m:e>
            <m:r>
              <w:rPr>
                <w:rFonts w:ascii="Cambria Math" w:hAnsi="Cambria Math"/>
              </w:rPr>
              <m:t>I</m:t>
            </m:r>
            <m:r>
              <w:rPr>
                <w:rFonts w:ascii="Cambria Math" w:hAnsi="Cambria Math"/>
                <w:lang w:val="en-GB"/>
              </w:rPr>
              <m:t>_</m:t>
            </m:r>
            <m:r>
              <w:rPr>
                <w:rFonts w:ascii="Cambria Math" w:hAnsi="Cambria Math"/>
              </w:rPr>
              <m:t>INT</m:t>
            </m:r>
          </m:e>
          <m:sub>
            <m:r>
              <w:rPr>
                <w:rFonts w:ascii="Cambria Math" w:hAnsi="Cambria Math"/>
              </w:rPr>
              <m:t>t</m:t>
            </m:r>
          </m:sub>
        </m:sSub>
      </m:oMath>
      <w:r w:rsidRPr="008F4FF2">
        <w:rPr>
          <w:lang w:val="en-GB"/>
        </w:rPr>
        <w:t xml:space="preserve">. </w:t>
      </w:r>
      <w:r w:rsidR="00622869" w:rsidRPr="008F4FF2">
        <w:rPr>
          <w:lang w:val="en-GB"/>
        </w:rPr>
        <w:t xml:space="preserve">Gross capital formation in tangible assets includes: </w:t>
      </w:r>
      <w:r w:rsidR="00622869" w:rsidRPr="008F4FF2">
        <w:rPr>
          <w:i/>
          <w:iCs/>
          <w:lang w:val="en-GB"/>
        </w:rPr>
        <w:t>i</w:t>
      </w:r>
      <w:r w:rsidR="00622869" w:rsidRPr="008F4FF2">
        <w:rPr>
          <w:lang w:val="en-GB"/>
        </w:rPr>
        <w:t>) d</w:t>
      </w:r>
      <w:r w:rsidRPr="008F4FF2">
        <w:rPr>
          <w:lang w:val="en-GB"/>
        </w:rPr>
        <w:t>wellings</w:t>
      </w:r>
      <w:r w:rsidR="009A4816" w:rsidRPr="008F4FF2">
        <w:rPr>
          <w:lang w:val="en-GB"/>
        </w:rPr>
        <w:t>;</w:t>
      </w:r>
      <w:r w:rsidR="00622869" w:rsidRPr="008F4FF2">
        <w:rPr>
          <w:lang w:val="en-GB"/>
        </w:rPr>
        <w:t xml:space="preserve"> </w:t>
      </w:r>
      <w:r w:rsidR="00622869" w:rsidRPr="008F4FF2">
        <w:rPr>
          <w:i/>
          <w:iCs/>
          <w:lang w:val="en-GB"/>
        </w:rPr>
        <w:t>ii</w:t>
      </w:r>
      <w:r w:rsidR="00622869" w:rsidRPr="008F4FF2">
        <w:rPr>
          <w:lang w:val="en-GB"/>
        </w:rPr>
        <w:t>) o</w:t>
      </w:r>
      <w:r w:rsidRPr="008F4FF2">
        <w:rPr>
          <w:lang w:val="en-GB"/>
        </w:rPr>
        <w:t>ther buildings and structures</w:t>
      </w:r>
      <w:r w:rsidR="009A4816" w:rsidRPr="008F4FF2">
        <w:rPr>
          <w:lang w:val="en-GB"/>
        </w:rPr>
        <w:t>;</w:t>
      </w:r>
      <w:r w:rsidR="00622869" w:rsidRPr="008F4FF2">
        <w:rPr>
          <w:lang w:val="en-GB"/>
        </w:rPr>
        <w:t xml:space="preserve"> </w:t>
      </w:r>
      <w:r w:rsidR="00622869" w:rsidRPr="008F4FF2">
        <w:rPr>
          <w:i/>
          <w:iCs/>
          <w:lang w:val="en-GB"/>
        </w:rPr>
        <w:t>iii</w:t>
      </w:r>
      <w:r w:rsidR="00622869" w:rsidRPr="008F4FF2">
        <w:rPr>
          <w:lang w:val="en-GB"/>
        </w:rPr>
        <w:t>)</w:t>
      </w:r>
      <w:r w:rsidRPr="008F4FF2">
        <w:rPr>
          <w:lang w:val="en-GB"/>
        </w:rPr>
        <w:t xml:space="preserve"> </w:t>
      </w:r>
      <w:r w:rsidR="00622869" w:rsidRPr="008F4FF2">
        <w:rPr>
          <w:lang w:val="en-GB"/>
        </w:rPr>
        <w:t>m</w:t>
      </w:r>
      <w:r w:rsidRPr="008F4FF2">
        <w:rPr>
          <w:lang w:val="en-GB"/>
        </w:rPr>
        <w:t>achinery and equipment plus weapon systems</w:t>
      </w:r>
      <w:r w:rsidR="00622869" w:rsidRPr="008F4FF2">
        <w:rPr>
          <w:lang w:val="en-GB"/>
        </w:rPr>
        <w:t>. Gross capital formation in intangible assets includes only i</w:t>
      </w:r>
      <w:r w:rsidRPr="008F4FF2">
        <w:rPr>
          <w:lang w:val="en-GB"/>
        </w:rPr>
        <w:t>ntellectual property products.</w:t>
      </w:r>
      <w:r w:rsidR="00622869" w:rsidRPr="008F4FF2">
        <w:rPr>
          <w:lang w:val="en-GB"/>
        </w:rPr>
        <w:t xml:space="preserve"> We use data in real terms (chained volume estimates) and seasonally adjusted.</w:t>
      </w:r>
      <w:r w:rsidR="00D5492B" w:rsidRPr="008F4FF2">
        <w:rPr>
          <w:lang w:val="en-GB"/>
        </w:rPr>
        <w:t xml:space="preserve"> </w:t>
      </w:r>
      <w:r w:rsidR="00157FCC" w:rsidRPr="008F4FF2">
        <w:rPr>
          <w:lang w:val="en-GB"/>
        </w:rPr>
        <w:t xml:space="preserve">In order to apply the hysteresis algorithm we have transformed the original data into an index </w:t>
      </w:r>
      <w:r w:rsidR="00D5492B" w:rsidRPr="008F4FF2">
        <w:rPr>
          <w:lang w:val="en-GB"/>
        </w:rPr>
        <w:t>(base</w:t>
      </w:r>
      <w:r w:rsidR="00157FCC" w:rsidRPr="008F4FF2">
        <w:rPr>
          <w:lang w:val="en-GB"/>
        </w:rPr>
        <w:t xml:space="preserve"> period: </w:t>
      </w:r>
      <w:r w:rsidR="00D5492B" w:rsidRPr="008F4FF2">
        <w:rPr>
          <w:lang w:val="en-GB"/>
        </w:rPr>
        <w:t>2012</w:t>
      </w:r>
      <w:r w:rsidR="00157FCC" w:rsidRPr="008F4FF2">
        <w:rPr>
          <w:lang w:val="en-GB"/>
        </w:rPr>
        <w:t>:01</w:t>
      </w:r>
      <w:r w:rsidR="00D5492B" w:rsidRPr="008F4FF2">
        <w:rPr>
          <w:lang w:val="en-GB"/>
        </w:rPr>
        <w:t>)</w:t>
      </w:r>
      <w:r w:rsidR="00157FCC" w:rsidRPr="008F4FF2">
        <w:rPr>
          <w:lang w:val="en-GB"/>
        </w:rPr>
        <w:t>.</w:t>
      </w:r>
    </w:p>
    <w:p w14:paraId="31A50E90" w14:textId="68C130BF" w:rsidR="00185EBD" w:rsidRPr="008F4FF2" w:rsidRDefault="0031583A" w:rsidP="00A3169E">
      <w:pPr>
        <w:pStyle w:val="BodyText"/>
        <w:spacing w:line="360" w:lineRule="auto"/>
        <w:ind w:firstLine="720"/>
        <w:jc w:val="both"/>
        <w:rPr>
          <w:lang w:val="en-GB"/>
        </w:rPr>
      </w:pPr>
      <w:r w:rsidRPr="008F4FF2">
        <w:rPr>
          <w:lang w:val="en-GB"/>
        </w:rPr>
        <w:t xml:space="preserve">Figure </w:t>
      </w:r>
      <w:r w:rsidR="006A15E2" w:rsidRPr="008F4FF2">
        <w:rPr>
          <w:lang w:val="en-GB"/>
        </w:rPr>
        <w:t>9</w:t>
      </w:r>
      <w:r w:rsidR="005213C0" w:rsidRPr="008F4FF2">
        <w:rPr>
          <w:lang w:val="en-GB"/>
        </w:rPr>
        <w:t xml:space="preserve"> presents the</w:t>
      </w:r>
      <w:r w:rsidR="00D1075B" w:rsidRPr="008F4FF2">
        <w:rPr>
          <w:lang w:val="en-GB"/>
        </w:rPr>
        <w:t xml:space="preserve"> dynamics</w:t>
      </w:r>
      <w:r w:rsidR="005213C0" w:rsidRPr="008F4FF2">
        <w:rPr>
          <w:lang w:val="en-GB"/>
        </w:rPr>
        <w:t xml:space="preserve"> of the</w:t>
      </w:r>
      <w:r w:rsidR="00D1075B" w:rsidRPr="008F4FF2">
        <w:rPr>
          <w:lang w:val="en-GB"/>
        </w:rPr>
        <w:t xml:space="preserve"> constructed index of</w:t>
      </w:r>
      <w:r w:rsidR="005213C0" w:rsidRPr="008F4FF2">
        <w:rPr>
          <w:lang w:val="en-GB"/>
        </w:rPr>
        <w:t xml:space="preserve"> gross fixed capital formation by </w:t>
      </w:r>
      <w:r w:rsidR="00D1075B" w:rsidRPr="008F4FF2">
        <w:rPr>
          <w:lang w:val="en-GB"/>
        </w:rPr>
        <w:t xml:space="preserve">type of </w:t>
      </w:r>
      <w:r w:rsidR="005213C0" w:rsidRPr="008F4FF2">
        <w:rPr>
          <w:lang w:val="en-GB"/>
        </w:rPr>
        <w:t>asset</w:t>
      </w:r>
      <w:r w:rsidR="002D17E6" w:rsidRPr="008F4FF2">
        <w:rPr>
          <w:lang w:val="en-GB"/>
        </w:rPr>
        <w:t xml:space="preserve"> (the descriptive statistics are in Appendix 1)</w:t>
      </w:r>
      <w:r w:rsidR="009A4816" w:rsidRPr="008F4FF2">
        <w:rPr>
          <w:lang w:val="en-GB"/>
        </w:rPr>
        <w:t xml:space="preserve">. </w:t>
      </w:r>
      <w:r w:rsidR="0056424B" w:rsidRPr="008F4FF2">
        <w:rPr>
          <w:lang w:val="en-GB"/>
        </w:rPr>
        <w:t>In</w:t>
      </w:r>
      <w:r w:rsidR="00157FCC" w:rsidRPr="008F4FF2">
        <w:rPr>
          <w:lang w:val="en-GB"/>
        </w:rPr>
        <w:t xml:space="preserve"> the time span of our data the investment in intangible assets has grown more than investment in tangible assets in the G7 countries (the exception was the United Kingdom)</w:t>
      </w:r>
      <w:r w:rsidR="0056424B" w:rsidRPr="008F4FF2">
        <w:rPr>
          <w:lang w:val="en-GB"/>
        </w:rPr>
        <w:t>.</w:t>
      </w:r>
    </w:p>
    <w:p w14:paraId="518A86B8" w14:textId="14B2FD1D" w:rsidR="00A11835" w:rsidRPr="008F4FF2" w:rsidRDefault="0056424B" w:rsidP="00A3169E">
      <w:pPr>
        <w:pStyle w:val="BodyText"/>
        <w:spacing w:line="360" w:lineRule="auto"/>
        <w:ind w:firstLine="720"/>
        <w:jc w:val="both"/>
        <w:rPr>
          <w:lang w:val="en-GB"/>
        </w:rPr>
      </w:pPr>
      <w:r w:rsidRPr="008F4FF2">
        <w:rPr>
          <w:lang w:val="en-GB"/>
        </w:rPr>
        <w:t>In</w:t>
      </w:r>
      <w:r w:rsidR="0062444F" w:rsidRPr="008F4FF2">
        <w:rPr>
          <w:lang w:val="en-GB"/>
        </w:rPr>
        <w:t xml:space="preserve"> the specific case of the USA</w:t>
      </w:r>
      <w:r w:rsidR="00DF3173" w:rsidRPr="008F4FF2">
        <w:rPr>
          <w:lang w:val="en-GB"/>
        </w:rPr>
        <w:t>,</w:t>
      </w:r>
      <w:r w:rsidR="0062444F" w:rsidRPr="008F4FF2">
        <w:rPr>
          <w:lang w:val="en-GB"/>
        </w:rPr>
        <w:t xml:space="preserve"> </w:t>
      </w:r>
      <w:r w:rsidR="00D142F8" w:rsidRPr="008F4FF2">
        <w:rPr>
          <w:lang w:val="en-GB"/>
        </w:rPr>
        <w:t xml:space="preserve">intangible investment was </w:t>
      </w:r>
      <w:r w:rsidR="005954B0" w:rsidRPr="008F4FF2">
        <w:rPr>
          <w:lang w:val="en-GB"/>
        </w:rPr>
        <w:t>2.83</w:t>
      </w:r>
      <w:r w:rsidR="00F006FC" w:rsidRPr="008F4FF2">
        <w:rPr>
          <w:lang w:val="en-GB"/>
        </w:rPr>
        <w:t xml:space="preserve"> times</w:t>
      </w:r>
      <w:r w:rsidR="005954B0" w:rsidRPr="008F4FF2">
        <w:rPr>
          <w:lang w:val="en-GB"/>
        </w:rPr>
        <w:t xml:space="preserve"> greater in the last quarter of 2022 than in the first quarter of 2000, whilst tangible investment was only 1.18 times greater in the last quarter of 2022 than in the first quarter of 2000.</w:t>
      </w:r>
      <w:r w:rsidR="00185EBD" w:rsidRPr="008F4FF2">
        <w:rPr>
          <w:lang w:val="en-GB"/>
        </w:rPr>
        <w:t xml:space="preserve"> </w:t>
      </w:r>
      <w:r w:rsidR="00DC447D" w:rsidRPr="008F4FF2">
        <w:rPr>
          <w:lang w:val="en-GB"/>
        </w:rPr>
        <w:t>The gap between intangible and tangible investment i</w:t>
      </w:r>
      <w:r w:rsidR="004015B1" w:rsidRPr="008F4FF2">
        <w:rPr>
          <w:lang w:val="en-GB"/>
        </w:rPr>
        <w:t>n the USA i</w:t>
      </w:r>
      <w:r w:rsidR="00DC447D" w:rsidRPr="008F4FF2">
        <w:rPr>
          <w:lang w:val="en-GB"/>
        </w:rPr>
        <w:t>s remarkable</w:t>
      </w:r>
      <w:r w:rsidR="00852368" w:rsidRPr="008F4FF2">
        <w:rPr>
          <w:lang w:val="en-GB"/>
        </w:rPr>
        <w:t>,</w:t>
      </w:r>
      <w:r w:rsidR="00DC447D" w:rsidRPr="008F4FF2">
        <w:rPr>
          <w:lang w:val="en-GB"/>
        </w:rPr>
        <w:t xml:space="preserve"> and it seems to </w:t>
      </w:r>
      <w:r w:rsidR="00152583" w:rsidRPr="008F4FF2">
        <w:rPr>
          <w:lang w:val="en-GB"/>
        </w:rPr>
        <w:t>have taken greater proportions</w:t>
      </w:r>
      <w:r w:rsidR="008A406F" w:rsidRPr="008F4FF2">
        <w:rPr>
          <w:lang w:val="en-GB"/>
        </w:rPr>
        <w:t xml:space="preserve"> ever</w:t>
      </w:r>
      <w:r w:rsidR="00152583" w:rsidRPr="008F4FF2">
        <w:rPr>
          <w:lang w:val="en-GB"/>
        </w:rPr>
        <w:t xml:space="preserve"> since the </w:t>
      </w:r>
      <w:r w:rsidR="00917FD8" w:rsidRPr="008F4FF2">
        <w:rPr>
          <w:lang w:val="en-GB"/>
        </w:rPr>
        <w:t>fourth</w:t>
      </w:r>
      <w:r w:rsidR="00152583" w:rsidRPr="008F4FF2">
        <w:rPr>
          <w:lang w:val="en-GB"/>
        </w:rPr>
        <w:t xml:space="preserve"> quarter of 201</w:t>
      </w:r>
      <w:r w:rsidR="00917FD8" w:rsidRPr="008F4FF2">
        <w:rPr>
          <w:lang w:val="en-GB"/>
        </w:rPr>
        <w:t>5</w:t>
      </w:r>
      <w:r w:rsidR="00152583" w:rsidRPr="008F4FF2">
        <w:rPr>
          <w:lang w:val="en-GB"/>
        </w:rPr>
        <w:t>.</w:t>
      </w:r>
    </w:p>
    <w:p w14:paraId="5397C411" w14:textId="22407DD0" w:rsidR="00811F78" w:rsidRPr="008F4FF2" w:rsidRDefault="00157FCC" w:rsidP="00A3169E">
      <w:pPr>
        <w:pStyle w:val="BodyText"/>
        <w:spacing w:line="360" w:lineRule="auto"/>
        <w:ind w:firstLine="720"/>
        <w:jc w:val="both"/>
        <w:rPr>
          <w:lang w:val="en-GB"/>
        </w:rPr>
      </w:pPr>
      <w:r w:rsidRPr="008F4FF2">
        <w:rPr>
          <w:lang w:val="en-GB"/>
        </w:rPr>
        <w:t xml:space="preserve">In the G7 countries </w:t>
      </w:r>
      <w:r w:rsidR="008124FE" w:rsidRPr="008F4FF2">
        <w:rPr>
          <w:lang w:val="en-GB"/>
        </w:rPr>
        <w:t>(</w:t>
      </w:r>
      <w:r w:rsidRPr="008F4FF2">
        <w:rPr>
          <w:lang w:val="en-GB"/>
        </w:rPr>
        <w:t xml:space="preserve">with the </w:t>
      </w:r>
      <w:r w:rsidR="008124FE" w:rsidRPr="008F4FF2">
        <w:rPr>
          <w:lang w:val="en-GB"/>
        </w:rPr>
        <w:t>ex</w:t>
      </w:r>
      <w:r w:rsidRPr="008F4FF2">
        <w:rPr>
          <w:lang w:val="en-GB"/>
        </w:rPr>
        <w:t>ception of</w:t>
      </w:r>
      <w:r w:rsidR="008124FE" w:rsidRPr="008F4FF2">
        <w:rPr>
          <w:lang w:val="en-GB"/>
        </w:rPr>
        <w:t xml:space="preserve"> Japan, </w:t>
      </w:r>
      <w:r w:rsidR="009373DE" w:rsidRPr="008F4FF2">
        <w:rPr>
          <w:lang w:val="en-GB"/>
        </w:rPr>
        <w:t>for which, there are</w:t>
      </w:r>
      <w:r w:rsidR="008124FE" w:rsidRPr="008F4FF2">
        <w:rPr>
          <w:lang w:val="en-GB"/>
        </w:rPr>
        <w:t xml:space="preserve"> no data </w:t>
      </w:r>
      <w:r w:rsidR="00AF36B7" w:rsidRPr="008F4FF2">
        <w:rPr>
          <w:lang w:val="en-GB"/>
        </w:rPr>
        <w:t>after the last quarter of 2016</w:t>
      </w:r>
      <w:r w:rsidR="008124FE" w:rsidRPr="008F4FF2">
        <w:rPr>
          <w:lang w:val="en-GB"/>
        </w:rPr>
        <w:t>)</w:t>
      </w:r>
      <w:r w:rsidR="00FD38EE" w:rsidRPr="008F4FF2">
        <w:rPr>
          <w:lang w:val="en-GB"/>
        </w:rPr>
        <w:t>,</w:t>
      </w:r>
      <w:r w:rsidR="00DF219D" w:rsidRPr="008F4FF2">
        <w:rPr>
          <w:lang w:val="en-GB"/>
        </w:rPr>
        <w:t xml:space="preserve"> intangible investment </w:t>
      </w:r>
      <w:r w:rsidR="009373DE" w:rsidRPr="008F4FF2">
        <w:rPr>
          <w:lang w:val="en-GB"/>
        </w:rPr>
        <w:t xml:space="preserve">was </w:t>
      </w:r>
      <w:r w:rsidR="00DF219D" w:rsidRPr="008F4FF2">
        <w:rPr>
          <w:lang w:val="en-GB"/>
        </w:rPr>
        <w:t>less</w:t>
      </w:r>
      <w:r w:rsidR="009373DE" w:rsidRPr="008F4FF2">
        <w:rPr>
          <w:lang w:val="en-GB"/>
        </w:rPr>
        <w:t xml:space="preserve"> affected by</w:t>
      </w:r>
      <w:r w:rsidR="00A1127F" w:rsidRPr="008F4FF2">
        <w:rPr>
          <w:lang w:val="en-GB"/>
        </w:rPr>
        <w:t xml:space="preserve"> the </w:t>
      </w:r>
      <w:r w:rsidR="00FD38EE" w:rsidRPr="008F4FF2">
        <w:rPr>
          <w:lang w:val="en-GB"/>
        </w:rPr>
        <w:t>C</w:t>
      </w:r>
      <w:r w:rsidR="00A1127F" w:rsidRPr="008F4FF2">
        <w:rPr>
          <w:lang w:val="en-GB"/>
        </w:rPr>
        <w:t>ovid</w:t>
      </w:r>
      <w:r w:rsidR="00185EBD" w:rsidRPr="008F4FF2">
        <w:rPr>
          <w:lang w:val="en-GB"/>
        </w:rPr>
        <w:t>-19</w:t>
      </w:r>
      <w:r w:rsidR="00A1127F" w:rsidRPr="008F4FF2">
        <w:rPr>
          <w:lang w:val="en-GB"/>
        </w:rPr>
        <w:t xml:space="preserve"> pandemic than tangible investment.</w:t>
      </w:r>
    </w:p>
    <w:p w14:paraId="477CA0C2" w14:textId="27500E24" w:rsidR="00A41360" w:rsidRPr="008F4FF2" w:rsidRDefault="001B7E7D" w:rsidP="00A221EB">
      <w:pPr>
        <w:pStyle w:val="BodyText"/>
        <w:spacing w:line="360" w:lineRule="auto"/>
        <w:ind w:firstLine="720"/>
        <w:jc w:val="both"/>
        <w:rPr>
          <w:lang w:val="en-GB"/>
        </w:rPr>
        <w:sectPr w:rsidR="00A41360" w:rsidRPr="008F4FF2" w:rsidSect="00A648E2">
          <w:type w:val="continuous"/>
          <w:pgSz w:w="11910" w:h="16840"/>
          <w:pgMar w:top="1701" w:right="1418" w:bottom="1701" w:left="1985" w:header="0" w:footer="1004" w:gutter="0"/>
          <w:cols w:space="720"/>
        </w:sectPr>
      </w:pPr>
      <w:r w:rsidRPr="008F4FF2">
        <w:rPr>
          <w:lang w:val="en-GB"/>
        </w:rPr>
        <w:t>Comparing the last quarter of 2022 with the first quarter of 2000, we can find that o</w:t>
      </w:r>
      <w:r w:rsidR="00D83AEE" w:rsidRPr="008F4FF2">
        <w:rPr>
          <w:lang w:val="en-GB"/>
        </w:rPr>
        <w:t>n average</w:t>
      </w:r>
      <w:r w:rsidR="007B4205" w:rsidRPr="008F4FF2">
        <w:rPr>
          <w:lang w:val="en-GB"/>
        </w:rPr>
        <w:t xml:space="preserve">, </w:t>
      </w:r>
      <w:r w:rsidR="00D83AEE" w:rsidRPr="008F4FF2">
        <w:rPr>
          <w:lang w:val="en-GB"/>
        </w:rPr>
        <w:t>tangible investment</w:t>
      </w:r>
      <w:r w:rsidRPr="008F4FF2">
        <w:rPr>
          <w:lang w:val="en-GB"/>
        </w:rPr>
        <w:t xml:space="preserve"> </w:t>
      </w:r>
      <w:r w:rsidR="00D83AEE" w:rsidRPr="008F4FF2">
        <w:rPr>
          <w:lang w:val="en-GB"/>
        </w:rPr>
        <w:t xml:space="preserve">has grown </w:t>
      </w:r>
      <w:r w:rsidRPr="008F4FF2">
        <w:rPr>
          <w:lang w:val="en-GB"/>
        </w:rPr>
        <w:t>21,00</w:t>
      </w:r>
      <w:r w:rsidR="00D83AEE" w:rsidRPr="008F4FF2">
        <w:rPr>
          <w:lang w:val="en-GB"/>
        </w:rPr>
        <w:t xml:space="preserve">% </w:t>
      </w:r>
      <w:r w:rsidR="00C430BB" w:rsidRPr="008F4FF2">
        <w:rPr>
          <w:lang w:val="en-GB"/>
        </w:rPr>
        <w:t xml:space="preserve">and intangible investment has grown </w:t>
      </w:r>
      <w:r w:rsidRPr="008F4FF2">
        <w:rPr>
          <w:lang w:val="en-GB"/>
        </w:rPr>
        <w:t>91</w:t>
      </w:r>
      <w:r w:rsidR="00EE66D5" w:rsidRPr="008F4FF2">
        <w:rPr>
          <w:lang w:val="en-GB"/>
        </w:rPr>
        <w:t>,</w:t>
      </w:r>
      <w:r w:rsidRPr="008F4FF2">
        <w:rPr>
          <w:lang w:val="en-GB"/>
        </w:rPr>
        <w:t>92</w:t>
      </w:r>
      <w:r w:rsidR="00C430BB" w:rsidRPr="008F4FF2">
        <w:rPr>
          <w:lang w:val="en-GB"/>
        </w:rPr>
        <w:t>%</w:t>
      </w:r>
      <w:r w:rsidR="007B4205" w:rsidRPr="008F4FF2">
        <w:rPr>
          <w:lang w:val="en-GB"/>
        </w:rPr>
        <w:t>.</w:t>
      </w:r>
      <w:r w:rsidR="008548AF" w:rsidRPr="008F4FF2">
        <w:rPr>
          <w:lang w:val="en-GB"/>
        </w:rPr>
        <w:t xml:space="preserve"> </w:t>
      </w:r>
    </w:p>
    <w:p w14:paraId="39F73CCC" w14:textId="4430F4B5" w:rsidR="00E62CD3" w:rsidRDefault="00CD6347" w:rsidP="00E43858">
      <w:pPr>
        <w:pStyle w:val="BodyText"/>
        <w:spacing w:line="360" w:lineRule="auto"/>
        <w:ind w:right="272" w:firstLine="720"/>
        <w:jc w:val="center"/>
        <w:rPr>
          <w:noProof/>
          <w:lang w:val="en-GB"/>
        </w:rPr>
      </w:pPr>
      <w:r w:rsidRPr="00CD6347">
        <w:rPr>
          <w:b/>
          <w:bCs/>
          <w:lang w:val="en-GB"/>
        </w:rPr>
        <w:lastRenderedPageBreak/>
        <w:t xml:space="preserve">Figure </w:t>
      </w:r>
      <w:r w:rsidR="005168AD">
        <w:rPr>
          <w:b/>
          <w:bCs/>
          <w:lang w:val="en-GB"/>
        </w:rPr>
        <w:t>9</w:t>
      </w:r>
      <w:r w:rsidR="00DF2609">
        <w:rPr>
          <w:b/>
          <w:bCs/>
          <w:lang w:val="en-GB"/>
        </w:rPr>
        <w:t>.</w:t>
      </w:r>
      <w:r w:rsidRPr="00CD6347">
        <w:rPr>
          <w:b/>
          <w:bCs/>
          <w:lang w:val="en-GB"/>
        </w:rPr>
        <w:t xml:space="preserve"> </w:t>
      </w:r>
      <w:r w:rsidR="00E62CD3" w:rsidRPr="00DB4416">
        <w:rPr>
          <w:lang w:val="en-GB"/>
        </w:rPr>
        <w:t>T</w:t>
      </w:r>
      <w:r w:rsidRPr="008602F0">
        <w:rPr>
          <w:lang w:val="en-GB"/>
        </w:rPr>
        <w:t xml:space="preserve">angible and </w:t>
      </w:r>
      <w:r w:rsidR="00E62CD3">
        <w:rPr>
          <w:lang w:val="en-GB"/>
        </w:rPr>
        <w:t>I</w:t>
      </w:r>
      <w:r w:rsidRPr="008602F0">
        <w:rPr>
          <w:lang w:val="en-GB"/>
        </w:rPr>
        <w:t xml:space="preserve">ntangible </w:t>
      </w:r>
      <w:r w:rsidR="00E62CD3">
        <w:rPr>
          <w:lang w:val="en-GB"/>
        </w:rPr>
        <w:t>I</w:t>
      </w:r>
      <w:r w:rsidRPr="008602F0">
        <w:rPr>
          <w:lang w:val="en-GB"/>
        </w:rPr>
        <w:t>nvestment</w:t>
      </w:r>
      <w:r w:rsidR="00E62CD3">
        <w:rPr>
          <w:lang w:val="en-GB"/>
        </w:rPr>
        <w:t xml:space="preserve"> Dynamics</w:t>
      </w:r>
      <w:r w:rsidRPr="008602F0">
        <w:rPr>
          <w:lang w:val="en-GB"/>
        </w:rPr>
        <w:t xml:space="preserve"> (</w:t>
      </w:r>
      <w:r w:rsidR="00E62CD3">
        <w:rPr>
          <w:lang w:val="en-GB"/>
        </w:rPr>
        <w:t xml:space="preserve">Index </w:t>
      </w:r>
      <w:r w:rsidRPr="008602F0">
        <w:rPr>
          <w:lang w:val="en-GB"/>
        </w:rPr>
        <w:t>2012</w:t>
      </w:r>
      <w:r w:rsidR="00157FCC">
        <w:rPr>
          <w:lang w:val="en-GB"/>
        </w:rPr>
        <w:t>:1</w:t>
      </w:r>
      <w:r w:rsidRPr="008602F0">
        <w:rPr>
          <w:lang w:val="en-GB"/>
        </w:rPr>
        <w:t>=100).</w:t>
      </w:r>
      <w:r w:rsidR="00E43858" w:rsidRPr="008602F0">
        <w:rPr>
          <w:noProof/>
          <w:lang w:val="en-GB"/>
        </w:rPr>
        <w:t xml:space="preserve"> </w:t>
      </w:r>
    </w:p>
    <w:p w14:paraId="3B0F4DC5" w14:textId="0D726CDC" w:rsidR="00E62CD3" w:rsidRDefault="00E62CD3" w:rsidP="00E43858">
      <w:pPr>
        <w:pStyle w:val="BodyText"/>
        <w:spacing w:line="360" w:lineRule="auto"/>
        <w:ind w:right="272" w:firstLine="720"/>
        <w:jc w:val="center"/>
        <w:rPr>
          <w:noProof/>
          <w:lang w:val="en-GB"/>
        </w:rPr>
      </w:pPr>
      <w:r>
        <w:rPr>
          <w:noProof/>
          <w:lang w:val="en-GB"/>
        </w:rPr>
        <w:drawing>
          <wp:anchor distT="0" distB="0" distL="114300" distR="114300" simplePos="0" relativeHeight="251685376" behindDoc="1" locked="0" layoutInCell="1" allowOverlap="1" wp14:anchorId="2FEACB9F" wp14:editId="4FAC11FA">
            <wp:simplePos x="0" y="0"/>
            <wp:positionH relativeFrom="margin">
              <wp:posOffset>-89065</wp:posOffset>
            </wp:positionH>
            <wp:positionV relativeFrom="paragraph">
              <wp:posOffset>221615</wp:posOffset>
            </wp:positionV>
            <wp:extent cx="8743950" cy="4915535"/>
            <wp:effectExtent l="0" t="0" r="0" b="0"/>
            <wp:wrapTight wrapText="bothSides">
              <wp:wrapPolygon edited="0">
                <wp:start x="0" y="0"/>
                <wp:lineTo x="0" y="21513"/>
                <wp:lineTo x="21553" y="21513"/>
                <wp:lineTo x="21553" y="0"/>
                <wp:lineTo x="0" y="0"/>
              </wp:wrapPolygon>
            </wp:wrapTight>
            <wp:docPr id="88054563" name="Picture 1" descr="A picture containing text, line, diagram,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54563" name="Picture 1" descr="A picture containing text, line, diagram, font&#10;&#10;Description automatically generated"/>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7844" b="8257"/>
                    <a:stretch/>
                  </pic:blipFill>
                  <pic:spPr bwMode="auto">
                    <a:xfrm>
                      <a:off x="0" y="0"/>
                      <a:ext cx="8743950" cy="49155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A390BE" w14:textId="3C424EBC" w:rsidR="00A221EB" w:rsidRPr="00E62CD3" w:rsidRDefault="000F5DB1" w:rsidP="00E62CD3">
      <w:pPr>
        <w:pStyle w:val="BodyText"/>
        <w:spacing w:line="360" w:lineRule="auto"/>
        <w:ind w:right="272" w:firstLine="720"/>
        <w:jc w:val="center"/>
        <w:rPr>
          <w:noProof/>
          <w:lang w:val="en-GB"/>
        </w:rPr>
      </w:pPr>
      <w:r>
        <w:rPr>
          <w:noProof/>
          <w:lang w:val="en-GB"/>
        </w:rPr>
        <w:lastRenderedPageBreak/>
        <w:drawing>
          <wp:anchor distT="0" distB="0" distL="114300" distR="114300" simplePos="0" relativeHeight="251688448" behindDoc="1" locked="0" layoutInCell="1" allowOverlap="1" wp14:anchorId="3313A5EA" wp14:editId="410276C8">
            <wp:simplePos x="0" y="0"/>
            <wp:positionH relativeFrom="column">
              <wp:posOffset>-62865</wp:posOffset>
            </wp:positionH>
            <wp:positionV relativeFrom="paragraph">
              <wp:posOffset>3175</wp:posOffset>
            </wp:positionV>
            <wp:extent cx="8753475" cy="4968875"/>
            <wp:effectExtent l="0" t="0" r="9525" b="3175"/>
            <wp:wrapTight wrapText="bothSides">
              <wp:wrapPolygon edited="0">
                <wp:start x="0" y="0"/>
                <wp:lineTo x="0" y="21531"/>
                <wp:lineTo x="21576" y="21531"/>
                <wp:lineTo x="21576" y="0"/>
                <wp:lineTo x="0" y="0"/>
              </wp:wrapPolygon>
            </wp:wrapTight>
            <wp:docPr id="568963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8144" b="8691"/>
                    <a:stretch/>
                  </pic:blipFill>
                  <pic:spPr bwMode="auto">
                    <a:xfrm>
                      <a:off x="0" y="0"/>
                      <a:ext cx="8753475" cy="4968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50FB54" w14:textId="63A8C5D9" w:rsidR="00A221EB" w:rsidRPr="0088064C" w:rsidRDefault="000F5DB1" w:rsidP="00A70421">
      <w:pPr>
        <w:pStyle w:val="BodyText"/>
        <w:spacing w:line="360" w:lineRule="auto"/>
        <w:ind w:right="272"/>
        <w:jc w:val="center"/>
        <w:rPr>
          <w:sz w:val="20"/>
          <w:szCs w:val="20"/>
          <w:lang w:val="en-GB"/>
        </w:rPr>
      </w:pPr>
      <w:r w:rsidRPr="0088064C">
        <w:rPr>
          <w:sz w:val="20"/>
          <w:szCs w:val="20"/>
          <w:lang w:val="en-GB"/>
        </w:rPr>
        <w:t>Source: OECD.</w:t>
      </w:r>
    </w:p>
    <w:p w14:paraId="2954A3BB" w14:textId="1BDCAA9B" w:rsidR="000F5DB1" w:rsidRDefault="000F5DB1" w:rsidP="00A221EB">
      <w:pPr>
        <w:pStyle w:val="BodyText"/>
        <w:spacing w:line="360" w:lineRule="auto"/>
        <w:ind w:right="272"/>
        <w:jc w:val="both"/>
        <w:rPr>
          <w:lang w:val="en-GB"/>
        </w:rPr>
        <w:sectPr w:rsidR="000F5DB1" w:rsidSect="00E43858">
          <w:pgSz w:w="16840" w:h="11910" w:orient="landscape"/>
          <w:pgMar w:top="1985" w:right="1701" w:bottom="1418" w:left="1701" w:header="0" w:footer="1004" w:gutter="0"/>
          <w:cols w:space="720"/>
        </w:sectPr>
      </w:pPr>
    </w:p>
    <w:p w14:paraId="5C8F38AA" w14:textId="5FC3163E" w:rsidR="00113B5C" w:rsidRPr="0052118C" w:rsidRDefault="00113B5C" w:rsidP="00A3169E">
      <w:pPr>
        <w:pStyle w:val="BodyText"/>
        <w:spacing w:line="360" w:lineRule="auto"/>
        <w:ind w:firstLine="720"/>
        <w:jc w:val="both"/>
        <w:rPr>
          <w:lang w:val="en-GB"/>
        </w:rPr>
      </w:pPr>
      <w:r w:rsidRPr="0052118C">
        <w:rPr>
          <w:lang w:val="en-GB"/>
        </w:rPr>
        <w:lastRenderedPageBreak/>
        <w:t>We use the rate of capacity utilization in manufacturing, from OECD- Business Tendency Surveys for Manufacturing, as a proxy of aggregate demand (see Figure 1</w:t>
      </w:r>
      <w:r w:rsidR="006A15E2" w:rsidRPr="0052118C">
        <w:rPr>
          <w:lang w:val="en-GB"/>
        </w:rPr>
        <w:t>0</w:t>
      </w:r>
      <w:r w:rsidRPr="0052118C">
        <w:rPr>
          <w:lang w:val="en-GB"/>
        </w:rPr>
        <w:t>).</w:t>
      </w:r>
    </w:p>
    <w:p w14:paraId="40A00BD7" w14:textId="1F6C7163" w:rsidR="00662396" w:rsidRPr="0052118C" w:rsidRDefault="00113B5C" w:rsidP="00A3169E">
      <w:pPr>
        <w:pStyle w:val="BodyText"/>
        <w:spacing w:line="360" w:lineRule="auto"/>
        <w:ind w:firstLine="720"/>
        <w:jc w:val="both"/>
        <w:rPr>
          <w:lang w:val="en-GB"/>
        </w:rPr>
      </w:pPr>
      <w:r w:rsidRPr="0052118C">
        <w:rPr>
          <w:lang w:val="en-GB"/>
        </w:rPr>
        <w:t>Figure 1</w:t>
      </w:r>
      <w:r w:rsidR="006A15E2" w:rsidRPr="0052118C">
        <w:rPr>
          <w:lang w:val="en-GB"/>
        </w:rPr>
        <w:t>0</w:t>
      </w:r>
      <w:r w:rsidRPr="0052118C">
        <w:rPr>
          <w:lang w:val="en-GB"/>
        </w:rPr>
        <w:t xml:space="preserve"> shows </w:t>
      </w:r>
      <w:r w:rsidR="000B713E" w:rsidRPr="0052118C">
        <w:rPr>
          <w:lang w:val="en-GB"/>
        </w:rPr>
        <w:t>that</w:t>
      </w:r>
      <w:r w:rsidR="00662396" w:rsidRPr="0052118C">
        <w:rPr>
          <w:lang w:val="en-GB"/>
        </w:rPr>
        <w:t xml:space="preserve"> </w:t>
      </w:r>
      <w:r w:rsidRPr="0052118C">
        <w:rPr>
          <w:lang w:val="en-GB"/>
        </w:rPr>
        <w:t>from the first quarter of</w:t>
      </w:r>
      <w:r w:rsidR="00662396" w:rsidRPr="0052118C">
        <w:rPr>
          <w:lang w:val="en-GB"/>
        </w:rPr>
        <w:t xml:space="preserve"> 2000 </w:t>
      </w:r>
      <w:r w:rsidRPr="0052118C">
        <w:rPr>
          <w:lang w:val="en-GB"/>
        </w:rPr>
        <w:t xml:space="preserve">to </w:t>
      </w:r>
      <w:r w:rsidR="00662396" w:rsidRPr="0052118C">
        <w:rPr>
          <w:lang w:val="en-GB"/>
        </w:rPr>
        <w:t>the last quarter of 2006,</w:t>
      </w:r>
      <w:r w:rsidRPr="0052118C">
        <w:rPr>
          <w:lang w:val="en-GB"/>
        </w:rPr>
        <w:t xml:space="preserve"> the rate of capacity utilization was relatively stable in</w:t>
      </w:r>
      <w:r w:rsidR="000B713E" w:rsidRPr="0052118C">
        <w:rPr>
          <w:lang w:val="en-GB"/>
        </w:rPr>
        <w:t xml:space="preserve"> Canada, France, Germany, Italy and </w:t>
      </w:r>
      <w:r w:rsidRPr="0052118C">
        <w:rPr>
          <w:lang w:val="en-GB"/>
        </w:rPr>
        <w:t xml:space="preserve">in </w:t>
      </w:r>
      <w:r w:rsidR="000B713E" w:rsidRPr="0052118C">
        <w:rPr>
          <w:lang w:val="en-GB"/>
        </w:rPr>
        <w:t>the United Kingdom</w:t>
      </w:r>
      <w:r w:rsidR="00DC64C7" w:rsidRPr="0052118C">
        <w:rPr>
          <w:lang w:val="en-GB"/>
        </w:rPr>
        <w:t>. T</w:t>
      </w:r>
      <w:r w:rsidR="000B713E" w:rsidRPr="0052118C">
        <w:rPr>
          <w:lang w:val="en-GB"/>
        </w:rPr>
        <w:t xml:space="preserve">he United States and Japan are exceptions, as within this period </w:t>
      </w:r>
      <w:r w:rsidR="00DC64C7" w:rsidRPr="0052118C">
        <w:rPr>
          <w:lang w:val="en-GB"/>
        </w:rPr>
        <w:t>this rate displayed more volatility. After the third</w:t>
      </w:r>
      <w:r w:rsidR="000B713E" w:rsidRPr="0052118C">
        <w:rPr>
          <w:lang w:val="en-GB"/>
        </w:rPr>
        <w:t xml:space="preserve"> quarter of 2007</w:t>
      </w:r>
      <w:r w:rsidR="00DC64C7" w:rsidRPr="0052118C">
        <w:rPr>
          <w:lang w:val="en-GB"/>
        </w:rPr>
        <w:t xml:space="preserve"> (</w:t>
      </w:r>
      <w:r w:rsidR="0052118C">
        <w:rPr>
          <w:lang w:val="en-GB"/>
        </w:rPr>
        <w:t>which</w:t>
      </w:r>
      <w:r w:rsidR="00DC64C7" w:rsidRPr="0052118C">
        <w:rPr>
          <w:lang w:val="en-GB"/>
        </w:rPr>
        <w:t xml:space="preserve"> marks the beginning of the recent financial crises)</w:t>
      </w:r>
      <w:r w:rsidR="000B713E" w:rsidRPr="0052118C">
        <w:rPr>
          <w:lang w:val="en-GB"/>
        </w:rPr>
        <w:t>,</w:t>
      </w:r>
      <w:r w:rsidR="00DC64C7" w:rsidRPr="0052118C">
        <w:rPr>
          <w:lang w:val="en-GB"/>
        </w:rPr>
        <w:t xml:space="preserve"> </w:t>
      </w:r>
      <w:r w:rsidR="000B713E" w:rsidRPr="0052118C">
        <w:rPr>
          <w:lang w:val="en-GB"/>
        </w:rPr>
        <w:t>there was a steep decline in the rate of capacity utilization</w:t>
      </w:r>
      <w:r w:rsidR="00DC64C7" w:rsidRPr="0052118C">
        <w:rPr>
          <w:lang w:val="en-GB"/>
        </w:rPr>
        <w:t xml:space="preserve"> in </w:t>
      </w:r>
      <w:r w:rsidR="00290468" w:rsidRPr="0052118C">
        <w:rPr>
          <w:lang w:val="en-GB"/>
        </w:rPr>
        <w:t>all</w:t>
      </w:r>
      <w:r w:rsidR="00DC64C7" w:rsidRPr="0052118C">
        <w:rPr>
          <w:lang w:val="en-GB"/>
        </w:rPr>
        <w:t xml:space="preserve"> the countries. </w:t>
      </w:r>
      <w:r w:rsidR="000B713E" w:rsidRPr="0052118C">
        <w:rPr>
          <w:lang w:val="en-GB"/>
        </w:rPr>
        <w:t xml:space="preserve">The recovery of the capacity utilization rates after the 2007-2008 financial crisis </w:t>
      </w:r>
      <w:r w:rsidR="00576AC2" w:rsidRPr="0052118C">
        <w:rPr>
          <w:lang w:val="en-GB"/>
        </w:rPr>
        <w:t>was almost complete</w:t>
      </w:r>
      <w:r w:rsidR="00DC64C7" w:rsidRPr="0052118C">
        <w:rPr>
          <w:lang w:val="en-GB"/>
        </w:rPr>
        <w:t xml:space="preserve"> after </w:t>
      </w:r>
      <w:r w:rsidR="000B713E" w:rsidRPr="0052118C">
        <w:rPr>
          <w:lang w:val="en-GB"/>
        </w:rPr>
        <w:t xml:space="preserve">the </w:t>
      </w:r>
      <w:r w:rsidR="00DC64C7" w:rsidRPr="0052118C">
        <w:rPr>
          <w:lang w:val="en-GB"/>
        </w:rPr>
        <w:t xml:space="preserve">first quarter </w:t>
      </w:r>
      <w:r w:rsidR="000B713E" w:rsidRPr="0052118C">
        <w:rPr>
          <w:lang w:val="en-GB"/>
        </w:rPr>
        <w:t>of 2012</w:t>
      </w:r>
      <w:r w:rsidR="00CA6A4C" w:rsidRPr="0052118C">
        <w:rPr>
          <w:lang w:val="en-GB"/>
        </w:rPr>
        <w:t xml:space="preserve">. </w:t>
      </w:r>
      <w:r w:rsidR="00215BBB" w:rsidRPr="0052118C">
        <w:rPr>
          <w:lang w:val="en-GB"/>
        </w:rPr>
        <w:t>F</w:t>
      </w:r>
      <w:r w:rsidR="000B713E" w:rsidRPr="0052118C">
        <w:rPr>
          <w:lang w:val="en-GB"/>
        </w:rPr>
        <w:t>rom then onwards we observe a relative stability of this rate, for all countries</w:t>
      </w:r>
      <w:r w:rsidR="006A1802" w:rsidRPr="0052118C">
        <w:rPr>
          <w:lang w:val="en-GB"/>
        </w:rPr>
        <w:t>,</w:t>
      </w:r>
      <w:r w:rsidR="000B713E" w:rsidRPr="0052118C">
        <w:rPr>
          <w:lang w:val="en-GB"/>
        </w:rPr>
        <w:t xml:space="preserve"> </w:t>
      </w:r>
      <w:r w:rsidR="006A1802" w:rsidRPr="0052118C">
        <w:rPr>
          <w:lang w:val="en-GB"/>
        </w:rPr>
        <w:t xml:space="preserve">until the </w:t>
      </w:r>
      <w:r w:rsidR="00576AC2" w:rsidRPr="0052118C">
        <w:rPr>
          <w:lang w:val="en-GB"/>
        </w:rPr>
        <w:t>emergenc</w:t>
      </w:r>
      <w:r w:rsidR="0052118C">
        <w:rPr>
          <w:lang w:val="en-GB"/>
        </w:rPr>
        <w:t>e</w:t>
      </w:r>
      <w:r w:rsidR="00576AC2" w:rsidRPr="0052118C">
        <w:rPr>
          <w:lang w:val="en-GB"/>
        </w:rPr>
        <w:t xml:space="preserve"> of the </w:t>
      </w:r>
      <w:r w:rsidR="006A1802" w:rsidRPr="0052118C">
        <w:rPr>
          <w:lang w:val="en-GB"/>
        </w:rPr>
        <w:t>Covid</w:t>
      </w:r>
      <w:r w:rsidR="00576AC2" w:rsidRPr="0052118C">
        <w:rPr>
          <w:lang w:val="en-GB"/>
        </w:rPr>
        <w:t xml:space="preserve">-19 </w:t>
      </w:r>
      <w:r w:rsidR="006A1802" w:rsidRPr="0052118C">
        <w:rPr>
          <w:lang w:val="en-GB"/>
        </w:rPr>
        <w:t>pandemic. This time</w:t>
      </w:r>
      <w:r w:rsidR="0052118C">
        <w:rPr>
          <w:lang w:val="en-GB"/>
        </w:rPr>
        <w:t>,</w:t>
      </w:r>
      <w:r w:rsidR="006A1802" w:rsidRPr="0052118C">
        <w:rPr>
          <w:lang w:val="en-GB"/>
        </w:rPr>
        <w:t xml:space="preserve"> however,</w:t>
      </w:r>
      <w:r w:rsidR="00662396" w:rsidRPr="0052118C">
        <w:rPr>
          <w:lang w:val="en-GB"/>
        </w:rPr>
        <w:t xml:space="preserve"> </w:t>
      </w:r>
      <w:r w:rsidR="006A1802" w:rsidRPr="0052118C">
        <w:rPr>
          <w:lang w:val="en-GB"/>
        </w:rPr>
        <w:t>the recovery of the rate of capacity utilization was much faster</w:t>
      </w:r>
      <w:r w:rsidR="00576AC2" w:rsidRPr="0052118C">
        <w:rPr>
          <w:lang w:val="en-GB"/>
        </w:rPr>
        <w:t xml:space="preserve"> in all the G7 countries</w:t>
      </w:r>
      <w:r w:rsidR="00CA6A4C" w:rsidRPr="0052118C">
        <w:rPr>
          <w:lang w:val="en-GB"/>
        </w:rPr>
        <w:t xml:space="preserve"> (for which we have data)</w:t>
      </w:r>
      <w:r w:rsidR="006A1802" w:rsidRPr="0052118C">
        <w:rPr>
          <w:lang w:val="en-GB"/>
        </w:rPr>
        <w:t>.</w:t>
      </w:r>
    </w:p>
    <w:p w14:paraId="04C40664" w14:textId="6FDFAC26" w:rsidR="00844145" w:rsidRDefault="00844145" w:rsidP="00913797">
      <w:pPr>
        <w:pStyle w:val="BodyText"/>
        <w:spacing w:line="360" w:lineRule="auto"/>
        <w:ind w:firstLine="720"/>
        <w:jc w:val="both"/>
        <w:rPr>
          <w:lang w:val="en-GB"/>
        </w:rPr>
        <w:sectPr w:rsidR="00844145" w:rsidSect="00A3169E">
          <w:pgSz w:w="11910" w:h="16840"/>
          <w:pgMar w:top="1701" w:right="1418" w:bottom="1701" w:left="1985" w:header="0" w:footer="1004" w:gutter="0"/>
          <w:cols w:space="720"/>
        </w:sectPr>
      </w:pPr>
      <w:r w:rsidRPr="0052118C">
        <w:rPr>
          <w:lang w:val="en-GB"/>
        </w:rPr>
        <w:t xml:space="preserve">Concerning the non-hysteretic explanatory variables, we use the Long-Term Government Bond Yields – </w:t>
      </w:r>
      <w:r w:rsidR="00257BB9" w:rsidRPr="0052118C">
        <w:rPr>
          <w:lang w:val="en-GB"/>
        </w:rPr>
        <w:t>10-year</w:t>
      </w:r>
      <w:r w:rsidRPr="0052118C">
        <w:rPr>
          <w:lang w:val="en-GB"/>
        </w:rPr>
        <w:t xml:space="preserve"> benchmark maturity for the interest rate, </w:t>
      </w:r>
      <m:oMath>
        <m:sSub>
          <m:sSubPr>
            <m:ctrlPr>
              <w:rPr>
                <w:rFonts w:ascii="Cambria Math" w:hAnsi="Cambria Math"/>
                <w:i/>
                <w:lang w:val="en-GB"/>
              </w:rPr>
            </m:ctrlPr>
          </m:sSubPr>
          <m:e>
            <m:r>
              <w:rPr>
                <w:rFonts w:ascii="Cambria Math" w:hAnsi="Cambria Math"/>
                <w:lang w:val="en-GB"/>
              </w:rPr>
              <m:t>i</m:t>
            </m:r>
          </m:e>
          <m:sub>
            <m:r>
              <w:rPr>
                <w:rFonts w:ascii="Cambria Math" w:hAnsi="Cambria Math"/>
                <w:lang w:val="en-GB"/>
              </w:rPr>
              <m:t>t</m:t>
            </m:r>
          </m:sub>
        </m:sSub>
      </m:oMath>
      <w:r w:rsidRPr="0052118C">
        <w:rPr>
          <w:lang w:val="en-GB"/>
        </w:rPr>
        <w:t>,</w:t>
      </w:r>
      <w:r w:rsidR="0026433F" w:rsidRPr="0052118C">
        <w:rPr>
          <w:lang w:val="en-GB"/>
        </w:rPr>
        <w:t xml:space="preserve"> obtained from OECD- Main Economic Indicators. And the business confidence indicator from OECD- Business Tendency Surveys for Manufacturing</w:t>
      </w:r>
      <w:r w:rsidR="00983F3D" w:rsidRPr="0052118C">
        <w:rPr>
          <w:rStyle w:val="FootnoteReference"/>
          <w:lang w:val="en-GB"/>
        </w:rPr>
        <w:footnoteReference w:id="9"/>
      </w:r>
      <w:r w:rsidR="0026433F" w:rsidRPr="0052118C">
        <w:rPr>
          <w:lang w:val="en-GB"/>
        </w:rPr>
        <w:t xml:space="preserve">, used as a proxy of “animal spirits”, captured in Equation </w:t>
      </w:r>
      <w:r w:rsidR="00D54AA2">
        <w:rPr>
          <w:lang w:val="en-GB"/>
        </w:rPr>
        <w:t>3</w:t>
      </w:r>
      <w:r w:rsidR="0026433F" w:rsidRPr="0052118C">
        <w:rPr>
          <w:lang w:val="en-GB"/>
        </w:rPr>
        <w:t xml:space="preserve">.1. by </w:t>
      </w:r>
      <m:oMath>
        <m:sSub>
          <m:sSubPr>
            <m:ctrlPr>
              <w:rPr>
                <w:rFonts w:ascii="Cambria Math" w:hAnsi="Cambria Math"/>
                <w:i/>
                <w:lang w:val="en-GB"/>
              </w:rPr>
            </m:ctrlPr>
          </m:sSubPr>
          <m:e>
            <m:r>
              <w:rPr>
                <w:rFonts w:ascii="Cambria Math" w:hAnsi="Cambria Math"/>
                <w:lang w:val="en-GB"/>
              </w:rPr>
              <m:t>BCI</m:t>
            </m:r>
          </m:e>
          <m:sub>
            <m:r>
              <w:rPr>
                <w:rFonts w:ascii="Cambria Math" w:hAnsi="Cambria Math"/>
                <w:lang w:val="en-GB"/>
              </w:rPr>
              <m:t>t</m:t>
            </m:r>
          </m:sub>
        </m:sSub>
      </m:oMath>
      <w:r w:rsidR="0026433F" w:rsidRPr="0052118C">
        <w:rPr>
          <w:lang w:val="en-GB"/>
        </w:rPr>
        <w:t>.</w:t>
      </w:r>
    </w:p>
    <w:p w14:paraId="6D820060" w14:textId="7B1194D3" w:rsidR="00936884" w:rsidRDefault="00D40913" w:rsidP="00662396">
      <w:pPr>
        <w:pStyle w:val="BodyText"/>
        <w:spacing w:line="360" w:lineRule="auto"/>
        <w:ind w:firstLine="720"/>
        <w:jc w:val="center"/>
        <w:rPr>
          <w:lang w:val="en-GB"/>
        </w:rPr>
      </w:pPr>
      <w:r w:rsidRPr="00520437">
        <w:rPr>
          <w:b/>
          <w:bCs/>
          <w:lang w:val="en-GB"/>
        </w:rPr>
        <w:lastRenderedPageBreak/>
        <w:t>Figure 1</w:t>
      </w:r>
      <w:r w:rsidR="005168AD">
        <w:rPr>
          <w:b/>
          <w:bCs/>
          <w:lang w:val="en-GB"/>
        </w:rPr>
        <w:t>0</w:t>
      </w:r>
      <w:r w:rsidR="00DF2609">
        <w:rPr>
          <w:b/>
          <w:bCs/>
          <w:lang w:val="en-GB"/>
        </w:rPr>
        <w:t>.</w:t>
      </w:r>
      <w:r w:rsidRPr="00520437">
        <w:rPr>
          <w:b/>
          <w:bCs/>
          <w:lang w:val="en-GB"/>
        </w:rPr>
        <w:t xml:space="preserve"> </w:t>
      </w:r>
      <w:r w:rsidR="00520437" w:rsidRPr="008602F0">
        <w:rPr>
          <w:lang w:val="en-GB"/>
        </w:rPr>
        <w:t>R</w:t>
      </w:r>
      <w:r w:rsidRPr="008602F0">
        <w:rPr>
          <w:lang w:val="en-GB"/>
        </w:rPr>
        <w:t xml:space="preserve">ate of </w:t>
      </w:r>
      <w:r w:rsidR="00157FCC">
        <w:rPr>
          <w:lang w:val="en-GB"/>
        </w:rPr>
        <w:t>C</w:t>
      </w:r>
      <w:r w:rsidRPr="008602F0">
        <w:rPr>
          <w:lang w:val="en-GB"/>
        </w:rPr>
        <w:t xml:space="preserve">apacity </w:t>
      </w:r>
      <w:r w:rsidR="00157FCC">
        <w:rPr>
          <w:lang w:val="en-GB"/>
        </w:rPr>
        <w:t>U</w:t>
      </w:r>
      <w:r w:rsidRPr="008602F0">
        <w:rPr>
          <w:lang w:val="en-GB"/>
        </w:rPr>
        <w:t>tilization</w:t>
      </w:r>
      <w:r w:rsidR="00CA6A4C">
        <w:rPr>
          <w:lang w:val="en-GB"/>
        </w:rPr>
        <w:t xml:space="preserve"> in</w:t>
      </w:r>
      <w:r w:rsidR="00520437" w:rsidRPr="008602F0">
        <w:rPr>
          <w:lang w:val="en-GB"/>
        </w:rPr>
        <w:t xml:space="preserve"> </w:t>
      </w:r>
      <w:r w:rsidR="00157FCC">
        <w:rPr>
          <w:lang w:val="en-GB"/>
        </w:rPr>
        <w:t>M</w:t>
      </w:r>
      <w:r w:rsidR="00520437" w:rsidRPr="008602F0">
        <w:rPr>
          <w:lang w:val="en-GB"/>
        </w:rPr>
        <w:t>anufacturing.</w:t>
      </w:r>
    </w:p>
    <w:p w14:paraId="26572632" w14:textId="77777777" w:rsidR="00682C01" w:rsidRPr="00FB0BDF" w:rsidRDefault="00682C01" w:rsidP="00662396">
      <w:pPr>
        <w:pStyle w:val="BodyText"/>
        <w:spacing w:line="360" w:lineRule="auto"/>
        <w:ind w:firstLine="720"/>
        <w:jc w:val="center"/>
        <w:rPr>
          <w:lang w:val="en-GB"/>
        </w:rPr>
      </w:pPr>
    </w:p>
    <w:p w14:paraId="1B54718D" w14:textId="527419F1" w:rsidR="00662396" w:rsidRDefault="00124352" w:rsidP="00A3169E">
      <w:pPr>
        <w:pStyle w:val="BodyText"/>
        <w:spacing w:line="360" w:lineRule="auto"/>
        <w:ind w:firstLine="720"/>
        <w:jc w:val="both"/>
        <w:rPr>
          <w:lang w:val="en-GB"/>
        </w:rPr>
      </w:pPr>
      <w:r>
        <w:rPr>
          <w:noProof/>
          <w:lang w:val="en-GB"/>
        </w:rPr>
        <w:drawing>
          <wp:inline distT="0" distB="0" distL="0" distR="0" wp14:anchorId="6BCAC96D" wp14:editId="2EA83DDE">
            <wp:extent cx="7634952" cy="4667416"/>
            <wp:effectExtent l="0" t="0" r="4445" b="0"/>
            <wp:docPr id="19400619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6955" b="6562"/>
                    <a:stretch/>
                  </pic:blipFill>
                  <pic:spPr bwMode="auto">
                    <a:xfrm>
                      <a:off x="0" y="0"/>
                      <a:ext cx="7635875" cy="4667980"/>
                    </a:xfrm>
                    <a:prstGeom prst="rect">
                      <a:avLst/>
                    </a:prstGeom>
                    <a:noFill/>
                    <a:ln>
                      <a:noFill/>
                    </a:ln>
                    <a:extLst>
                      <a:ext uri="{53640926-AAD7-44D8-BBD7-CCE9431645EC}">
                        <a14:shadowObscured xmlns:a14="http://schemas.microsoft.com/office/drawing/2010/main"/>
                      </a:ext>
                    </a:extLst>
                  </pic:spPr>
                </pic:pic>
              </a:graphicData>
            </a:graphic>
          </wp:inline>
        </w:drawing>
      </w:r>
    </w:p>
    <w:p w14:paraId="493BB5D9" w14:textId="77777777" w:rsidR="00413581" w:rsidRDefault="00124352" w:rsidP="00413581">
      <w:pPr>
        <w:pStyle w:val="BodyText"/>
        <w:spacing w:line="360" w:lineRule="auto"/>
        <w:ind w:right="272"/>
        <w:jc w:val="center"/>
        <w:rPr>
          <w:lang w:val="en-GB"/>
        </w:rPr>
      </w:pPr>
      <w:r>
        <w:rPr>
          <w:noProof/>
          <w:lang w:val="en-GB"/>
        </w:rPr>
        <w:lastRenderedPageBreak/>
        <w:drawing>
          <wp:anchor distT="0" distB="0" distL="114300" distR="114300" simplePos="0" relativeHeight="251689472" behindDoc="1" locked="0" layoutInCell="1" allowOverlap="1" wp14:anchorId="110CE9F8" wp14:editId="743DBEBE">
            <wp:simplePos x="0" y="0"/>
            <wp:positionH relativeFrom="column">
              <wp:posOffset>414655</wp:posOffset>
            </wp:positionH>
            <wp:positionV relativeFrom="paragraph">
              <wp:posOffset>3175</wp:posOffset>
            </wp:positionV>
            <wp:extent cx="7625080" cy="5017135"/>
            <wp:effectExtent l="0" t="0" r="0" b="0"/>
            <wp:wrapTight wrapText="bothSides">
              <wp:wrapPolygon edited="0">
                <wp:start x="0" y="0"/>
                <wp:lineTo x="0" y="21488"/>
                <wp:lineTo x="21532" y="21488"/>
                <wp:lineTo x="21532" y="0"/>
                <wp:lineTo x="0" y="0"/>
              </wp:wrapPolygon>
            </wp:wrapTight>
            <wp:docPr id="15196572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6481" b="6771"/>
                    <a:stretch/>
                  </pic:blipFill>
                  <pic:spPr bwMode="auto">
                    <a:xfrm>
                      <a:off x="0" y="0"/>
                      <a:ext cx="7625080" cy="50171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23" w:name="_Hlk136438825"/>
      <w:bookmarkStart w:id="24" w:name="_Hlk136438808"/>
    </w:p>
    <w:p w14:paraId="3C63EB40" w14:textId="77777777" w:rsidR="00413581" w:rsidRDefault="00413581" w:rsidP="00413581">
      <w:pPr>
        <w:pStyle w:val="BodyText"/>
        <w:spacing w:line="360" w:lineRule="auto"/>
        <w:ind w:right="272"/>
        <w:jc w:val="center"/>
        <w:rPr>
          <w:lang w:val="en-GB"/>
        </w:rPr>
      </w:pPr>
    </w:p>
    <w:p w14:paraId="27040EF1" w14:textId="2DA2B9E2" w:rsidR="00413581" w:rsidRPr="0088064C" w:rsidRDefault="00413581" w:rsidP="00413581">
      <w:pPr>
        <w:pStyle w:val="BodyText"/>
        <w:spacing w:line="360" w:lineRule="auto"/>
        <w:ind w:right="272"/>
        <w:jc w:val="center"/>
        <w:rPr>
          <w:sz w:val="20"/>
          <w:szCs w:val="20"/>
          <w:lang w:val="en-GB"/>
        </w:rPr>
      </w:pPr>
      <w:r w:rsidRPr="0088064C">
        <w:rPr>
          <w:sz w:val="20"/>
          <w:szCs w:val="20"/>
          <w:lang w:val="en-GB"/>
        </w:rPr>
        <w:t>Source: OECD. Business Tendency Surveys.</w:t>
      </w:r>
    </w:p>
    <w:p w14:paraId="3AD8F590" w14:textId="20DBB038" w:rsidR="009909BC" w:rsidRDefault="009909BC" w:rsidP="00413581">
      <w:pPr>
        <w:rPr>
          <w:lang w:val="en-GB"/>
        </w:rPr>
        <w:sectPr w:rsidR="009909BC" w:rsidSect="00124352">
          <w:pgSz w:w="16840" w:h="11910" w:orient="landscape"/>
          <w:pgMar w:top="1985" w:right="2381" w:bottom="1418" w:left="1701" w:header="0" w:footer="1004" w:gutter="0"/>
          <w:cols w:space="720"/>
        </w:sectPr>
      </w:pPr>
    </w:p>
    <w:p w14:paraId="1740634F" w14:textId="0568414B" w:rsidR="00A918DB" w:rsidRPr="0063438A" w:rsidRDefault="00A918DB" w:rsidP="00A918DB">
      <w:pPr>
        <w:jc w:val="both"/>
        <w:rPr>
          <w:sz w:val="24"/>
          <w:szCs w:val="24"/>
          <w:lang w:val="en-GB"/>
        </w:rPr>
      </w:pPr>
      <w:r w:rsidRPr="009909BC">
        <w:rPr>
          <w:b/>
          <w:bCs/>
          <w:sz w:val="28"/>
          <w:szCs w:val="28"/>
          <w:lang w:val="en-GB"/>
        </w:rPr>
        <w:lastRenderedPageBreak/>
        <w:t xml:space="preserve">Chapter </w:t>
      </w:r>
      <w:r w:rsidR="0057618F">
        <w:rPr>
          <w:b/>
          <w:bCs/>
          <w:sz w:val="28"/>
          <w:szCs w:val="28"/>
          <w:lang w:val="en-GB"/>
        </w:rPr>
        <w:t>4</w:t>
      </w:r>
      <w:r w:rsidRPr="009909BC">
        <w:rPr>
          <w:b/>
          <w:bCs/>
          <w:sz w:val="28"/>
          <w:szCs w:val="28"/>
          <w:lang w:val="en-GB"/>
        </w:rPr>
        <w:t xml:space="preserve">. </w:t>
      </w:r>
      <w:r w:rsidR="00721B7B" w:rsidRPr="009909BC">
        <w:rPr>
          <w:b/>
          <w:bCs/>
          <w:sz w:val="28"/>
          <w:szCs w:val="28"/>
          <w:lang w:val="en-GB"/>
        </w:rPr>
        <w:t>Results of the Estimation</w:t>
      </w:r>
    </w:p>
    <w:p w14:paraId="27F945DA" w14:textId="77777777" w:rsidR="00A918DB" w:rsidRPr="0063438A" w:rsidRDefault="00A918DB" w:rsidP="00A35328">
      <w:pPr>
        <w:ind w:firstLine="720"/>
        <w:jc w:val="both"/>
        <w:rPr>
          <w:sz w:val="24"/>
          <w:szCs w:val="24"/>
          <w:lang w:val="en-GB"/>
        </w:rPr>
      </w:pPr>
    </w:p>
    <w:p w14:paraId="7A1EB18C" w14:textId="77777777" w:rsidR="00A918DB" w:rsidRPr="00A918DB" w:rsidRDefault="00A918DB" w:rsidP="00A918DB">
      <w:pPr>
        <w:pStyle w:val="ListParagraph"/>
        <w:numPr>
          <w:ilvl w:val="0"/>
          <w:numId w:val="8"/>
        </w:numPr>
        <w:tabs>
          <w:tab w:val="left" w:pos="934"/>
        </w:tabs>
        <w:spacing w:before="1"/>
        <w:jc w:val="both"/>
        <w:outlineLvl w:val="2"/>
        <w:rPr>
          <w:b/>
          <w:bCs/>
          <w:vanish/>
          <w:sz w:val="24"/>
          <w:szCs w:val="24"/>
          <w:lang w:val="en-GB"/>
        </w:rPr>
      </w:pPr>
    </w:p>
    <w:p w14:paraId="126C517D" w14:textId="6E2E463C" w:rsidR="007D69A8" w:rsidRDefault="00EF5300" w:rsidP="0025512C">
      <w:pPr>
        <w:spacing w:line="360" w:lineRule="auto"/>
        <w:ind w:firstLine="720"/>
        <w:jc w:val="both"/>
        <w:rPr>
          <w:sz w:val="24"/>
          <w:szCs w:val="24"/>
          <w:lang w:val="en-GB"/>
        </w:rPr>
      </w:pPr>
      <w:r>
        <w:rPr>
          <w:sz w:val="24"/>
          <w:szCs w:val="24"/>
          <w:lang w:val="en-GB"/>
        </w:rPr>
        <w:t>When</w:t>
      </w:r>
      <w:r w:rsidR="007D69A8">
        <w:rPr>
          <w:sz w:val="24"/>
          <w:szCs w:val="24"/>
          <w:lang w:val="en-GB"/>
        </w:rPr>
        <w:t xml:space="preserve"> using</w:t>
      </w:r>
      <w:r>
        <w:rPr>
          <w:sz w:val="24"/>
          <w:szCs w:val="24"/>
          <w:lang w:val="en-GB"/>
        </w:rPr>
        <w:t xml:space="preserve"> </w:t>
      </w:r>
      <w:r w:rsidR="00394D7A">
        <w:rPr>
          <w:sz w:val="24"/>
          <w:szCs w:val="24"/>
          <w:lang w:val="en-GB"/>
        </w:rPr>
        <w:t xml:space="preserve">aggregated </w:t>
      </w:r>
      <w:r>
        <w:rPr>
          <w:sz w:val="24"/>
          <w:szCs w:val="24"/>
          <w:lang w:val="en-GB"/>
        </w:rPr>
        <w:t xml:space="preserve">time </w:t>
      </w:r>
      <w:r w:rsidR="006F1F62">
        <w:rPr>
          <w:sz w:val="24"/>
          <w:szCs w:val="24"/>
          <w:lang w:val="en-GB"/>
        </w:rPr>
        <w:t>series,</w:t>
      </w:r>
      <w:r>
        <w:rPr>
          <w:sz w:val="24"/>
          <w:szCs w:val="24"/>
          <w:lang w:val="en-GB"/>
        </w:rPr>
        <w:t xml:space="preserve"> it is of the utmost importance to analyse their stationarity. If the series are non-stationary, spurious correlations could be found and misleading </w:t>
      </w:r>
      <w:bookmarkEnd w:id="23"/>
      <w:r>
        <w:rPr>
          <w:sz w:val="24"/>
          <w:szCs w:val="24"/>
          <w:lang w:val="en-GB"/>
        </w:rPr>
        <w:t xml:space="preserve">conclusions would follow suit. To ensure the estimation results have any validity and </w:t>
      </w:r>
      <w:bookmarkEnd w:id="24"/>
      <w:r>
        <w:rPr>
          <w:sz w:val="24"/>
          <w:szCs w:val="24"/>
          <w:lang w:val="en-GB"/>
        </w:rPr>
        <w:t>meaning it is essential to test the stationarity of the variable series.</w:t>
      </w:r>
    </w:p>
    <w:p w14:paraId="51DAE4F0" w14:textId="2F096DA7" w:rsidR="006F1F62" w:rsidRDefault="007D69A8" w:rsidP="0025512C">
      <w:pPr>
        <w:spacing w:line="360" w:lineRule="auto"/>
        <w:ind w:firstLine="720"/>
        <w:jc w:val="both"/>
        <w:rPr>
          <w:sz w:val="24"/>
          <w:szCs w:val="24"/>
          <w:lang w:val="en-GB"/>
        </w:rPr>
        <w:sectPr w:rsidR="006F1F62" w:rsidSect="009909BC">
          <w:pgSz w:w="11910" w:h="16840"/>
          <w:pgMar w:top="1701" w:right="1418" w:bottom="1701" w:left="1985" w:header="0" w:footer="1004" w:gutter="0"/>
          <w:cols w:space="720"/>
        </w:sectPr>
      </w:pPr>
      <w:r>
        <w:rPr>
          <w:sz w:val="24"/>
          <w:szCs w:val="24"/>
          <w:lang w:val="en-GB"/>
        </w:rPr>
        <w:t>W</w:t>
      </w:r>
      <w:r w:rsidR="00EF5300">
        <w:rPr>
          <w:sz w:val="24"/>
          <w:szCs w:val="24"/>
          <w:lang w:val="en-GB"/>
        </w:rPr>
        <w:t>e use the augmented Dickey-Fuller test</w:t>
      </w:r>
      <w:r w:rsidR="00A11054">
        <w:rPr>
          <w:sz w:val="24"/>
          <w:szCs w:val="24"/>
          <w:lang w:val="en-GB"/>
        </w:rPr>
        <w:t xml:space="preserve"> that analyses if unit roots are present</w:t>
      </w:r>
      <w:r w:rsidR="00EF5300">
        <w:rPr>
          <w:sz w:val="24"/>
          <w:szCs w:val="24"/>
          <w:lang w:val="en-GB"/>
        </w:rPr>
        <w:t>. The null hypothesis of this test is that the data are non-stationary</w:t>
      </w:r>
      <w:r w:rsidR="00A11054">
        <w:rPr>
          <w:sz w:val="24"/>
          <w:szCs w:val="24"/>
          <w:lang w:val="en-GB"/>
        </w:rPr>
        <w:t xml:space="preserve"> (we do not reject the hypothesis that a unit root exists)</w:t>
      </w:r>
      <w:r w:rsidR="00EF5300">
        <w:rPr>
          <w:sz w:val="24"/>
          <w:szCs w:val="24"/>
          <w:lang w:val="en-GB"/>
        </w:rPr>
        <w:t xml:space="preserve"> and the alternative hypothesis is that the data are stationary</w:t>
      </w:r>
      <w:r w:rsidR="00A11054">
        <w:rPr>
          <w:sz w:val="24"/>
          <w:szCs w:val="24"/>
          <w:lang w:val="en-GB"/>
        </w:rPr>
        <w:t xml:space="preserve"> (we reject the hypothesis that a unit root exists)</w:t>
      </w:r>
      <w:r w:rsidR="00EF5300">
        <w:rPr>
          <w:sz w:val="24"/>
          <w:szCs w:val="24"/>
          <w:lang w:val="en-GB"/>
        </w:rPr>
        <w:t xml:space="preserve">. We reject </w:t>
      </w:r>
      <w:r w:rsidR="006646C5">
        <w:rPr>
          <w:sz w:val="24"/>
          <w:szCs w:val="24"/>
          <w:lang w:val="en-GB"/>
        </w:rPr>
        <w:t>t</w:t>
      </w:r>
      <w:r w:rsidR="00EF5300">
        <w:rPr>
          <w:sz w:val="24"/>
          <w:szCs w:val="24"/>
          <w:lang w:val="en-GB"/>
        </w:rPr>
        <w:t xml:space="preserve">he null hypothesis if the t-statistic is </w:t>
      </w:r>
      <w:r w:rsidR="0088064C">
        <w:rPr>
          <w:sz w:val="24"/>
          <w:szCs w:val="24"/>
          <w:lang w:val="en-GB"/>
        </w:rPr>
        <w:t>greater</w:t>
      </w:r>
      <w:r w:rsidR="00EF5300">
        <w:rPr>
          <w:sz w:val="24"/>
          <w:szCs w:val="24"/>
          <w:lang w:val="en-GB"/>
        </w:rPr>
        <w:t xml:space="preserve"> than the critical value</w:t>
      </w:r>
      <w:r w:rsidR="00AD2E2A">
        <w:rPr>
          <w:sz w:val="24"/>
          <w:szCs w:val="24"/>
          <w:lang w:val="en-GB"/>
        </w:rPr>
        <w:t xml:space="preserve"> (</w:t>
      </w:r>
      <w:r w:rsidR="000C4F4F">
        <w:rPr>
          <w:sz w:val="24"/>
          <w:szCs w:val="24"/>
          <w:lang w:val="en-GB"/>
        </w:rPr>
        <w:t>considering</w:t>
      </w:r>
      <w:r w:rsidR="00AD2E2A">
        <w:rPr>
          <w:sz w:val="24"/>
          <w:szCs w:val="24"/>
          <w:lang w:val="en-GB"/>
        </w:rPr>
        <w:t xml:space="preserve"> absolute values)</w:t>
      </w:r>
      <w:r w:rsidR="00EF5300">
        <w:rPr>
          <w:sz w:val="24"/>
          <w:szCs w:val="24"/>
          <w:lang w:val="en-GB"/>
        </w:rPr>
        <w:t xml:space="preserve"> and we fail to reject the null hypothesis if the t-statistic is</w:t>
      </w:r>
      <w:r w:rsidR="0088064C">
        <w:rPr>
          <w:sz w:val="24"/>
          <w:szCs w:val="24"/>
          <w:lang w:val="en-GB"/>
        </w:rPr>
        <w:t xml:space="preserve"> smaller</w:t>
      </w:r>
      <w:r w:rsidR="00EF5300">
        <w:rPr>
          <w:sz w:val="24"/>
          <w:szCs w:val="24"/>
          <w:lang w:val="en-GB"/>
        </w:rPr>
        <w:t xml:space="preserve"> than the critical value</w:t>
      </w:r>
      <w:r w:rsidR="00AD2E2A">
        <w:rPr>
          <w:sz w:val="24"/>
          <w:szCs w:val="24"/>
          <w:lang w:val="en-GB"/>
        </w:rPr>
        <w:t xml:space="preserve"> (</w:t>
      </w:r>
      <w:r w:rsidR="000C4F4F">
        <w:rPr>
          <w:sz w:val="24"/>
          <w:szCs w:val="24"/>
          <w:lang w:val="en-GB"/>
        </w:rPr>
        <w:t>considering</w:t>
      </w:r>
      <w:r w:rsidR="00AD2E2A">
        <w:rPr>
          <w:sz w:val="24"/>
          <w:szCs w:val="24"/>
          <w:lang w:val="en-GB"/>
        </w:rPr>
        <w:t xml:space="preserve"> absolute values)</w:t>
      </w:r>
      <w:r w:rsidR="00EF5300">
        <w:rPr>
          <w:sz w:val="24"/>
          <w:szCs w:val="24"/>
          <w:lang w:val="en-GB"/>
        </w:rPr>
        <w:t xml:space="preserve">. </w:t>
      </w:r>
      <w:r w:rsidR="00157FCC">
        <w:rPr>
          <w:sz w:val="24"/>
          <w:szCs w:val="24"/>
          <w:lang w:val="en-GB"/>
        </w:rPr>
        <w:t xml:space="preserve">We have concluded that aggregate investment, the hysteresis variables and the long-term government bond yields are in general non-stationary in levels but stationary in their first differences, which means that they are integrated of order one, I(1), </w:t>
      </w:r>
      <w:r w:rsidR="009B3D1C">
        <w:rPr>
          <w:sz w:val="24"/>
          <w:szCs w:val="24"/>
          <w:lang w:val="en-GB"/>
        </w:rPr>
        <w:t xml:space="preserve">see Table </w:t>
      </w:r>
      <w:r w:rsidR="00483877">
        <w:rPr>
          <w:sz w:val="24"/>
          <w:szCs w:val="24"/>
          <w:lang w:val="en-GB"/>
        </w:rPr>
        <w:t>2</w:t>
      </w:r>
      <w:r w:rsidR="00EF5300">
        <w:rPr>
          <w:sz w:val="24"/>
          <w:szCs w:val="24"/>
          <w:lang w:val="en-GB"/>
        </w:rPr>
        <w:t>.</w:t>
      </w:r>
    </w:p>
    <w:p w14:paraId="00F943C3" w14:textId="58CD37F1" w:rsidR="00EF5300" w:rsidRPr="0063438A" w:rsidRDefault="006F1F62" w:rsidP="006F1F62">
      <w:pPr>
        <w:pStyle w:val="Caption"/>
        <w:keepNext/>
        <w:jc w:val="center"/>
        <w:rPr>
          <w:i w:val="0"/>
          <w:iCs w:val="0"/>
          <w:color w:val="000000" w:themeColor="text1"/>
          <w:sz w:val="22"/>
          <w:szCs w:val="22"/>
        </w:rPr>
      </w:pPr>
      <w:r w:rsidRPr="008315AF">
        <w:rPr>
          <w:b/>
          <w:bCs/>
          <w:i w:val="0"/>
          <w:iCs w:val="0"/>
          <w:color w:val="000000" w:themeColor="text1"/>
          <w:sz w:val="22"/>
          <w:szCs w:val="22"/>
        </w:rPr>
        <w:lastRenderedPageBreak/>
        <w:t xml:space="preserve">Table </w:t>
      </w:r>
      <w:r w:rsidR="002737E7">
        <w:rPr>
          <w:b/>
          <w:bCs/>
          <w:i w:val="0"/>
          <w:iCs w:val="0"/>
          <w:color w:val="000000" w:themeColor="text1"/>
          <w:sz w:val="22"/>
          <w:szCs w:val="22"/>
        </w:rPr>
        <w:t>2</w:t>
      </w:r>
      <w:r w:rsidRPr="008315AF">
        <w:rPr>
          <w:b/>
          <w:bCs/>
          <w:i w:val="0"/>
          <w:iCs w:val="0"/>
          <w:color w:val="000000" w:themeColor="text1"/>
          <w:sz w:val="22"/>
          <w:szCs w:val="22"/>
        </w:rPr>
        <w:t>.</w:t>
      </w:r>
      <w:r w:rsidRPr="008315AF">
        <w:rPr>
          <w:i w:val="0"/>
          <w:iCs w:val="0"/>
          <w:color w:val="000000" w:themeColor="text1"/>
          <w:sz w:val="22"/>
          <w:szCs w:val="22"/>
        </w:rPr>
        <w:t xml:space="preserve"> </w:t>
      </w:r>
      <w:r w:rsidRPr="008315AF">
        <w:rPr>
          <w:color w:val="000000" w:themeColor="text1"/>
          <w:sz w:val="22"/>
          <w:szCs w:val="22"/>
        </w:rPr>
        <w:t>Unit Root Tests</w:t>
      </w:r>
    </w:p>
    <w:p w14:paraId="31A91155" w14:textId="77777777" w:rsidR="00383920" w:rsidRPr="00383920" w:rsidRDefault="00383920" w:rsidP="00383920"/>
    <w:tbl>
      <w:tblPr>
        <w:tblpPr w:leftFromText="141" w:rightFromText="141" w:bottomFromText="160" w:vertAnchor="text" w:horzAnchor="margin" w:tblpXSpec="center" w:tblpY="-9"/>
        <w:tblOverlap w:val="never"/>
        <w:tblW w:w="13750" w:type="dxa"/>
        <w:tblBorders>
          <w:top w:val="single" w:sz="4" w:space="0" w:color="auto"/>
          <w:bottom w:val="single" w:sz="4" w:space="0" w:color="auto"/>
          <w:insideH w:val="single" w:sz="4" w:space="0" w:color="auto"/>
        </w:tblBorders>
        <w:tblLayout w:type="fixed"/>
        <w:tblLook w:val="01E0" w:firstRow="1" w:lastRow="1" w:firstColumn="1" w:lastColumn="1" w:noHBand="0" w:noVBand="0"/>
      </w:tblPr>
      <w:tblGrid>
        <w:gridCol w:w="1276"/>
        <w:gridCol w:w="851"/>
        <w:gridCol w:w="850"/>
        <w:gridCol w:w="851"/>
        <w:gridCol w:w="992"/>
        <w:gridCol w:w="850"/>
        <w:gridCol w:w="851"/>
        <w:gridCol w:w="850"/>
        <w:gridCol w:w="993"/>
        <w:gridCol w:w="992"/>
        <w:gridCol w:w="850"/>
        <w:gridCol w:w="851"/>
        <w:gridCol w:w="850"/>
        <w:gridCol w:w="993"/>
        <w:gridCol w:w="850"/>
      </w:tblGrid>
      <w:tr w:rsidR="00D52AA8" w:rsidRPr="00313FC1" w14:paraId="160DB4BC" w14:textId="77777777" w:rsidTr="000675CD">
        <w:trPr>
          <w:trHeight w:val="549"/>
        </w:trPr>
        <w:tc>
          <w:tcPr>
            <w:tcW w:w="1276" w:type="dxa"/>
            <w:vMerge w:val="restart"/>
            <w:tcBorders>
              <w:right w:val="single" w:sz="4" w:space="0" w:color="auto"/>
            </w:tcBorders>
            <w:vAlign w:val="center"/>
          </w:tcPr>
          <w:p w14:paraId="71DC4113" w14:textId="77777777" w:rsidR="00D52AA8" w:rsidRPr="00313FC1" w:rsidRDefault="00D52AA8" w:rsidP="000675CD">
            <w:pPr>
              <w:spacing w:before="60" w:after="60"/>
              <w:jc w:val="center"/>
              <w:rPr>
                <w:iCs/>
                <w:sz w:val="20"/>
                <w:szCs w:val="20"/>
              </w:rPr>
            </w:pPr>
            <w:r w:rsidRPr="00313FC1">
              <w:rPr>
                <w:iCs/>
                <w:sz w:val="20"/>
                <w:szCs w:val="20"/>
              </w:rPr>
              <w:t>Independent</w:t>
            </w:r>
          </w:p>
          <w:p w14:paraId="29B975F5" w14:textId="77777777" w:rsidR="00D52AA8" w:rsidRPr="00313FC1" w:rsidRDefault="00D52AA8" w:rsidP="000675CD">
            <w:pPr>
              <w:spacing w:before="60" w:after="60"/>
              <w:jc w:val="center"/>
              <w:rPr>
                <w:iCs/>
                <w:sz w:val="20"/>
                <w:szCs w:val="20"/>
              </w:rPr>
            </w:pPr>
            <w:r w:rsidRPr="00313FC1">
              <w:rPr>
                <w:iCs/>
                <w:sz w:val="20"/>
                <w:szCs w:val="20"/>
              </w:rPr>
              <w:t>Variable</w:t>
            </w:r>
          </w:p>
        </w:tc>
        <w:tc>
          <w:tcPr>
            <w:tcW w:w="1701" w:type="dxa"/>
            <w:gridSpan w:val="2"/>
            <w:tcBorders>
              <w:left w:val="single" w:sz="4" w:space="0" w:color="auto"/>
              <w:bottom w:val="single" w:sz="4" w:space="0" w:color="auto"/>
              <w:right w:val="single" w:sz="4" w:space="0" w:color="auto"/>
            </w:tcBorders>
            <w:vAlign w:val="center"/>
          </w:tcPr>
          <w:p w14:paraId="4AEEFBD0" w14:textId="77777777" w:rsidR="00D52AA8" w:rsidRPr="00313FC1" w:rsidRDefault="00D52AA8" w:rsidP="000675CD">
            <w:pPr>
              <w:spacing w:before="60" w:after="60"/>
              <w:jc w:val="center"/>
              <w:rPr>
                <w:sz w:val="20"/>
                <w:szCs w:val="20"/>
              </w:rPr>
            </w:pPr>
            <w:r w:rsidRPr="00313FC1">
              <w:rPr>
                <w:sz w:val="20"/>
                <w:szCs w:val="20"/>
              </w:rPr>
              <w:t>Canada</w:t>
            </w:r>
          </w:p>
        </w:tc>
        <w:tc>
          <w:tcPr>
            <w:tcW w:w="1843" w:type="dxa"/>
            <w:gridSpan w:val="2"/>
            <w:tcBorders>
              <w:left w:val="single" w:sz="4" w:space="0" w:color="auto"/>
              <w:bottom w:val="single" w:sz="4" w:space="0" w:color="auto"/>
              <w:right w:val="single" w:sz="4" w:space="0" w:color="auto"/>
            </w:tcBorders>
            <w:vAlign w:val="center"/>
          </w:tcPr>
          <w:p w14:paraId="4D3F4329" w14:textId="77777777" w:rsidR="00D52AA8" w:rsidRPr="00313FC1" w:rsidRDefault="00D52AA8" w:rsidP="000675CD">
            <w:pPr>
              <w:spacing w:before="60" w:after="60"/>
              <w:jc w:val="center"/>
              <w:rPr>
                <w:sz w:val="20"/>
                <w:szCs w:val="20"/>
              </w:rPr>
            </w:pPr>
            <w:r w:rsidRPr="00313FC1">
              <w:rPr>
                <w:sz w:val="20"/>
                <w:szCs w:val="20"/>
              </w:rPr>
              <w:t>France</w:t>
            </w:r>
          </w:p>
        </w:tc>
        <w:tc>
          <w:tcPr>
            <w:tcW w:w="1701" w:type="dxa"/>
            <w:gridSpan w:val="2"/>
            <w:tcBorders>
              <w:left w:val="single" w:sz="4" w:space="0" w:color="auto"/>
              <w:bottom w:val="single" w:sz="4" w:space="0" w:color="auto"/>
              <w:right w:val="single" w:sz="4" w:space="0" w:color="auto"/>
            </w:tcBorders>
            <w:vAlign w:val="center"/>
          </w:tcPr>
          <w:p w14:paraId="0F006B9E" w14:textId="77777777" w:rsidR="00D52AA8" w:rsidRPr="00313FC1" w:rsidRDefault="00D52AA8" w:rsidP="000675CD">
            <w:pPr>
              <w:spacing w:before="60" w:after="60"/>
              <w:jc w:val="center"/>
              <w:rPr>
                <w:sz w:val="20"/>
                <w:szCs w:val="20"/>
              </w:rPr>
            </w:pPr>
            <w:r w:rsidRPr="00313FC1">
              <w:rPr>
                <w:sz w:val="20"/>
                <w:szCs w:val="20"/>
              </w:rPr>
              <w:t>Germany</w:t>
            </w:r>
          </w:p>
        </w:tc>
        <w:tc>
          <w:tcPr>
            <w:tcW w:w="1843" w:type="dxa"/>
            <w:gridSpan w:val="2"/>
            <w:tcBorders>
              <w:left w:val="single" w:sz="4" w:space="0" w:color="auto"/>
              <w:bottom w:val="single" w:sz="4" w:space="0" w:color="auto"/>
              <w:right w:val="single" w:sz="4" w:space="0" w:color="auto"/>
            </w:tcBorders>
            <w:vAlign w:val="center"/>
          </w:tcPr>
          <w:p w14:paraId="1E2D3935" w14:textId="77777777" w:rsidR="00D52AA8" w:rsidRPr="00313FC1" w:rsidRDefault="00D52AA8" w:rsidP="000675CD">
            <w:pPr>
              <w:spacing w:before="60" w:after="60"/>
              <w:jc w:val="center"/>
              <w:rPr>
                <w:sz w:val="20"/>
                <w:szCs w:val="20"/>
              </w:rPr>
            </w:pPr>
            <w:r w:rsidRPr="00313FC1">
              <w:rPr>
                <w:sz w:val="20"/>
                <w:szCs w:val="20"/>
              </w:rPr>
              <w:t>Italy</w:t>
            </w:r>
          </w:p>
        </w:tc>
        <w:tc>
          <w:tcPr>
            <w:tcW w:w="1842" w:type="dxa"/>
            <w:gridSpan w:val="2"/>
            <w:tcBorders>
              <w:left w:val="single" w:sz="4" w:space="0" w:color="auto"/>
              <w:bottom w:val="single" w:sz="4" w:space="0" w:color="auto"/>
              <w:right w:val="single" w:sz="4" w:space="0" w:color="auto"/>
            </w:tcBorders>
            <w:vAlign w:val="center"/>
          </w:tcPr>
          <w:p w14:paraId="47F8718F" w14:textId="77777777" w:rsidR="00D52AA8" w:rsidRPr="00313FC1" w:rsidRDefault="00D52AA8" w:rsidP="000675CD">
            <w:pPr>
              <w:spacing w:before="60" w:after="60"/>
              <w:jc w:val="center"/>
              <w:rPr>
                <w:sz w:val="20"/>
                <w:szCs w:val="20"/>
              </w:rPr>
            </w:pPr>
            <w:r w:rsidRPr="00313FC1">
              <w:rPr>
                <w:sz w:val="20"/>
                <w:szCs w:val="20"/>
              </w:rPr>
              <w:t xml:space="preserve">Japan </w:t>
            </w:r>
          </w:p>
        </w:tc>
        <w:tc>
          <w:tcPr>
            <w:tcW w:w="1701" w:type="dxa"/>
            <w:gridSpan w:val="2"/>
            <w:tcBorders>
              <w:left w:val="single" w:sz="4" w:space="0" w:color="auto"/>
              <w:bottom w:val="single" w:sz="4" w:space="0" w:color="auto"/>
              <w:right w:val="single" w:sz="4" w:space="0" w:color="auto"/>
            </w:tcBorders>
            <w:vAlign w:val="center"/>
          </w:tcPr>
          <w:p w14:paraId="2129437B" w14:textId="77777777" w:rsidR="00D52AA8" w:rsidRPr="00313FC1" w:rsidRDefault="00D52AA8" w:rsidP="000675CD">
            <w:pPr>
              <w:spacing w:before="60" w:after="60"/>
              <w:jc w:val="center"/>
              <w:rPr>
                <w:sz w:val="20"/>
                <w:szCs w:val="20"/>
              </w:rPr>
            </w:pPr>
            <w:r w:rsidRPr="00313FC1">
              <w:rPr>
                <w:sz w:val="20"/>
                <w:szCs w:val="20"/>
              </w:rPr>
              <w:t>UK</w:t>
            </w:r>
          </w:p>
        </w:tc>
        <w:tc>
          <w:tcPr>
            <w:tcW w:w="1843" w:type="dxa"/>
            <w:gridSpan w:val="2"/>
            <w:tcBorders>
              <w:left w:val="single" w:sz="4" w:space="0" w:color="auto"/>
              <w:bottom w:val="single" w:sz="4" w:space="0" w:color="auto"/>
            </w:tcBorders>
            <w:vAlign w:val="center"/>
          </w:tcPr>
          <w:p w14:paraId="470E98EE" w14:textId="77777777" w:rsidR="00D52AA8" w:rsidRPr="00313FC1" w:rsidRDefault="00D52AA8" w:rsidP="000675CD">
            <w:pPr>
              <w:spacing w:before="60" w:after="60"/>
              <w:jc w:val="center"/>
              <w:rPr>
                <w:sz w:val="20"/>
                <w:szCs w:val="20"/>
              </w:rPr>
            </w:pPr>
            <w:r w:rsidRPr="00313FC1">
              <w:rPr>
                <w:sz w:val="20"/>
                <w:szCs w:val="20"/>
              </w:rPr>
              <w:t>US</w:t>
            </w:r>
          </w:p>
        </w:tc>
      </w:tr>
      <w:tr w:rsidR="00D52AA8" w:rsidRPr="00313FC1" w14:paraId="6D6E9F04" w14:textId="77777777" w:rsidTr="000675CD">
        <w:trPr>
          <w:trHeight w:val="549"/>
        </w:trPr>
        <w:tc>
          <w:tcPr>
            <w:tcW w:w="1276" w:type="dxa"/>
            <w:vMerge/>
            <w:tcBorders>
              <w:bottom w:val="double" w:sz="4" w:space="0" w:color="auto"/>
              <w:right w:val="single" w:sz="4" w:space="0" w:color="auto"/>
            </w:tcBorders>
            <w:vAlign w:val="center"/>
          </w:tcPr>
          <w:p w14:paraId="26DB54B5" w14:textId="77777777" w:rsidR="00D52AA8" w:rsidRPr="00313FC1" w:rsidRDefault="00D52AA8" w:rsidP="000675CD">
            <w:pPr>
              <w:spacing w:before="60" w:after="60"/>
              <w:jc w:val="center"/>
              <w:rPr>
                <w:iCs/>
                <w:sz w:val="20"/>
                <w:szCs w:val="20"/>
              </w:rPr>
            </w:pPr>
          </w:p>
        </w:tc>
        <w:tc>
          <w:tcPr>
            <w:tcW w:w="851" w:type="dxa"/>
            <w:tcBorders>
              <w:left w:val="single" w:sz="4" w:space="0" w:color="auto"/>
              <w:bottom w:val="double" w:sz="4" w:space="0" w:color="auto"/>
              <w:right w:val="nil"/>
            </w:tcBorders>
            <w:vAlign w:val="center"/>
          </w:tcPr>
          <w:p w14:paraId="474D7760" w14:textId="77777777" w:rsidR="00D52AA8" w:rsidRPr="00313FC1" w:rsidRDefault="00D52AA8" w:rsidP="000675CD">
            <w:pPr>
              <w:spacing w:before="60" w:after="60"/>
              <w:jc w:val="center"/>
              <w:rPr>
                <w:sz w:val="20"/>
                <w:szCs w:val="20"/>
              </w:rPr>
            </w:pPr>
            <w:r w:rsidRPr="00313FC1">
              <w:rPr>
                <w:sz w:val="14"/>
                <w:szCs w:val="14"/>
              </w:rPr>
              <w:t xml:space="preserve">Levels </w:t>
            </w:r>
          </w:p>
        </w:tc>
        <w:tc>
          <w:tcPr>
            <w:tcW w:w="850" w:type="dxa"/>
            <w:tcBorders>
              <w:left w:val="nil"/>
              <w:bottom w:val="double" w:sz="4" w:space="0" w:color="auto"/>
              <w:right w:val="single" w:sz="4" w:space="0" w:color="auto"/>
            </w:tcBorders>
            <w:vAlign w:val="center"/>
          </w:tcPr>
          <w:p w14:paraId="01E96CA1" w14:textId="77777777" w:rsidR="00D52AA8" w:rsidRPr="00313FC1" w:rsidRDefault="00D52AA8" w:rsidP="000675CD">
            <w:pPr>
              <w:spacing w:before="60" w:after="60"/>
              <w:jc w:val="center"/>
              <w:rPr>
                <w:sz w:val="20"/>
                <w:szCs w:val="20"/>
              </w:rPr>
            </w:pPr>
            <w:r w:rsidRPr="00313FC1">
              <w:rPr>
                <w:sz w:val="14"/>
                <w:szCs w:val="14"/>
              </w:rPr>
              <w:t>1</w:t>
            </w:r>
            <w:r w:rsidRPr="00313FC1">
              <w:rPr>
                <w:sz w:val="14"/>
                <w:szCs w:val="14"/>
                <w:vertAlign w:val="superscript"/>
              </w:rPr>
              <w:t>st</w:t>
            </w:r>
            <w:r w:rsidRPr="00313FC1">
              <w:rPr>
                <w:sz w:val="14"/>
                <w:szCs w:val="14"/>
              </w:rPr>
              <w:t xml:space="preserve"> Difference</w:t>
            </w:r>
          </w:p>
        </w:tc>
        <w:tc>
          <w:tcPr>
            <w:tcW w:w="851" w:type="dxa"/>
            <w:tcBorders>
              <w:left w:val="single" w:sz="4" w:space="0" w:color="auto"/>
              <w:bottom w:val="double" w:sz="4" w:space="0" w:color="auto"/>
              <w:right w:val="nil"/>
            </w:tcBorders>
            <w:vAlign w:val="center"/>
          </w:tcPr>
          <w:p w14:paraId="72F90C4A" w14:textId="77777777" w:rsidR="00D52AA8" w:rsidRPr="00313FC1" w:rsidRDefault="00D52AA8" w:rsidP="000675CD">
            <w:pPr>
              <w:spacing w:before="60" w:after="60"/>
              <w:jc w:val="center"/>
              <w:rPr>
                <w:sz w:val="20"/>
                <w:szCs w:val="20"/>
              </w:rPr>
            </w:pPr>
            <w:r w:rsidRPr="00313FC1">
              <w:rPr>
                <w:sz w:val="14"/>
                <w:szCs w:val="14"/>
              </w:rPr>
              <w:t xml:space="preserve">Levels </w:t>
            </w:r>
          </w:p>
        </w:tc>
        <w:tc>
          <w:tcPr>
            <w:tcW w:w="992" w:type="dxa"/>
            <w:tcBorders>
              <w:left w:val="nil"/>
              <w:bottom w:val="double" w:sz="4" w:space="0" w:color="auto"/>
              <w:right w:val="single" w:sz="4" w:space="0" w:color="auto"/>
            </w:tcBorders>
            <w:vAlign w:val="center"/>
          </w:tcPr>
          <w:p w14:paraId="57596EBE" w14:textId="77777777" w:rsidR="00D52AA8" w:rsidRPr="00313FC1" w:rsidRDefault="00D52AA8" w:rsidP="000675CD">
            <w:pPr>
              <w:spacing w:before="60" w:after="60"/>
              <w:jc w:val="center"/>
              <w:rPr>
                <w:sz w:val="20"/>
                <w:szCs w:val="20"/>
              </w:rPr>
            </w:pPr>
            <w:r w:rsidRPr="00313FC1">
              <w:rPr>
                <w:sz w:val="14"/>
                <w:szCs w:val="14"/>
              </w:rPr>
              <w:t>1</w:t>
            </w:r>
            <w:r w:rsidRPr="00313FC1">
              <w:rPr>
                <w:sz w:val="14"/>
                <w:szCs w:val="14"/>
                <w:vertAlign w:val="superscript"/>
              </w:rPr>
              <w:t>st</w:t>
            </w:r>
            <w:r w:rsidRPr="00313FC1">
              <w:rPr>
                <w:sz w:val="14"/>
                <w:szCs w:val="14"/>
              </w:rPr>
              <w:t xml:space="preserve"> Difference</w:t>
            </w:r>
          </w:p>
        </w:tc>
        <w:tc>
          <w:tcPr>
            <w:tcW w:w="850" w:type="dxa"/>
            <w:tcBorders>
              <w:left w:val="single" w:sz="4" w:space="0" w:color="auto"/>
              <w:bottom w:val="double" w:sz="4" w:space="0" w:color="auto"/>
              <w:right w:val="nil"/>
            </w:tcBorders>
            <w:vAlign w:val="center"/>
          </w:tcPr>
          <w:p w14:paraId="1CFA432C" w14:textId="77777777" w:rsidR="00D52AA8" w:rsidRPr="00313FC1" w:rsidRDefault="00D52AA8" w:rsidP="000675CD">
            <w:pPr>
              <w:spacing w:before="60" w:after="60"/>
              <w:jc w:val="center"/>
              <w:rPr>
                <w:sz w:val="20"/>
                <w:szCs w:val="20"/>
              </w:rPr>
            </w:pPr>
            <w:r w:rsidRPr="00313FC1">
              <w:rPr>
                <w:sz w:val="14"/>
                <w:szCs w:val="14"/>
              </w:rPr>
              <w:t xml:space="preserve">Levels </w:t>
            </w:r>
          </w:p>
        </w:tc>
        <w:tc>
          <w:tcPr>
            <w:tcW w:w="851" w:type="dxa"/>
            <w:tcBorders>
              <w:left w:val="nil"/>
              <w:bottom w:val="double" w:sz="4" w:space="0" w:color="auto"/>
              <w:right w:val="single" w:sz="4" w:space="0" w:color="auto"/>
            </w:tcBorders>
            <w:vAlign w:val="center"/>
          </w:tcPr>
          <w:p w14:paraId="47EFA1C9" w14:textId="77777777" w:rsidR="00D52AA8" w:rsidRPr="00313FC1" w:rsidRDefault="00D52AA8" w:rsidP="000675CD">
            <w:pPr>
              <w:spacing w:before="60" w:after="60"/>
              <w:jc w:val="center"/>
              <w:rPr>
                <w:sz w:val="20"/>
                <w:szCs w:val="20"/>
              </w:rPr>
            </w:pPr>
            <w:r w:rsidRPr="00313FC1">
              <w:rPr>
                <w:sz w:val="14"/>
                <w:szCs w:val="14"/>
              </w:rPr>
              <w:t>1</w:t>
            </w:r>
            <w:r w:rsidRPr="00313FC1">
              <w:rPr>
                <w:sz w:val="14"/>
                <w:szCs w:val="14"/>
                <w:vertAlign w:val="superscript"/>
              </w:rPr>
              <w:t>st</w:t>
            </w:r>
            <w:r w:rsidRPr="00313FC1">
              <w:rPr>
                <w:sz w:val="14"/>
                <w:szCs w:val="14"/>
              </w:rPr>
              <w:t xml:space="preserve"> Difference</w:t>
            </w:r>
          </w:p>
        </w:tc>
        <w:tc>
          <w:tcPr>
            <w:tcW w:w="850" w:type="dxa"/>
            <w:tcBorders>
              <w:left w:val="single" w:sz="4" w:space="0" w:color="auto"/>
              <w:bottom w:val="double" w:sz="4" w:space="0" w:color="auto"/>
              <w:right w:val="nil"/>
            </w:tcBorders>
            <w:vAlign w:val="center"/>
          </w:tcPr>
          <w:p w14:paraId="4F1E7BB4" w14:textId="77777777" w:rsidR="00D52AA8" w:rsidRPr="00313FC1" w:rsidRDefault="00D52AA8" w:rsidP="000675CD">
            <w:pPr>
              <w:spacing w:before="60" w:after="60"/>
              <w:jc w:val="center"/>
              <w:rPr>
                <w:sz w:val="20"/>
                <w:szCs w:val="20"/>
              </w:rPr>
            </w:pPr>
            <w:r w:rsidRPr="00313FC1">
              <w:rPr>
                <w:sz w:val="14"/>
                <w:szCs w:val="14"/>
              </w:rPr>
              <w:t xml:space="preserve">Levels </w:t>
            </w:r>
          </w:p>
        </w:tc>
        <w:tc>
          <w:tcPr>
            <w:tcW w:w="993" w:type="dxa"/>
            <w:tcBorders>
              <w:left w:val="nil"/>
              <w:bottom w:val="double" w:sz="4" w:space="0" w:color="auto"/>
              <w:right w:val="single" w:sz="4" w:space="0" w:color="auto"/>
            </w:tcBorders>
            <w:vAlign w:val="center"/>
          </w:tcPr>
          <w:p w14:paraId="5F7C8081" w14:textId="77777777" w:rsidR="00D52AA8" w:rsidRPr="00313FC1" w:rsidRDefault="00D52AA8" w:rsidP="000675CD">
            <w:pPr>
              <w:spacing w:before="60" w:after="60"/>
              <w:jc w:val="center"/>
              <w:rPr>
                <w:sz w:val="20"/>
                <w:szCs w:val="20"/>
              </w:rPr>
            </w:pPr>
            <w:r w:rsidRPr="00313FC1">
              <w:rPr>
                <w:sz w:val="14"/>
                <w:szCs w:val="14"/>
              </w:rPr>
              <w:t>1</w:t>
            </w:r>
            <w:r w:rsidRPr="00313FC1">
              <w:rPr>
                <w:sz w:val="14"/>
                <w:szCs w:val="14"/>
                <w:vertAlign w:val="superscript"/>
              </w:rPr>
              <w:t>st</w:t>
            </w:r>
            <w:r w:rsidRPr="00313FC1">
              <w:rPr>
                <w:sz w:val="14"/>
                <w:szCs w:val="14"/>
              </w:rPr>
              <w:t xml:space="preserve"> Difference</w:t>
            </w:r>
          </w:p>
        </w:tc>
        <w:tc>
          <w:tcPr>
            <w:tcW w:w="992" w:type="dxa"/>
            <w:tcBorders>
              <w:left w:val="single" w:sz="4" w:space="0" w:color="auto"/>
              <w:bottom w:val="double" w:sz="4" w:space="0" w:color="auto"/>
              <w:right w:val="nil"/>
            </w:tcBorders>
            <w:vAlign w:val="center"/>
          </w:tcPr>
          <w:p w14:paraId="465AC614" w14:textId="77777777" w:rsidR="00D52AA8" w:rsidRPr="00313FC1" w:rsidRDefault="00D52AA8" w:rsidP="000675CD">
            <w:pPr>
              <w:spacing w:before="60" w:after="60"/>
              <w:jc w:val="center"/>
              <w:rPr>
                <w:sz w:val="20"/>
                <w:szCs w:val="20"/>
              </w:rPr>
            </w:pPr>
            <w:r w:rsidRPr="00313FC1">
              <w:rPr>
                <w:sz w:val="14"/>
                <w:szCs w:val="14"/>
              </w:rPr>
              <w:t xml:space="preserve">Levels </w:t>
            </w:r>
          </w:p>
        </w:tc>
        <w:tc>
          <w:tcPr>
            <w:tcW w:w="850" w:type="dxa"/>
            <w:tcBorders>
              <w:left w:val="nil"/>
              <w:bottom w:val="double" w:sz="4" w:space="0" w:color="auto"/>
              <w:right w:val="single" w:sz="4" w:space="0" w:color="auto"/>
            </w:tcBorders>
            <w:vAlign w:val="center"/>
          </w:tcPr>
          <w:p w14:paraId="236DD8B7" w14:textId="77777777" w:rsidR="00D52AA8" w:rsidRPr="00313FC1" w:rsidRDefault="00D52AA8" w:rsidP="000675CD">
            <w:pPr>
              <w:spacing w:before="60" w:after="60"/>
              <w:jc w:val="center"/>
              <w:rPr>
                <w:sz w:val="20"/>
                <w:szCs w:val="20"/>
              </w:rPr>
            </w:pPr>
            <w:r w:rsidRPr="00313FC1">
              <w:rPr>
                <w:sz w:val="14"/>
                <w:szCs w:val="14"/>
              </w:rPr>
              <w:t>1</w:t>
            </w:r>
            <w:r w:rsidRPr="00313FC1">
              <w:rPr>
                <w:sz w:val="14"/>
                <w:szCs w:val="14"/>
                <w:vertAlign w:val="superscript"/>
              </w:rPr>
              <w:t>st</w:t>
            </w:r>
            <w:r w:rsidRPr="00313FC1">
              <w:rPr>
                <w:sz w:val="14"/>
                <w:szCs w:val="14"/>
              </w:rPr>
              <w:t xml:space="preserve"> Difference</w:t>
            </w:r>
          </w:p>
        </w:tc>
        <w:tc>
          <w:tcPr>
            <w:tcW w:w="851" w:type="dxa"/>
            <w:tcBorders>
              <w:left w:val="single" w:sz="4" w:space="0" w:color="auto"/>
              <w:bottom w:val="double" w:sz="4" w:space="0" w:color="auto"/>
              <w:right w:val="nil"/>
            </w:tcBorders>
            <w:vAlign w:val="center"/>
          </w:tcPr>
          <w:p w14:paraId="481FAA17" w14:textId="77777777" w:rsidR="00D52AA8" w:rsidRPr="00313FC1" w:rsidRDefault="00D52AA8" w:rsidP="000675CD">
            <w:pPr>
              <w:spacing w:before="60" w:after="60"/>
              <w:jc w:val="center"/>
              <w:rPr>
                <w:sz w:val="20"/>
                <w:szCs w:val="20"/>
              </w:rPr>
            </w:pPr>
            <w:r w:rsidRPr="00313FC1">
              <w:rPr>
                <w:sz w:val="14"/>
                <w:szCs w:val="14"/>
              </w:rPr>
              <w:t xml:space="preserve">Levels </w:t>
            </w:r>
          </w:p>
        </w:tc>
        <w:tc>
          <w:tcPr>
            <w:tcW w:w="850" w:type="dxa"/>
            <w:tcBorders>
              <w:left w:val="nil"/>
              <w:bottom w:val="double" w:sz="4" w:space="0" w:color="auto"/>
              <w:right w:val="single" w:sz="4" w:space="0" w:color="auto"/>
            </w:tcBorders>
            <w:vAlign w:val="center"/>
          </w:tcPr>
          <w:p w14:paraId="01CD0462" w14:textId="77777777" w:rsidR="00D52AA8" w:rsidRPr="00313FC1" w:rsidRDefault="00D52AA8" w:rsidP="000675CD">
            <w:pPr>
              <w:spacing w:before="60" w:after="60"/>
              <w:jc w:val="center"/>
              <w:rPr>
                <w:sz w:val="20"/>
                <w:szCs w:val="20"/>
              </w:rPr>
            </w:pPr>
            <w:r w:rsidRPr="00313FC1">
              <w:rPr>
                <w:sz w:val="14"/>
                <w:szCs w:val="14"/>
              </w:rPr>
              <w:t>1</w:t>
            </w:r>
            <w:r w:rsidRPr="00313FC1">
              <w:rPr>
                <w:sz w:val="14"/>
                <w:szCs w:val="14"/>
                <w:vertAlign w:val="superscript"/>
              </w:rPr>
              <w:t>st</w:t>
            </w:r>
            <w:r w:rsidRPr="00313FC1">
              <w:rPr>
                <w:sz w:val="14"/>
                <w:szCs w:val="14"/>
              </w:rPr>
              <w:t xml:space="preserve"> Difference</w:t>
            </w:r>
          </w:p>
        </w:tc>
        <w:tc>
          <w:tcPr>
            <w:tcW w:w="993" w:type="dxa"/>
            <w:tcBorders>
              <w:left w:val="single" w:sz="4" w:space="0" w:color="auto"/>
              <w:bottom w:val="double" w:sz="4" w:space="0" w:color="auto"/>
              <w:right w:val="nil"/>
            </w:tcBorders>
            <w:vAlign w:val="center"/>
          </w:tcPr>
          <w:p w14:paraId="312DD6C7" w14:textId="77777777" w:rsidR="00D52AA8" w:rsidRPr="00313FC1" w:rsidRDefault="00D52AA8" w:rsidP="000675CD">
            <w:pPr>
              <w:spacing w:before="60" w:after="60"/>
              <w:jc w:val="center"/>
              <w:rPr>
                <w:sz w:val="20"/>
                <w:szCs w:val="20"/>
              </w:rPr>
            </w:pPr>
            <w:r w:rsidRPr="00313FC1">
              <w:rPr>
                <w:sz w:val="14"/>
                <w:szCs w:val="14"/>
              </w:rPr>
              <w:t xml:space="preserve">Levels </w:t>
            </w:r>
          </w:p>
        </w:tc>
        <w:tc>
          <w:tcPr>
            <w:tcW w:w="850" w:type="dxa"/>
            <w:tcBorders>
              <w:left w:val="nil"/>
              <w:bottom w:val="double" w:sz="4" w:space="0" w:color="auto"/>
              <w:right w:val="nil"/>
            </w:tcBorders>
            <w:vAlign w:val="center"/>
          </w:tcPr>
          <w:p w14:paraId="46956C75" w14:textId="77777777" w:rsidR="00D52AA8" w:rsidRPr="00313FC1" w:rsidRDefault="00D52AA8" w:rsidP="000675CD">
            <w:pPr>
              <w:spacing w:before="60" w:after="60"/>
              <w:jc w:val="center"/>
              <w:rPr>
                <w:sz w:val="20"/>
                <w:szCs w:val="20"/>
              </w:rPr>
            </w:pPr>
            <w:r w:rsidRPr="00313FC1">
              <w:rPr>
                <w:sz w:val="14"/>
                <w:szCs w:val="14"/>
              </w:rPr>
              <w:t>1</w:t>
            </w:r>
            <w:r w:rsidRPr="00313FC1">
              <w:rPr>
                <w:sz w:val="14"/>
                <w:szCs w:val="14"/>
                <w:vertAlign w:val="superscript"/>
              </w:rPr>
              <w:t>st</w:t>
            </w:r>
            <w:r w:rsidRPr="00313FC1">
              <w:rPr>
                <w:sz w:val="14"/>
                <w:szCs w:val="14"/>
              </w:rPr>
              <w:t xml:space="preserve"> Difference</w:t>
            </w:r>
          </w:p>
        </w:tc>
      </w:tr>
      <w:tr w:rsidR="00D52AA8" w:rsidRPr="00313FC1" w14:paraId="0627CBA9" w14:textId="77777777" w:rsidTr="000675CD">
        <w:tc>
          <w:tcPr>
            <w:tcW w:w="1276" w:type="dxa"/>
            <w:tcBorders>
              <w:right w:val="single" w:sz="4" w:space="0" w:color="auto"/>
            </w:tcBorders>
            <w:vAlign w:val="center"/>
          </w:tcPr>
          <w:p w14:paraId="47D7467A" w14:textId="77777777" w:rsidR="00D52AA8" w:rsidRPr="00313FC1" w:rsidRDefault="00000000" w:rsidP="000675CD">
            <w:pPr>
              <w:tabs>
                <w:tab w:val="center" w:pos="4153"/>
                <w:tab w:val="right" w:pos="8306"/>
              </w:tabs>
              <w:spacing w:before="60" w:after="60"/>
              <w:rPr>
                <w:sz w:val="20"/>
                <w:szCs w:val="20"/>
              </w:rPr>
            </w:pPr>
            <m:oMath>
              <m:sSub>
                <m:sSubPr>
                  <m:ctrlPr>
                    <w:rPr>
                      <w:rFonts w:ascii="Cambria Math" w:hAnsi="Cambria Math"/>
                      <w:i/>
                      <w:sz w:val="20"/>
                      <w:szCs w:val="20"/>
                    </w:rPr>
                  </m:ctrlPr>
                </m:sSubPr>
                <m:e>
                  <m:r>
                    <w:rPr>
                      <w:rFonts w:ascii="Cambria Math" w:hAnsi="Cambria Math"/>
                      <w:sz w:val="20"/>
                      <w:szCs w:val="20"/>
                    </w:rPr>
                    <m:t>I_TAN</m:t>
                  </m:r>
                </m:e>
                <m:sub>
                  <m:r>
                    <w:rPr>
                      <w:rFonts w:ascii="Cambria Math" w:hAnsi="Cambria Math"/>
                      <w:sz w:val="20"/>
                      <w:szCs w:val="20"/>
                    </w:rPr>
                    <m:t>t</m:t>
                  </m:r>
                </m:sub>
              </m:sSub>
            </m:oMath>
            <w:r w:rsidR="00D52AA8" w:rsidRPr="00313FC1">
              <w:rPr>
                <w:sz w:val="20"/>
                <w:szCs w:val="20"/>
              </w:rPr>
              <w:t xml:space="preserve"> </w:t>
            </w:r>
          </w:p>
        </w:tc>
        <w:tc>
          <w:tcPr>
            <w:tcW w:w="851" w:type="dxa"/>
            <w:tcBorders>
              <w:left w:val="single" w:sz="4" w:space="0" w:color="auto"/>
            </w:tcBorders>
            <w:vAlign w:val="center"/>
          </w:tcPr>
          <w:p w14:paraId="28B7910F" w14:textId="77777777" w:rsidR="00D52AA8" w:rsidRPr="00313FC1" w:rsidRDefault="00D52AA8" w:rsidP="000675CD">
            <w:pPr>
              <w:spacing w:before="60" w:after="60"/>
              <w:jc w:val="center"/>
              <w:rPr>
                <w:sz w:val="20"/>
                <w:szCs w:val="20"/>
              </w:rPr>
            </w:pPr>
            <w:r w:rsidRPr="00313FC1">
              <w:rPr>
                <w:sz w:val="20"/>
                <w:szCs w:val="20"/>
              </w:rPr>
              <w:t>-2.2107</w:t>
            </w:r>
          </w:p>
        </w:tc>
        <w:tc>
          <w:tcPr>
            <w:tcW w:w="850" w:type="dxa"/>
            <w:tcBorders>
              <w:right w:val="single" w:sz="4" w:space="0" w:color="auto"/>
            </w:tcBorders>
            <w:vAlign w:val="center"/>
          </w:tcPr>
          <w:p w14:paraId="2544C504" w14:textId="77777777" w:rsidR="00D52AA8" w:rsidRPr="00313FC1" w:rsidRDefault="00D52AA8" w:rsidP="000675CD">
            <w:pPr>
              <w:spacing w:before="60" w:after="60"/>
              <w:jc w:val="center"/>
              <w:rPr>
                <w:sz w:val="20"/>
                <w:szCs w:val="20"/>
              </w:rPr>
            </w:pPr>
            <w:r w:rsidRPr="00313FC1">
              <w:rPr>
                <w:sz w:val="20"/>
                <w:szCs w:val="20"/>
              </w:rPr>
              <w:t>-9.7586</w:t>
            </w:r>
          </w:p>
        </w:tc>
        <w:tc>
          <w:tcPr>
            <w:tcW w:w="851" w:type="dxa"/>
            <w:tcBorders>
              <w:left w:val="single" w:sz="4" w:space="0" w:color="auto"/>
            </w:tcBorders>
            <w:vAlign w:val="center"/>
          </w:tcPr>
          <w:p w14:paraId="5A46F8C0" w14:textId="77777777" w:rsidR="00D52AA8" w:rsidRPr="00313FC1" w:rsidRDefault="00D52AA8" w:rsidP="000675CD">
            <w:pPr>
              <w:spacing w:before="60" w:after="60"/>
              <w:jc w:val="center"/>
              <w:rPr>
                <w:sz w:val="20"/>
                <w:szCs w:val="20"/>
              </w:rPr>
            </w:pPr>
            <w:r w:rsidRPr="00313FC1">
              <w:rPr>
                <w:sz w:val="20"/>
                <w:szCs w:val="20"/>
              </w:rPr>
              <w:t>-3.1680</w:t>
            </w:r>
          </w:p>
        </w:tc>
        <w:tc>
          <w:tcPr>
            <w:tcW w:w="992" w:type="dxa"/>
            <w:tcBorders>
              <w:right w:val="single" w:sz="4" w:space="0" w:color="auto"/>
            </w:tcBorders>
            <w:vAlign w:val="center"/>
          </w:tcPr>
          <w:p w14:paraId="6FC1D6D5" w14:textId="77777777" w:rsidR="00D52AA8" w:rsidRPr="00313FC1" w:rsidRDefault="00D52AA8" w:rsidP="000675CD">
            <w:pPr>
              <w:spacing w:before="60" w:after="60"/>
              <w:jc w:val="center"/>
              <w:rPr>
                <w:sz w:val="20"/>
                <w:szCs w:val="20"/>
              </w:rPr>
            </w:pPr>
            <w:r w:rsidRPr="00313FC1">
              <w:rPr>
                <w:sz w:val="20"/>
                <w:szCs w:val="20"/>
              </w:rPr>
              <w:t>-9.2592</w:t>
            </w:r>
          </w:p>
        </w:tc>
        <w:tc>
          <w:tcPr>
            <w:tcW w:w="850" w:type="dxa"/>
            <w:tcBorders>
              <w:left w:val="single" w:sz="4" w:space="0" w:color="auto"/>
            </w:tcBorders>
            <w:vAlign w:val="center"/>
          </w:tcPr>
          <w:p w14:paraId="7A5B9798" w14:textId="77777777" w:rsidR="00D52AA8" w:rsidRPr="00313FC1" w:rsidRDefault="00D52AA8" w:rsidP="000675CD">
            <w:pPr>
              <w:spacing w:before="60" w:after="60"/>
              <w:jc w:val="center"/>
              <w:rPr>
                <w:sz w:val="20"/>
                <w:szCs w:val="20"/>
              </w:rPr>
            </w:pPr>
            <w:r w:rsidRPr="00313FC1">
              <w:rPr>
                <w:sz w:val="20"/>
                <w:szCs w:val="20"/>
              </w:rPr>
              <w:t>-1.1448</w:t>
            </w:r>
          </w:p>
        </w:tc>
        <w:tc>
          <w:tcPr>
            <w:tcW w:w="851" w:type="dxa"/>
            <w:tcBorders>
              <w:right w:val="single" w:sz="4" w:space="0" w:color="auto"/>
            </w:tcBorders>
            <w:vAlign w:val="center"/>
          </w:tcPr>
          <w:p w14:paraId="26D3A9EA" w14:textId="77777777" w:rsidR="00D52AA8" w:rsidRPr="00313FC1" w:rsidRDefault="00D52AA8" w:rsidP="000675CD">
            <w:pPr>
              <w:spacing w:before="60" w:after="60"/>
              <w:jc w:val="center"/>
              <w:rPr>
                <w:sz w:val="20"/>
                <w:szCs w:val="20"/>
              </w:rPr>
            </w:pPr>
            <w:r w:rsidRPr="00313FC1">
              <w:rPr>
                <w:sz w:val="20"/>
                <w:szCs w:val="20"/>
              </w:rPr>
              <w:t>-9.7647</w:t>
            </w:r>
          </w:p>
        </w:tc>
        <w:tc>
          <w:tcPr>
            <w:tcW w:w="850" w:type="dxa"/>
            <w:tcBorders>
              <w:left w:val="single" w:sz="4" w:space="0" w:color="auto"/>
            </w:tcBorders>
            <w:vAlign w:val="center"/>
          </w:tcPr>
          <w:p w14:paraId="212A4E0D" w14:textId="77777777" w:rsidR="00D52AA8" w:rsidRPr="00313FC1" w:rsidRDefault="00D52AA8" w:rsidP="000675CD">
            <w:pPr>
              <w:spacing w:before="60" w:after="60"/>
              <w:jc w:val="center"/>
              <w:rPr>
                <w:sz w:val="20"/>
                <w:szCs w:val="20"/>
              </w:rPr>
            </w:pPr>
            <w:r w:rsidRPr="00313FC1">
              <w:rPr>
                <w:sz w:val="20"/>
                <w:szCs w:val="20"/>
              </w:rPr>
              <w:t>-1.4013</w:t>
            </w:r>
          </w:p>
        </w:tc>
        <w:tc>
          <w:tcPr>
            <w:tcW w:w="993" w:type="dxa"/>
            <w:tcBorders>
              <w:right w:val="single" w:sz="4" w:space="0" w:color="auto"/>
            </w:tcBorders>
            <w:vAlign w:val="center"/>
          </w:tcPr>
          <w:p w14:paraId="6F010C9B" w14:textId="77777777" w:rsidR="00D52AA8" w:rsidRPr="00313FC1" w:rsidRDefault="00D52AA8" w:rsidP="000675CD">
            <w:pPr>
              <w:spacing w:before="60" w:after="60"/>
              <w:jc w:val="center"/>
              <w:rPr>
                <w:sz w:val="20"/>
                <w:szCs w:val="20"/>
              </w:rPr>
            </w:pPr>
            <w:r w:rsidRPr="00313FC1">
              <w:rPr>
                <w:sz w:val="20"/>
                <w:szCs w:val="20"/>
              </w:rPr>
              <w:t>-10.6797</w:t>
            </w:r>
          </w:p>
        </w:tc>
        <w:tc>
          <w:tcPr>
            <w:tcW w:w="992" w:type="dxa"/>
            <w:tcBorders>
              <w:left w:val="single" w:sz="4" w:space="0" w:color="auto"/>
            </w:tcBorders>
            <w:vAlign w:val="center"/>
          </w:tcPr>
          <w:p w14:paraId="164D85E1" w14:textId="77777777" w:rsidR="00D52AA8" w:rsidRPr="00313FC1" w:rsidRDefault="00D52AA8" w:rsidP="000675CD">
            <w:pPr>
              <w:spacing w:before="60" w:after="60"/>
              <w:jc w:val="center"/>
              <w:rPr>
                <w:sz w:val="20"/>
                <w:szCs w:val="20"/>
              </w:rPr>
            </w:pPr>
            <w:r w:rsidRPr="00313FC1">
              <w:rPr>
                <w:sz w:val="20"/>
                <w:szCs w:val="20"/>
              </w:rPr>
              <w:t>-2.0337</w:t>
            </w:r>
          </w:p>
        </w:tc>
        <w:tc>
          <w:tcPr>
            <w:tcW w:w="850" w:type="dxa"/>
            <w:tcBorders>
              <w:right w:val="single" w:sz="4" w:space="0" w:color="auto"/>
            </w:tcBorders>
            <w:vAlign w:val="center"/>
          </w:tcPr>
          <w:p w14:paraId="3715CE0C" w14:textId="77777777" w:rsidR="00D52AA8" w:rsidRPr="00313FC1" w:rsidRDefault="00D52AA8" w:rsidP="000675CD">
            <w:pPr>
              <w:spacing w:before="60" w:after="60"/>
              <w:jc w:val="center"/>
              <w:rPr>
                <w:sz w:val="20"/>
                <w:szCs w:val="20"/>
              </w:rPr>
            </w:pPr>
            <w:r w:rsidRPr="00313FC1">
              <w:rPr>
                <w:sz w:val="20"/>
                <w:szCs w:val="20"/>
              </w:rPr>
              <w:t>-4.7854</w:t>
            </w:r>
          </w:p>
        </w:tc>
        <w:tc>
          <w:tcPr>
            <w:tcW w:w="851" w:type="dxa"/>
            <w:tcBorders>
              <w:left w:val="single" w:sz="4" w:space="0" w:color="auto"/>
            </w:tcBorders>
            <w:vAlign w:val="center"/>
          </w:tcPr>
          <w:p w14:paraId="5A8E7CDF" w14:textId="77777777" w:rsidR="00D52AA8" w:rsidRPr="00313FC1" w:rsidRDefault="00D52AA8" w:rsidP="000675CD">
            <w:pPr>
              <w:spacing w:before="60" w:after="60"/>
              <w:jc w:val="center"/>
              <w:rPr>
                <w:sz w:val="20"/>
                <w:szCs w:val="20"/>
              </w:rPr>
            </w:pPr>
            <w:r w:rsidRPr="00313FC1">
              <w:rPr>
                <w:sz w:val="20"/>
                <w:szCs w:val="20"/>
              </w:rPr>
              <w:t>-2.1665</w:t>
            </w:r>
          </w:p>
        </w:tc>
        <w:tc>
          <w:tcPr>
            <w:tcW w:w="850" w:type="dxa"/>
            <w:tcBorders>
              <w:right w:val="single" w:sz="4" w:space="0" w:color="auto"/>
            </w:tcBorders>
            <w:vAlign w:val="center"/>
          </w:tcPr>
          <w:p w14:paraId="27596109" w14:textId="77777777" w:rsidR="00D52AA8" w:rsidRPr="00313FC1" w:rsidRDefault="00D52AA8" w:rsidP="000675CD">
            <w:pPr>
              <w:spacing w:before="60" w:after="60"/>
              <w:jc w:val="center"/>
              <w:rPr>
                <w:sz w:val="20"/>
                <w:szCs w:val="20"/>
              </w:rPr>
            </w:pPr>
            <w:r w:rsidRPr="00313FC1">
              <w:rPr>
                <w:sz w:val="20"/>
                <w:szCs w:val="20"/>
              </w:rPr>
              <w:t>-12.4445</w:t>
            </w:r>
          </w:p>
        </w:tc>
        <w:tc>
          <w:tcPr>
            <w:tcW w:w="993" w:type="dxa"/>
            <w:tcBorders>
              <w:left w:val="single" w:sz="4" w:space="0" w:color="auto"/>
            </w:tcBorders>
            <w:vAlign w:val="center"/>
          </w:tcPr>
          <w:p w14:paraId="2AEC70EF" w14:textId="77777777" w:rsidR="00D52AA8" w:rsidRPr="00313FC1" w:rsidRDefault="00D52AA8" w:rsidP="000675CD">
            <w:pPr>
              <w:spacing w:before="60" w:after="60"/>
              <w:jc w:val="center"/>
              <w:rPr>
                <w:sz w:val="20"/>
                <w:szCs w:val="20"/>
              </w:rPr>
            </w:pPr>
            <w:r w:rsidRPr="00313FC1">
              <w:rPr>
                <w:sz w:val="20"/>
                <w:szCs w:val="20"/>
              </w:rPr>
              <w:t>-1.4160</w:t>
            </w:r>
          </w:p>
        </w:tc>
        <w:tc>
          <w:tcPr>
            <w:tcW w:w="850" w:type="dxa"/>
            <w:vAlign w:val="center"/>
          </w:tcPr>
          <w:p w14:paraId="4BB5526C" w14:textId="77777777" w:rsidR="00D52AA8" w:rsidRPr="00313FC1" w:rsidRDefault="00D52AA8" w:rsidP="000675CD">
            <w:pPr>
              <w:spacing w:before="60" w:after="60"/>
              <w:jc w:val="center"/>
              <w:rPr>
                <w:sz w:val="20"/>
                <w:szCs w:val="20"/>
              </w:rPr>
            </w:pPr>
            <w:r w:rsidRPr="00313FC1">
              <w:rPr>
                <w:sz w:val="20"/>
                <w:szCs w:val="20"/>
              </w:rPr>
              <w:t>-6.4121</w:t>
            </w:r>
          </w:p>
        </w:tc>
      </w:tr>
      <w:tr w:rsidR="00D52AA8" w:rsidRPr="00313FC1" w14:paraId="0ECDD225" w14:textId="77777777" w:rsidTr="000675CD">
        <w:tc>
          <w:tcPr>
            <w:tcW w:w="1276" w:type="dxa"/>
            <w:tcBorders>
              <w:right w:val="single" w:sz="4" w:space="0" w:color="auto"/>
            </w:tcBorders>
            <w:vAlign w:val="center"/>
          </w:tcPr>
          <w:p w14:paraId="3FBCBE61" w14:textId="77777777" w:rsidR="00D52AA8" w:rsidRPr="00313FC1" w:rsidRDefault="00000000" w:rsidP="000675CD">
            <w:pPr>
              <w:tabs>
                <w:tab w:val="center" w:pos="4153"/>
                <w:tab w:val="right" w:pos="8306"/>
              </w:tabs>
              <w:spacing w:before="60" w:after="60"/>
              <w:rPr>
                <w:sz w:val="20"/>
                <w:szCs w:val="20"/>
              </w:rPr>
            </w:pPr>
            <m:oMath>
              <m:sSub>
                <m:sSubPr>
                  <m:ctrlPr>
                    <w:rPr>
                      <w:rFonts w:ascii="Cambria Math" w:hAnsi="Cambria Math"/>
                      <w:i/>
                      <w:sz w:val="20"/>
                      <w:szCs w:val="20"/>
                    </w:rPr>
                  </m:ctrlPr>
                </m:sSubPr>
                <m:e>
                  <m:r>
                    <w:rPr>
                      <w:rFonts w:ascii="Cambria Math" w:hAnsi="Cambria Math"/>
                      <w:sz w:val="20"/>
                      <w:szCs w:val="20"/>
                    </w:rPr>
                    <m:t>I_INT</m:t>
                  </m:r>
                </m:e>
                <m:sub>
                  <m:r>
                    <w:rPr>
                      <w:rFonts w:ascii="Cambria Math" w:hAnsi="Cambria Math"/>
                      <w:sz w:val="20"/>
                      <w:szCs w:val="20"/>
                    </w:rPr>
                    <m:t>t</m:t>
                  </m:r>
                </m:sub>
              </m:sSub>
            </m:oMath>
            <w:r w:rsidR="00D52AA8" w:rsidRPr="00313FC1">
              <w:rPr>
                <w:sz w:val="20"/>
                <w:szCs w:val="20"/>
              </w:rPr>
              <w:t xml:space="preserve"> </w:t>
            </w:r>
          </w:p>
        </w:tc>
        <w:tc>
          <w:tcPr>
            <w:tcW w:w="851" w:type="dxa"/>
            <w:tcBorders>
              <w:left w:val="single" w:sz="4" w:space="0" w:color="auto"/>
            </w:tcBorders>
            <w:vAlign w:val="center"/>
          </w:tcPr>
          <w:p w14:paraId="46E05A9E" w14:textId="77777777" w:rsidR="00D52AA8" w:rsidRPr="00313FC1" w:rsidRDefault="00D52AA8" w:rsidP="000675CD">
            <w:pPr>
              <w:spacing w:before="60" w:after="60"/>
              <w:jc w:val="center"/>
              <w:rPr>
                <w:sz w:val="20"/>
                <w:szCs w:val="20"/>
              </w:rPr>
            </w:pPr>
            <w:r w:rsidRPr="00313FC1">
              <w:rPr>
                <w:sz w:val="20"/>
                <w:szCs w:val="20"/>
              </w:rPr>
              <w:t>-1.9956</w:t>
            </w:r>
          </w:p>
        </w:tc>
        <w:tc>
          <w:tcPr>
            <w:tcW w:w="850" w:type="dxa"/>
            <w:tcBorders>
              <w:right w:val="single" w:sz="4" w:space="0" w:color="auto"/>
            </w:tcBorders>
            <w:vAlign w:val="center"/>
          </w:tcPr>
          <w:p w14:paraId="28012EE6" w14:textId="77777777" w:rsidR="00D52AA8" w:rsidRPr="00313FC1" w:rsidRDefault="00D52AA8" w:rsidP="000675CD">
            <w:pPr>
              <w:spacing w:before="60" w:after="60"/>
              <w:jc w:val="center"/>
              <w:rPr>
                <w:sz w:val="20"/>
                <w:szCs w:val="20"/>
              </w:rPr>
            </w:pPr>
            <w:r w:rsidRPr="00313FC1">
              <w:rPr>
                <w:sz w:val="20"/>
                <w:szCs w:val="20"/>
              </w:rPr>
              <w:t>-6.5333</w:t>
            </w:r>
          </w:p>
        </w:tc>
        <w:tc>
          <w:tcPr>
            <w:tcW w:w="851" w:type="dxa"/>
            <w:tcBorders>
              <w:left w:val="single" w:sz="4" w:space="0" w:color="auto"/>
            </w:tcBorders>
            <w:vAlign w:val="center"/>
          </w:tcPr>
          <w:p w14:paraId="5070FCAE" w14:textId="77777777" w:rsidR="00D52AA8" w:rsidRPr="00313FC1" w:rsidRDefault="00D52AA8" w:rsidP="000675CD">
            <w:pPr>
              <w:spacing w:before="60" w:after="60"/>
              <w:jc w:val="center"/>
              <w:rPr>
                <w:sz w:val="20"/>
                <w:szCs w:val="20"/>
              </w:rPr>
            </w:pPr>
            <w:r w:rsidRPr="00313FC1">
              <w:rPr>
                <w:sz w:val="20"/>
                <w:szCs w:val="20"/>
              </w:rPr>
              <w:t>1.6809</w:t>
            </w:r>
          </w:p>
        </w:tc>
        <w:tc>
          <w:tcPr>
            <w:tcW w:w="992" w:type="dxa"/>
            <w:tcBorders>
              <w:right w:val="single" w:sz="4" w:space="0" w:color="auto"/>
            </w:tcBorders>
            <w:vAlign w:val="center"/>
          </w:tcPr>
          <w:p w14:paraId="199A71DC" w14:textId="77777777" w:rsidR="00D52AA8" w:rsidRPr="00313FC1" w:rsidRDefault="00D52AA8" w:rsidP="000675CD">
            <w:pPr>
              <w:spacing w:before="60" w:after="60"/>
              <w:jc w:val="center"/>
              <w:rPr>
                <w:sz w:val="20"/>
                <w:szCs w:val="20"/>
              </w:rPr>
            </w:pPr>
            <w:r w:rsidRPr="00313FC1">
              <w:rPr>
                <w:sz w:val="20"/>
                <w:szCs w:val="20"/>
              </w:rPr>
              <w:t>-5.6110</w:t>
            </w:r>
          </w:p>
        </w:tc>
        <w:tc>
          <w:tcPr>
            <w:tcW w:w="850" w:type="dxa"/>
            <w:tcBorders>
              <w:left w:val="single" w:sz="4" w:space="0" w:color="auto"/>
            </w:tcBorders>
            <w:vAlign w:val="center"/>
          </w:tcPr>
          <w:p w14:paraId="550EC5CF" w14:textId="77777777" w:rsidR="00D52AA8" w:rsidRPr="00313FC1" w:rsidRDefault="00D52AA8" w:rsidP="000675CD">
            <w:pPr>
              <w:spacing w:before="60" w:after="60"/>
              <w:jc w:val="center"/>
              <w:rPr>
                <w:sz w:val="20"/>
                <w:szCs w:val="20"/>
              </w:rPr>
            </w:pPr>
            <w:r w:rsidRPr="00313FC1">
              <w:rPr>
                <w:sz w:val="20"/>
                <w:szCs w:val="20"/>
              </w:rPr>
              <w:t>0.1600</w:t>
            </w:r>
          </w:p>
        </w:tc>
        <w:tc>
          <w:tcPr>
            <w:tcW w:w="851" w:type="dxa"/>
            <w:tcBorders>
              <w:right w:val="single" w:sz="4" w:space="0" w:color="auto"/>
            </w:tcBorders>
            <w:vAlign w:val="center"/>
          </w:tcPr>
          <w:p w14:paraId="32C77B94" w14:textId="77777777" w:rsidR="00D52AA8" w:rsidRPr="00313FC1" w:rsidRDefault="00D52AA8" w:rsidP="000675CD">
            <w:pPr>
              <w:spacing w:before="60" w:after="60"/>
              <w:jc w:val="center"/>
              <w:rPr>
                <w:sz w:val="20"/>
                <w:szCs w:val="20"/>
              </w:rPr>
            </w:pPr>
            <w:r w:rsidRPr="00313FC1">
              <w:rPr>
                <w:sz w:val="20"/>
                <w:szCs w:val="20"/>
              </w:rPr>
              <w:t>-8.7959</w:t>
            </w:r>
          </w:p>
        </w:tc>
        <w:tc>
          <w:tcPr>
            <w:tcW w:w="850" w:type="dxa"/>
            <w:tcBorders>
              <w:left w:val="single" w:sz="4" w:space="0" w:color="auto"/>
            </w:tcBorders>
            <w:vAlign w:val="center"/>
          </w:tcPr>
          <w:p w14:paraId="29DCAD64" w14:textId="77777777" w:rsidR="00D52AA8" w:rsidRPr="00313FC1" w:rsidRDefault="00D52AA8" w:rsidP="000675CD">
            <w:pPr>
              <w:spacing w:before="60" w:after="60"/>
              <w:jc w:val="center"/>
              <w:rPr>
                <w:sz w:val="20"/>
                <w:szCs w:val="20"/>
              </w:rPr>
            </w:pPr>
            <w:r w:rsidRPr="00313FC1">
              <w:rPr>
                <w:sz w:val="20"/>
                <w:szCs w:val="20"/>
              </w:rPr>
              <w:t>-1.9956</w:t>
            </w:r>
          </w:p>
        </w:tc>
        <w:tc>
          <w:tcPr>
            <w:tcW w:w="993" w:type="dxa"/>
            <w:tcBorders>
              <w:right w:val="single" w:sz="4" w:space="0" w:color="auto"/>
            </w:tcBorders>
            <w:vAlign w:val="center"/>
          </w:tcPr>
          <w:p w14:paraId="11F499E4" w14:textId="77777777" w:rsidR="00D52AA8" w:rsidRPr="00313FC1" w:rsidRDefault="00D52AA8" w:rsidP="000675CD">
            <w:pPr>
              <w:spacing w:before="60" w:after="60"/>
              <w:jc w:val="center"/>
              <w:rPr>
                <w:sz w:val="20"/>
                <w:szCs w:val="20"/>
              </w:rPr>
            </w:pPr>
            <w:r w:rsidRPr="00313FC1">
              <w:rPr>
                <w:sz w:val="20"/>
                <w:szCs w:val="20"/>
              </w:rPr>
              <w:t>-6.5333</w:t>
            </w:r>
          </w:p>
        </w:tc>
        <w:tc>
          <w:tcPr>
            <w:tcW w:w="992" w:type="dxa"/>
            <w:tcBorders>
              <w:left w:val="single" w:sz="4" w:space="0" w:color="auto"/>
            </w:tcBorders>
            <w:vAlign w:val="center"/>
          </w:tcPr>
          <w:p w14:paraId="6FC07B05" w14:textId="77777777" w:rsidR="00D52AA8" w:rsidRPr="00313FC1" w:rsidRDefault="00D52AA8" w:rsidP="000675CD">
            <w:pPr>
              <w:spacing w:before="60" w:after="60"/>
              <w:jc w:val="center"/>
              <w:rPr>
                <w:sz w:val="20"/>
                <w:szCs w:val="20"/>
              </w:rPr>
            </w:pPr>
            <w:r w:rsidRPr="00313FC1">
              <w:rPr>
                <w:sz w:val="20"/>
                <w:szCs w:val="20"/>
              </w:rPr>
              <w:t>-1.5825</w:t>
            </w:r>
          </w:p>
        </w:tc>
        <w:tc>
          <w:tcPr>
            <w:tcW w:w="850" w:type="dxa"/>
            <w:tcBorders>
              <w:right w:val="single" w:sz="4" w:space="0" w:color="auto"/>
            </w:tcBorders>
            <w:vAlign w:val="center"/>
          </w:tcPr>
          <w:p w14:paraId="463C5BB0" w14:textId="77777777" w:rsidR="00D52AA8" w:rsidRPr="00313FC1" w:rsidRDefault="00D52AA8" w:rsidP="000675CD">
            <w:pPr>
              <w:spacing w:before="60" w:after="60"/>
              <w:jc w:val="center"/>
              <w:rPr>
                <w:sz w:val="20"/>
                <w:szCs w:val="20"/>
              </w:rPr>
            </w:pPr>
            <w:r w:rsidRPr="00313FC1">
              <w:rPr>
                <w:sz w:val="20"/>
                <w:szCs w:val="20"/>
              </w:rPr>
              <w:t>-9.0932</w:t>
            </w:r>
          </w:p>
        </w:tc>
        <w:tc>
          <w:tcPr>
            <w:tcW w:w="851" w:type="dxa"/>
            <w:tcBorders>
              <w:left w:val="single" w:sz="4" w:space="0" w:color="auto"/>
            </w:tcBorders>
            <w:vAlign w:val="center"/>
          </w:tcPr>
          <w:p w14:paraId="149645EF" w14:textId="77777777" w:rsidR="00D52AA8" w:rsidRPr="00313FC1" w:rsidRDefault="00D52AA8" w:rsidP="000675CD">
            <w:pPr>
              <w:spacing w:before="60" w:after="60"/>
              <w:jc w:val="center"/>
              <w:rPr>
                <w:sz w:val="20"/>
                <w:szCs w:val="20"/>
              </w:rPr>
            </w:pPr>
            <w:r w:rsidRPr="00313FC1">
              <w:rPr>
                <w:sz w:val="20"/>
                <w:szCs w:val="20"/>
              </w:rPr>
              <w:t>-2.2002</w:t>
            </w:r>
          </w:p>
        </w:tc>
        <w:tc>
          <w:tcPr>
            <w:tcW w:w="850" w:type="dxa"/>
            <w:tcBorders>
              <w:right w:val="single" w:sz="4" w:space="0" w:color="auto"/>
            </w:tcBorders>
            <w:vAlign w:val="center"/>
          </w:tcPr>
          <w:p w14:paraId="640590E1" w14:textId="77777777" w:rsidR="00D52AA8" w:rsidRPr="00313FC1" w:rsidRDefault="00D52AA8" w:rsidP="000675CD">
            <w:pPr>
              <w:spacing w:before="60" w:after="60"/>
              <w:jc w:val="center"/>
              <w:rPr>
                <w:sz w:val="20"/>
                <w:szCs w:val="20"/>
              </w:rPr>
            </w:pPr>
            <w:r w:rsidRPr="00313FC1">
              <w:rPr>
                <w:sz w:val="20"/>
                <w:szCs w:val="20"/>
              </w:rPr>
              <w:t>-15.7002</w:t>
            </w:r>
          </w:p>
        </w:tc>
        <w:tc>
          <w:tcPr>
            <w:tcW w:w="993" w:type="dxa"/>
            <w:tcBorders>
              <w:left w:val="single" w:sz="4" w:space="0" w:color="auto"/>
            </w:tcBorders>
            <w:vAlign w:val="center"/>
          </w:tcPr>
          <w:p w14:paraId="4493E446" w14:textId="77777777" w:rsidR="00D52AA8" w:rsidRPr="00313FC1" w:rsidRDefault="00D52AA8" w:rsidP="000675CD">
            <w:pPr>
              <w:spacing w:before="60" w:after="60"/>
              <w:jc w:val="center"/>
              <w:rPr>
                <w:sz w:val="20"/>
                <w:szCs w:val="20"/>
              </w:rPr>
            </w:pPr>
            <w:r w:rsidRPr="00313FC1">
              <w:rPr>
                <w:sz w:val="20"/>
                <w:szCs w:val="20"/>
              </w:rPr>
              <w:t>2.9541</w:t>
            </w:r>
          </w:p>
        </w:tc>
        <w:tc>
          <w:tcPr>
            <w:tcW w:w="850" w:type="dxa"/>
            <w:vAlign w:val="center"/>
          </w:tcPr>
          <w:p w14:paraId="78A937C7" w14:textId="77777777" w:rsidR="00D52AA8" w:rsidRPr="00313FC1" w:rsidRDefault="00D52AA8" w:rsidP="000675CD">
            <w:pPr>
              <w:spacing w:before="60" w:after="60"/>
              <w:jc w:val="center"/>
              <w:rPr>
                <w:sz w:val="20"/>
                <w:szCs w:val="20"/>
              </w:rPr>
            </w:pPr>
            <w:r w:rsidRPr="00313FC1">
              <w:rPr>
                <w:sz w:val="20"/>
                <w:szCs w:val="20"/>
              </w:rPr>
              <w:t>-7.7217</w:t>
            </w:r>
          </w:p>
        </w:tc>
      </w:tr>
      <w:tr w:rsidR="00D52AA8" w:rsidRPr="00313FC1" w14:paraId="3F0ADB55" w14:textId="77777777" w:rsidTr="000675CD">
        <w:trPr>
          <w:trHeight w:val="791"/>
        </w:trPr>
        <w:tc>
          <w:tcPr>
            <w:tcW w:w="1276" w:type="dxa"/>
            <w:tcBorders>
              <w:right w:val="single" w:sz="4" w:space="0" w:color="auto"/>
            </w:tcBorders>
            <w:vAlign w:val="center"/>
            <w:hideMark/>
          </w:tcPr>
          <w:p w14:paraId="09038ADE" w14:textId="77777777" w:rsidR="00D52AA8" w:rsidRPr="00313FC1" w:rsidRDefault="00000000" w:rsidP="000675CD">
            <w:pPr>
              <w:tabs>
                <w:tab w:val="center" w:pos="4153"/>
                <w:tab w:val="right" w:pos="8306"/>
              </w:tabs>
              <w:spacing w:before="60" w:after="60"/>
              <w:rPr>
                <w:sz w:val="20"/>
                <w:szCs w:val="20"/>
              </w:rPr>
            </w:pPr>
            <m:oMath>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t</m:t>
                  </m:r>
                </m:sub>
              </m:sSub>
            </m:oMath>
            <w:r w:rsidR="00D52AA8" w:rsidRPr="00313FC1">
              <w:rPr>
                <w:sz w:val="20"/>
                <w:szCs w:val="20"/>
              </w:rPr>
              <w:t xml:space="preserve"> </w:t>
            </w:r>
          </w:p>
        </w:tc>
        <w:tc>
          <w:tcPr>
            <w:tcW w:w="851" w:type="dxa"/>
            <w:tcBorders>
              <w:left w:val="single" w:sz="4" w:space="0" w:color="auto"/>
            </w:tcBorders>
            <w:vAlign w:val="center"/>
          </w:tcPr>
          <w:p w14:paraId="67F32DAE" w14:textId="77777777" w:rsidR="00D52AA8" w:rsidRPr="00313FC1" w:rsidRDefault="00D52AA8" w:rsidP="000675CD">
            <w:pPr>
              <w:spacing w:before="60" w:after="60"/>
              <w:jc w:val="center"/>
              <w:rPr>
                <w:sz w:val="20"/>
                <w:szCs w:val="20"/>
              </w:rPr>
            </w:pPr>
            <w:r w:rsidRPr="00313FC1">
              <w:rPr>
                <w:sz w:val="20"/>
                <w:szCs w:val="20"/>
              </w:rPr>
              <w:t>-3.0698</w:t>
            </w:r>
          </w:p>
        </w:tc>
        <w:tc>
          <w:tcPr>
            <w:tcW w:w="850" w:type="dxa"/>
            <w:tcBorders>
              <w:right w:val="single" w:sz="4" w:space="0" w:color="auto"/>
            </w:tcBorders>
            <w:vAlign w:val="center"/>
          </w:tcPr>
          <w:p w14:paraId="772C4D8A" w14:textId="77777777" w:rsidR="00D52AA8" w:rsidRPr="00313FC1" w:rsidRDefault="00D52AA8" w:rsidP="000675CD">
            <w:pPr>
              <w:spacing w:before="60" w:after="60"/>
              <w:jc w:val="center"/>
              <w:rPr>
                <w:sz w:val="20"/>
                <w:szCs w:val="20"/>
              </w:rPr>
            </w:pPr>
            <w:r w:rsidRPr="00313FC1">
              <w:rPr>
                <w:sz w:val="20"/>
                <w:szCs w:val="20"/>
              </w:rPr>
              <w:t>-10.2249</w:t>
            </w:r>
          </w:p>
        </w:tc>
        <w:tc>
          <w:tcPr>
            <w:tcW w:w="851" w:type="dxa"/>
            <w:tcBorders>
              <w:left w:val="single" w:sz="4" w:space="0" w:color="auto"/>
            </w:tcBorders>
            <w:vAlign w:val="center"/>
          </w:tcPr>
          <w:p w14:paraId="79A7A575" w14:textId="77777777" w:rsidR="00D52AA8" w:rsidRPr="00313FC1" w:rsidRDefault="00D52AA8" w:rsidP="000675CD">
            <w:pPr>
              <w:spacing w:before="60" w:after="60"/>
              <w:jc w:val="center"/>
              <w:rPr>
                <w:sz w:val="20"/>
                <w:szCs w:val="20"/>
              </w:rPr>
            </w:pPr>
            <w:r w:rsidRPr="00313FC1">
              <w:rPr>
                <w:sz w:val="20"/>
                <w:szCs w:val="20"/>
              </w:rPr>
              <w:t>-4.5489</w:t>
            </w:r>
          </w:p>
        </w:tc>
        <w:tc>
          <w:tcPr>
            <w:tcW w:w="992" w:type="dxa"/>
            <w:tcBorders>
              <w:right w:val="single" w:sz="4" w:space="0" w:color="auto"/>
            </w:tcBorders>
            <w:vAlign w:val="center"/>
          </w:tcPr>
          <w:p w14:paraId="2F83834C" w14:textId="77777777" w:rsidR="00D52AA8" w:rsidRPr="00313FC1" w:rsidRDefault="00D52AA8" w:rsidP="000675CD">
            <w:pPr>
              <w:spacing w:before="60" w:after="60"/>
              <w:jc w:val="center"/>
              <w:rPr>
                <w:sz w:val="20"/>
                <w:szCs w:val="20"/>
              </w:rPr>
            </w:pPr>
            <w:r w:rsidRPr="00313FC1">
              <w:rPr>
                <w:sz w:val="20"/>
                <w:szCs w:val="20"/>
              </w:rPr>
              <w:t>-12.5411</w:t>
            </w:r>
          </w:p>
        </w:tc>
        <w:tc>
          <w:tcPr>
            <w:tcW w:w="850" w:type="dxa"/>
            <w:tcBorders>
              <w:left w:val="single" w:sz="4" w:space="0" w:color="auto"/>
            </w:tcBorders>
            <w:vAlign w:val="center"/>
          </w:tcPr>
          <w:p w14:paraId="6350D5F2" w14:textId="77777777" w:rsidR="00D52AA8" w:rsidRPr="00313FC1" w:rsidRDefault="00D52AA8" w:rsidP="000675CD">
            <w:pPr>
              <w:spacing w:before="60" w:after="60"/>
              <w:jc w:val="center"/>
              <w:rPr>
                <w:sz w:val="20"/>
                <w:szCs w:val="20"/>
              </w:rPr>
            </w:pPr>
            <w:r w:rsidRPr="00313FC1">
              <w:rPr>
                <w:sz w:val="20"/>
                <w:szCs w:val="20"/>
              </w:rPr>
              <w:t>-3.8023</w:t>
            </w:r>
          </w:p>
        </w:tc>
        <w:tc>
          <w:tcPr>
            <w:tcW w:w="851" w:type="dxa"/>
            <w:tcBorders>
              <w:right w:val="single" w:sz="4" w:space="0" w:color="auto"/>
            </w:tcBorders>
            <w:vAlign w:val="center"/>
          </w:tcPr>
          <w:p w14:paraId="2F2C8EDD" w14:textId="77777777" w:rsidR="00D52AA8" w:rsidRPr="00313FC1" w:rsidRDefault="00D52AA8" w:rsidP="000675CD">
            <w:pPr>
              <w:spacing w:before="60" w:after="60"/>
              <w:jc w:val="center"/>
              <w:rPr>
                <w:sz w:val="20"/>
                <w:szCs w:val="20"/>
              </w:rPr>
            </w:pPr>
            <w:r w:rsidRPr="00313FC1">
              <w:rPr>
                <w:sz w:val="20"/>
                <w:szCs w:val="20"/>
              </w:rPr>
              <w:t>-7.9653</w:t>
            </w:r>
          </w:p>
        </w:tc>
        <w:tc>
          <w:tcPr>
            <w:tcW w:w="850" w:type="dxa"/>
            <w:tcBorders>
              <w:left w:val="single" w:sz="4" w:space="0" w:color="auto"/>
            </w:tcBorders>
            <w:vAlign w:val="center"/>
          </w:tcPr>
          <w:p w14:paraId="5B7187FB" w14:textId="77777777" w:rsidR="00D52AA8" w:rsidRPr="00313FC1" w:rsidRDefault="00D52AA8" w:rsidP="000675CD">
            <w:pPr>
              <w:spacing w:before="60" w:after="60"/>
              <w:jc w:val="center"/>
              <w:rPr>
                <w:sz w:val="20"/>
                <w:szCs w:val="20"/>
              </w:rPr>
            </w:pPr>
            <w:r w:rsidRPr="00313FC1">
              <w:rPr>
                <w:sz w:val="20"/>
                <w:szCs w:val="20"/>
              </w:rPr>
              <w:t>-2.8216</w:t>
            </w:r>
          </w:p>
        </w:tc>
        <w:tc>
          <w:tcPr>
            <w:tcW w:w="993" w:type="dxa"/>
            <w:tcBorders>
              <w:right w:val="single" w:sz="4" w:space="0" w:color="auto"/>
            </w:tcBorders>
            <w:vAlign w:val="center"/>
          </w:tcPr>
          <w:p w14:paraId="2D7A7DE7" w14:textId="77777777" w:rsidR="00D52AA8" w:rsidRPr="00313FC1" w:rsidRDefault="00D52AA8" w:rsidP="000675CD">
            <w:pPr>
              <w:spacing w:before="60" w:after="60"/>
              <w:jc w:val="center"/>
              <w:rPr>
                <w:sz w:val="20"/>
                <w:szCs w:val="20"/>
              </w:rPr>
            </w:pPr>
            <w:r w:rsidRPr="00313FC1">
              <w:rPr>
                <w:sz w:val="20"/>
                <w:szCs w:val="20"/>
              </w:rPr>
              <w:t>-8.5664</w:t>
            </w:r>
          </w:p>
        </w:tc>
        <w:tc>
          <w:tcPr>
            <w:tcW w:w="992" w:type="dxa"/>
            <w:tcBorders>
              <w:left w:val="single" w:sz="4" w:space="0" w:color="auto"/>
            </w:tcBorders>
            <w:vAlign w:val="center"/>
          </w:tcPr>
          <w:p w14:paraId="4F3CD8F7" w14:textId="77777777" w:rsidR="00D52AA8" w:rsidRPr="00313FC1" w:rsidRDefault="00D52AA8" w:rsidP="000675CD">
            <w:pPr>
              <w:spacing w:before="60" w:after="60"/>
              <w:jc w:val="center"/>
              <w:rPr>
                <w:sz w:val="20"/>
                <w:szCs w:val="20"/>
              </w:rPr>
            </w:pPr>
            <w:r w:rsidRPr="00313FC1">
              <w:rPr>
                <w:sz w:val="20"/>
                <w:szCs w:val="20"/>
              </w:rPr>
              <w:t>-2.8781</w:t>
            </w:r>
          </w:p>
        </w:tc>
        <w:tc>
          <w:tcPr>
            <w:tcW w:w="850" w:type="dxa"/>
            <w:tcBorders>
              <w:right w:val="single" w:sz="4" w:space="0" w:color="auto"/>
            </w:tcBorders>
            <w:vAlign w:val="center"/>
          </w:tcPr>
          <w:p w14:paraId="6C5C5199" w14:textId="77777777" w:rsidR="00D52AA8" w:rsidRPr="00313FC1" w:rsidRDefault="00D52AA8" w:rsidP="000675CD">
            <w:pPr>
              <w:spacing w:before="60" w:after="60"/>
              <w:jc w:val="center"/>
              <w:rPr>
                <w:sz w:val="20"/>
                <w:szCs w:val="20"/>
              </w:rPr>
            </w:pPr>
            <w:r w:rsidRPr="00313FC1">
              <w:rPr>
                <w:sz w:val="20"/>
                <w:szCs w:val="20"/>
              </w:rPr>
              <w:t>-6.0168</w:t>
            </w:r>
          </w:p>
        </w:tc>
        <w:tc>
          <w:tcPr>
            <w:tcW w:w="851" w:type="dxa"/>
            <w:tcBorders>
              <w:left w:val="single" w:sz="4" w:space="0" w:color="auto"/>
            </w:tcBorders>
            <w:vAlign w:val="center"/>
          </w:tcPr>
          <w:p w14:paraId="2CB33A91" w14:textId="77777777" w:rsidR="00D52AA8" w:rsidRPr="00313FC1" w:rsidRDefault="00D52AA8" w:rsidP="000675CD">
            <w:pPr>
              <w:spacing w:before="60" w:after="60"/>
              <w:jc w:val="center"/>
              <w:rPr>
                <w:sz w:val="20"/>
                <w:szCs w:val="20"/>
              </w:rPr>
            </w:pPr>
            <w:r w:rsidRPr="00313FC1">
              <w:rPr>
                <w:sz w:val="20"/>
                <w:szCs w:val="20"/>
              </w:rPr>
              <w:t>-3.7866</w:t>
            </w:r>
          </w:p>
        </w:tc>
        <w:tc>
          <w:tcPr>
            <w:tcW w:w="850" w:type="dxa"/>
            <w:tcBorders>
              <w:right w:val="single" w:sz="4" w:space="0" w:color="auto"/>
            </w:tcBorders>
            <w:vAlign w:val="center"/>
          </w:tcPr>
          <w:p w14:paraId="72DA9A60" w14:textId="77777777" w:rsidR="00D52AA8" w:rsidRPr="00313FC1" w:rsidRDefault="00D52AA8" w:rsidP="000675CD">
            <w:pPr>
              <w:spacing w:before="60" w:after="60"/>
              <w:jc w:val="center"/>
              <w:rPr>
                <w:sz w:val="20"/>
                <w:szCs w:val="20"/>
              </w:rPr>
            </w:pPr>
            <w:r w:rsidRPr="00313FC1">
              <w:rPr>
                <w:sz w:val="20"/>
                <w:szCs w:val="20"/>
              </w:rPr>
              <w:t>-9.5347</w:t>
            </w:r>
          </w:p>
        </w:tc>
        <w:tc>
          <w:tcPr>
            <w:tcW w:w="993" w:type="dxa"/>
            <w:tcBorders>
              <w:left w:val="single" w:sz="4" w:space="0" w:color="auto"/>
            </w:tcBorders>
            <w:vAlign w:val="center"/>
          </w:tcPr>
          <w:p w14:paraId="47613C93" w14:textId="77777777" w:rsidR="00D52AA8" w:rsidRPr="00313FC1" w:rsidRDefault="00D52AA8" w:rsidP="000675CD">
            <w:pPr>
              <w:spacing w:before="60" w:after="60"/>
              <w:jc w:val="center"/>
              <w:rPr>
                <w:sz w:val="20"/>
                <w:szCs w:val="20"/>
              </w:rPr>
            </w:pPr>
            <w:r w:rsidRPr="00313FC1">
              <w:rPr>
                <w:sz w:val="20"/>
                <w:szCs w:val="20"/>
              </w:rPr>
              <w:t>-2.5647</w:t>
            </w:r>
          </w:p>
        </w:tc>
        <w:tc>
          <w:tcPr>
            <w:tcW w:w="850" w:type="dxa"/>
            <w:vAlign w:val="center"/>
          </w:tcPr>
          <w:p w14:paraId="785DBC39" w14:textId="77777777" w:rsidR="00D52AA8" w:rsidRPr="00313FC1" w:rsidRDefault="00D52AA8" w:rsidP="000675CD">
            <w:pPr>
              <w:spacing w:before="60" w:after="60"/>
              <w:jc w:val="center"/>
              <w:rPr>
                <w:sz w:val="20"/>
                <w:szCs w:val="20"/>
              </w:rPr>
            </w:pPr>
            <w:r w:rsidRPr="00313FC1">
              <w:rPr>
                <w:sz w:val="20"/>
                <w:szCs w:val="20"/>
              </w:rPr>
              <w:t>-8.8508</w:t>
            </w:r>
          </w:p>
        </w:tc>
      </w:tr>
      <w:tr w:rsidR="00D52AA8" w:rsidRPr="00313FC1" w14:paraId="3F085FC2" w14:textId="77777777" w:rsidTr="000675CD">
        <w:tc>
          <w:tcPr>
            <w:tcW w:w="1276" w:type="dxa"/>
            <w:tcBorders>
              <w:right w:val="single" w:sz="4" w:space="0" w:color="auto"/>
            </w:tcBorders>
            <w:vAlign w:val="center"/>
          </w:tcPr>
          <w:p w14:paraId="1E8D12D7" w14:textId="77777777" w:rsidR="00D52AA8" w:rsidRPr="00313FC1" w:rsidRDefault="00000000" w:rsidP="000675CD">
            <w:pPr>
              <w:tabs>
                <w:tab w:val="center" w:pos="4153"/>
                <w:tab w:val="right" w:pos="8306"/>
              </w:tabs>
              <w:spacing w:before="60" w:after="60"/>
              <w:rPr>
                <w:sz w:val="20"/>
                <w:szCs w:val="20"/>
                <w:lang w:val="en-GB"/>
              </w:rPr>
            </w:pPr>
            <m:oMath>
              <m:sSub>
                <m:sSubPr>
                  <m:ctrlPr>
                    <w:rPr>
                      <w:rFonts w:ascii="Cambria Math" w:hAnsi="Cambria Math"/>
                      <w:i/>
                      <w:sz w:val="20"/>
                      <w:szCs w:val="20"/>
                    </w:rPr>
                  </m:ctrlPr>
                </m:sSubPr>
                <m:e>
                  <m:r>
                    <w:rPr>
                      <w:rFonts w:ascii="Cambria Math" w:hAnsi="Cambria Math"/>
                      <w:sz w:val="20"/>
                      <w:szCs w:val="20"/>
                    </w:rPr>
                    <m:t>S_INT</m:t>
                  </m:r>
                </m:e>
                <m:sub>
                  <m:r>
                    <w:rPr>
                      <w:rFonts w:ascii="Cambria Math" w:hAnsi="Cambria Math"/>
                      <w:sz w:val="20"/>
                      <w:szCs w:val="20"/>
                    </w:rPr>
                    <m:t>t</m:t>
                  </m:r>
                </m:sub>
              </m:sSub>
            </m:oMath>
            <w:r w:rsidR="00D52AA8" w:rsidRPr="00313FC1">
              <w:rPr>
                <w:sz w:val="20"/>
                <w:szCs w:val="20"/>
                <w:lang w:val="en-GB"/>
              </w:rPr>
              <w:t xml:space="preserve"> </w:t>
            </w:r>
          </w:p>
        </w:tc>
        <w:tc>
          <w:tcPr>
            <w:tcW w:w="851" w:type="dxa"/>
            <w:tcBorders>
              <w:left w:val="single" w:sz="4" w:space="0" w:color="auto"/>
            </w:tcBorders>
            <w:vAlign w:val="center"/>
          </w:tcPr>
          <w:p w14:paraId="2518761C" w14:textId="77777777" w:rsidR="00D52AA8" w:rsidRPr="00313FC1" w:rsidRDefault="00D52AA8" w:rsidP="000675CD">
            <w:pPr>
              <w:spacing w:before="60" w:after="60"/>
              <w:jc w:val="center"/>
              <w:rPr>
                <w:sz w:val="20"/>
                <w:szCs w:val="20"/>
              </w:rPr>
            </w:pPr>
            <w:r w:rsidRPr="00313FC1">
              <w:rPr>
                <w:sz w:val="20"/>
                <w:szCs w:val="20"/>
              </w:rPr>
              <w:t>-0.9524</w:t>
            </w:r>
          </w:p>
        </w:tc>
        <w:tc>
          <w:tcPr>
            <w:tcW w:w="850" w:type="dxa"/>
            <w:tcBorders>
              <w:right w:val="single" w:sz="4" w:space="0" w:color="auto"/>
            </w:tcBorders>
            <w:vAlign w:val="center"/>
          </w:tcPr>
          <w:p w14:paraId="3677C5E5" w14:textId="77777777" w:rsidR="00D52AA8" w:rsidRPr="00313FC1" w:rsidRDefault="00D52AA8" w:rsidP="000675CD">
            <w:pPr>
              <w:spacing w:before="60" w:after="60"/>
              <w:jc w:val="center"/>
              <w:rPr>
                <w:sz w:val="20"/>
                <w:szCs w:val="20"/>
              </w:rPr>
            </w:pPr>
            <w:r w:rsidRPr="00313FC1">
              <w:rPr>
                <w:sz w:val="20"/>
                <w:szCs w:val="20"/>
              </w:rPr>
              <w:t>-5.9590</w:t>
            </w:r>
          </w:p>
        </w:tc>
        <w:tc>
          <w:tcPr>
            <w:tcW w:w="851" w:type="dxa"/>
            <w:tcBorders>
              <w:left w:val="single" w:sz="4" w:space="0" w:color="auto"/>
            </w:tcBorders>
            <w:vAlign w:val="center"/>
          </w:tcPr>
          <w:p w14:paraId="2BEFC519" w14:textId="77777777" w:rsidR="00D52AA8" w:rsidRPr="00313FC1" w:rsidRDefault="00D52AA8" w:rsidP="000675CD">
            <w:pPr>
              <w:spacing w:before="60" w:after="60"/>
              <w:jc w:val="center"/>
              <w:rPr>
                <w:sz w:val="20"/>
                <w:szCs w:val="20"/>
              </w:rPr>
            </w:pPr>
            <w:r w:rsidRPr="00313FC1">
              <w:rPr>
                <w:sz w:val="20"/>
                <w:szCs w:val="20"/>
              </w:rPr>
              <w:t>-1.7358</w:t>
            </w:r>
          </w:p>
        </w:tc>
        <w:tc>
          <w:tcPr>
            <w:tcW w:w="992" w:type="dxa"/>
            <w:tcBorders>
              <w:right w:val="single" w:sz="4" w:space="0" w:color="auto"/>
            </w:tcBorders>
            <w:vAlign w:val="center"/>
          </w:tcPr>
          <w:p w14:paraId="286920EE" w14:textId="77777777" w:rsidR="00D52AA8" w:rsidRPr="00313FC1" w:rsidRDefault="00D52AA8" w:rsidP="000675CD">
            <w:pPr>
              <w:spacing w:before="60" w:after="60"/>
              <w:jc w:val="center"/>
              <w:rPr>
                <w:sz w:val="20"/>
                <w:szCs w:val="20"/>
              </w:rPr>
            </w:pPr>
            <w:r w:rsidRPr="00313FC1">
              <w:rPr>
                <w:sz w:val="20"/>
                <w:szCs w:val="20"/>
              </w:rPr>
              <w:t>-5.8700</w:t>
            </w:r>
          </w:p>
        </w:tc>
        <w:tc>
          <w:tcPr>
            <w:tcW w:w="850" w:type="dxa"/>
            <w:tcBorders>
              <w:left w:val="single" w:sz="4" w:space="0" w:color="auto"/>
            </w:tcBorders>
            <w:vAlign w:val="center"/>
          </w:tcPr>
          <w:p w14:paraId="642123EC" w14:textId="77777777" w:rsidR="00D52AA8" w:rsidRPr="00313FC1" w:rsidRDefault="00D52AA8" w:rsidP="000675CD">
            <w:pPr>
              <w:spacing w:before="60" w:after="60"/>
              <w:jc w:val="center"/>
              <w:rPr>
                <w:sz w:val="20"/>
                <w:szCs w:val="20"/>
              </w:rPr>
            </w:pPr>
            <w:r w:rsidRPr="00313FC1">
              <w:rPr>
                <w:sz w:val="20"/>
                <w:szCs w:val="20"/>
              </w:rPr>
              <w:t>-1.2574</w:t>
            </w:r>
          </w:p>
        </w:tc>
        <w:tc>
          <w:tcPr>
            <w:tcW w:w="851" w:type="dxa"/>
            <w:tcBorders>
              <w:right w:val="single" w:sz="4" w:space="0" w:color="auto"/>
            </w:tcBorders>
            <w:vAlign w:val="center"/>
          </w:tcPr>
          <w:p w14:paraId="666C104A" w14:textId="77777777" w:rsidR="00D52AA8" w:rsidRPr="00313FC1" w:rsidRDefault="00D52AA8" w:rsidP="000675CD">
            <w:pPr>
              <w:spacing w:before="60" w:after="60"/>
              <w:jc w:val="center"/>
              <w:rPr>
                <w:sz w:val="20"/>
                <w:szCs w:val="20"/>
              </w:rPr>
            </w:pPr>
            <w:r w:rsidRPr="00313FC1">
              <w:rPr>
                <w:sz w:val="20"/>
                <w:szCs w:val="20"/>
              </w:rPr>
              <w:t>-5.7452</w:t>
            </w:r>
          </w:p>
        </w:tc>
        <w:tc>
          <w:tcPr>
            <w:tcW w:w="850" w:type="dxa"/>
            <w:tcBorders>
              <w:left w:val="single" w:sz="4" w:space="0" w:color="auto"/>
            </w:tcBorders>
            <w:vAlign w:val="center"/>
          </w:tcPr>
          <w:p w14:paraId="5AB9D4E0" w14:textId="77777777" w:rsidR="00D52AA8" w:rsidRPr="00313FC1" w:rsidRDefault="00D52AA8" w:rsidP="000675CD">
            <w:pPr>
              <w:spacing w:before="60" w:after="60"/>
              <w:jc w:val="center"/>
              <w:rPr>
                <w:sz w:val="20"/>
                <w:szCs w:val="20"/>
              </w:rPr>
            </w:pPr>
            <w:r w:rsidRPr="00313FC1">
              <w:rPr>
                <w:sz w:val="20"/>
                <w:szCs w:val="20"/>
              </w:rPr>
              <w:t>-1.4927</w:t>
            </w:r>
          </w:p>
        </w:tc>
        <w:tc>
          <w:tcPr>
            <w:tcW w:w="993" w:type="dxa"/>
            <w:tcBorders>
              <w:right w:val="single" w:sz="4" w:space="0" w:color="auto"/>
            </w:tcBorders>
            <w:vAlign w:val="center"/>
          </w:tcPr>
          <w:p w14:paraId="26288818" w14:textId="77777777" w:rsidR="00D52AA8" w:rsidRPr="00313FC1" w:rsidRDefault="00D52AA8" w:rsidP="000675CD">
            <w:pPr>
              <w:spacing w:before="60" w:after="60"/>
              <w:jc w:val="center"/>
              <w:rPr>
                <w:sz w:val="20"/>
                <w:szCs w:val="20"/>
              </w:rPr>
            </w:pPr>
            <w:r w:rsidRPr="00313FC1">
              <w:rPr>
                <w:sz w:val="20"/>
                <w:szCs w:val="20"/>
              </w:rPr>
              <w:t>-3.8134</w:t>
            </w:r>
          </w:p>
        </w:tc>
        <w:tc>
          <w:tcPr>
            <w:tcW w:w="992" w:type="dxa"/>
            <w:tcBorders>
              <w:left w:val="single" w:sz="4" w:space="0" w:color="auto"/>
            </w:tcBorders>
            <w:vAlign w:val="center"/>
          </w:tcPr>
          <w:p w14:paraId="7BF9B7B6" w14:textId="77777777" w:rsidR="00D52AA8" w:rsidRPr="00313FC1" w:rsidRDefault="00D52AA8" w:rsidP="000675CD">
            <w:pPr>
              <w:spacing w:before="60" w:after="60"/>
              <w:jc w:val="center"/>
              <w:rPr>
                <w:sz w:val="20"/>
                <w:szCs w:val="20"/>
              </w:rPr>
            </w:pPr>
            <w:r w:rsidRPr="00313FC1">
              <w:rPr>
                <w:sz w:val="20"/>
                <w:szCs w:val="20"/>
              </w:rPr>
              <w:t>-2.9433</w:t>
            </w:r>
          </w:p>
        </w:tc>
        <w:tc>
          <w:tcPr>
            <w:tcW w:w="850" w:type="dxa"/>
            <w:tcBorders>
              <w:right w:val="single" w:sz="4" w:space="0" w:color="auto"/>
            </w:tcBorders>
            <w:vAlign w:val="center"/>
          </w:tcPr>
          <w:p w14:paraId="3609CDC2" w14:textId="77777777" w:rsidR="00D52AA8" w:rsidRPr="00313FC1" w:rsidRDefault="00D52AA8" w:rsidP="000675CD">
            <w:pPr>
              <w:spacing w:before="60" w:after="60"/>
              <w:jc w:val="center"/>
              <w:rPr>
                <w:sz w:val="20"/>
                <w:szCs w:val="20"/>
              </w:rPr>
            </w:pPr>
            <w:r w:rsidRPr="00313FC1">
              <w:rPr>
                <w:sz w:val="20"/>
                <w:szCs w:val="20"/>
              </w:rPr>
              <w:t>-4.8566</w:t>
            </w:r>
          </w:p>
        </w:tc>
        <w:tc>
          <w:tcPr>
            <w:tcW w:w="851" w:type="dxa"/>
            <w:tcBorders>
              <w:left w:val="single" w:sz="4" w:space="0" w:color="auto"/>
            </w:tcBorders>
            <w:vAlign w:val="center"/>
          </w:tcPr>
          <w:p w14:paraId="31276312" w14:textId="77777777" w:rsidR="00D52AA8" w:rsidRPr="00313FC1" w:rsidRDefault="00D52AA8" w:rsidP="000675CD">
            <w:pPr>
              <w:spacing w:before="60" w:after="60"/>
              <w:jc w:val="center"/>
              <w:rPr>
                <w:sz w:val="20"/>
                <w:szCs w:val="20"/>
              </w:rPr>
            </w:pPr>
            <w:r w:rsidRPr="00313FC1">
              <w:rPr>
                <w:sz w:val="20"/>
                <w:szCs w:val="20"/>
              </w:rPr>
              <w:t>-1.5941</w:t>
            </w:r>
          </w:p>
        </w:tc>
        <w:tc>
          <w:tcPr>
            <w:tcW w:w="850" w:type="dxa"/>
            <w:tcBorders>
              <w:right w:val="single" w:sz="4" w:space="0" w:color="auto"/>
            </w:tcBorders>
            <w:vAlign w:val="center"/>
          </w:tcPr>
          <w:p w14:paraId="4F1069FA" w14:textId="77777777" w:rsidR="00D52AA8" w:rsidRPr="00313FC1" w:rsidRDefault="00D52AA8" w:rsidP="000675CD">
            <w:pPr>
              <w:spacing w:before="60" w:after="60"/>
              <w:jc w:val="center"/>
              <w:rPr>
                <w:sz w:val="20"/>
                <w:szCs w:val="20"/>
              </w:rPr>
            </w:pPr>
            <w:r w:rsidRPr="00313FC1">
              <w:rPr>
                <w:sz w:val="20"/>
                <w:szCs w:val="20"/>
              </w:rPr>
              <w:t>-8.6053</w:t>
            </w:r>
          </w:p>
        </w:tc>
        <w:tc>
          <w:tcPr>
            <w:tcW w:w="993" w:type="dxa"/>
            <w:tcBorders>
              <w:left w:val="single" w:sz="4" w:space="0" w:color="auto"/>
            </w:tcBorders>
            <w:vAlign w:val="center"/>
          </w:tcPr>
          <w:p w14:paraId="43BE7DC0" w14:textId="77777777" w:rsidR="00D52AA8" w:rsidRPr="00313FC1" w:rsidRDefault="00D52AA8" w:rsidP="000675CD">
            <w:pPr>
              <w:spacing w:before="60" w:after="60"/>
              <w:jc w:val="center"/>
              <w:rPr>
                <w:sz w:val="20"/>
                <w:szCs w:val="20"/>
              </w:rPr>
            </w:pPr>
            <w:r w:rsidRPr="00313FC1">
              <w:rPr>
                <w:sz w:val="20"/>
                <w:szCs w:val="20"/>
              </w:rPr>
              <w:t>-1.7255</w:t>
            </w:r>
          </w:p>
        </w:tc>
        <w:tc>
          <w:tcPr>
            <w:tcW w:w="850" w:type="dxa"/>
            <w:vAlign w:val="center"/>
          </w:tcPr>
          <w:p w14:paraId="7DEB1819" w14:textId="77777777" w:rsidR="00D52AA8" w:rsidRPr="00313FC1" w:rsidRDefault="00D52AA8" w:rsidP="000675CD">
            <w:pPr>
              <w:spacing w:before="60" w:after="60"/>
              <w:jc w:val="center"/>
              <w:rPr>
                <w:sz w:val="20"/>
                <w:szCs w:val="20"/>
              </w:rPr>
            </w:pPr>
            <w:r w:rsidRPr="00313FC1">
              <w:rPr>
                <w:sz w:val="20"/>
                <w:szCs w:val="20"/>
              </w:rPr>
              <w:t>-5.7941</w:t>
            </w:r>
          </w:p>
        </w:tc>
      </w:tr>
      <w:tr w:rsidR="00D52AA8" w:rsidRPr="00313FC1" w14:paraId="3479C93F" w14:textId="77777777" w:rsidTr="000675CD">
        <w:tc>
          <w:tcPr>
            <w:tcW w:w="1276" w:type="dxa"/>
            <w:tcBorders>
              <w:right w:val="single" w:sz="4" w:space="0" w:color="auto"/>
            </w:tcBorders>
            <w:vAlign w:val="center"/>
          </w:tcPr>
          <w:p w14:paraId="3F4E65E0" w14:textId="77777777" w:rsidR="00D52AA8" w:rsidRPr="00313FC1" w:rsidRDefault="00000000" w:rsidP="000675CD">
            <w:pPr>
              <w:tabs>
                <w:tab w:val="center" w:pos="4153"/>
                <w:tab w:val="right" w:pos="8306"/>
              </w:tabs>
              <w:spacing w:before="60" w:after="60"/>
              <w:rPr>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S_TAN</m:t>
                    </m:r>
                  </m:e>
                  <m:sub>
                    <m:r>
                      <w:rPr>
                        <w:rFonts w:ascii="Cambria Math" w:hAnsi="Cambria Math"/>
                        <w:sz w:val="20"/>
                        <w:szCs w:val="20"/>
                      </w:rPr>
                      <m:t>t</m:t>
                    </m:r>
                  </m:sub>
                </m:sSub>
              </m:oMath>
            </m:oMathPara>
          </w:p>
        </w:tc>
        <w:tc>
          <w:tcPr>
            <w:tcW w:w="851" w:type="dxa"/>
            <w:tcBorders>
              <w:left w:val="single" w:sz="4" w:space="0" w:color="auto"/>
            </w:tcBorders>
            <w:vAlign w:val="center"/>
          </w:tcPr>
          <w:p w14:paraId="3DA71865" w14:textId="77777777" w:rsidR="00D52AA8" w:rsidRPr="00313FC1" w:rsidRDefault="00D52AA8" w:rsidP="000675CD">
            <w:pPr>
              <w:spacing w:before="60" w:after="60"/>
              <w:jc w:val="center"/>
              <w:rPr>
                <w:sz w:val="20"/>
                <w:szCs w:val="20"/>
              </w:rPr>
            </w:pPr>
            <w:r w:rsidRPr="00313FC1">
              <w:rPr>
                <w:sz w:val="20"/>
                <w:szCs w:val="20"/>
              </w:rPr>
              <w:t>-0.9437</w:t>
            </w:r>
          </w:p>
        </w:tc>
        <w:tc>
          <w:tcPr>
            <w:tcW w:w="850" w:type="dxa"/>
            <w:tcBorders>
              <w:right w:val="single" w:sz="4" w:space="0" w:color="auto"/>
            </w:tcBorders>
            <w:vAlign w:val="center"/>
          </w:tcPr>
          <w:p w14:paraId="4E5FA23F" w14:textId="77777777" w:rsidR="00D52AA8" w:rsidRPr="00313FC1" w:rsidRDefault="00D52AA8" w:rsidP="000675CD">
            <w:pPr>
              <w:spacing w:before="60" w:after="60"/>
              <w:jc w:val="center"/>
              <w:rPr>
                <w:sz w:val="20"/>
                <w:szCs w:val="20"/>
              </w:rPr>
            </w:pPr>
            <w:r w:rsidRPr="00313FC1">
              <w:rPr>
                <w:sz w:val="20"/>
                <w:szCs w:val="20"/>
              </w:rPr>
              <w:t>-8.8866</w:t>
            </w:r>
          </w:p>
        </w:tc>
        <w:tc>
          <w:tcPr>
            <w:tcW w:w="851" w:type="dxa"/>
            <w:tcBorders>
              <w:left w:val="single" w:sz="4" w:space="0" w:color="auto"/>
            </w:tcBorders>
            <w:vAlign w:val="center"/>
          </w:tcPr>
          <w:p w14:paraId="45E036A2" w14:textId="77777777" w:rsidR="00D52AA8" w:rsidRPr="00313FC1" w:rsidRDefault="00D52AA8" w:rsidP="000675CD">
            <w:pPr>
              <w:spacing w:before="60" w:after="60"/>
              <w:jc w:val="center"/>
              <w:rPr>
                <w:sz w:val="20"/>
                <w:szCs w:val="20"/>
              </w:rPr>
            </w:pPr>
            <w:r w:rsidRPr="00313FC1">
              <w:rPr>
                <w:sz w:val="20"/>
                <w:szCs w:val="20"/>
              </w:rPr>
              <w:t>-1.9102</w:t>
            </w:r>
          </w:p>
        </w:tc>
        <w:tc>
          <w:tcPr>
            <w:tcW w:w="992" w:type="dxa"/>
            <w:tcBorders>
              <w:right w:val="single" w:sz="4" w:space="0" w:color="auto"/>
            </w:tcBorders>
            <w:vAlign w:val="center"/>
          </w:tcPr>
          <w:p w14:paraId="459CC655" w14:textId="77777777" w:rsidR="00D52AA8" w:rsidRPr="00313FC1" w:rsidRDefault="00D52AA8" w:rsidP="000675CD">
            <w:pPr>
              <w:spacing w:before="60" w:after="60"/>
              <w:jc w:val="center"/>
              <w:rPr>
                <w:sz w:val="20"/>
                <w:szCs w:val="20"/>
              </w:rPr>
            </w:pPr>
            <w:r w:rsidRPr="00313FC1">
              <w:rPr>
                <w:sz w:val="20"/>
                <w:szCs w:val="20"/>
              </w:rPr>
              <w:t>-9.9670</w:t>
            </w:r>
          </w:p>
        </w:tc>
        <w:tc>
          <w:tcPr>
            <w:tcW w:w="850" w:type="dxa"/>
            <w:tcBorders>
              <w:left w:val="single" w:sz="4" w:space="0" w:color="auto"/>
            </w:tcBorders>
            <w:vAlign w:val="center"/>
          </w:tcPr>
          <w:p w14:paraId="2A7190C8" w14:textId="77777777" w:rsidR="00D52AA8" w:rsidRPr="00313FC1" w:rsidRDefault="00D52AA8" w:rsidP="000675CD">
            <w:pPr>
              <w:spacing w:before="60" w:after="60"/>
              <w:jc w:val="center"/>
              <w:rPr>
                <w:sz w:val="20"/>
                <w:szCs w:val="20"/>
              </w:rPr>
            </w:pPr>
            <w:r w:rsidRPr="00313FC1">
              <w:rPr>
                <w:sz w:val="20"/>
                <w:szCs w:val="20"/>
              </w:rPr>
              <w:t>-3.8925</w:t>
            </w:r>
          </w:p>
        </w:tc>
        <w:tc>
          <w:tcPr>
            <w:tcW w:w="851" w:type="dxa"/>
            <w:tcBorders>
              <w:right w:val="single" w:sz="4" w:space="0" w:color="auto"/>
            </w:tcBorders>
            <w:vAlign w:val="center"/>
          </w:tcPr>
          <w:p w14:paraId="61CC23B1" w14:textId="77777777" w:rsidR="00D52AA8" w:rsidRPr="00313FC1" w:rsidRDefault="00D52AA8" w:rsidP="000675CD">
            <w:pPr>
              <w:spacing w:before="60" w:after="60"/>
              <w:jc w:val="center"/>
              <w:rPr>
                <w:sz w:val="20"/>
                <w:szCs w:val="20"/>
              </w:rPr>
            </w:pPr>
            <w:r w:rsidRPr="00313FC1">
              <w:rPr>
                <w:sz w:val="20"/>
                <w:szCs w:val="20"/>
              </w:rPr>
              <w:t>-7.3728</w:t>
            </w:r>
          </w:p>
        </w:tc>
        <w:tc>
          <w:tcPr>
            <w:tcW w:w="850" w:type="dxa"/>
            <w:tcBorders>
              <w:left w:val="single" w:sz="4" w:space="0" w:color="auto"/>
            </w:tcBorders>
            <w:vAlign w:val="center"/>
          </w:tcPr>
          <w:p w14:paraId="6F8231BD" w14:textId="77777777" w:rsidR="00D52AA8" w:rsidRPr="00313FC1" w:rsidRDefault="00D52AA8" w:rsidP="000675CD">
            <w:pPr>
              <w:spacing w:before="60" w:after="60"/>
              <w:jc w:val="center"/>
              <w:rPr>
                <w:sz w:val="20"/>
                <w:szCs w:val="20"/>
              </w:rPr>
            </w:pPr>
            <w:r w:rsidRPr="00313FC1">
              <w:rPr>
                <w:sz w:val="20"/>
                <w:szCs w:val="20"/>
              </w:rPr>
              <w:t>-1.5994</w:t>
            </w:r>
          </w:p>
        </w:tc>
        <w:tc>
          <w:tcPr>
            <w:tcW w:w="993" w:type="dxa"/>
            <w:tcBorders>
              <w:right w:val="single" w:sz="4" w:space="0" w:color="auto"/>
            </w:tcBorders>
            <w:vAlign w:val="center"/>
          </w:tcPr>
          <w:p w14:paraId="70BB03D6" w14:textId="77777777" w:rsidR="00D52AA8" w:rsidRPr="00313FC1" w:rsidRDefault="00D52AA8" w:rsidP="000675CD">
            <w:pPr>
              <w:spacing w:before="60" w:after="60"/>
              <w:jc w:val="center"/>
              <w:rPr>
                <w:sz w:val="20"/>
                <w:szCs w:val="20"/>
              </w:rPr>
            </w:pPr>
            <w:r w:rsidRPr="00313FC1">
              <w:rPr>
                <w:sz w:val="20"/>
                <w:szCs w:val="20"/>
              </w:rPr>
              <w:t>-6.1701</w:t>
            </w:r>
          </w:p>
        </w:tc>
        <w:tc>
          <w:tcPr>
            <w:tcW w:w="992" w:type="dxa"/>
            <w:tcBorders>
              <w:left w:val="single" w:sz="4" w:space="0" w:color="auto"/>
            </w:tcBorders>
            <w:vAlign w:val="center"/>
          </w:tcPr>
          <w:p w14:paraId="518F2366" w14:textId="77777777" w:rsidR="00D52AA8" w:rsidRPr="00313FC1" w:rsidRDefault="00D52AA8" w:rsidP="000675CD">
            <w:pPr>
              <w:spacing w:before="60" w:after="60"/>
              <w:jc w:val="center"/>
              <w:rPr>
                <w:sz w:val="20"/>
                <w:szCs w:val="20"/>
              </w:rPr>
            </w:pPr>
            <w:r w:rsidRPr="00313FC1">
              <w:rPr>
                <w:sz w:val="20"/>
                <w:szCs w:val="20"/>
              </w:rPr>
              <w:t>-2.9433</w:t>
            </w:r>
          </w:p>
        </w:tc>
        <w:tc>
          <w:tcPr>
            <w:tcW w:w="850" w:type="dxa"/>
            <w:tcBorders>
              <w:right w:val="single" w:sz="4" w:space="0" w:color="auto"/>
            </w:tcBorders>
            <w:vAlign w:val="center"/>
          </w:tcPr>
          <w:p w14:paraId="7B4DE73A" w14:textId="77777777" w:rsidR="00D52AA8" w:rsidRPr="00313FC1" w:rsidRDefault="00D52AA8" w:rsidP="000675CD">
            <w:pPr>
              <w:spacing w:before="60" w:after="60"/>
              <w:jc w:val="center"/>
              <w:rPr>
                <w:sz w:val="20"/>
                <w:szCs w:val="20"/>
              </w:rPr>
            </w:pPr>
            <w:r w:rsidRPr="00313FC1">
              <w:rPr>
                <w:sz w:val="20"/>
                <w:szCs w:val="20"/>
              </w:rPr>
              <w:t>-4.8566</w:t>
            </w:r>
          </w:p>
        </w:tc>
        <w:tc>
          <w:tcPr>
            <w:tcW w:w="851" w:type="dxa"/>
            <w:tcBorders>
              <w:left w:val="single" w:sz="4" w:space="0" w:color="auto"/>
            </w:tcBorders>
            <w:vAlign w:val="center"/>
          </w:tcPr>
          <w:p w14:paraId="76ACA0D7" w14:textId="77777777" w:rsidR="00D52AA8" w:rsidRPr="00313FC1" w:rsidRDefault="00D52AA8" w:rsidP="000675CD">
            <w:pPr>
              <w:spacing w:before="60" w:after="60"/>
              <w:jc w:val="center"/>
              <w:rPr>
                <w:sz w:val="20"/>
                <w:szCs w:val="20"/>
              </w:rPr>
            </w:pPr>
            <w:r w:rsidRPr="00313FC1">
              <w:rPr>
                <w:sz w:val="20"/>
                <w:szCs w:val="20"/>
              </w:rPr>
              <w:t>-1.3864</w:t>
            </w:r>
          </w:p>
        </w:tc>
        <w:tc>
          <w:tcPr>
            <w:tcW w:w="850" w:type="dxa"/>
            <w:tcBorders>
              <w:right w:val="single" w:sz="4" w:space="0" w:color="auto"/>
            </w:tcBorders>
            <w:vAlign w:val="center"/>
          </w:tcPr>
          <w:p w14:paraId="57A35336" w14:textId="77777777" w:rsidR="00D52AA8" w:rsidRPr="00313FC1" w:rsidRDefault="00D52AA8" w:rsidP="000675CD">
            <w:pPr>
              <w:spacing w:before="60" w:after="60"/>
              <w:jc w:val="center"/>
              <w:rPr>
                <w:sz w:val="20"/>
                <w:szCs w:val="20"/>
              </w:rPr>
            </w:pPr>
            <w:r w:rsidRPr="00313FC1">
              <w:rPr>
                <w:sz w:val="20"/>
                <w:szCs w:val="20"/>
              </w:rPr>
              <w:t>-8.0755</w:t>
            </w:r>
          </w:p>
        </w:tc>
        <w:tc>
          <w:tcPr>
            <w:tcW w:w="993" w:type="dxa"/>
            <w:tcBorders>
              <w:left w:val="single" w:sz="4" w:space="0" w:color="auto"/>
            </w:tcBorders>
            <w:vAlign w:val="center"/>
          </w:tcPr>
          <w:p w14:paraId="2FBC293E" w14:textId="77777777" w:rsidR="00D52AA8" w:rsidRPr="00313FC1" w:rsidRDefault="00D52AA8" w:rsidP="000675CD">
            <w:pPr>
              <w:spacing w:before="60" w:after="60"/>
              <w:jc w:val="center"/>
              <w:rPr>
                <w:sz w:val="20"/>
                <w:szCs w:val="20"/>
              </w:rPr>
            </w:pPr>
            <w:r w:rsidRPr="00313FC1">
              <w:rPr>
                <w:sz w:val="20"/>
                <w:szCs w:val="20"/>
              </w:rPr>
              <w:t>-1.7352</w:t>
            </w:r>
          </w:p>
        </w:tc>
        <w:tc>
          <w:tcPr>
            <w:tcW w:w="850" w:type="dxa"/>
            <w:vAlign w:val="center"/>
          </w:tcPr>
          <w:p w14:paraId="6086F535" w14:textId="77777777" w:rsidR="00D52AA8" w:rsidRPr="00313FC1" w:rsidRDefault="00D52AA8" w:rsidP="000675CD">
            <w:pPr>
              <w:spacing w:before="60" w:after="60"/>
              <w:jc w:val="center"/>
              <w:rPr>
                <w:sz w:val="20"/>
                <w:szCs w:val="20"/>
              </w:rPr>
            </w:pPr>
            <w:r w:rsidRPr="00313FC1">
              <w:rPr>
                <w:sz w:val="20"/>
                <w:szCs w:val="20"/>
              </w:rPr>
              <w:t>-6.1477</w:t>
            </w:r>
          </w:p>
        </w:tc>
      </w:tr>
      <w:tr w:rsidR="00D52AA8" w:rsidRPr="00313FC1" w14:paraId="77DAFE3E" w14:textId="77777777" w:rsidTr="000675CD">
        <w:tc>
          <w:tcPr>
            <w:tcW w:w="1276" w:type="dxa"/>
            <w:tcBorders>
              <w:right w:val="single" w:sz="4" w:space="0" w:color="auto"/>
            </w:tcBorders>
            <w:vAlign w:val="center"/>
          </w:tcPr>
          <w:p w14:paraId="3F2A4B4E" w14:textId="77777777" w:rsidR="00D52AA8" w:rsidRPr="00313FC1" w:rsidRDefault="00000000" w:rsidP="000675CD">
            <w:pPr>
              <w:tabs>
                <w:tab w:val="center" w:pos="4153"/>
                <w:tab w:val="right" w:pos="8306"/>
              </w:tabs>
              <w:spacing w:before="60" w:after="60"/>
              <w:rPr>
                <w:sz w:val="20"/>
                <w:szCs w:val="20"/>
              </w:rPr>
            </w:pPr>
            <m:oMath>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t</m:t>
                  </m:r>
                </m:sub>
              </m:sSub>
            </m:oMath>
            <w:r w:rsidR="00D52AA8" w:rsidRPr="00313FC1">
              <w:rPr>
                <w:sz w:val="20"/>
                <w:szCs w:val="20"/>
              </w:rPr>
              <w:t xml:space="preserve"> </w:t>
            </w:r>
          </w:p>
        </w:tc>
        <w:tc>
          <w:tcPr>
            <w:tcW w:w="851" w:type="dxa"/>
            <w:tcBorders>
              <w:left w:val="single" w:sz="4" w:space="0" w:color="auto"/>
            </w:tcBorders>
            <w:vAlign w:val="center"/>
          </w:tcPr>
          <w:p w14:paraId="5497CBDF" w14:textId="77777777" w:rsidR="00D52AA8" w:rsidRPr="00313FC1" w:rsidRDefault="00D52AA8" w:rsidP="000675CD">
            <w:pPr>
              <w:spacing w:before="60" w:after="60"/>
              <w:jc w:val="center"/>
              <w:rPr>
                <w:sz w:val="20"/>
                <w:szCs w:val="20"/>
              </w:rPr>
            </w:pPr>
            <w:r w:rsidRPr="00313FC1">
              <w:rPr>
                <w:sz w:val="20"/>
                <w:szCs w:val="20"/>
              </w:rPr>
              <w:t>-2.2148</w:t>
            </w:r>
          </w:p>
        </w:tc>
        <w:tc>
          <w:tcPr>
            <w:tcW w:w="850" w:type="dxa"/>
            <w:tcBorders>
              <w:right w:val="single" w:sz="4" w:space="0" w:color="auto"/>
            </w:tcBorders>
            <w:vAlign w:val="center"/>
          </w:tcPr>
          <w:p w14:paraId="5E75105D" w14:textId="77777777" w:rsidR="00D52AA8" w:rsidRPr="00313FC1" w:rsidRDefault="00D52AA8" w:rsidP="000675CD">
            <w:pPr>
              <w:spacing w:before="60" w:after="60"/>
              <w:jc w:val="center"/>
              <w:rPr>
                <w:sz w:val="20"/>
                <w:szCs w:val="20"/>
              </w:rPr>
            </w:pPr>
            <w:r w:rsidRPr="00313FC1">
              <w:rPr>
                <w:sz w:val="20"/>
                <w:szCs w:val="20"/>
              </w:rPr>
              <w:t>-7.9903</w:t>
            </w:r>
          </w:p>
        </w:tc>
        <w:tc>
          <w:tcPr>
            <w:tcW w:w="851" w:type="dxa"/>
            <w:tcBorders>
              <w:left w:val="single" w:sz="4" w:space="0" w:color="auto"/>
            </w:tcBorders>
            <w:vAlign w:val="center"/>
          </w:tcPr>
          <w:p w14:paraId="4C019E45" w14:textId="77777777" w:rsidR="00D52AA8" w:rsidRPr="00313FC1" w:rsidRDefault="00D52AA8" w:rsidP="000675CD">
            <w:pPr>
              <w:spacing w:before="60" w:after="60"/>
              <w:jc w:val="center"/>
              <w:rPr>
                <w:sz w:val="20"/>
                <w:szCs w:val="20"/>
              </w:rPr>
            </w:pPr>
            <w:r w:rsidRPr="00313FC1">
              <w:rPr>
                <w:sz w:val="20"/>
                <w:szCs w:val="20"/>
              </w:rPr>
              <w:t>-1.6469</w:t>
            </w:r>
          </w:p>
        </w:tc>
        <w:tc>
          <w:tcPr>
            <w:tcW w:w="992" w:type="dxa"/>
            <w:tcBorders>
              <w:right w:val="single" w:sz="4" w:space="0" w:color="auto"/>
            </w:tcBorders>
            <w:vAlign w:val="center"/>
          </w:tcPr>
          <w:p w14:paraId="752198C7" w14:textId="77777777" w:rsidR="00D52AA8" w:rsidRPr="00313FC1" w:rsidRDefault="00D52AA8" w:rsidP="000675CD">
            <w:pPr>
              <w:spacing w:before="60" w:after="60"/>
              <w:jc w:val="center"/>
              <w:rPr>
                <w:sz w:val="20"/>
                <w:szCs w:val="20"/>
              </w:rPr>
            </w:pPr>
            <w:r w:rsidRPr="00313FC1">
              <w:rPr>
                <w:sz w:val="20"/>
                <w:szCs w:val="20"/>
              </w:rPr>
              <w:t>-6.7334</w:t>
            </w:r>
          </w:p>
        </w:tc>
        <w:tc>
          <w:tcPr>
            <w:tcW w:w="850" w:type="dxa"/>
            <w:tcBorders>
              <w:left w:val="single" w:sz="4" w:space="0" w:color="auto"/>
            </w:tcBorders>
            <w:vAlign w:val="center"/>
          </w:tcPr>
          <w:p w14:paraId="24EEF0B9" w14:textId="77777777" w:rsidR="00D52AA8" w:rsidRPr="00313FC1" w:rsidRDefault="00D52AA8" w:rsidP="000675CD">
            <w:pPr>
              <w:spacing w:before="60" w:after="60"/>
              <w:jc w:val="center"/>
              <w:rPr>
                <w:sz w:val="20"/>
                <w:szCs w:val="20"/>
              </w:rPr>
            </w:pPr>
            <w:r w:rsidRPr="00313FC1">
              <w:rPr>
                <w:sz w:val="20"/>
                <w:szCs w:val="20"/>
              </w:rPr>
              <w:t>-1.6321</w:t>
            </w:r>
          </w:p>
        </w:tc>
        <w:tc>
          <w:tcPr>
            <w:tcW w:w="851" w:type="dxa"/>
            <w:tcBorders>
              <w:right w:val="single" w:sz="4" w:space="0" w:color="auto"/>
            </w:tcBorders>
            <w:vAlign w:val="center"/>
          </w:tcPr>
          <w:p w14:paraId="7D95A85E" w14:textId="77777777" w:rsidR="00D52AA8" w:rsidRPr="00313FC1" w:rsidRDefault="00D52AA8" w:rsidP="000675CD">
            <w:pPr>
              <w:spacing w:before="60" w:after="60"/>
              <w:jc w:val="center"/>
              <w:rPr>
                <w:sz w:val="20"/>
                <w:szCs w:val="20"/>
              </w:rPr>
            </w:pPr>
            <w:r w:rsidRPr="00313FC1">
              <w:rPr>
                <w:sz w:val="20"/>
                <w:szCs w:val="20"/>
              </w:rPr>
              <w:t>-6.5006</w:t>
            </w:r>
          </w:p>
        </w:tc>
        <w:tc>
          <w:tcPr>
            <w:tcW w:w="850" w:type="dxa"/>
            <w:tcBorders>
              <w:left w:val="single" w:sz="4" w:space="0" w:color="auto"/>
            </w:tcBorders>
            <w:vAlign w:val="center"/>
          </w:tcPr>
          <w:p w14:paraId="71692312" w14:textId="77777777" w:rsidR="00D52AA8" w:rsidRPr="00313FC1" w:rsidRDefault="00D52AA8" w:rsidP="000675CD">
            <w:pPr>
              <w:spacing w:before="60" w:after="60"/>
              <w:jc w:val="center"/>
              <w:rPr>
                <w:sz w:val="20"/>
                <w:szCs w:val="20"/>
              </w:rPr>
            </w:pPr>
            <w:r w:rsidRPr="00313FC1">
              <w:rPr>
                <w:sz w:val="20"/>
                <w:szCs w:val="20"/>
              </w:rPr>
              <w:t>-1.9879</w:t>
            </w:r>
          </w:p>
        </w:tc>
        <w:tc>
          <w:tcPr>
            <w:tcW w:w="993" w:type="dxa"/>
            <w:tcBorders>
              <w:right w:val="single" w:sz="4" w:space="0" w:color="auto"/>
            </w:tcBorders>
            <w:vAlign w:val="center"/>
          </w:tcPr>
          <w:p w14:paraId="69734C5E" w14:textId="77777777" w:rsidR="00D52AA8" w:rsidRPr="00313FC1" w:rsidRDefault="00D52AA8" w:rsidP="000675CD">
            <w:pPr>
              <w:spacing w:before="60" w:after="60"/>
              <w:jc w:val="center"/>
              <w:rPr>
                <w:sz w:val="20"/>
                <w:szCs w:val="20"/>
              </w:rPr>
            </w:pPr>
            <w:r w:rsidRPr="00313FC1">
              <w:rPr>
                <w:sz w:val="20"/>
                <w:szCs w:val="20"/>
              </w:rPr>
              <w:t>-6.6189</w:t>
            </w:r>
          </w:p>
        </w:tc>
        <w:tc>
          <w:tcPr>
            <w:tcW w:w="992" w:type="dxa"/>
            <w:tcBorders>
              <w:left w:val="single" w:sz="4" w:space="0" w:color="auto"/>
            </w:tcBorders>
            <w:vAlign w:val="center"/>
          </w:tcPr>
          <w:p w14:paraId="0745A278" w14:textId="77777777" w:rsidR="00D52AA8" w:rsidRPr="00313FC1" w:rsidRDefault="00D52AA8" w:rsidP="000675CD">
            <w:pPr>
              <w:spacing w:before="60" w:after="60"/>
              <w:jc w:val="center"/>
              <w:rPr>
                <w:sz w:val="20"/>
                <w:szCs w:val="20"/>
              </w:rPr>
            </w:pPr>
            <w:r w:rsidRPr="00313FC1">
              <w:rPr>
                <w:sz w:val="20"/>
                <w:szCs w:val="20"/>
              </w:rPr>
              <w:t>-1.3682</w:t>
            </w:r>
          </w:p>
        </w:tc>
        <w:tc>
          <w:tcPr>
            <w:tcW w:w="850" w:type="dxa"/>
            <w:tcBorders>
              <w:right w:val="single" w:sz="4" w:space="0" w:color="auto"/>
            </w:tcBorders>
            <w:vAlign w:val="center"/>
          </w:tcPr>
          <w:p w14:paraId="157693CA" w14:textId="77777777" w:rsidR="00D52AA8" w:rsidRPr="00313FC1" w:rsidRDefault="00D52AA8" w:rsidP="000675CD">
            <w:pPr>
              <w:spacing w:before="60" w:after="60"/>
              <w:jc w:val="center"/>
              <w:rPr>
                <w:sz w:val="20"/>
                <w:szCs w:val="20"/>
              </w:rPr>
            </w:pPr>
            <w:r w:rsidRPr="00313FC1">
              <w:rPr>
                <w:sz w:val="20"/>
                <w:szCs w:val="20"/>
              </w:rPr>
              <w:t>-8.5493</w:t>
            </w:r>
          </w:p>
        </w:tc>
        <w:tc>
          <w:tcPr>
            <w:tcW w:w="851" w:type="dxa"/>
            <w:tcBorders>
              <w:left w:val="single" w:sz="4" w:space="0" w:color="auto"/>
            </w:tcBorders>
            <w:vAlign w:val="center"/>
          </w:tcPr>
          <w:p w14:paraId="011056B9" w14:textId="77777777" w:rsidR="00D52AA8" w:rsidRPr="00313FC1" w:rsidRDefault="00D52AA8" w:rsidP="000675CD">
            <w:pPr>
              <w:spacing w:before="60" w:after="60"/>
              <w:jc w:val="center"/>
              <w:rPr>
                <w:sz w:val="20"/>
                <w:szCs w:val="20"/>
              </w:rPr>
            </w:pPr>
            <w:r w:rsidRPr="00313FC1">
              <w:rPr>
                <w:sz w:val="20"/>
                <w:szCs w:val="20"/>
              </w:rPr>
              <w:t>-1.5567</w:t>
            </w:r>
          </w:p>
        </w:tc>
        <w:tc>
          <w:tcPr>
            <w:tcW w:w="850" w:type="dxa"/>
            <w:tcBorders>
              <w:right w:val="single" w:sz="4" w:space="0" w:color="auto"/>
            </w:tcBorders>
            <w:vAlign w:val="center"/>
          </w:tcPr>
          <w:p w14:paraId="6ADB9C5F" w14:textId="77777777" w:rsidR="00D52AA8" w:rsidRPr="00313FC1" w:rsidRDefault="00D52AA8" w:rsidP="000675CD">
            <w:pPr>
              <w:spacing w:before="60" w:after="60"/>
              <w:jc w:val="center"/>
              <w:rPr>
                <w:sz w:val="20"/>
                <w:szCs w:val="20"/>
              </w:rPr>
            </w:pPr>
            <w:r w:rsidRPr="00313FC1">
              <w:rPr>
                <w:sz w:val="20"/>
                <w:szCs w:val="20"/>
              </w:rPr>
              <w:t>-6.2053</w:t>
            </w:r>
          </w:p>
        </w:tc>
        <w:tc>
          <w:tcPr>
            <w:tcW w:w="993" w:type="dxa"/>
            <w:tcBorders>
              <w:left w:val="single" w:sz="4" w:space="0" w:color="auto"/>
            </w:tcBorders>
            <w:vAlign w:val="center"/>
          </w:tcPr>
          <w:p w14:paraId="060AC5F4" w14:textId="77777777" w:rsidR="00D52AA8" w:rsidRPr="00313FC1" w:rsidRDefault="00D52AA8" w:rsidP="000675CD">
            <w:pPr>
              <w:spacing w:before="60" w:after="60"/>
              <w:jc w:val="center"/>
              <w:rPr>
                <w:sz w:val="20"/>
                <w:szCs w:val="20"/>
              </w:rPr>
            </w:pPr>
            <w:r w:rsidRPr="00313FC1">
              <w:rPr>
                <w:sz w:val="20"/>
                <w:szCs w:val="20"/>
              </w:rPr>
              <w:t>-2.4059</w:t>
            </w:r>
          </w:p>
        </w:tc>
        <w:tc>
          <w:tcPr>
            <w:tcW w:w="850" w:type="dxa"/>
            <w:vAlign w:val="center"/>
          </w:tcPr>
          <w:p w14:paraId="6658CDC5" w14:textId="77777777" w:rsidR="00D52AA8" w:rsidRPr="00313FC1" w:rsidRDefault="00D52AA8" w:rsidP="000675CD">
            <w:pPr>
              <w:spacing w:before="60" w:after="60"/>
              <w:jc w:val="center"/>
              <w:rPr>
                <w:sz w:val="20"/>
                <w:szCs w:val="20"/>
              </w:rPr>
            </w:pPr>
            <w:r w:rsidRPr="00313FC1">
              <w:rPr>
                <w:sz w:val="20"/>
                <w:szCs w:val="20"/>
              </w:rPr>
              <w:t>-7.3011</w:t>
            </w:r>
          </w:p>
        </w:tc>
      </w:tr>
      <w:tr w:rsidR="00D52AA8" w:rsidRPr="00313FC1" w14:paraId="2965B33D" w14:textId="77777777" w:rsidTr="000675CD">
        <w:trPr>
          <w:trHeight w:val="633"/>
        </w:trPr>
        <w:tc>
          <w:tcPr>
            <w:tcW w:w="1276" w:type="dxa"/>
            <w:tcBorders>
              <w:right w:val="single" w:sz="4" w:space="0" w:color="auto"/>
            </w:tcBorders>
            <w:vAlign w:val="center"/>
          </w:tcPr>
          <w:p w14:paraId="27587E25" w14:textId="77777777" w:rsidR="00D52AA8" w:rsidRPr="00313FC1" w:rsidRDefault="00000000" w:rsidP="000675CD">
            <w:pPr>
              <w:spacing w:before="60" w:after="60"/>
              <w:rPr>
                <w:sz w:val="20"/>
                <w:szCs w:val="20"/>
              </w:rPr>
            </w:pPr>
            <m:oMath>
              <m:sSub>
                <m:sSubPr>
                  <m:ctrlPr>
                    <w:rPr>
                      <w:rFonts w:ascii="Cambria Math" w:hAnsi="Cambria Math"/>
                      <w:i/>
                      <w:sz w:val="20"/>
                      <w:szCs w:val="20"/>
                    </w:rPr>
                  </m:ctrlPr>
                </m:sSubPr>
                <m:e>
                  <m:r>
                    <w:rPr>
                      <w:rFonts w:ascii="Cambria Math" w:hAnsi="Cambria Math"/>
                      <w:sz w:val="20"/>
                      <w:szCs w:val="20"/>
                    </w:rPr>
                    <m:t>BCI</m:t>
                  </m:r>
                </m:e>
                <m:sub>
                  <m:r>
                    <w:rPr>
                      <w:rFonts w:ascii="Cambria Math" w:hAnsi="Cambria Math"/>
                      <w:sz w:val="20"/>
                      <w:szCs w:val="20"/>
                    </w:rPr>
                    <m:t>t</m:t>
                  </m:r>
                </m:sub>
              </m:sSub>
            </m:oMath>
            <w:r w:rsidR="00D52AA8" w:rsidRPr="00313FC1">
              <w:rPr>
                <w:sz w:val="20"/>
                <w:szCs w:val="20"/>
              </w:rPr>
              <w:t xml:space="preserve"> </w:t>
            </w:r>
          </w:p>
        </w:tc>
        <w:tc>
          <w:tcPr>
            <w:tcW w:w="851" w:type="dxa"/>
            <w:tcBorders>
              <w:left w:val="single" w:sz="4" w:space="0" w:color="auto"/>
            </w:tcBorders>
            <w:vAlign w:val="center"/>
          </w:tcPr>
          <w:p w14:paraId="08EC2165" w14:textId="77777777" w:rsidR="00D52AA8" w:rsidRPr="00313FC1" w:rsidRDefault="00D52AA8" w:rsidP="000675CD">
            <w:pPr>
              <w:spacing w:before="60" w:after="60"/>
              <w:jc w:val="center"/>
              <w:rPr>
                <w:sz w:val="20"/>
                <w:szCs w:val="20"/>
              </w:rPr>
            </w:pPr>
            <w:r w:rsidRPr="00313FC1">
              <w:rPr>
                <w:sz w:val="20"/>
                <w:szCs w:val="20"/>
              </w:rPr>
              <w:t>-5.6194</w:t>
            </w:r>
          </w:p>
        </w:tc>
        <w:tc>
          <w:tcPr>
            <w:tcW w:w="850" w:type="dxa"/>
            <w:tcBorders>
              <w:right w:val="single" w:sz="4" w:space="0" w:color="auto"/>
            </w:tcBorders>
            <w:vAlign w:val="center"/>
          </w:tcPr>
          <w:p w14:paraId="65C9CBE6" w14:textId="77777777" w:rsidR="00D52AA8" w:rsidRPr="00313FC1" w:rsidRDefault="00D52AA8" w:rsidP="000675CD">
            <w:pPr>
              <w:spacing w:before="60" w:after="60"/>
              <w:jc w:val="center"/>
              <w:rPr>
                <w:sz w:val="20"/>
                <w:szCs w:val="20"/>
              </w:rPr>
            </w:pPr>
            <w:r w:rsidRPr="00313FC1">
              <w:rPr>
                <w:sz w:val="20"/>
                <w:szCs w:val="20"/>
              </w:rPr>
              <w:t>-5.9195</w:t>
            </w:r>
          </w:p>
        </w:tc>
        <w:tc>
          <w:tcPr>
            <w:tcW w:w="851" w:type="dxa"/>
            <w:tcBorders>
              <w:left w:val="single" w:sz="4" w:space="0" w:color="auto"/>
            </w:tcBorders>
            <w:vAlign w:val="center"/>
          </w:tcPr>
          <w:p w14:paraId="09A016D7" w14:textId="77777777" w:rsidR="00D52AA8" w:rsidRPr="00313FC1" w:rsidRDefault="00D52AA8" w:rsidP="000675CD">
            <w:pPr>
              <w:spacing w:before="60" w:after="60"/>
              <w:jc w:val="center"/>
              <w:rPr>
                <w:sz w:val="20"/>
                <w:szCs w:val="20"/>
              </w:rPr>
            </w:pPr>
            <w:r w:rsidRPr="00313FC1">
              <w:rPr>
                <w:sz w:val="20"/>
                <w:szCs w:val="20"/>
              </w:rPr>
              <w:t>-4.6710</w:t>
            </w:r>
          </w:p>
        </w:tc>
        <w:tc>
          <w:tcPr>
            <w:tcW w:w="992" w:type="dxa"/>
            <w:tcBorders>
              <w:right w:val="single" w:sz="4" w:space="0" w:color="auto"/>
            </w:tcBorders>
            <w:vAlign w:val="center"/>
          </w:tcPr>
          <w:p w14:paraId="5D98F93D" w14:textId="77777777" w:rsidR="00D52AA8" w:rsidRPr="00313FC1" w:rsidRDefault="00D52AA8" w:rsidP="000675CD">
            <w:pPr>
              <w:spacing w:before="60" w:after="60"/>
              <w:jc w:val="center"/>
              <w:rPr>
                <w:sz w:val="20"/>
                <w:szCs w:val="20"/>
              </w:rPr>
            </w:pPr>
            <w:r w:rsidRPr="00313FC1">
              <w:rPr>
                <w:sz w:val="20"/>
                <w:szCs w:val="20"/>
              </w:rPr>
              <w:t>-6.2093</w:t>
            </w:r>
          </w:p>
        </w:tc>
        <w:tc>
          <w:tcPr>
            <w:tcW w:w="850" w:type="dxa"/>
            <w:tcBorders>
              <w:left w:val="single" w:sz="4" w:space="0" w:color="auto"/>
            </w:tcBorders>
            <w:vAlign w:val="center"/>
          </w:tcPr>
          <w:p w14:paraId="509E8FC5" w14:textId="77777777" w:rsidR="00D52AA8" w:rsidRPr="00313FC1" w:rsidRDefault="00D52AA8" w:rsidP="000675CD">
            <w:pPr>
              <w:spacing w:before="60" w:after="60"/>
              <w:jc w:val="center"/>
              <w:rPr>
                <w:sz w:val="20"/>
                <w:szCs w:val="20"/>
              </w:rPr>
            </w:pPr>
            <w:r w:rsidRPr="00313FC1">
              <w:rPr>
                <w:sz w:val="20"/>
                <w:szCs w:val="20"/>
              </w:rPr>
              <w:t>-4.9563</w:t>
            </w:r>
          </w:p>
        </w:tc>
        <w:tc>
          <w:tcPr>
            <w:tcW w:w="851" w:type="dxa"/>
            <w:tcBorders>
              <w:right w:val="single" w:sz="4" w:space="0" w:color="auto"/>
            </w:tcBorders>
            <w:vAlign w:val="center"/>
          </w:tcPr>
          <w:p w14:paraId="6DFE6702" w14:textId="77777777" w:rsidR="00D52AA8" w:rsidRPr="00313FC1" w:rsidRDefault="00D52AA8" w:rsidP="000675CD">
            <w:pPr>
              <w:spacing w:before="60" w:after="60"/>
              <w:jc w:val="center"/>
              <w:rPr>
                <w:sz w:val="20"/>
                <w:szCs w:val="20"/>
              </w:rPr>
            </w:pPr>
            <w:r w:rsidRPr="00313FC1">
              <w:rPr>
                <w:sz w:val="20"/>
                <w:szCs w:val="20"/>
              </w:rPr>
              <w:t>-4.4133</w:t>
            </w:r>
          </w:p>
        </w:tc>
        <w:tc>
          <w:tcPr>
            <w:tcW w:w="850" w:type="dxa"/>
            <w:tcBorders>
              <w:left w:val="single" w:sz="4" w:space="0" w:color="auto"/>
            </w:tcBorders>
            <w:vAlign w:val="center"/>
          </w:tcPr>
          <w:p w14:paraId="53C2ADE3" w14:textId="77777777" w:rsidR="00D52AA8" w:rsidRPr="00313FC1" w:rsidRDefault="00D52AA8" w:rsidP="000675CD">
            <w:pPr>
              <w:spacing w:before="60" w:after="60"/>
              <w:jc w:val="center"/>
              <w:rPr>
                <w:sz w:val="20"/>
                <w:szCs w:val="20"/>
              </w:rPr>
            </w:pPr>
            <w:r w:rsidRPr="00313FC1">
              <w:rPr>
                <w:sz w:val="20"/>
                <w:szCs w:val="20"/>
              </w:rPr>
              <w:t>-4.7271</w:t>
            </w:r>
          </w:p>
        </w:tc>
        <w:tc>
          <w:tcPr>
            <w:tcW w:w="993" w:type="dxa"/>
            <w:tcBorders>
              <w:right w:val="single" w:sz="4" w:space="0" w:color="auto"/>
            </w:tcBorders>
            <w:vAlign w:val="center"/>
          </w:tcPr>
          <w:p w14:paraId="6E95C889" w14:textId="77777777" w:rsidR="00D52AA8" w:rsidRPr="00313FC1" w:rsidRDefault="00D52AA8" w:rsidP="000675CD">
            <w:pPr>
              <w:spacing w:before="60" w:after="60"/>
              <w:jc w:val="center"/>
              <w:rPr>
                <w:sz w:val="20"/>
                <w:szCs w:val="20"/>
              </w:rPr>
            </w:pPr>
            <w:r w:rsidRPr="00313FC1">
              <w:rPr>
                <w:sz w:val="20"/>
                <w:szCs w:val="20"/>
              </w:rPr>
              <w:t>-5.5617</w:t>
            </w:r>
          </w:p>
        </w:tc>
        <w:tc>
          <w:tcPr>
            <w:tcW w:w="992" w:type="dxa"/>
            <w:tcBorders>
              <w:left w:val="single" w:sz="4" w:space="0" w:color="auto"/>
            </w:tcBorders>
            <w:vAlign w:val="center"/>
          </w:tcPr>
          <w:p w14:paraId="033B1F44" w14:textId="77777777" w:rsidR="00D52AA8" w:rsidRPr="00313FC1" w:rsidRDefault="00D52AA8" w:rsidP="000675CD">
            <w:pPr>
              <w:spacing w:before="60" w:after="60"/>
              <w:jc w:val="center"/>
              <w:rPr>
                <w:sz w:val="20"/>
                <w:szCs w:val="20"/>
              </w:rPr>
            </w:pPr>
            <w:r w:rsidRPr="00313FC1">
              <w:rPr>
                <w:sz w:val="20"/>
                <w:szCs w:val="20"/>
              </w:rPr>
              <w:t>-3.2027</w:t>
            </w:r>
          </w:p>
        </w:tc>
        <w:tc>
          <w:tcPr>
            <w:tcW w:w="850" w:type="dxa"/>
            <w:tcBorders>
              <w:right w:val="single" w:sz="4" w:space="0" w:color="auto"/>
            </w:tcBorders>
            <w:vAlign w:val="center"/>
          </w:tcPr>
          <w:p w14:paraId="0E2B31F9" w14:textId="77777777" w:rsidR="00D52AA8" w:rsidRPr="00313FC1" w:rsidRDefault="00D52AA8" w:rsidP="000675CD">
            <w:pPr>
              <w:spacing w:before="60" w:after="60"/>
              <w:jc w:val="center"/>
              <w:rPr>
                <w:sz w:val="20"/>
                <w:szCs w:val="20"/>
              </w:rPr>
            </w:pPr>
            <w:r w:rsidRPr="00313FC1">
              <w:rPr>
                <w:sz w:val="20"/>
                <w:szCs w:val="20"/>
              </w:rPr>
              <w:t>-5.5005</w:t>
            </w:r>
          </w:p>
        </w:tc>
        <w:tc>
          <w:tcPr>
            <w:tcW w:w="851" w:type="dxa"/>
            <w:tcBorders>
              <w:left w:val="single" w:sz="4" w:space="0" w:color="auto"/>
            </w:tcBorders>
            <w:vAlign w:val="center"/>
          </w:tcPr>
          <w:p w14:paraId="2A28CEC4" w14:textId="77777777" w:rsidR="00D52AA8" w:rsidRPr="00313FC1" w:rsidRDefault="00D52AA8" w:rsidP="000675CD">
            <w:pPr>
              <w:spacing w:before="60" w:after="60"/>
              <w:jc w:val="center"/>
              <w:rPr>
                <w:sz w:val="20"/>
                <w:szCs w:val="20"/>
              </w:rPr>
            </w:pPr>
            <w:r w:rsidRPr="00313FC1">
              <w:rPr>
                <w:sz w:val="20"/>
                <w:szCs w:val="20"/>
              </w:rPr>
              <w:t>-4.0283</w:t>
            </w:r>
          </w:p>
        </w:tc>
        <w:tc>
          <w:tcPr>
            <w:tcW w:w="850" w:type="dxa"/>
            <w:tcBorders>
              <w:right w:val="single" w:sz="4" w:space="0" w:color="auto"/>
            </w:tcBorders>
            <w:vAlign w:val="center"/>
          </w:tcPr>
          <w:p w14:paraId="7A90ED3F" w14:textId="77777777" w:rsidR="00D52AA8" w:rsidRPr="00313FC1" w:rsidRDefault="00D52AA8" w:rsidP="000675CD">
            <w:pPr>
              <w:spacing w:before="60" w:after="60"/>
              <w:jc w:val="center"/>
              <w:rPr>
                <w:sz w:val="20"/>
                <w:szCs w:val="20"/>
              </w:rPr>
            </w:pPr>
            <w:r w:rsidRPr="00313FC1">
              <w:rPr>
                <w:sz w:val="20"/>
                <w:szCs w:val="20"/>
              </w:rPr>
              <w:t>-6.3451</w:t>
            </w:r>
          </w:p>
        </w:tc>
        <w:tc>
          <w:tcPr>
            <w:tcW w:w="993" w:type="dxa"/>
            <w:tcBorders>
              <w:left w:val="single" w:sz="4" w:space="0" w:color="auto"/>
            </w:tcBorders>
            <w:vAlign w:val="center"/>
          </w:tcPr>
          <w:p w14:paraId="24EA84FF" w14:textId="77777777" w:rsidR="00D52AA8" w:rsidRPr="00313FC1" w:rsidRDefault="00D52AA8" w:rsidP="000675CD">
            <w:pPr>
              <w:spacing w:before="60" w:after="60"/>
              <w:jc w:val="center"/>
              <w:rPr>
                <w:sz w:val="20"/>
                <w:szCs w:val="20"/>
              </w:rPr>
            </w:pPr>
            <w:r w:rsidRPr="00313FC1">
              <w:rPr>
                <w:sz w:val="20"/>
                <w:szCs w:val="20"/>
              </w:rPr>
              <w:t>-4.7390</w:t>
            </w:r>
          </w:p>
        </w:tc>
        <w:tc>
          <w:tcPr>
            <w:tcW w:w="850" w:type="dxa"/>
            <w:vAlign w:val="center"/>
          </w:tcPr>
          <w:p w14:paraId="53FCEEE5" w14:textId="77777777" w:rsidR="00D52AA8" w:rsidRPr="00313FC1" w:rsidRDefault="00D52AA8" w:rsidP="000675CD">
            <w:pPr>
              <w:spacing w:before="60" w:after="60"/>
              <w:jc w:val="center"/>
              <w:rPr>
                <w:sz w:val="20"/>
                <w:szCs w:val="20"/>
              </w:rPr>
            </w:pPr>
            <w:r w:rsidRPr="00313FC1">
              <w:rPr>
                <w:sz w:val="20"/>
                <w:szCs w:val="20"/>
              </w:rPr>
              <w:t>-6.4567</w:t>
            </w:r>
          </w:p>
        </w:tc>
      </w:tr>
      <w:tr w:rsidR="00D52AA8" w:rsidRPr="00313FC1" w14:paraId="58516796" w14:textId="77777777" w:rsidTr="000675CD">
        <w:tc>
          <w:tcPr>
            <w:tcW w:w="13750" w:type="dxa"/>
            <w:gridSpan w:val="15"/>
            <w:tcBorders>
              <w:bottom w:val="nil"/>
            </w:tcBorders>
            <w:vAlign w:val="center"/>
          </w:tcPr>
          <w:p w14:paraId="3D9A0227" w14:textId="77777777" w:rsidR="00D52AA8" w:rsidRPr="00313FC1" w:rsidRDefault="00D52AA8" w:rsidP="000675CD">
            <w:pPr>
              <w:pStyle w:val="Subtitle"/>
              <w:tabs>
                <w:tab w:val="left" w:pos="3969"/>
              </w:tabs>
              <w:spacing w:before="60" w:after="60"/>
              <w:ind w:left="2127" w:hanging="1809"/>
              <w:jc w:val="left"/>
              <w:rPr>
                <w:rFonts w:ascii="Garamond" w:hAnsi="Garamond"/>
                <w:b w:val="0"/>
                <w:bCs w:val="0"/>
                <w:sz w:val="20"/>
                <w:szCs w:val="20"/>
              </w:rPr>
            </w:pPr>
            <w:r w:rsidRPr="00313FC1">
              <w:rPr>
                <w:rFonts w:ascii="Garamond" w:hAnsi="Garamond"/>
                <w:b w:val="0"/>
                <w:bCs w:val="0"/>
                <w:sz w:val="20"/>
                <w:szCs w:val="20"/>
              </w:rPr>
              <w:t>Dickey-Fuller Critical Value (5%):  -2.893956</w:t>
            </w:r>
          </w:p>
        </w:tc>
      </w:tr>
    </w:tbl>
    <w:p w14:paraId="36C4466C" w14:textId="77777777" w:rsidR="006F1F62" w:rsidRDefault="006F1F62" w:rsidP="00134899">
      <w:pPr>
        <w:spacing w:line="360" w:lineRule="auto"/>
        <w:ind w:firstLine="720"/>
        <w:jc w:val="both"/>
        <w:rPr>
          <w:sz w:val="24"/>
          <w:szCs w:val="24"/>
          <w:lang w:val="en-GB"/>
        </w:rPr>
        <w:sectPr w:rsidR="006F1F62" w:rsidSect="009909BC">
          <w:pgSz w:w="16840" w:h="11910" w:orient="landscape"/>
          <w:pgMar w:top="1985" w:right="1701" w:bottom="1418" w:left="1701" w:header="0" w:footer="1004" w:gutter="0"/>
          <w:cols w:space="720"/>
        </w:sectPr>
      </w:pPr>
    </w:p>
    <w:p w14:paraId="44BEE74D" w14:textId="2E01E8A1" w:rsidR="009B3D1C" w:rsidRPr="002338A9" w:rsidRDefault="007B6F06" w:rsidP="00134899">
      <w:pPr>
        <w:spacing w:line="360" w:lineRule="auto"/>
        <w:ind w:firstLine="720"/>
        <w:jc w:val="both"/>
        <w:rPr>
          <w:sz w:val="24"/>
          <w:szCs w:val="24"/>
          <w:lang w:val="en-GB"/>
        </w:rPr>
      </w:pPr>
      <w:r w:rsidRPr="002338A9">
        <w:rPr>
          <w:sz w:val="24"/>
          <w:szCs w:val="24"/>
          <w:lang w:val="en-GB"/>
        </w:rPr>
        <w:lastRenderedPageBreak/>
        <w:t xml:space="preserve">To analyse if there is </w:t>
      </w:r>
      <w:r w:rsidR="006F1F62" w:rsidRPr="002338A9">
        <w:rPr>
          <w:sz w:val="24"/>
          <w:szCs w:val="24"/>
          <w:lang w:val="en-GB"/>
        </w:rPr>
        <w:t xml:space="preserve">a non-spurious </w:t>
      </w:r>
      <w:r w:rsidRPr="002338A9">
        <w:rPr>
          <w:sz w:val="24"/>
          <w:szCs w:val="24"/>
          <w:lang w:val="en-GB"/>
        </w:rPr>
        <w:t>relationship between the variables,</w:t>
      </w:r>
      <w:r w:rsidR="006F1F62" w:rsidRPr="002338A9">
        <w:rPr>
          <w:sz w:val="24"/>
          <w:szCs w:val="24"/>
          <w:lang w:val="en-GB"/>
        </w:rPr>
        <w:t xml:space="preserve"> we test for cointegration using</w:t>
      </w:r>
      <w:r w:rsidRPr="002338A9">
        <w:rPr>
          <w:sz w:val="24"/>
          <w:szCs w:val="24"/>
          <w:lang w:val="en-GB"/>
        </w:rPr>
        <w:t xml:space="preserve"> the Johansen Test procedure. The null hypothesis of this test is that there is no cointegration and the alternative hypothesis is that there is at least one cointegrating vector that connects the variables. We reject the null hypothesis if the test statistic is greater than the 5% critical value</w:t>
      </w:r>
      <w:r w:rsidR="00561F1F" w:rsidRPr="002338A9">
        <w:rPr>
          <w:sz w:val="24"/>
          <w:szCs w:val="24"/>
          <w:lang w:val="en-GB"/>
        </w:rPr>
        <w:t xml:space="preserve"> (79.341, </w:t>
      </w:r>
      <w:r w:rsidRPr="002338A9">
        <w:rPr>
          <w:sz w:val="24"/>
          <w:szCs w:val="24"/>
          <w:lang w:val="en-GB"/>
        </w:rPr>
        <w:t xml:space="preserve">see Table </w:t>
      </w:r>
      <w:r w:rsidR="005E771B" w:rsidRPr="002338A9">
        <w:rPr>
          <w:sz w:val="24"/>
          <w:szCs w:val="24"/>
          <w:lang w:val="en-GB"/>
        </w:rPr>
        <w:t>3</w:t>
      </w:r>
      <w:r w:rsidRPr="002338A9">
        <w:rPr>
          <w:sz w:val="24"/>
          <w:szCs w:val="24"/>
          <w:lang w:val="en-GB"/>
        </w:rPr>
        <w:t xml:space="preserve">). </w:t>
      </w:r>
      <w:r w:rsidR="00C911BD" w:rsidRPr="002338A9">
        <w:rPr>
          <w:sz w:val="24"/>
          <w:szCs w:val="24"/>
          <w:lang w:val="en-GB"/>
        </w:rPr>
        <w:t>We have found that</w:t>
      </w:r>
      <w:r w:rsidR="00561F1F" w:rsidRPr="002338A9">
        <w:rPr>
          <w:sz w:val="24"/>
          <w:szCs w:val="24"/>
          <w:lang w:val="en-GB"/>
        </w:rPr>
        <w:t xml:space="preserve"> the </w:t>
      </w:r>
      <w:r w:rsidR="00C911BD" w:rsidRPr="002338A9">
        <w:rPr>
          <w:sz w:val="24"/>
          <w:szCs w:val="24"/>
          <w:lang w:val="en-GB"/>
        </w:rPr>
        <w:t>t</w:t>
      </w:r>
      <w:r w:rsidR="00561F1F" w:rsidRPr="002338A9">
        <w:rPr>
          <w:sz w:val="24"/>
          <w:szCs w:val="24"/>
          <w:lang w:val="en-GB"/>
        </w:rPr>
        <w:t xml:space="preserve">race test statistic is greater than the 5% critical value for all </w:t>
      </w:r>
      <w:r w:rsidR="00C911BD" w:rsidRPr="002338A9">
        <w:rPr>
          <w:sz w:val="24"/>
          <w:szCs w:val="24"/>
          <w:lang w:val="en-GB"/>
        </w:rPr>
        <w:t xml:space="preserve">countries, with only one exception – the equation for </w:t>
      </w:r>
      <w:r w:rsidR="00561F1F" w:rsidRPr="002338A9">
        <w:rPr>
          <w:sz w:val="24"/>
          <w:szCs w:val="24"/>
          <w:lang w:val="en-GB"/>
        </w:rPr>
        <w:t>Canada’s intangible investment.</w:t>
      </w:r>
      <w:r w:rsidR="00C911BD" w:rsidRPr="002338A9">
        <w:rPr>
          <w:sz w:val="24"/>
          <w:szCs w:val="24"/>
          <w:lang w:val="en-GB"/>
        </w:rPr>
        <w:t xml:space="preserve"> </w:t>
      </w:r>
      <w:r w:rsidR="00561F1F" w:rsidRPr="002338A9">
        <w:rPr>
          <w:sz w:val="24"/>
          <w:szCs w:val="24"/>
          <w:lang w:val="en-GB"/>
        </w:rPr>
        <w:t>T</w:t>
      </w:r>
      <w:r w:rsidR="00C911BD" w:rsidRPr="002338A9">
        <w:rPr>
          <w:sz w:val="24"/>
          <w:szCs w:val="24"/>
          <w:lang w:val="en-GB"/>
        </w:rPr>
        <w:t>herefore</w:t>
      </w:r>
      <w:r w:rsidR="00F23BF5" w:rsidRPr="002338A9">
        <w:rPr>
          <w:sz w:val="24"/>
          <w:szCs w:val="24"/>
          <w:lang w:val="en-GB"/>
        </w:rPr>
        <w:t>,</w:t>
      </w:r>
      <w:r w:rsidR="00561F1F" w:rsidRPr="002338A9">
        <w:rPr>
          <w:sz w:val="24"/>
          <w:szCs w:val="24"/>
          <w:lang w:val="en-GB"/>
        </w:rPr>
        <w:t xml:space="preserve"> there</w:t>
      </w:r>
      <w:r w:rsidR="00C911BD" w:rsidRPr="002338A9">
        <w:rPr>
          <w:sz w:val="24"/>
          <w:szCs w:val="24"/>
          <w:lang w:val="en-GB"/>
        </w:rPr>
        <w:t xml:space="preserve"> is at least one</w:t>
      </w:r>
      <w:r w:rsidR="00561F1F" w:rsidRPr="002338A9">
        <w:rPr>
          <w:sz w:val="24"/>
          <w:szCs w:val="24"/>
          <w:lang w:val="en-GB"/>
        </w:rPr>
        <w:t xml:space="preserve"> cointegrating vector </w:t>
      </w:r>
      <w:r w:rsidR="00D84E4C" w:rsidRPr="002338A9">
        <w:rPr>
          <w:sz w:val="24"/>
          <w:szCs w:val="24"/>
          <w:lang w:val="en-GB"/>
        </w:rPr>
        <w:t>relating</w:t>
      </w:r>
      <w:r w:rsidR="00561F1F" w:rsidRPr="002338A9">
        <w:rPr>
          <w:sz w:val="24"/>
          <w:szCs w:val="24"/>
          <w:lang w:val="en-GB"/>
        </w:rPr>
        <w:t xml:space="preserve"> the variables.</w:t>
      </w:r>
    </w:p>
    <w:p w14:paraId="0FB533AD" w14:textId="5987A33D" w:rsidR="006F1F62" w:rsidRPr="002338A9" w:rsidRDefault="009873F7" w:rsidP="00C164EB">
      <w:pPr>
        <w:spacing w:line="360" w:lineRule="auto"/>
        <w:ind w:firstLine="720"/>
        <w:jc w:val="both"/>
        <w:rPr>
          <w:sz w:val="24"/>
          <w:szCs w:val="24"/>
          <w:lang w:val="en-GB"/>
        </w:rPr>
      </w:pPr>
      <w:r w:rsidRPr="002338A9">
        <w:rPr>
          <w:sz w:val="24"/>
          <w:szCs w:val="24"/>
          <w:lang w:val="en-GB"/>
        </w:rPr>
        <w:t xml:space="preserve">Given that the series </w:t>
      </w:r>
      <w:r w:rsidR="00C911BD" w:rsidRPr="002338A9">
        <w:rPr>
          <w:sz w:val="24"/>
          <w:szCs w:val="24"/>
          <w:lang w:val="en-GB"/>
        </w:rPr>
        <w:t>are</w:t>
      </w:r>
      <w:r w:rsidRPr="002338A9">
        <w:rPr>
          <w:sz w:val="24"/>
          <w:szCs w:val="24"/>
          <w:lang w:val="en-GB"/>
        </w:rPr>
        <w:t xml:space="preserve"> in general cointegrated, we</w:t>
      </w:r>
      <w:r w:rsidR="00F238E3" w:rsidRPr="002338A9">
        <w:rPr>
          <w:sz w:val="24"/>
          <w:szCs w:val="24"/>
          <w:lang w:val="en-GB"/>
        </w:rPr>
        <w:t xml:space="preserve"> estimate the </w:t>
      </w:r>
      <w:r w:rsidR="00C911BD" w:rsidRPr="002338A9">
        <w:rPr>
          <w:sz w:val="24"/>
          <w:szCs w:val="24"/>
          <w:lang w:val="en-GB"/>
        </w:rPr>
        <w:t>E</w:t>
      </w:r>
      <w:r w:rsidR="00420137" w:rsidRPr="002338A9">
        <w:rPr>
          <w:sz w:val="24"/>
          <w:szCs w:val="24"/>
          <w:lang w:val="en-GB"/>
        </w:rPr>
        <w:t xml:space="preserve">quation </w:t>
      </w:r>
      <w:r w:rsidR="00155C2C">
        <w:rPr>
          <w:sz w:val="24"/>
          <w:szCs w:val="24"/>
          <w:lang w:val="en-GB"/>
        </w:rPr>
        <w:t>3</w:t>
      </w:r>
      <w:r w:rsidR="00420137" w:rsidRPr="002338A9">
        <w:rPr>
          <w:sz w:val="24"/>
          <w:szCs w:val="24"/>
          <w:lang w:val="en-GB"/>
        </w:rPr>
        <w:t>.1</w:t>
      </w:r>
      <w:r w:rsidR="00B6406E" w:rsidRPr="002338A9">
        <w:rPr>
          <w:sz w:val="24"/>
          <w:szCs w:val="24"/>
          <w:lang w:val="en-GB"/>
        </w:rPr>
        <w:t>,</w:t>
      </w:r>
      <w:r w:rsidR="00F238E3" w:rsidRPr="002338A9">
        <w:rPr>
          <w:sz w:val="24"/>
          <w:szCs w:val="24"/>
          <w:lang w:val="en-GB"/>
        </w:rPr>
        <w:t xml:space="preserve"> </w:t>
      </w:r>
      <w:r w:rsidRPr="002338A9">
        <w:rPr>
          <w:sz w:val="24"/>
          <w:szCs w:val="24"/>
          <w:lang w:val="en-GB"/>
        </w:rPr>
        <w:t xml:space="preserve">by </w:t>
      </w:r>
      <w:r w:rsidR="00F238E3" w:rsidRPr="002338A9">
        <w:rPr>
          <w:sz w:val="24"/>
          <w:szCs w:val="24"/>
          <w:lang w:val="en-GB"/>
        </w:rPr>
        <w:t>Fully Modified Least Squares (FM-OLS)</w:t>
      </w:r>
      <w:r w:rsidR="00420137" w:rsidRPr="002338A9">
        <w:rPr>
          <w:sz w:val="24"/>
          <w:szCs w:val="24"/>
          <w:lang w:val="en-GB"/>
        </w:rPr>
        <w:t>, to obtain asymptotically unbiased estimates of the parameters</w:t>
      </w:r>
      <w:r w:rsidR="00B80736" w:rsidRPr="002338A9">
        <w:rPr>
          <w:rStyle w:val="FootnoteReference"/>
          <w:sz w:val="24"/>
          <w:szCs w:val="24"/>
          <w:lang w:val="en-GB"/>
        </w:rPr>
        <w:footnoteReference w:id="10"/>
      </w:r>
      <w:r w:rsidR="00420137" w:rsidRPr="002338A9">
        <w:rPr>
          <w:sz w:val="24"/>
          <w:szCs w:val="24"/>
          <w:lang w:val="en-GB"/>
        </w:rPr>
        <w:t xml:space="preserve">. </w:t>
      </w:r>
      <w:r w:rsidRPr="002338A9">
        <w:rPr>
          <w:sz w:val="24"/>
          <w:szCs w:val="24"/>
          <w:lang w:val="en-GB"/>
        </w:rPr>
        <w:t>FM-OLS</w:t>
      </w:r>
      <w:r w:rsidR="00420137" w:rsidRPr="002338A9">
        <w:rPr>
          <w:sz w:val="24"/>
          <w:szCs w:val="24"/>
          <w:lang w:val="en-GB"/>
        </w:rPr>
        <w:t xml:space="preserve"> is an asymptotically efficient estimator of long-run economic relationships</w:t>
      </w:r>
      <w:r w:rsidR="00FD1163" w:rsidRPr="002338A9">
        <w:rPr>
          <w:sz w:val="24"/>
          <w:szCs w:val="24"/>
          <w:lang w:val="en-GB"/>
        </w:rPr>
        <w:t xml:space="preserve"> (Philips &amp; Hansen, 1990)</w:t>
      </w:r>
      <w:r w:rsidRPr="002338A9">
        <w:rPr>
          <w:sz w:val="24"/>
          <w:szCs w:val="24"/>
          <w:lang w:val="en-GB"/>
        </w:rPr>
        <w:t>. The FM-OLS estimator</w:t>
      </w:r>
      <w:r w:rsidR="00205385" w:rsidRPr="002338A9">
        <w:rPr>
          <w:sz w:val="24"/>
          <w:szCs w:val="24"/>
          <w:lang w:val="en-GB"/>
        </w:rPr>
        <w:t xml:space="preserve"> modifies least squares </w:t>
      </w:r>
      <w:r w:rsidR="00F238E3" w:rsidRPr="002338A9">
        <w:rPr>
          <w:sz w:val="24"/>
          <w:szCs w:val="24"/>
          <w:lang w:val="en-GB"/>
        </w:rPr>
        <w:t>through semiparametric corrections that lead to a class of fully modified Wald tests</w:t>
      </w:r>
      <w:r w:rsidRPr="002338A9">
        <w:rPr>
          <w:sz w:val="24"/>
          <w:szCs w:val="24"/>
          <w:lang w:val="en-GB"/>
        </w:rPr>
        <w:t>.</w:t>
      </w:r>
      <w:r w:rsidR="00F238E3" w:rsidRPr="002338A9">
        <w:rPr>
          <w:sz w:val="24"/>
          <w:szCs w:val="24"/>
          <w:lang w:val="en-GB"/>
        </w:rPr>
        <w:t xml:space="preserve"> The new statistics greatly facilitate inference in I(1) regression models</w:t>
      </w:r>
      <w:r w:rsidR="00205385" w:rsidRPr="002338A9">
        <w:rPr>
          <w:sz w:val="24"/>
          <w:szCs w:val="24"/>
          <w:lang w:val="en-GB"/>
        </w:rPr>
        <w:t>, as they account for serial correlation effects and endogeneity in the regressors that result from the existence of cointegrating relationships</w:t>
      </w:r>
      <w:r w:rsidR="00360505" w:rsidRPr="002338A9">
        <w:rPr>
          <w:sz w:val="24"/>
          <w:szCs w:val="24"/>
          <w:lang w:val="en-GB"/>
        </w:rPr>
        <w:t xml:space="preserve"> </w:t>
      </w:r>
      <w:r w:rsidR="00205385" w:rsidRPr="002338A9">
        <w:rPr>
          <w:sz w:val="24"/>
          <w:szCs w:val="24"/>
          <w:lang w:val="en-GB"/>
        </w:rPr>
        <w:t>(Philips &amp; Hansen, 1990</w:t>
      </w:r>
      <w:r w:rsidR="00B80736" w:rsidRPr="002338A9">
        <w:rPr>
          <w:sz w:val="24"/>
          <w:szCs w:val="24"/>
          <w:lang w:val="en-GB"/>
        </w:rPr>
        <w:t>, and Philips, 1995</w:t>
      </w:r>
      <w:r w:rsidR="00360505" w:rsidRPr="002338A9">
        <w:rPr>
          <w:sz w:val="24"/>
          <w:szCs w:val="24"/>
          <w:lang w:val="en-GB"/>
        </w:rPr>
        <w:t>)</w:t>
      </w:r>
      <w:r w:rsidR="00B80736" w:rsidRPr="002338A9">
        <w:rPr>
          <w:sz w:val="24"/>
          <w:szCs w:val="24"/>
          <w:lang w:val="en-GB"/>
        </w:rPr>
        <w:t>.</w:t>
      </w:r>
    </w:p>
    <w:p w14:paraId="593EB268" w14:textId="4A064FBA" w:rsidR="00153EDA" w:rsidRPr="00153EDA" w:rsidRDefault="00F7396B" w:rsidP="007868D9">
      <w:pPr>
        <w:spacing w:line="360" w:lineRule="auto"/>
        <w:ind w:firstLine="720"/>
        <w:jc w:val="both"/>
        <w:rPr>
          <w:sz w:val="24"/>
          <w:szCs w:val="24"/>
          <w:lang w:val="en-GB"/>
        </w:rPr>
      </w:pPr>
      <w:r w:rsidRPr="002338A9">
        <w:rPr>
          <w:sz w:val="24"/>
          <w:szCs w:val="24"/>
          <w:lang w:val="en-GB"/>
        </w:rPr>
        <w:t>In Table 3 we present the results of the estimation</w:t>
      </w:r>
      <w:r w:rsidR="00246DF7" w:rsidRPr="002338A9">
        <w:rPr>
          <w:sz w:val="24"/>
          <w:szCs w:val="24"/>
          <w:lang w:val="en-GB"/>
        </w:rPr>
        <w:t xml:space="preserve"> of the investment </w:t>
      </w:r>
      <w:r w:rsidR="001F4DBC" w:rsidRPr="002338A9">
        <w:rPr>
          <w:sz w:val="24"/>
          <w:szCs w:val="24"/>
          <w:lang w:val="en-GB"/>
        </w:rPr>
        <w:t>E</w:t>
      </w:r>
      <w:r w:rsidR="00246DF7" w:rsidRPr="002338A9">
        <w:rPr>
          <w:sz w:val="24"/>
          <w:szCs w:val="24"/>
          <w:lang w:val="en-GB"/>
        </w:rPr>
        <w:t xml:space="preserve">quation </w:t>
      </w:r>
      <w:r w:rsidR="002A0292">
        <w:rPr>
          <w:sz w:val="24"/>
          <w:szCs w:val="24"/>
          <w:lang w:val="en-GB"/>
        </w:rPr>
        <w:t>3</w:t>
      </w:r>
      <w:r w:rsidR="00246DF7" w:rsidRPr="002338A9">
        <w:rPr>
          <w:sz w:val="24"/>
          <w:szCs w:val="24"/>
          <w:lang w:val="en-GB"/>
        </w:rPr>
        <w:t>.1</w:t>
      </w:r>
      <w:r w:rsidRPr="002338A9">
        <w:rPr>
          <w:sz w:val="24"/>
          <w:szCs w:val="24"/>
          <w:lang w:val="en-GB"/>
        </w:rPr>
        <w:t xml:space="preserve">. Table 3 shows that using fully modified Wald tests, </w:t>
      </w:r>
      <w:r w:rsidR="001F4DBC" w:rsidRPr="002338A9">
        <w:rPr>
          <w:sz w:val="24"/>
          <w:szCs w:val="24"/>
          <w:lang w:val="en-GB"/>
        </w:rPr>
        <w:t>the coefficient from which we can attest if hysteresis is present,</w:t>
      </w:r>
      <w:r w:rsidR="00FD1163" w:rsidRPr="002338A9">
        <w:rPr>
          <w:sz w:val="24"/>
          <w:szCs w:val="24"/>
          <w:lang w:val="en-GB"/>
        </w:rPr>
        <w:t xml:space="preserve"> </w:t>
      </w:r>
      <m:oMath>
        <m:sSub>
          <m:sSubPr>
            <m:ctrlPr>
              <w:rPr>
                <w:rFonts w:ascii="Cambria Math" w:hAnsi="Cambria Math"/>
                <w:i/>
                <w:sz w:val="24"/>
                <w:szCs w:val="24"/>
                <w:lang w:val="en-GB"/>
              </w:rPr>
            </m:ctrlPr>
          </m:sSubPr>
          <m:e>
            <m:r>
              <w:rPr>
                <w:rFonts w:ascii="Cambria Math" w:hAnsi="Cambria Math"/>
                <w:sz w:val="24"/>
                <w:szCs w:val="24"/>
                <w:lang w:val="en-GB"/>
              </w:rPr>
              <m:t>β</m:t>
            </m:r>
          </m:e>
          <m:sub>
            <m:r>
              <w:rPr>
                <w:rFonts w:ascii="Cambria Math" w:hAnsi="Cambria Math"/>
                <w:sz w:val="24"/>
                <w:szCs w:val="24"/>
                <w:lang w:val="en-GB"/>
              </w:rPr>
              <m:t>2</m:t>
            </m:r>
          </m:sub>
        </m:sSub>
      </m:oMath>
      <w:r w:rsidR="004A546D" w:rsidRPr="002338A9">
        <w:rPr>
          <w:rStyle w:val="FootnoteReference"/>
          <w:sz w:val="24"/>
          <w:szCs w:val="24"/>
          <w:lang w:val="en-GB"/>
        </w:rPr>
        <w:footnoteReference w:id="11"/>
      </w:r>
      <m:oMath>
        <m:r>
          <w:rPr>
            <w:rFonts w:ascii="Cambria Math" w:hAnsi="Cambria Math"/>
            <w:sz w:val="24"/>
            <w:szCs w:val="24"/>
            <w:lang w:val="en-GB"/>
          </w:rPr>
          <m:t xml:space="preserve"> </m:t>
        </m:r>
      </m:oMath>
      <w:r w:rsidR="001F4DBC" w:rsidRPr="002338A9">
        <w:rPr>
          <w:sz w:val="24"/>
          <w:szCs w:val="24"/>
          <w:lang w:val="en-GB"/>
        </w:rPr>
        <w:t>is positive and statistically significant in the</w:t>
      </w:r>
      <w:r w:rsidR="004A546D" w:rsidRPr="002338A9">
        <w:rPr>
          <w:sz w:val="24"/>
          <w:szCs w:val="24"/>
          <w:lang w:val="en-GB"/>
        </w:rPr>
        <w:t xml:space="preserve"> equation estimated for</w:t>
      </w:r>
      <w:r w:rsidR="001F4DBC" w:rsidRPr="002338A9">
        <w:rPr>
          <w:sz w:val="24"/>
          <w:szCs w:val="24"/>
          <w:lang w:val="en-GB"/>
        </w:rPr>
        <w:t xml:space="preserve"> tangible investment in France, Italy, Japan, the UK, and the US</w:t>
      </w:r>
      <w:r w:rsidR="004A546D" w:rsidRPr="002338A9">
        <w:rPr>
          <w:sz w:val="24"/>
          <w:szCs w:val="24"/>
          <w:lang w:val="en-GB"/>
        </w:rPr>
        <w:t xml:space="preserve">. </w:t>
      </w:r>
      <m:oMath>
        <m:sSub>
          <m:sSubPr>
            <m:ctrlPr>
              <w:rPr>
                <w:rFonts w:ascii="Cambria Math" w:hAnsi="Cambria Math"/>
                <w:i/>
                <w:sz w:val="24"/>
                <w:szCs w:val="24"/>
                <w:lang w:val="en-GB"/>
              </w:rPr>
            </m:ctrlPr>
          </m:sSubPr>
          <m:e>
            <m:r>
              <w:rPr>
                <w:rFonts w:ascii="Cambria Math" w:hAnsi="Cambria Math"/>
                <w:sz w:val="24"/>
                <w:szCs w:val="24"/>
                <w:lang w:val="en-GB"/>
              </w:rPr>
              <m:t>β</m:t>
            </m:r>
          </m:e>
          <m:sub>
            <m:r>
              <w:rPr>
                <w:rFonts w:ascii="Cambria Math" w:hAnsi="Cambria Math"/>
                <w:sz w:val="24"/>
                <w:szCs w:val="24"/>
                <w:lang w:val="en-GB"/>
              </w:rPr>
              <m:t>2</m:t>
            </m:r>
          </m:sub>
        </m:sSub>
      </m:oMath>
      <w:r w:rsidR="001F4DBC" w:rsidRPr="002338A9">
        <w:rPr>
          <w:sz w:val="24"/>
          <w:szCs w:val="24"/>
          <w:lang w:val="en-GB"/>
        </w:rPr>
        <w:t xml:space="preserve"> </w:t>
      </w:r>
      <w:r w:rsidR="004A546D" w:rsidRPr="002338A9">
        <w:rPr>
          <w:sz w:val="24"/>
          <w:szCs w:val="24"/>
          <w:lang w:val="en-GB"/>
        </w:rPr>
        <w:t>is also</w:t>
      </w:r>
      <w:r w:rsidR="00153EDA">
        <w:rPr>
          <w:sz w:val="24"/>
          <w:szCs w:val="24"/>
          <w:lang w:val="en-GB"/>
        </w:rPr>
        <w:t xml:space="preserve"> positive and</w:t>
      </w:r>
      <w:r w:rsidR="004A546D" w:rsidRPr="002338A9">
        <w:rPr>
          <w:sz w:val="24"/>
          <w:szCs w:val="24"/>
          <w:lang w:val="en-GB"/>
        </w:rPr>
        <w:t xml:space="preserve"> statistically significant in the estimated equation for </w:t>
      </w:r>
      <w:r w:rsidR="001F4DBC" w:rsidRPr="002338A9">
        <w:rPr>
          <w:sz w:val="24"/>
          <w:szCs w:val="24"/>
          <w:lang w:val="en-GB"/>
        </w:rPr>
        <w:t>intangible investment in Canada, France, Germany, Italy, and the US</w:t>
      </w:r>
      <w:r w:rsidR="004A546D" w:rsidRPr="002338A9">
        <w:rPr>
          <w:sz w:val="24"/>
          <w:szCs w:val="24"/>
          <w:lang w:val="en-GB"/>
        </w:rPr>
        <w:t xml:space="preserve">. </w:t>
      </w:r>
      <m:oMath>
        <m:sSub>
          <m:sSubPr>
            <m:ctrlPr>
              <w:rPr>
                <w:rFonts w:ascii="Cambria Math" w:hAnsi="Cambria Math"/>
                <w:i/>
                <w:sz w:val="24"/>
                <w:szCs w:val="24"/>
                <w:lang w:val="en-GB"/>
              </w:rPr>
            </m:ctrlPr>
          </m:sSubPr>
          <m:e>
            <m:r>
              <w:rPr>
                <w:rFonts w:ascii="Cambria Math" w:hAnsi="Cambria Math"/>
                <w:sz w:val="24"/>
                <w:szCs w:val="24"/>
                <w:lang w:val="en-GB"/>
              </w:rPr>
              <m:t>β</m:t>
            </m:r>
          </m:e>
          <m:sub>
            <m:r>
              <w:rPr>
                <w:rFonts w:ascii="Cambria Math" w:hAnsi="Cambria Math"/>
                <w:sz w:val="24"/>
                <w:szCs w:val="24"/>
                <w:lang w:val="en-GB"/>
              </w:rPr>
              <m:t>2</m:t>
            </m:r>
          </m:sub>
        </m:sSub>
      </m:oMath>
      <w:r w:rsidR="004A546D" w:rsidRPr="002338A9">
        <w:rPr>
          <w:b/>
          <w:bCs/>
          <w:sz w:val="24"/>
          <w:szCs w:val="24"/>
          <w:lang w:val="en-GB"/>
        </w:rPr>
        <w:t xml:space="preserve"> </w:t>
      </w:r>
      <w:r w:rsidR="004A546D" w:rsidRPr="002338A9">
        <w:rPr>
          <w:sz w:val="24"/>
          <w:szCs w:val="24"/>
          <w:lang w:val="en-GB"/>
        </w:rPr>
        <w:t>is</w:t>
      </w:r>
      <w:r w:rsidR="001F4DBC" w:rsidRPr="002338A9">
        <w:rPr>
          <w:sz w:val="24"/>
          <w:szCs w:val="24"/>
          <w:lang w:val="en-GB"/>
        </w:rPr>
        <w:t xml:space="preserve"> negative and statistically significant in the case of intangible investment in the UK.</w:t>
      </w:r>
      <w:r w:rsidR="004A546D" w:rsidRPr="002338A9">
        <w:rPr>
          <w:sz w:val="24"/>
          <w:szCs w:val="24"/>
          <w:lang w:val="en-GB"/>
        </w:rPr>
        <w:t xml:space="preserve"> </w:t>
      </w:r>
    </w:p>
    <w:p w14:paraId="3C0180A3" w14:textId="52AD3107" w:rsidR="001F4DBC" w:rsidRPr="002338A9" w:rsidRDefault="001F4DBC" w:rsidP="007868D9">
      <w:pPr>
        <w:spacing w:line="360" w:lineRule="auto"/>
        <w:ind w:firstLine="720"/>
        <w:jc w:val="both"/>
        <w:rPr>
          <w:sz w:val="24"/>
          <w:szCs w:val="24"/>
          <w:lang w:val="en-GB"/>
        </w:rPr>
      </w:pPr>
      <w:r w:rsidRPr="002338A9">
        <w:rPr>
          <w:sz w:val="24"/>
          <w:szCs w:val="24"/>
          <w:lang w:val="en-GB"/>
        </w:rPr>
        <w:t xml:space="preserve">These results mean that hysteresis is present in several equations for tangible and intangible </w:t>
      </w:r>
      <w:r w:rsidR="004A546D" w:rsidRPr="002338A9">
        <w:rPr>
          <w:sz w:val="24"/>
          <w:szCs w:val="24"/>
          <w:lang w:val="en-GB"/>
        </w:rPr>
        <w:t>investment</w:t>
      </w:r>
      <w:r w:rsidRPr="002338A9">
        <w:rPr>
          <w:sz w:val="24"/>
          <w:szCs w:val="24"/>
          <w:lang w:val="en-GB"/>
        </w:rPr>
        <w:t>.</w:t>
      </w:r>
    </w:p>
    <w:p w14:paraId="7629DD12" w14:textId="17550298" w:rsidR="00F7396B" w:rsidRPr="002338A9" w:rsidRDefault="001F4DBC" w:rsidP="007868D9">
      <w:pPr>
        <w:spacing w:line="360" w:lineRule="auto"/>
        <w:ind w:firstLine="720"/>
        <w:jc w:val="both"/>
        <w:rPr>
          <w:sz w:val="24"/>
          <w:szCs w:val="24"/>
          <w:lang w:val="en-GB"/>
        </w:rPr>
      </w:pPr>
      <w:r w:rsidRPr="002338A9">
        <w:rPr>
          <w:sz w:val="24"/>
          <w:szCs w:val="24"/>
          <w:lang w:val="en-GB"/>
        </w:rPr>
        <w:t>T</w:t>
      </w:r>
      <w:r w:rsidR="00F7396B" w:rsidRPr="002338A9">
        <w:rPr>
          <w:sz w:val="24"/>
          <w:szCs w:val="24"/>
          <w:lang w:val="en-GB"/>
        </w:rPr>
        <w:t xml:space="preserve">he coefficient </w:t>
      </w:r>
      <w:r w:rsidR="0028635E" w:rsidRPr="002338A9">
        <w:rPr>
          <w:sz w:val="24"/>
          <w:szCs w:val="24"/>
          <w:lang w:val="en-GB"/>
        </w:rPr>
        <w:t>from which we can assess the</w:t>
      </w:r>
      <w:r w:rsidR="00D13219" w:rsidRPr="002338A9">
        <w:rPr>
          <w:sz w:val="24"/>
          <w:szCs w:val="24"/>
          <w:lang w:val="en-GB"/>
        </w:rPr>
        <w:t xml:space="preserve"> reaction of aggregate investment,</w:t>
      </w:r>
      <w:r w:rsidR="00D13219" w:rsidRPr="002338A9">
        <w:rPr>
          <w:i/>
          <w:sz w:val="24"/>
          <w:szCs w:val="24"/>
          <w:lang w:val="en-GB"/>
        </w:rPr>
        <w:t xml:space="preserve"> </w:t>
      </w:r>
      <m:oMath>
        <m:sSub>
          <m:sSubPr>
            <m:ctrlPr>
              <w:rPr>
                <w:rFonts w:ascii="Cambria Math" w:hAnsi="Cambria Math"/>
                <w:i/>
                <w:sz w:val="24"/>
                <w:szCs w:val="24"/>
                <w:lang w:val="en-GB"/>
              </w:rPr>
            </m:ctrlPr>
          </m:sSubPr>
          <m:e>
            <m:r>
              <w:rPr>
                <w:rFonts w:ascii="Cambria Math" w:hAnsi="Cambria Math"/>
                <w:sz w:val="24"/>
                <w:szCs w:val="24"/>
                <w:lang w:val="en-GB"/>
              </w:rPr>
              <m:t>I</m:t>
            </m:r>
          </m:e>
          <m:sub>
            <m:r>
              <w:rPr>
                <w:rFonts w:ascii="Cambria Math" w:hAnsi="Cambria Math"/>
                <w:sz w:val="24"/>
                <w:szCs w:val="24"/>
                <w:lang w:val="en-GB"/>
              </w:rPr>
              <m:t>t</m:t>
            </m:r>
          </m:sub>
        </m:sSub>
      </m:oMath>
      <w:r w:rsidR="00D13219" w:rsidRPr="002338A9">
        <w:rPr>
          <w:iCs/>
          <w:sz w:val="24"/>
          <w:szCs w:val="24"/>
          <w:lang w:val="en-GB"/>
        </w:rPr>
        <w:t>,</w:t>
      </w:r>
      <w:r w:rsidR="00D13219" w:rsidRPr="002338A9">
        <w:rPr>
          <w:sz w:val="24"/>
          <w:szCs w:val="24"/>
          <w:lang w:val="en-GB"/>
        </w:rPr>
        <w:t xml:space="preserve"> along the play lines</w:t>
      </w:r>
      <w:r w:rsidR="0028635E" w:rsidRPr="002338A9">
        <w:rPr>
          <w:sz w:val="24"/>
          <w:szCs w:val="24"/>
          <w:lang w:val="en-GB"/>
        </w:rPr>
        <w:t>,</w:t>
      </w:r>
      <w:r w:rsidR="0028635E" w:rsidRPr="002338A9">
        <w:rPr>
          <w:i/>
          <w:sz w:val="24"/>
          <w:szCs w:val="24"/>
          <w:lang w:val="en-GB"/>
        </w:rPr>
        <w:t xml:space="preserve"> </w:t>
      </w:r>
      <m:oMath>
        <m:sSub>
          <m:sSubPr>
            <m:ctrlPr>
              <w:rPr>
                <w:rFonts w:ascii="Cambria Math" w:hAnsi="Cambria Math"/>
                <w:i/>
                <w:sz w:val="24"/>
                <w:szCs w:val="24"/>
                <w:lang w:val="en-GB"/>
              </w:rPr>
            </m:ctrlPr>
          </m:sSubPr>
          <m:e>
            <m:r>
              <w:rPr>
                <w:rFonts w:ascii="Cambria Math" w:hAnsi="Cambria Math"/>
                <w:sz w:val="24"/>
                <w:szCs w:val="24"/>
                <w:lang w:val="en-GB"/>
              </w:rPr>
              <m:t>β</m:t>
            </m:r>
          </m:e>
          <m:sub>
            <m:r>
              <w:rPr>
                <w:rFonts w:ascii="Cambria Math" w:hAnsi="Cambria Math"/>
                <w:sz w:val="24"/>
                <w:szCs w:val="24"/>
                <w:lang w:val="en-GB"/>
              </w:rPr>
              <m:t>1</m:t>
            </m:r>
          </m:sub>
        </m:sSub>
      </m:oMath>
      <w:r w:rsidR="0028635E" w:rsidRPr="002338A9">
        <w:rPr>
          <w:sz w:val="24"/>
          <w:szCs w:val="24"/>
          <w:lang w:val="en-GB"/>
        </w:rPr>
        <w:t>, is positive and statistically significant in</w:t>
      </w:r>
      <w:r w:rsidR="004A546D" w:rsidRPr="002338A9">
        <w:rPr>
          <w:sz w:val="24"/>
          <w:szCs w:val="24"/>
          <w:lang w:val="en-GB"/>
        </w:rPr>
        <w:t xml:space="preserve"> the estimated equation for</w:t>
      </w:r>
      <w:r w:rsidR="0028635E" w:rsidRPr="002338A9">
        <w:rPr>
          <w:sz w:val="24"/>
          <w:szCs w:val="24"/>
          <w:lang w:val="en-GB"/>
        </w:rPr>
        <w:t xml:space="preserve"> tangible investment in France and the US</w:t>
      </w:r>
      <w:r w:rsidR="004A546D" w:rsidRPr="002338A9">
        <w:rPr>
          <w:sz w:val="24"/>
          <w:szCs w:val="24"/>
          <w:lang w:val="en-GB"/>
        </w:rPr>
        <w:t>, and in the estimated equation</w:t>
      </w:r>
      <w:r w:rsidR="0028635E" w:rsidRPr="002338A9">
        <w:rPr>
          <w:sz w:val="24"/>
          <w:szCs w:val="24"/>
          <w:lang w:val="en-GB"/>
        </w:rPr>
        <w:t xml:space="preserve"> </w:t>
      </w:r>
      <w:r w:rsidR="004A546D" w:rsidRPr="002338A9">
        <w:rPr>
          <w:sz w:val="24"/>
          <w:szCs w:val="24"/>
          <w:lang w:val="en-GB"/>
        </w:rPr>
        <w:t xml:space="preserve">for </w:t>
      </w:r>
      <w:r w:rsidR="0028635E" w:rsidRPr="002338A9">
        <w:rPr>
          <w:sz w:val="24"/>
          <w:szCs w:val="24"/>
          <w:lang w:val="en-GB"/>
        </w:rPr>
        <w:t>intangible investment in Germany, Japan and the UK</w:t>
      </w:r>
      <w:r w:rsidR="004A546D" w:rsidRPr="002338A9">
        <w:rPr>
          <w:sz w:val="24"/>
          <w:szCs w:val="24"/>
          <w:lang w:val="en-GB"/>
        </w:rPr>
        <w:t>.</w:t>
      </w:r>
      <w:r w:rsidR="004A546D" w:rsidRPr="002338A9">
        <w:rPr>
          <w:iCs/>
          <w:sz w:val="24"/>
          <w:szCs w:val="24"/>
          <w:lang w:val="en-GB"/>
        </w:rPr>
        <w:t xml:space="preserve"> </w:t>
      </w:r>
      <m:oMath>
        <m:sSub>
          <m:sSubPr>
            <m:ctrlPr>
              <w:rPr>
                <w:rFonts w:ascii="Cambria Math" w:hAnsi="Cambria Math"/>
                <w:i/>
                <w:sz w:val="24"/>
                <w:szCs w:val="24"/>
                <w:lang w:val="en-GB"/>
              </w:rPr>
            </m:ctrlPr>
          </m:sSubPr>
          <m:e>
            <m:r>
              <w:rPr>
                <w:rFonts w:ascii="Cambria Math" w:hAnsi="Cambria Math"/>
                <w:sz w:val="24"/>
                <w:szCs w:val="24"/>
                <w:lang w:val="en-GB"/>
              </w:rPr>
              <m:t>β</m:t>
            </m:r>
          </m:e>
          <m:sub>
            <m:r>
              <w:rPr>
                <w:rFonts w:ascii="Cambria Math" w:hAnsi="Cambria Math"/>
                <w:sz w:val="24"/>
                <w:szCs w:val="24"/>
                <w:lang w:val="en-GB"/>
              </w:rPr>
              <m:t>1</m:t>
            </m:r>
          </m:sub>
        </m:sSub>
      </m:oMath>
      <w:r w:rsidR="00D137C6" w:rsidRPr="002338A9">
        <w:rPr>
          <w:sz w:val="24"/>
          <w:szCs w:val="24"/>
          <w:lang w:val="en-GB"/>
        </w:rPr>
        <w:t xml:space="preserve"> is non-significant in the estimated equation</w:t>
      </w:r>
      <w:r w:rsidR="00D137C6">
        <w:rPr>
          <w:sz w:val="24"/>
          <w:szCs w:val="24"/>
          <w:lang w:val="en-GB"/>
        </w:rPr>
        <w:t xml:space="preserve"> </w:t>
      </w:r>
      <w:r w:rsidR="00D137C6" w:rsidRPr="002338A9">
        <w:rPr>
          <w:sz w:val="24"/>
          <w:szCs w:val="24"/>
          <w:lang w:val="en-GB"/>
        </w:rPr>
        <w:t xml:space="preserve">for tangible investment in Canada, Germany, Japan and the UK, and in the estimated </w:t>
      </w:r>
      <w:r w:rsidR="00D137C6" w:rsidRPr="002338A9">
        <w:rPr>
          <w:sz w:val="24"/>
          <w:szCs w:val="24"/>
          <w:lang w:val="en-GB"/>
        </w:rPr>
        <w:lastRenderedPageBreak/>
        <w:t>equation for intangible investment in France, and the US</w:t>
      </w:r>
      <w:r w:rsidR="00153EDA">
        <w:rPr>
          <w:sz w:val="24"/>
          <w:szCs w:val="24"/>
          <w:lang w:val="en-GB"/>
        </w:rPr>
        <w:t>, which means that in these cases the play lines displayed in Figure 8 are in fact horizontal</w:t>
      </w:r>
      <w:r w:rsidR="00D137C6" w:rsidRPr="002338A9">
        <w:rPr>
          <w:sz w:val="24"/>
          <w:szCs w:val="24"/>
          <w:lang w:val="en-GB"/>
        </w:rPr>
        <w:t>.</w:t>
      </w:r>
      <w:r w:rsidR="00D137C6" w:rsidRPr="002338A9">
        <w:rPr>
          <w:iCs/>
          <w:sz w:val="24"/>
          <w:szCs w:val="24"/>
          <w:lang w:val="en-GB"/>
        </w:rPr>
        <w:t xml:space="preserve"> </w:t>
      </w:r>
      <m:oMath>
        <m:sSub>
          <m:sSubPr>
            <m:ctrlPr>
              <w:rPr>
                <w:rFonts w:ascii="Cambria Math" w:hAnsi="Cambria Math"/>
                <w:i/>
                <w:sz w:val="24"/>
                <w:szCs w:val="24"/>
                <w:lang w:val="en-GB"/>
              </w:rPr>
            </m:ctrlPr>
          </m:sSubPr>
          <m:e>
            <m:r>
              <w:rPr>
                <w:rFonts w:ascii="Cambria Math" w:hAnsi="Cambria Math"/>
                <w:sz w:val="24"/>
                <w:szCs w:val="24"/>
                <w:lang w:val="en-GB"/>
              </w:rPr>
              <m:t>β</m:t>
            </m:r>
          </m:e>
          <m:sub>
            <m:r>
              <w:rPr>
                <w:rFonts w:ascii="Cambria Math" w:hAnsi="Cambria Math"/>
                <w:sz w:val="24"/>
                <w:szCs w:val="24"/>
                <w:lang w:val="en-GB"/>
              </w:rPr>
              <m:t>1</m:t>
            </m:r>
          </m:sub>
        </m:sSub>
      </m:oMath>
      <w:r w:rsidR="0028635E" w:rsidRPr="002338A9">
        <w:rPr>
          <w:sz w:val="24"/>
          <w:szCs w:val="24"/>
          <w:lang w:val="en-GB"/>
        </w:rPr>
        <w:t xml:space="preserve"> </w:t>
      </w:r>
      <w:r w:rsidR="004A546D" w:rsidRPr="002338A9">
        <w:rPr>
          <w:sz w:val="24"/>
          <w:szCs w:val="24"/>
          <w:lang w:val="en-GB"/>
        </w:rPr>
        <w:t xml:space="preserve">is </w:t>
      </w:r>
      <w:r w:rsidR="0028635E" w:rsidRPr="002338A9">
        <w:rPr>
          <w:sz w:val="24"/>
          <w:szCs w:val="24"/>
          <w:lang w:val="en-GB"/>
        </w:rPr>
        <w:t xml:space="preserve">negative and statistically significant in </w:t>
      </w:r>
      <w:r w:rsidR="00C06615" w:rsidRPr="002338A9">
        <w:rPr>
          <w:sz w:val="24"/>
          <w:szCs w:val="24"/>
          <w:lang w:val="en-GB"/>
        </w:rPr>
        <w:t>the estimated equation</w:t>
      </w:r>
      <w:r w:rsidR="0028635E" w:rsidRPr="002338A9">
        <w:rPr>
          <w:sz w:val="24"/>
          <w:szCs w:val="24"/>
          <w:lang w:val="en-GB"/>
        </w:rPr>
        <w:t xml:space="preserve"> </w:t>
      </w:r>
      <w:r w:rsidR="00C06615">
        <w:rPr>
          <w:sz w:val="24"/>
          <w:szCs w:val="24"/>
          <w:lang w:val="en-GB"/>
        </w:rPr>
        <w:t>for</w:t>
      </w:r>
      <w:r w:rsidR="0028635E" w:rsidRPr="002338A9">
        <w:rPr>
          <w:sz w:val="24"/>
          <w:szCs w:val="24"/>
          <w:lang w:val="en-GB"/>
        </w:rPr>
        <w:t xml:space="preserve"> tangible investment in Italy</w:t>
      </w:r>
      <w:r w:rsidR="004A546D" w:rsidRPr="002338A9">
        <w:rPr>
          <w:sz w:val="24"/>
          <w:szCs w:val="24"/>
          <w:lang w:val="en-GB"/>
        </w:rPr>
        <w:t xml:space="preserve"> and </w:t>
      </w:r>
      <w:r w:rsidR="00C06615">
        <w:rPr>
          <w:sz w:val="24"/>
          <w:szCs w:val="24"/>
          <w:lang w:val="en-GB"/>
        </w:rPr>
        <w:t xml:space="preserve">in the estimated equation for </w:t>
      </w:r>
      <w:r w:rsidR="0028635E" w:rsidRPr="002338A9">
        <w:rPr>
          <w:sz w:val="24"/>
          <w:szCs w:val="24"/>
          <w:lang w:val="en-GB"/>
        </w:rPr>
        <w:t>intangible investment in Canada and Italy</w:t>
      </w:r>
      <w:r w:rsidR="004A546D" w:rsidRPr="002338A9">
        <w:rPr>
          <w:sz w:val="24"/>
          <w:szCs w:val="24"/>
          <w:lang w:val="en-GB"/>
        </w:rPr>
        <w:t>, which is not expectable</w:t>
      </w:r>
      <w:r w:rsidR="000612DC">
        <w:rPr>
          <w:sz w:val="24"/>
          <w:szCs w:val="24"/>
          <w:lang w:val="en-GB"/>
        </w:rPr>
        <w:t>, in these cases a small increase in</w:t>
      </w:r>
      <w:r w:rsidR="00913797">
        <w:rPr>
          <w:sz w:val="24"/>
          <w:szCs w:val="24"/>
          <w:lang w:val="en-GB"/>
        </w:rPr>
        <w:t xml:space="preserve"> the level of</w:t>
      </w:r>
      <w:r w:rsidR="000612DC">
        <w:rPr>
          <w:sz w:val="24"/>
          <w:szCs w:val="24"/>
          <w:lang w:val="en-GB"/>
        </w:rPr>
        <w:t xml:space="preserve"> aggregate demand leads to a decrease in investment (negative coefficient for </w:t>
      </w:r>
      <m:oMath>
        <m:sSub>
          <m:sSubPr>
            <m:ctrlPr>
              <w:rPr>
                <w:rFonts w:ascii="Cambria Math" w:hAnsi="Cambria Math"/>
                <w:i/>
                <w:sz w:val="24"/>
                <w:szCs w:val="24"/>
                <w:lang w:val="en-GB"/>
              </w:rPr>
            </m:ctrlPr>
          </m:sSubPr>
          <m:e>
            <m:r>
              <w:rPr>
                <w:rFonts w:ascii="Cambria Math" w:hAnsi="Cambria Math"/>
                <w:sz w:val="24"/>
                <w:szCs w:val="24"/>
                <w:lang w:val="en-GB"/>
              </w:rPr>
              <m:t>β</m:t>
            </m:r>
          </m:e>
          <m:sub>
            <m:r>
              <w:rPr>
                <w:rFonts w:ascii="Cambria Math" w:hAnsi="Cambria Math"/>
                <w:sz w:val="24"/>
                <w:szCs w:val="24"/>
                <w:lang w:val="en-GB"/>
              </w:rPr>
              <m:t>1</m:t>
            </m:r>
          </m:sub>
        </m:sSub>
      </m:oMath>
      <w:r w:rsidR="000612DC">
        <w:rPr>
          <w:sz w:val="24"/>
          <w:szCs w:val="24"/>
          <w:lang w:val="en-GB"/>
        </w:rPr>
        <w:t xml:space="preserve">) </w:t>
      </w:r>
      <w:r w:rsidR="00C06615">
        <w:rPr>
          <w:sz w:val="24"/>
          <w:szCs w:val="24"/>
          <w:lang w:val="en-GB"/>
        </w:rPr>
        <w:t>but</w:t>
      </w:r>
      <w:r w:rsidR="000612DC">
        <w:rPr>
          <w:sz w:val="24"/>
          <w:szCs w:val="24"/>
          <w:lang w:val="en-GB"/>
        </w:rPr>
        <w:t xml:space="preserve"> a large enough positive aggregate demand variation leads to an increase in investment (captured by the positive coefficient for </w:t>
      </w:r>
      <m:oMath>
        <m:sSub>
          <m:sSubPr>
            <m:ctrlPr>
              <w:rPr>
                <w:rFonts w:ascii="Cambria Math" w:hAnsi="Cambria Math"/>
                <w:i/>
                <w:sz w:val="24"/>
                <w:szCs w:val="24"/>
                <w:lang w:val="en-GB"/>
              </w:rPr>
            </m:ctrlPr>
          </m:sSubPr>
          <m:e>
            <m:r>
              <w:rPr>
                <w:rFonts w:ascii="Cambria Math" w:hAnsi="Cambria Math"/>
                <w:sz w:val="24"/>
                <w:szCs w:val="24"/>
                <w:lang w:val="en-GB"/>
              </w:rPr>
              <m:t>β</m:t>
            </m:r>
          </m:e>
          <m:sub>
            <m:r>
              <w:rPr>
                <w:rFonts w:ascii="Cambria Math" w:hAnsi="Cambria Math"/>
                <w:sz w:val="24"/>
                <w:szCs w:val="24"/>
                <w:lang w:val="en-GB"/>
              </w:rPr>
              <m:t>2</m:t>
            </m:r>
          </m:sub>
        </m:sSub>
      </m:oMath>
      <w:r w:rsidR="000612DC">
        <w:rPr>
          <w:sz w:val="24"/>
          <w:szCs w:val="24"/>
          <w:lang w:val="en-GB"/>
        </w:rPr>
        <w:t>).</w:t>
      </w:r>
    </w:p>
    <w:p w14:paraId="00690825" w14:textId="1AC8F495" w:rsidR="0028635E" w:rsidRPr="002338A9" w:rsidRDefault="004A546D" w:rsidP="0028635E">
      <w:pPr>
        <w:spacing w:line="360" w:lineRule="auto"/>
        <w:ind w:firstLine="720"/>
        <w:jc w:val="both"/>
        <w:rPr>
          <w:sz w:val="24"/>
          <w:szCs w:val="24"/>
          <w:lang w:val="en-GB"/>
        </w:rPr>
      </w:pPr>
      <w:r w:rsidRPr="002338A9">
        <w:rPr>
          <w:sz w:val="24"/>
          <w:szCs w:val="24"/>
          <w:lang w:val="en-GB"/>
        </w:rPr>
        <w:t xml:space="preserve">Concerning </w:t>
      </w:r>
      <m:oMath>
        <m:sSub>
          <m:sSubPr>
            <m:ctrlPr>
              <w:rPr>
                <w:rFonts w:ascii="Cambria Math" w:hAnsi="Cambria Math"/>
                <w:i/>
                <w:sz w:val="24"/>
                <w:szCs w:val="24"/>
                <w:lang w:val="en-GB"/>
              </w:rPr>
            </m:ctrlPr>
          </m:sSubPr>
          <m:e>
            <m:r>
              <w:rPr>
                <w:rFonts w:ascii="Cambria Math" w:hAnsi="Cambria Math"/>
                <w:sz w:val="24"/>
                <w:szCs w:val="24"/>
                <w:lang w:val="en-GB"/>
              </w:rPr>
              <m:t>β</m:t>
            </m:r>
          </m:e>
          <m:sub>
            <m:r>
              <w:rPr>
                <w:rFonts w:ascii="Cambria Math" w:hAnsi="Cambria Math"/>
                <w:sz w:val="24"/>
                <w:szCs w:val="24"/>
                <w:lang w:val="en-GB"/>
              </w:rPr>
              <m:t>3</m:t>
            </m:r>
          </m:sub>
        </m:sSub>
      </m:oMath>
      <w:r w:rsidR="00186B46" w:rsidRPr="002338A9">
        <w:rPr>
          <w:sz w:val="24"/>
          <w:szCs w:val="24"/>
          <w:lang w:val="en-GB"/>
        </w:rPr>
        <w:t>,</w:t>
      </w:r>
      <w:r w:rsidRPr="002338A9">
        <w:rPr>
          <w:sz w:val="24"/>
          <w:szCs w:val="24"/>
          <w:lang w:val="en-GB"/>
        </w:rPr>
        <w:t xml:space="preserve"> the coefficient associated with the interest rate variable it is</w:t>
      </w:r>
      <w:r w:rsidR="0028635E" w:rsidRPr="002338A9">
        <w:rPr>
          <w:sz w:val="24"/>
          <w:szCs w:val="24"/>
          <w:lang w:val="en-GB"/>
        </w:rPr>
        <w:t xml:space="preserve"> </w:t>
      </w:r>
      <w:r w:rsidR="00C101E8" w:rsidRPr="002338A9">
        <w:rPr>
          <w:sz w:val="24"/>
          <w:szCs w:val="24"/>
          <w:lang w:val="en-GB"/>
        </w:rPr>
        <w:t>negative</w:t>
      </w:r>
      <w:r w:rsidR="0028635E" w:rsidRPr="002338A9">
        <w:rPr>
          <w:sz w:val="24"/>
          <w:szCs w:val="24"/>
          <w:lang w:val="en-GB"/>
        </w:rPr>
        <w:t xml:space="preserve"> and statistically significant in </w:t>
      </w:r>
      <w:r w:rsidR="00C06615">
        <w:rPr>
          <w:sz w:val="24"/>
          <w:szCs w:val="24"/>
          <w:lang w:val="en-GB"/>
        </w:rPr>
        <w:t xml:space="preserve">the estimated equation for </w:t>
      </w:r>
      <w:r w:rsidR="0028635E" w:rsidRPr="002338A9">
        <w:rPr>
          <w:sz w:val="24"/>
          <w:szCs w:val="24"/>
          <w:lang w:val="en-GB"/>
        </w:rPr>
        <w:t xml:space="preserve">tangible investment in Canada, Japan, and the US, which would be in line with our expectations, as when the interest rate levels rise, investment tends to fall, </w:t>
      </w:r>
      <w:r w:rsidR="00C06615">
        <w:rPr>
          <w:sz w:val="24"/>
          <w:szCs w:val="24"/>
          <w:lang w:val="en-GB"/>
        </w:rPr>
        <w:t>given that</w:t>
      </w:r>
      <w:r w:rsidR="0028635E" w:rsidRPr="002338A9">
        <w:rPr>
          <w:sz w:val="24"/>
          <w:szCs w:val="24"/>
          <w:lang w:val="en-GB"/>
        </w:rPr>
        <w:t xml:space="preserve"> interest rates are considered to be a fundamental determinant of the cost of capital, impacting in turn profitability.</w:t>
      </w:r>
      <w:r w:rsidR="00C06615">
        <w:rPr>
          <w:sz w:val="24"/>
          <w:szCs w:val="24"/>
          <w:lang w:val="en-GB"/>
        </w:rPr>
        <w:t xml:space="preserve"> </w:t>
      </w:r>
      <w:r w:rsidR="006D71ED">
        <w:rPr>
          <w:sz w:val="24"/>
          <w:szCs w:val="24"/>
          <w:lang w:val="en-GB"/>
        </w:rPr>
        <w:t xml:space="preserve">The exceptions are when </w:t>
      </w:r>
      <m:oMath>
        <m:sSub>
          <m:sSubPr>
            <m:ctrlPr>
              <w:rPr>
                <w:rFonts w:ascii="Cambria Math" w:hAnsi="Cambria Math"/>
                <w:i/>
                <w:sz w:val="24"/>
                <w:szCs w:val="24"/>
                <w:lang w:val="en-GB"/>
              </w:rPr>
            </m:ctrlPr>
          </m:sSubPr>
          <m:e>
            <m:r>
              <w:rPr>
                <w:rFonts w:ascii="Cambria Math" w:hAnsi="Cambria Math"/>
                <w:sz w:val="24"/>
                <w:szCs w:val="24"/>
                <w:lang w:val="en-GB"/>
              </w:rPr>
              <m:t>β</m:t>
            </m:r>
          </m:e>
          <m:sub>
            <m:r>
              <w:rPr>
                <w:rFonts w:ascii="Cambria Math" w:hAnsi="Cambria Math"/>
                <w:sz w:val="24"/>
                <w:szCs w:val="24"/>
                <w:lang w:val="en-GB"/>
              </w:rPr>
              <m:t>3</m:t>
            </m:r>
          </m:sub>
        </m:sSub>
      </m:oMath>
      <w:r w:rsidR="00C06615">
        <w:rPr>
          <w:sz w:val="24"/>
          <w:szCs w:val="24"/>
          <w:lang w:val="en-GB"/>
        </w:rPr>
        <w:t xml:space="preserve"> is positive and statistically significant in the estimated equation for tangible investment in France and Italy, as well as in the estimated equation for intangible investment in France, Italy, the UK, and the US</w:t>
      </w:r>
      <w:r w:rsidR="00764778">
        <w:rPr>
          <w:sz w:val="24"/>
          <w:szCs w:val="24"/>
          <w:lang w:val="en-GB"/>
        </w:rPr>
        <w:t>, which are unexpected</w:t>
      </w:r>
      <w:r w:rsidR="00C06615">
        <w:rPr>
          <w:sz w:val="24"/>
          <w:szCs w:val="24"/>
          <w:lang w:val="en-GB"/>
        </w:rPr>
        <w:t>.</w:t>
      </w:r>
    </w:p>
    <w:p w14:paraId="4E2D4446" w14:textId="7199257E" w:rsidR="001F4DBC" w:rsidRPr="002338A9" w:rsidRDefault="006A7660" w:rsidP="0028635E">
      <w:pPr>
        <w:spacing w:line="360" w:lineRule="auto"/>
        <w:ind w:firstLine="720"/>
        <w:jc w:val="both"/>
        <w:rPr>
          <w:sz w:val="24"/>
          <w:szCs w:val="24"/>
          <w:lang w:val="en-GB"/>
        </w:rPr>
        <w:sectPr w:rsidR="001F4DBC" w:rsidRPr="002338A9" w:rsidSect="0028635E">
          <w:pgSz w:w="11910" w:h="16840"/>
          <w:pgMar w:top="1701" w:right="1418" w:bottom="1701" w:left="1985" w:header="0" w:footer="1004" w:gutter="0"/>
          <w:cols w:space="720"/>
        </w:sectPr>
      </w:pPr>
      <w:r w:rsidRPr="002338A9">
        <w:rPr>
          <w:sz w:val="24"/>
          <w:szCs w:val="24"/>
          <w:lang w:val="en-GB"/>
        </w:rPr>
        <w:t>The coefficient associated with</w:t>
      </w:r>
      <w:r w:rsidR="0028635E" w:rsidRPr="002338A9">
        <w:rPr>
          <w:sz w:val="24"/>
          <w:szCs w:val="24"/>
          <w:lang w:val="en-GB"/>
        </w:rPr>
        <w:t xml:space="preserve"> the business confidence indicator</w:t>
      </w:r>
      <w:r w:rsidRPr="002338A9">
        <w:rPr>
          <w:sz w:val="24"/>
          <w:szCs w:val="24"/>
          <w:lang w:val="en-GB"/>
        </w:rPr>
        <w:t xml:space="preserve">, </w:t>
      </w:r>
      <m:oMath>
        <m:sSub>
          <m:sSubPr>
            <m:ctrlPr>
              <w:rPr>
                <w:rFonts w:ascii="Cambria Math" w:hAnsi="Cambria Math"/>
                <w:i/>
                <w:sz w:val="24"/>
                <w:szCs w:val="24"/>
                <w:lang w:val="en-GB"/>
              </w:rPr>
            </m:ctrlPr>
          </m:sSubPr>
          <m:e>
            <m:r>
              <w:rPr>
                <w:rFonts w:ascii="Cambria Math" w:hAnsi="Cambria Math"/>
                <w:sz w:val="24"/>
                <w:szCs w:val="24"/>
                <w:lang w:val="en-GB"/>
              </w:rPr>
              <m:t>β</m:t>
            </m:r>
          </m:e>
          <m:sub>
            <m:r>
              <w:rPr>
                <w:rFonts w:ascii="Cambria Math" w:hAnsi="Cambria Math"/>
                <w:sz w:val="24"/>
                <w:szCs w:val="24"/>
                <w:lang w:val="en-GB"/>
              </w:rPr>
              <m:t>4</m:t>
            </m:r>
          </m:sub>
        </m:sSub>
      </m:oMath>
      <w:r w:rsidRPr="002338A9">
        <w:rPr>
          <w:sz w:val="24"/>
          <w:szCs w:val="24"/>
          <w:lang w:val="en-GB"/>
        </w:rPr>
        <w:t xml:space="preserve"> is</w:t>
      </w:r>
      <w:r w:rsidR="0028635E" w:rsidRPr="002338A9">
        <w:rPr>
          <w:sz w:val="24"/>
          <w:szCs w:val="24"/>
          <w:lang w:val="en-GB"/>
        </w:rPr>
        <w:t xml:space="preserve"> positive and statistically significant in the </w:t>
      </w:r>
      <w:r w:rsidR="006D71ED">
        <w:rPr>
          <w:sz w:val="24"/>
          <w:szCs w:val="24"/>
          <w:lang w:val="en-GB"/>
        </w:rPr>
        <w:t>estimated equation</w:t>
      </w:r>
      <w:r w:rsidR="0028635E" w:rsidRPr="002338A9">
        <w:rPr>
          <w:sz w:val="24"/>
          <w:szCs w:val="24"/>
          <w:lang w:val="en-GB"/>
        </w:rPr>
        <w:t xml:space="preserve"> of tangible investment in Canada, Italy, Japan and the UK</w:t>
      </w:r>
      <w:r w:rsidRPr="002338A9">
        <w:rPr>
          <w:sz w:val="24"/>
          <w:szCs w:val="24"/>
          <w:lang w:val="en-GB"/>
        </w:rPr>
        <w:t xml:space="preserve"> and</w:t>
      </w:r>
      <w:r w:rsidR="006D71ED">
        <w:rPr>
          <w:sz w:val="24"/>
          <w:szCs w:val="24"/>
          <w:lang w:val="en-GB"/>
        </w:rPr>
        <w:t xml:space="preserve"> in</w:t>
      </w:r>
      <w:r w:rsidRPr="002338A9">
        <w:rPr>
          <w:sz w:val="24"/>
          <w:szCs w:val="24"/>
          <w:lang w:val="en-GB"/>
        </w:rPr>
        <w:t xml:space="preserve"> </w:t>
      </w:r>
      <w:r w:rsidR="006D71ED">
        <w:rPr>
          <w:sz w:val="24"/>
          <w:szCs w:val="24"/>
          <w:lang w:val="en-GB"/>
        </w:rPr>
        <w:t>the estimated equation for</w:t>
      </w:r>
      <w:r w:rsidR="0028635E" w:rsidRPr="002338A9">
        <w:rPr>
          <w:sz w:val="24"/>
          <w:szCs w:val="24"/>
          <w:lang w:val="en-GB"/>
        </w:rPr>
        <w:t xml:space="preserve"> intangible investment in Canada and Italy. These estimations would be in line with our expectations, as when businesses are more optimistic about the current and future near performance of their firms, they invest more.</w:t>
      </w:r>
      <w:r w:rsidR="00C06615">
        <w:rPr>
          <w:sz w:val="24"/>
          <w:szCs w:val="24"/>
          <w:lang w:val="en-GB"/>
        </w:rPr>
        <w:t xml:space="preserve"> </w:t>
      </w:r>
      <w:r w:rsidR="006D71ED">
        <w:rPr>
          <w:sz w:val="24"/>
          <w:szCs w:val="24"/>
          <w:lang w:val="en-GB"/>
        </w:rPr>
        <w:t xml:space="preserve">The exceptions are when </w:t>
      </w:r>
      <m:oMath>
        <m:sSub>
          <m:sSubPr>
            <m:ctrlPr>
              <w:rPr>
                <w:rFonts w:ascii="Cambria Math" w:hAnsi="Cambria Math"/>
                <w:i/>
                <w:sz w:val="24"/>
                <w:szCs w:val="24"/>
                <w:lang w:val="en-GB"/>
              </w:rPr>
            </m:ctrlPr>
          </m:sSubPr>
          <m:e>
            <m:r>
              <w:rPr>
                <w:rFonts w:ascii="Cambria Math" w:hAnsi="Cambria Math"/>
                <w:sz w:val="24"/>
                <w:szCs w:val="24"/>
                <w:lang w:val="en-GB"/>
              </w:rPr>
              <m:t>β</m:t>
            </m:r>
          </m:e>
          <m:sub>
            <m:r>
              <w:rPr>
                <w:rFonts w:ascii="Cambria Math" w:hAnsi="Cambria Math"/>
                <w:sz w:val="24"/>
                <w:szCs w:val="24"/>
                <w:lang w:val="en-GB"/>
              </w:rPr>
              <m:t>4</m:t>
            </m:r>
          </m:sub>
        </m:sSub>
      </m:oMath>
      <w:r w:rsidR="00C06615">
        <w:rPr>
          <w:sz w:val="24"/>
          <w:szCs w:val="24"/>
          <w:lang w:val="en-GB"/>
        </w:rPr>
        <w:t xml:space="preserve"> is negative and statistically significant in the estimated equation for intangible investment in Germany and Japan</w:t>
      </w:r>
      <w:r w:rsidR="00764778">
        <w:rPr>
          <w:sz w:val="24"/>
          <w:szCs w:val="24"/>
          <w:lang w:val="en-GB"/>
        </w:rPr>
        <w:t>, which are unexpected</w:t>
      </w:r>
      <w:r w:rsidR="00C06615">
        <w:rPr>
          <w:sz w:val="24"/>
          <w:szCs w:val="24"/>
          <w:lang w:val="en-GB"/>
        </w:rPr>
        <w:t>.</w:t>
      </w:r>
    </w:p>
    <w:p w14:paraId="5E152CDF" w14:textId="77777777" w:rsidR="006F1F62" w:rsidRPr="0063438A" w:rsidRDefault="006F1F62" w:rsidP="00ED4E09">
      <w:pPr>
        <w:spacing w:line="360" w:lineRule="auto"/>
        <w:ind w:firstLine="720"/>
        <w:jc w:val="center"/>
        <w:rPr>
          <w:sz w:val="24"/>
          <w:szCs w:val="24"/>
          <w:lang w:val="en-GB"/>
        </w:rPr>
      </w:pPr>
      <w:r w:rsidRPr="006F1F62">
        <w:rPr>
          <w:rFonts w:cs="Times New Roman"/>
          <w:b/>
          <w:sz w:val="24"/>
          <w:szCs w:val="24"/>
          <w:lang w:val="en-GB"/>
        </w:rPr>
        <w:lastRenderedPageBreak/>
        <w:t xml:space="preserve">Table </w:t>
      </w:r>
      <w:r>
        <w:rPr>
          <w:rFonts w:cs="Times New Roman"/>
          <w:b/>
          <w:sz w:val="24"/>
          <w:szCs w:val="24"/>
          <w:lang w:val="en-GB"/>
        </w:rPr>
        <w:t>3</w:t>
      </w:r>
      <w:r w:rsidRPr="006F1F62">
        <w:rPr>
          <w:rFonts w:cs="Times New Roman"/>
          <w:b/>
          <w:sz w:val="24"/>
          <w:szCs w:val="24"/>
          <w:lang w:val="en-GB"/>
        </w:rPr>
        <w:t>.</w:t>
      </w:r>
      <w:r w:rsidRPr="006F1F62">
        <w:rPr>
          <w:rFonts w:cs="Times New Roman"/>
          <w:i/>
          <w:sz w:val="24"/>
          <w:szCs w:val="24"/>
          <w:lang w:val="en-GB"/>
        </w:rPr>
        <w:t xml:space="preserve"> FM-OLS Estimation Results of the Investment Hysteresis Equation</w:t>
      </w:r>
    </w:p>
    <w:tbl>
      <w:tblPr>
        <w:tblpPr w:leftFromText="141" w:rightFromText="141" w:bottomFromText="160" w:vertAnchor="text" w:horzAnchor="margin" w:tblpY="-24"/>
        <w:tblOverlap w:val="never"/>
        <w:tblW w:w="13750" w:type="dxa"/>
        <w:tblBorders>
          <w:top w:val="single" w:sz="4" w:space="0" w:color="auto"/>
          <w:bottom w:val="single" w:sz="4" w:space="0" w:color="auto"/>
          <w:insideH w:val="single" w:sz="4" w:space="0" w:color="auto"/>
        </w:tblBorders>
        <w:tblLayout w:type="fixed"/>
        <w:tblLook w:val="01E0" w:firstRow="1" w:lastRow="1" w:firstColumn="1" w:lastColumn="1" w:noHBand="0" w:noVBand="0"/>
      </w:tblPr>
      <w:tblGrid>
        <w:gridCol w:w="1276"/>
        <w:gridCol w:w="851"/>
        <w:gridCol w:w="850"/>
        <w:gridCol w:w="851"/>
        <w:gridCol w:w="992"/>
        <w:gridCol w:w="850"/>
        <w:gridCol w:w="851"/>
        <w:gridCol w:w="850"/>
        <w:gridCol w:w="993"/>
        <w:gridCol w:w="992"/>
        <w:gridCol w:w="850"/>
        <w:gridCol w:w="851"/>
        <w:gridCol w:w="850"/>
        <w:gridCol w:w="993"/>
        <w:gridCol w:w="850"/>
      </w:tblGrid>
      <w:tr w:rsidR="00ED4E09" w:rsidRPr="001D555E" w14:paraId="41165E92" w14:textId="77777777" w:rsidTr="000675CD">
        <w:trPr>
          <w:trHeight w:val="549"/>
        </w:trPr>
        <w:tc>
          <w:tcPr>
            <w:tcW w:w="1276" w:type="dxa"/>
            <w:vMerge w:val="restart"/>
            <w:tcBorders>
              <w:right w:val="single" w:sz="4" w:space="0" w:color="auto"/>
            </w:tcBorders>
            <w:vAlign w:val="center"/>
          </w:tcPr>
          <w:p w14:paraId="02EE064E" w14:textId="77777777" w:rsidR="00ED4E09" w:rsidRPr="001D555E" w:rsidRDefault="00ED4E09" w:rsidP="000675CD">
            <w:pPr>
              <w:spacing w:before="60" w:after="60"/>
              <w:jc w:val="center"/>
              <w:rPr>
                <w:iCs/>
                <w:sz w:val="20"/>
                <w:szCs w:val="20"/>
              </w:rPr>
            </w:pPr>
            <w:r w:rsidRPr="001D555E">
              <w:rPr>
                <w:iCs/>
                <w:sz w:val="20"/>
                <w:szCs w:val="20"/>
              </w:rPr>
              <w:t>Independent</w:t>
            </w:r>
          </w:p>
          <w:p w14:paraId="0074829B" w14:textId="77777777" w:rsidR="00ED4E09" w:rsidRPr="008C56CC" w:rsidRDefault="00ED4E09" w:rsidP="000675CD">
            <w:pPr>
              <w:spacing w:before="60" w:after="60"/>
              <w:jc w:val="center"/>
              <w:rPr>
                <w:iCs/>
                <w:sz w:val="20"/>
                <w:szCs w:val="20"/>
              </w:rPr>
            </w:pPr>
            <w:r w:rsidRPr="008C56CC">
              <w:rPr>
                <w:iCs/>
                <w:sz w:val="20"/>
                <w:szCs w:val="20"/>
              </w:rPr>
              <w:t>Variable</w:t>
            </w:r>
          </w:p>
        </w:tc>
        <w:tc>
          <w:tcPr>
            <w:tcW w:w="1701" w:type="dxa"/>
            <w:gridSpan w:val="2"/>
            <w:tcBorders>
              <w:left w:val="single" w:sz="4" w:space="0" w:color="auto"/>
              <w:bottom w:val="single" w:sz="4" w:space="0" w:color="auto"/>
              <w:right w:val="single" w:sz="4" w:space="0" w:color="auto"/>
            </w:tcBorders>
            <w:vAlign w:val="center"/>
          </w:tcPr>
          <w:p w14:paraId="10C3247E" w14:textId="77777777" w:rsidR="00ED4E09" w:rsidRPr="008C56CC" w:rsidRDefault="00ED4E09" w:rsidP="000675CD">
            <w:pPr>
              <w:spacing w:before="60" w:after="60"/>
              <w:jc w:val="center"/>
              <w:rPr>
                <w:sz w:val="20"/>
                <w:szCs w:val="20"/>
              </w:rPr>
            </w:pPr>
            <w:r w:rsidRPr="008C56CC">
              <w:rPr>
                <w:sz w:val="20"/>
                <w:szCs w:val="20"/>
              </w:rPr>
              <w:t>Canada</w:t>
            </w:r>
          </w:p>
        </w:tc>
        <w:tc>
          <w:tcPr>
            <w:tcW w:w="1843" w:type="dxa"/>
            <w:gridSpan w:val="2"/>
            <w:tcBorders>
              <w:left w:val="single" w:sz="4" w:space="0" w:color="auto"/>
              <w:bottom w:val="single" w:sz="4" w:space="0" w:color="auto"/>
              <w:right w:val="single" w:sz="4" w:space="0" w:color="auto"/>
            </w:tcBorders>
            <w:vAlign w:val="center"/>
          </w:tcPr>
          <w:p w14:paraId="295BB861" w14:textId="77777777" w:rsidR="00ED4E09" w:rsidRPr="001D555E" w:rsidRDefault="00ED4E09" w:rsidP="000675CD">
            <w:pPr>
              <w:spacing w:before="60" w:after="60"/>
              <w:jc w:val="center"/>
              <w:rPr>
                <w:sz w:val="20"/>
                <w:szCs w:val="20"/>
              </w:rPr>
            </w:pPr>
            <w:r w:rsidRPr="001D555E">
              <w:rPr>
                <w:sz w:val="20"/>
                <w:szCs w:val="20"/>
              </w:rPr>
              <w:t>France</w:t>
            </w:r>
          </w:p>
        </w:tc>
        <w:tc>
          <w:tcPr>
            <w:tcW w:w="1701" w:type="dxa"/>
            <w:gridSpan w:val="2"/>
            <w:tcBorders>
              <w:left w:val="single" w:sz="4" w:space="0" w:color="auto"/>
              <w:bottom w:val="single" w:sz="4" w:space="0" w:color="auto"/>
              <w:right w:val="single" w:sz="4" w:space="0" w:color="auto"/>
            </w:tcBorders>
            <w:vAlign w:val="center"/>
          </w:tcPr>
          <w:p w14:paraId="3EBD3A4F" w14:textId="77777777" w:rsidR="00ED4E09" w:rsidRPr="001D555E" w:rsidRDefault="00ED4E09" w:rsidP="000675CD">
            <w:pPr>
              <w:spacing w:before="60" w:after="60"/>
              <w:jc w:val="center"/>
              <w:rPr>
                <w:sz w:val="20"/>
                <w:szCs w:val="20"/>
              </w:rPr>
            </w:pPr>
            <w:r w:rsidRPr="001D555E">
              <w:rPr>
                <w:sz w:val="20"/>
                <w:szCs w:val="20"/>
              </w:rPr>
              <w:t>Germany</w:t>
            </w:r>
          </w:p>
        </w:tc>
        <w:tc>
          <w:tcPr>
            <w:tcW w:w="1843" w:type="dxa"/>
            <w:gridSpan w:val="2"/>
            <w:tcBorders>
              <w:left w:val="single" w:sz="4" w:space="0" w:color="auto"/>
              <w:bottom w:val="single" w:sz="4" w:space="0" w:color="auto"/>
              <w:right w:val="single" w:sz="4" w:space="0" w:color="auto"/>
            </w:tcBorders>
            <w:vAlign w:val="center"/>
          </w:tcPr>
          <w:p w14:paraId="7C72C947" w14:textId="77777777" w:rsidR="00ED4E09" w:rsidRPr="001D555E" w:rsidRDefault="00ED4E09" w:rsidP="000675CD">
            <w:pPr>
              <w:spacing w:before="60" w:after="60"/>
              <w:jc w:val="center"/>
              <w:rPr>
                <w:sz w:val="20"/>
                <w:szCs w:val="20"/>
              </w:rPr>
            </w:pPr>
            <w:r w:rsidRPr="001D555E">
              <w:rPr>
                <w:sz w:val="20"/>
                <w:szCs w:val="20"/>
              </w:rPr>
              <w:t>Italy</w:t>
            </w:r>
          </w:p>
        </w:tc>
        <w:tc>
          <w:tcPr>
            <w:tcW w:w="1842" w:type="dxa"/>
            <w:gridSpan w:val="2"/>
            <w:tcBorders>
              <w:left w:val="single" w:sz="4" w:space="0" w:color="auto"/>
              <w:bottom w:val="single" w:sz="4" w:space="0" w:color="auto"/>
              <w:right w:val="single" w:sz="4" w:space="0" w:color="auto"/>
            </w:tcBorders>
            <w:vAlign w:val="center"/>
          </w:tcPr>
          <w:p w14:paraId="5AA0AE2A" w14:textId="77777777" w:rsidR="00ED4E09" w:rsidRPr="001D555E" w:rsidRDefault="00ED4E09" w:rsidP="000675CD">
            <w:pPr>
              <w:spacing w:before="60" w:after="60"/>
              <w:jc w:val="center"/>
              <w:rPr>
                <w:sz w:val="20"/>
                <w:szCs w:val="20"/>
              </w:rPr>
            </w:pPr>
            <w:r w:rsidRPr="001D555E">
              <w:rPr>
                <w:sz w:val="20"/>
                <w:szCs w:val="20"/>
              </w:rPr>
              <w:t xml:space="preserve">Japan </w:t>
            </w:r>
          </w:p>
        </w:tc>
        <w:tc>
          <w:tcPr>
            <w:tcW w:w="1701" w:type="dxa"/>
            <w:gridSpan w:val="2"/>
            <w:tcBorders>
              <w:left w:val="single" w:sz="4" w:space="0" w:color="auto"/>
              <w:bottom w:val="single" w:sz="4" w:space="0" w:color="auto"/>
              <w:right w:val="single" w:sz="4" w:space="0" w:color="auto"/>
            </w:tcBorders>
            <w:vAlign w:val="center"/>
          </w:tcPr>
          <w:p w14:paraId="61466762" w14:textId="77777777" w:rsidR="00ED4E09" w:rsidRPr="001D555E" w:rsidRDefault="00ED4E09" w:rsidP="000675CD">
            <w:pPr>
              <w:spacing w:before="60" w:after="60"/>
              <w:jc w:val="center"/>
              <w:rPr>
                <w:sz w:val="20"/>
                <w:szCs w:val="20"/>
              </w:rPr>
            </w:pPr>
            <w:r w:rsidRPr="001D555E">
              <w:rPr>
                <w:sz w:val="20"/>
                <w:szCs w:val="20"/>
              </w:rPr>
              <w:t>UK</w:t>
            </w:r>
          </w:p>
        </w:tc>
        <w:tc>
          <w:tcPr>
            <w:tcW w:w="1843" w:type="dxa"/>
            <w:gridSpan w:val="2"/>
            <w:tcBorders>
              <w:left w:val="single" w:sz="4" w:space="0" w:color="auto"/>
              <w:bottom w:val="single" w:sz="4" w:space="0" w:color="auto"/>
            </w:tcBorders>
            <w:vAlign w:val="center"/>
          </w:tcPr>
          <w:p w14:paraId="64F90A8B" w14:textId="77777777" w:rsidR="00ED4E09" w:rsidRPr="001D555E" w:rsidRDefault="00ED4E09" w:rsidP="000675CD">
            <w:pPr>
              <w:spacing w:before="60" w:after="60"/>
              <w:jc w:val="center"/>
              <w:rPr>
                <w:sz w:val="20"/>
                <w:szCs w:val="20"/>
              </w:rPr>
            </w:pPr>
            <w:r w:rsidRPr="001D555E">
              <w:rPr>
                <w:sz w:val="20"/>
                <w:szCs w:val="20"/>
              </w:rPr>
              <w:t>US</w:t>
            </w:r>
          </w:p>
        </w:tc>
      </w:tr>
      <w:tr w:rsidR="00ED4E09" w:rsidRPr="001D555E" w14:paraId="4146CFF0" w14:textId="77777777" w:rsidTr="000675CD">
        <w:trPr>
          <w:trHeight w:val="549"/>
        </w:trPr>
        <w:tc>
          <w:tcPr>
            <w:tcW w:w="1276" w:type="dxa"/>
            <w:vMerge/>
            <w:tcBorders>
              <w:bottom w:val="double" w:sz="4" w:space="0" w:color="auto"/>
              <w:right w:val="single" w:sz="4" w:space="0" w:color="auto"/>
            </w:tcBorders>
            <w:vAlign w:val="center"/>
          </w:tcPr>
          <w:p w14:paraId="1236EC58" w14:textId="77777777" w:rsidR="00ED4E09" w:rsidRPr="001D555E" w:rsidRDefault="00ED4E09" w:rsidP="000675CD">
            <w:pPr>
              <w:spacing w:before="60" w:after="60"/>
              <w:jc w:val="center"/>
              <w:rPr>
                <w:iCs/>
                <w:sz w:val="20"/>
                <w:szCs w:val="20"/>
              </w:rPr>
            </w:pPr>
          </w:p>
        </w:tc>
        <w:tc>
          <w:tcPr>
            <w:tcW w:w="851" w:type="dxa"/>
            <w:tcBorders>
              <w:left w:val="single" w:sz="4" w:space="0" w:color="auto"/>
              <w:bottom w:val="double" w:sz="4" w:space="0" w:color="auto"/>
              <w:right w:val="nil"/>
            </w:tcBorders>
            <w:vAlign w:val="center"/>
          </w:tcPr>
          <w:p w14:paraId="6015B59F" w14:textId="77777777" w:rsidR="00ED4E09" w:rsidRPr="001D555E" w:rsidRDefault="00ED4E09" w:rsidP="000675CD">
            <w:pPr>
              <w:spacing w:before="60" w:after="60"/>
              <w:jc w:val="center"/>
              <w:rPr>
                <w:sz w:val="20"/>
                <w:szCs w:val="20"/>
              </w:rPr>
            </w:pPr>
            <w:r w:rsidRPr="001D555E">
              <w:rPr>
                <w:sz w:val="14"/>
                <w:szCs w:val="14"/>
              </w:rPr>
              <w:t xml:space="preserve">Tangible Investment </w:t>
            </w:r>
          </w:p>
        </w:tc>
        <w:tc>
          <w:tcPr>
            <w:tcW w:w="850" w:type="dxa"/>
            <w:tcBorders>
              <w:left w:val="nil"/>
              <w:bottom w:val="double" w:sz="4" w:space="0" w:color="auto"/>
              <w:right w:val="single" w:sz="4" w:space="0" w:color="auto"/>
            </w:tcBorders>
            <w:vAlign w:val="center"/>
          </w:tcPr>
          <w:p w14:paraId="3BE583CE" w14:textId="77777777" w:rsidR="00ED4E09" w:rsidRPr="001D555E" w:rsidRDefault="00ED4E09" w:rsidP="000675CD">
            <w:pPr>
              <w:spacing w:before="60" w:after="60"/>
              <w:jc w:val="center"/>
              <w:rPr>
                <w:sz w:val="20"/>
                <w:szCs w:val="20"/>
              </w:rPr>
            </w:pPr>
            <w:r w:rsidRPr="001D555E">
              <w:rPr>
                <w:sz w:val="14"/>
                <w:szCs w:val="14"/>
              </w:rPr>
              <w:t>Intangible Investment</w:t>
            </w:r>
          </w:p>
        </w:tc>
        <w:tc>
          <w:tcPr>
            <w:tcW w:w="851" w:type="dxa"/>
            <w:tcBorders>
              <w:left w:val="single" w:sz="4" w:space="0" w:color="auto"/>
              <w:bottom w:val="double" w:sz="4" w:space="0" w:color="auto"/>
              <w:right w:val="nil"/>
            </w:tcBorders>
            <w:vAlign w:val="center"/>
          </w:tcPr>
          <w:p w14:paraId="6EFE5704" w14:textId="77777777" w:rsidR="00ED4E09" w:rsidRPr="001D555E" w:rsidRDefault="00ED4E09" w:rsidP="000675CD">
            <w:pPr>
              <w:spacing w:before="60" w:after="60"/>
              <w:jc w:val="center"/>
              <w:rPr>
                <w:sz w:val="20"/>
                <w:szCs w:val="20"/>
              </w:rPr>
            </w:pPr>
            <w:r w:rsidRPr="001D555E">
              <w:rPr>
                <w:sz w:val="14"/>
                <w:szCs w:val="14"/>
              </w:rPr>
              <w:t xml:space="preserve">Tangible Investment </w:t>
            </w:r>
          </w:p>
        </w:tc>
        <w:tc>
          <w:tcPr>
            <w:tcW w:w="992" w:type="dxa"/>
            <w:tcBorders>
              <w:left w:val="nil"/>
              <w:bottom w:val="double" w:sz="4" w:space="0" w:color="auto"/>
              <w:right w:val="single" w:sz="4" w:space="0" w:color="auto"/>
            </w:tcBorders>
            <w:vAlign w:val="center"/>
          </w:tcPr>
          <w:p w14:paraId="2E5D24D9" w14:textId="77777777" w:rsidR="00ED4E09" w:rsidRPr="001D555E" w:rsidRDefault="00ED4E09" w:rsidP="000675CD">
            <w:pPr>
              <w:spacing w:before="60" w:after="60"/>
              <w:jc w:val="center"/>
              <w:rPr>
                <w:sz w:val="20"/>
                <w:szCs w:val="20"/>
              </w:rPr>
            </w:pPr>
            <w:r w:rsidRPr="001D555E">
              <w:rPr>
                <w:sz w:val="14"/>
                <w:szCs w:val="14"/>
              </w:rPr>
              <w:t>Intangible Investment</w:t>
            </w:r>
          </w:p>
        </w:tc>
        <w:tc>
          <w:tcPr>
            <w:tcW w:w="850" w:type="dxa"/>
            <w:tcBorders>
              <w:left w:val="single" w:sz="4" w:space="0" w:color="auto"/>
              <w:bottom w:val="double" w:sz="4" w:space="0" w:color="auto"/>
              <w:right w:val="nil"/>
            </w:tcBorders>
            <w:vAlign w:val="center"/>
          </w:tcPr>
          <w:p w14:paraId="465B5DFE" w14:textId="77777777" w:rsidR="00ED4E09" w:rsidRPr="001D555E" w:rsidRDefault="00ED4E09" w:rsidP="000675CD">
            <w:pPr>
              <w:spacing w:before="60" w:after="60"/>
              <w:jc w:val="center"/>
              <w:rPr>
                <w:sz w:val="20"/>
                <w:szCs w:val="20"/>
              </w:rPr>
            </w:pPr>
            <w:r w:rsidRPr="001D555E">
              <w:rPr>
                <w:sz w:val="14"/>
                <w:szCs w:val="14"/>
              </w:rPr>
              <w:t xml:space="preserve">Tangible Investment </w:t>
            </w:r>
          </w:p>
        </w:tc>
        <w:tc>
          <w:tcPr>
            <w:tcW w:w="851" w:type="dxa"/>
            <w:tcBorders>
              <w:left w:val="nil"/>
              <w:bottom w:val="double" w:sz="4" w:space="0" w:color="auto"/>
              <w:right w:val="single" w:sz="4" w:space="0" w:color="auto"/>
            </w:tcBorders>
            <w:vAlign w:val="center"/>
          </w:tcPr>
          <w:p w14:paraId="3A31A5DA" w14:textId="77777777" w:rsidR="00ED4E09" w:rsidRPr="001D555E" w:rsidRDefault="00ED4E09" w:rsidP="000675CD">
            <w:pPr>
              <w:spacing w:before="60" w:after="60"/>
              <w:jc w:val="center"/>
              <w:rPr>
                <w:sz w:val="20"/>
                <w:szCs w:val="20"/>
              </w:rPr>
            </w:pPr>
            <w:r w:rsidRPr="001D555E">
              <w:rPr>
                <w:sz w:val="14"/>
                <w:szCs w:val="14"/>
              </w:rPr>
              <w:t>Intangible Investment</w:t>
            </w:r>
          </w:p>
        </w:tc>
        <w:tc>
          <w:tcPr>
            <w:tcW w:w="850" w:type="dxa"/>
            <w:tcBorders>
              <w:left w:val="single" w:sz="4" w:space="0" w:color="auto"/>
              <w:bottom w:val="double" w:sz="4" w:space="0" w:color="auto"/>
              <w:right w:val="nil"/>
            </w:tcBorders>
            <w:vAlign w:val="center"/>
          </w:tcPr>
          <w:p w14:paraId="1DB4681A" w14:textId="77777777" w:rsidR="00ED4E09" w:rsidRPr="001D555E" w:rsidRDefault="00ED4E09" w:rsidP="000675CD">
            <w:pPr>
              <w:spacing w:before="60" w:after="60"/>
              <w:jc w:val="center"/>
              <w:rPr>
                <w:sz w:val="20"/>
                <w:szCs w:val="20"/>
              </w:rPr>
            </w:pPr>
            <w:r w:rsidRPr="001D555E">
              <w:rPr>
                <w:sz w:val="14"/>
                <w:szCs w:val="14"/>
              </w:rPr>
              <w:t xml:space="preserve">Tangible Investment </w:t>
            </w:r>
          </w:p>
        </w:tc>
        <w:tc>
          <w:tcPr>
            <w:tcW w:w="993" w:type="dxa"/>
            <w:tcBorders>
              <w:left w:val="nil"/>
              <w:bottom w:val="double" w:sz="4" w:space="0" w:color="auto"/>
              <w:right w:val="single" w:sz="4" w:space="0" w:color="auto"/>
            </w:tcBorders>
            <w:vAlign w:val="center"/>
          </w:tcPr>
          <w:p w14:paraId="2D0A60FF" w14:textId="77777777" w:rsidR="00ED4E09" w:rsidRPr="001D555E" w:rsidRDefault="00ED4E09" w:rsidP="000675CD">
            <w:pPr>
              <w:spacing w:before="60" w:after="60"/>
              <w:jc w:val="center"/>
              <w:rPr>
                <w:sz w:val="20"/>
                <w:szCs w:val="20"/>
              </w:rPr>
            </w:pPr>
            <w:r w:rsidRPr="001D555E">
              <w:rPr>
                <w:sz w:val="14"/>
                <w:szCs w:val="14"/>
              </w:rPr>
              <w:t>Intangible Investment</w:t>
            </w:r>
          </w:p>
        </w:tc>
        <w:tc>
          <w:tcPr>
            <w:tcW w:w="992" w:type="dxa"/>
            <w:tcBorders>
              <w:left w:val="single" w:sz="4" w:space="0" w:color="auto"/>
              <w:bottom w:val="double" w:sz="4" w:space="0" w:color="auto"/>
              <w:right w:val="nil"/>
            </w:tcBorders>
            <w:vAlign w:val="center"/>
          </w:tcPr>
          <w:p w14:paraId="0237EF48" w14:textId="77777777" w:rsidR="00ED4E09" w:rsidRPr="001D555E" w:rsidRDefault="00ED4E09" w:rsidP="000675CD">
            <w:pPr>
              <w:spacing w:before="60" w:after="60"/>
              <w:jc w:val="center"/>
              <w:rPr>
                <w:sz w:val="20"/>
                <w:szCs w:val="20"/>
              </w:rPr>
            </w:pPr>
            <w:r w:rsidRPr="001D555E">
              <w:rPr>
                <w:sz w:val="14"/>
                <w:szCs w:val="14"/>
              </w:rPr>
              <w:t xml:space="preserve">Tangible Investment </w:t>
            </w:r>
          </w:p>
        </w:tc>
        <w:tc>
          <w:tcPr>
            <w:tcW w:w="850" w:type="dxa"/>
            <w:tcBorders>
              <w:left w:val="nil"/>
              <w:bottom w:val="double" w:sz="4" w:space="0" w:color="auto"/>
              <w:right w:val="single" w:sz="4" w:space="0" w:color="auto"/>
            </w:tcBorders>
            <w:vAlign w:val="center"/>
          </w:tcPr>
          <w:p w14:paraId="36E34C10" w14:textId="77777777" w:rsidR="00ED4E09" w:rsidRPr="001D555E" w:rsidRDefault="00ED4E09" w:rsidP="000675CD">
            <w:pPr>
              <w:spacing w:before="60" w:after="60"/>
              <w:jc w:val="center"/>
              <w:rPr>
                <w:sz w:val="20"/>
                <w:szCs w:val="20"/>
              </w:rPr>
            </w:pPr>
            <w:r w:rsidRPr="001D555E">
              <w:rPr>
                <w:sz w:val="14"/>
                <w:szCs w:val="14"/>
              </w:rPr>
              <w:t>Intangible Investment</w:t>
            </w:r>
          </w:p>
        </w:tc>
        <w:tc>
          <w:tcPr>
            <w:tcW w:w="851" w:type="dxa"/>
            <w:tcBorders>
              <w:left w:val="single" w:sz="4" w:space="0" w:color="auto"/>
              <w:bottom w:val="double" w:sz="4" w:space="0" w:color="auto"/>
              <w:right w:val="nil"/>
            </w:tcBorders>
            <w:vAlign w:val="center"/>
          </w:tcPr>
          <w:p w14:paraId="48E9D06A" w14:textId="77777777" w:rsidR="00ED4E09" w:rsidRPr="001D555E" w:rsidRDefault="00ED4E09" w:rsidP="000675CD">
            <w:pPr>
              <w:spacing w:before="60" w:after="60"/>
              <w:jc w:val="center"/>
              <w:rPr>
                <w:sz w:val="20"/>
                <w:szCs w:val="20"/>
              </w:rPr>
            </w:pPr>
            <w:r w:rsidRPr="001D555E">
              <w:rPr>
                <w:sz w:val="14"/>
                <w:szCs w:val="14"/>
              </w:rPr>
              <w:t xml:space="preserve">Tangible Investment </w:t>
            </w:r>
          </w:p>
        </w:tc>
        <w:tc>
          <w:tcPr>
            <w:tcW w:w="850" w:type="dxa"/>
            <w:tcBorders>
              <w:left w:val="nil"/>
              <w:bottom w:val="double" w:sz="4" w:space="0" w:color="auto"/>
              <w:right w:val="single" w:sz="4" w:space="0" w:color="auto"/>
            </w:tcBorders>
            <w:vAlign w:val="center"/>
          </w:tcPr>
          <w:p w14:paraId="4CED51BE" w14:textId="77777777" w:rsidR="00ED4E09" w:rsidRPr="001D555E" w:rsidRDefault="00ED4E09" w:rsidP="000675CD">
            <w:pPr>
              <w:spacing w:before="60" w:after="60"/>
              <w:jc w:val="center"/>
              <w:rPr>
                <w:sz w:val="20"/>
                <w:szCs w:val="20"/>
              </w:rPr>
            </w:pPr>
            <w:r w:rsidRPr="001D555E">
              <w:rPr>
                <w:sz w:val="14"/>
                <w:szCs w:val="14"/>
              </w:rPr>
              <w:t>Intangible Investment</w:t>
            </w:r>
          </w:p>
        </w:tc>
        <w:tc>
          <w:tcPr>
            <w:tcW w:w="993" w:type="dxa"/>
            <w:tcBorders>
              <w:left w:val="single" w:sz="4" w:space="0" w:color="auto"/>
              <w:bottom w:val="double" w:sz="4" w:space="0" w:color="auto"/>
              <w:right w:val="nil"/>
            </w:tcBorders>
            <w:vAlign w:val="center"/>
          </w:tcPr>
          <w:p w14:paraId="4765BAB1" w14:textId="77777777" w:rsidR="00ED4E09" w:rsidRPr="001D555E" w:rsidRDefault="00ED4E09" w:rsidP="000675CD">
            <w:pPr>
              <w:spacing w:before="60" w:after="60"/>
              <w:jc w:val="center"/>
              <w:rPr>
                <w:sz w:val="20"/>
                <w:szCs w:val="20"/>
              </w:rPr>
            </w:pPr>
            <w:r w:rsidRPr="001D555E">
              <w:rPr>
                <w:sz w:val="14"/>
                <w:szCs w:val="14"/>
              </w:rPr>
              <w:t xml:space="preserve">Tangible Investment </w:t>
            </w:r>
          </w:p>
        </w:tc>
        <w:tc>
          <w:tcPr>
            <w:tcW w:w="850" w:type="dxa"/>
            <w:tcBorders>
              <w:left w:val="nil"/>
              <w:bottom w:val="double" w:sz="4" w:space="0" w:color="auto"/>
              <w:right w:val="nil"/>
            </w:tcBorders>
            <w:vAlign w:val="center"/>
          </w:tcPr>
          <w:p w14:paraId="24B7FBE2" w14:textId="77777777" w:rsidR="00ED4E09" w:rsidRPr="001D555E" w:rsidRDefault="00ED4E09" w:rsidP="000675CD">
            <w:pPr>
              <w:spacing w:before="60" w:after="60"/>
              <w:jc w:val="center"/>
              <w:rPr>
                <w:sz w:val="20"/>
                <w:szCs w:val="20"/>
              </w:rPr>
            </w:pPr>
            <w:r w:rsidRPr="001D555E">
              <w:rPr>
                <w:sz w:val="14"/>
                <w:szCs w:val="14"/>
              </w:rPr>
              <w:t>Intangible Investment</w:t>
            </w:r>
          </w:p>
        </w:tc>
      </w:tr>
      <w:tr w:rsidR="00ED4E09" w:rsidRPr="001D555E" w14:paraId="0337099E" w14:textId="77777777" w:rsidTr="000675CD">
        <w:tc>
          <w:tcPr>
            <w:tcW w:w="1276" w:type="dxa"/>
            <w:tcBorders>
              <w:top w:val="double" w:sz="4" w:space="0" w:color="auto"/>
              <w:right w:val="single" w:sz="4" w:space="0" w:color="auto"/>
            </w:tcBorders>
            <w:vAlign w:val="center"/>
          </w:tcPr>
          <w:p w14:paraId="54A404ED" w14:textId="77777777" w:rsidR="00ED4E09" w:rsidRPr="001D555E" w:rsidRDefault="00ED4E09" w:rsidP="000675CD">
            <w:pPr>
              <w:spacing w:before="60" w:after="60"/>
              <w:rPr>
                <w:bCs/>
                <w:iCs/>
                <w:sz w:val="20"/>
                <w:szCs w:val="20"/>
                <w:lang w:val="en-GB"/>
              </w:rPr>
            </w:pPr>
            <w:r w:rsidRPr="001D555E">
              <w:rPr>
                <w:bCs/>
                <w:iCs/>
                <w:sz w:val="20"/>
                <w:szCs w:val="20"/>
                <w:lang w:val="en-GB"/>
              </w:rPr>
              <w:t xml:space="preserve">Band of </w:t>
            </w:r>
            <w:r w:rsidRPr="008146E4">
              <w:rPr>
                <w:bCs/>
                <w:iCs/>
                <w:sz w:val="20"/>
                <w:szCs w:val="20"/>
                <w:lang w:val="en-GB"/>
              </w:rPr>
              <w:t xml:space="preserve">Inaction </w:t>
            </w:r>
            <m:oMath>
              <m:r>
                <w:rPr>
                  <w:rFonts w:ascii="Cambria Math" w:hAnsi="Cambria Math"/>
                  <w:sz w:val="20"/>
                  <w:szCs w:val="20"/>
                  <w:lang w:val="en-GB"/>
                </w:rPr>
                <m:t>(</m:t>
              </m:r>
              <m:sSub>
                <m:sSubPr>
                  <m:ctrlPr>
                    <w:rPr>
                      <w:rFonts w:ascii="Cambria Math" w:hAnsi="Cambria Math"/>
                      <w:bCs/>
                      <w:i/>
                      <w:iCs/>
                      <w:sz w:val="20"/>
                      <w:szCs w:val="20"/>
                    </w:rPr>
                  </m:ctrlPr>
                </m:sSubPr>
                <m:e>
                  <m:r>
                    <w:rPr>
                      <w:rFonts w:ascii="Cambria Math" w:hAnsi="Cambria Math"/>
                      <w:sz w:val="20"/>
                      <w:szCs w:val="20"/>
                    </w:rPr>
                    <m:t>γ</m:t>
                  </m:r>
                </m:e>
                <m:sub>
                  <m:r>
                    <w:rPr>
                      <w:rFonts w:ascii="Cambria Math" w:hAnsi="Cambria Math"/>
                      <w:sz w:val="20"/>
                      <w:szCs w:val="20"/>
                    </w:rPr>
                    <m:t>t</m:t>
                  </m:r>
                </m:sub>
              </m:sSub>
            </m:oMath>
            <w:r w:rsidRPr="001D555E">
              <w:rPr>
                <w:bCs/>
                <w:iCs/>
                <w:sz w:val="20"/>
                <w:szCs w:val="20"/>
                <w:lang w:val="en-GB"/>
              </w:rPr>
              <w:t>)</w:t>
            </w:r>
          </w:p>
        </w:tc>
        <w:tc>
          <w:tcPr>
            <w:tcW w:w="851" w:type="dxa"/>
            <w:tcBorders>
              <w:top w:val="double" w:sz="4" w:space="0" w:color="auto"/>
              <w:left w:val="single" w:sz="4" w:space="0" w:color="auto"/>
            </w:tcBorders>
            <w:vAlign w:val="center"/>
          </w:tcPr>
          <w:p w14:paraId="335DD0AA" w14:textId="77777777" w:rsidR="00ED4E09" w:rsidRPr="001D555E" w:rsidRDefault="00ED4E09" w:rsidP="000675CD">
            <w:pPr>
              <w:spacing w:before="60" w:after="60"/>
              <w:jc w:val="center"/>
              <w:rPr>
                <w:sz w:val="16"/>
                <w:szCs w:val="16"/>
              </w:rPr>
            </w:pPr>
            <w:r w:rsidRPr="000675CD">
              <w:rPr>
                <w:sz w:val="16"/>
                <w:szCs w:val="16"/>
              </w:rPr>
              <w:t xml:space="preserve">0.166 </w:t>
            </w:r>
          </w:p>
        </w:tc>
        <w:tc>
          <w:tcPr>
            <w:tcW w:w="850" w:type="dxa"/>
            <w:tcBorders>
              <w:top w:val="double" w:sz="4" w:space="0" w:color="auto"/>
              <w:right w:val="single" w:sz="4" w:space="0" w:color="auto"/>
            </w:tcBorders>
            <w:vAlign w:val="center"/>
          </w:tcPr>
          <w:p w14:paraId="311AD80F" w14:textId="77777777" w:rsidR="00ED4E09" w:rsidRPr="008C56CC" w:rsidRDefault="00ED4E09" w:rsidP="000675CD">
            <w:pPr>
              <w:spacing w:before="60" w:after="60"/>
              <w:jc w:val="center"/>
              <w:rPr>
                <w:sz w:val="16"/>
                <w:szCs w:val="16"/>
              </w:rPr>
            </w:pPr>
            <w:r w:rsidRPr="008C56CC">
              <w:rPr>
                <w:sz w:val="16"/>
                <w:szCs w:val="16"/>
              </w:rPr>
              <w:t xml:space="preserve">0.138 </w:t>
            </w:r>
          </w:p>
        </w:tc>
        <w:tc>
          <w:tcPr>
            <w:tcW w:w="851" w:type="dxa"/>
            <w:tcBorders>
              <w:top w:val="double" w:sz="4" w:space="0" w:color="auto"/>
              <w:left w:val="single" w:sz="4" w:space="0" w:color="auto"/>
            </w:tcBorders>
            <w:vAlign w:val="center"/>
          </w:tcPr>
          <w:p w14:paraId="6DDF8A2B" w14:textId="77777777" w:rsidR="00ED4E09" w:rsidRPr="000675CD" w:rsidRDefault="00ED4E09" w:rsidP="000675CD">
            <w:pPr>
              <w:spacing w:before="60" w:after="60"/>
              <w:jc w:val="center"/>
              <w:rPr>
                <w:sz w:val="16"/>
                <w:szCs w:val="16"/>
              </w:rPr>
            </w:pPr>
            <w:r w:rsidRPr="000675CD">
              <w:rPr>
                <w:sz w:val="16"/>
                <w:szCs w:val="16"/>
              </w:rPr>
              <w:t xml:space="preserve"> 0.158</w:t>
            </w:r>
          </w:p>
        </w:tc>
        <w:tc>
          <w:tcPr>
            <w:tcW w:w="992" w:type="dxa"/>
            <w:tcBorders>
              <w:top w:val="double" w:sz="4" w:space="0" w:color="auto"/>
              <w:right w:val="single" w:sz="4" w:space="0" w:color="auto"/>
            </w:tcBorders>
            <w:vAlign w:val="center"/>
          </w:tcPr>
          <w:p w14:paraId="33C481D7" w14:textId="77777777" w:rsidR="00ED4E09" w:rsidRPr="000675CD" w:rsidRDefault="00ED4E09" w:rsidP="000675CD">
            <w:pPr>
              <w:spacing w:before="60" w:after="60"/>
              <w:jc w:val="center"/>
              <w:rPr>
                <w:sz w:val="16"/>
                <w:szCs w:val="16"/>
              </w:rPr>
            </w:pPr>
            <w:r w:rsidRPr="000675CD">
              <w:rPr>
                <w:sz w:val="16"/>
                <w:szCs w:val="16"/>
              </w:rPr>
              <w:t xml:space="preserve">0.362 </w:t>
            </w:r>
          </w:p>
        </w:tc>
        <w:tc>
          <w:tcPr>
            <w:tcW w:w="850" w:type="dxa"/>
            <w:tcBorders>
              <w:top w:val="double" w:sz="4" w:space="0" w:color="auto"/>
              <w:left w:val="single" w:sz="4" w:space="0" w:color="auto"/>
            </w:tcBorders>
            <w:vAlign w:val="center"/>
          </w:tcPr>
          <w:p w14:paraId="14B5F671" w14:textId="77777777" w:rsidR="00ED4E09" w:rsidRPr="000675CD" w:rsidRDefault="00ED4E09" w:rsidP="000675CD">
            <w:pPr>
              <w:spacing w:before="60" w:after="60"/>
              <w:jc w:val="center"/>
              <w:rPr>
                <w:sz w:val="16"/>
                <w:szCs w:val="16"/>
              </w:rPr>
            </w:pPr>
            <w:r w:rsidRPr="000675CD">
              <w:rPr>
                <w:sz w:val="16"/>
                <w:szCs w:val="16"/>
              </w:rPr>
              <w:t xml:space="preserve"> 0.032</w:t>
            </w:r>
          </w:p>
        </w:tc>
        <w:tc>
          <w:tcPr>
            <w:tcW w:w="851" w:type="dxa"/>
            <w:tcBorders>
              <w:top w:val="double" w:sz="4" w:space="0" w:color="auto"/>
              <w:right w:val="single" w:sz="4" w:space="0" w:color="auto"/>
            </w:tcBorders>
            <w:vAlign w:val="center"/>
          </w:tcPr>
          <w:p w14:paraId="23BBFEA8" w14:textId="77777777" w:rsidR="00ED4E09" w:rsidRPr="000675CD" w:rsidRDefault="00ED4E09" w:rsidP="000675CD">
            <w:pPr>
              <w:spacing w:before="60" w:after="60"/>
              <w:jc w:val="center"/>
              <w:rPr>
                <w:sz w:val="16"/>
                <w:szCs w:val="16"/>
              </w:rPr>
            </w:pPr>
            <w:r w:rsidRPr="000675CD">
              <w:rPr>
                <w:sz w:val="16"/>
                <w:szCs w:val="16"/>
              </w:rPr>
              <w:t xml:space="preserve">0.234 </w:t>
            </w:r>
          </w:p>
        </w:tc>
        <w:tc>
          <w:tcPr>
            <w:tcW w:w="850" w:type="dxa"/>
            <w:tcBorders>
              <w:top w:val="double" w:sz="4" w:space="0" w:color="auto"/>
              <w:left w:val="single" w:sz="4" w:space="0" w:color="auto"/>
            </w:tcBorders>
            <w:vAlign w:val="center"/>
          </w:tcPr>
          <w:p w14:paraId="7E252FF2" w14:textId="77777777" w:rsidR="00ED4E09" w:rsidRPr="000675CD" w:rsidRDefault="00ED4E09" w:rsidP="000675CD">
            <w:pPr>
              <w:spacing w:before="60" w:after="60"/>
              <w:jc w:val="center"/>
              <w:rPr>
                <w:sz w:val="16"/>
                <w:szCs w:val="16"/>
              </w:rPr>
            </w:pPr>
            <w:r w:rsidRPr="000675CD">
              <w:rPr>
                <w:sz w:val="16"/>
                <w:szCs w:val="16"/>
              </w:rPr>
              <w:t xml:space="preserve">0.142 </w:t>
            </w:r>
          </w:p>
        </w:tc>
        <w:tc>
          <w:tcPr>
            <w:tcW w:w="993" w:type="dxa"/>
            <w:tcBorders>
              <w:top w:val="double" w:sz="4" w:space="0" w:color="auto"/>
              <w:right w:val="single" w:sz="4" w:space="0" w:color="auto"/>
            </w:tcBorders>
            <w:vAlign w:val="center"/>
          </w:tcPr>
          <w:p w14:paraId="73AD4A9A" w14:textId="77777777" w:rsidR="00ED4E09" w:rsidRPr="000675CD" w:rsidRDefault="00ED4E09" w:rsidP="000675CD">
            <w:pPr>
              <w:spacing w:before="60" w:after="60"/>
              <w:jc w:val="center"/>
              <w:rPr>
                <w:sz w:val="16"/>
                <w:szCs w:val="16"/>
              </w:rPr>
            </w:pPr>
            <w:r w:rsidRPr="000675CD">
              <w:rPr>
                <w:sz w:val="16"/>
                <w:szCs w:val="16"/>
              </w:rPr>
              <w:t xml:space="preserve">0.186 </w:t>
            </w:r>
          </w:p>
        </w:tc>
        <w:tc>
          <w:tcPr>
            <w:tcW w:w="992" w:type="dxa"/>
            <w:tcBorders>
              <w:top w:val="double" w:sz="4" w:space="0" w:color="auto"/>
              <w:left w:val="single" w:sz="4" w:space="0" w:color="auto"/>
            </w:tcBorders>
            <w:vAlign w:val="center"/>
          </w:tcPr>
          <w:p w14:paraId="5A13E12B" w14:textId="77777777" w:rsidR="00ED4E09" w:rsidRPr="000675CD" w:rsidRDefault="00ED4E09" w:rsidP="000675CD">
            <w:pPr>
              <w:spacing w:before="60" w:after="60"/>
              <w:jc w:val="center"/>
              <w:rPr>
                <w:rFonts w:ascii="Arial" w:eastAsiaTheme="minorHAnsi" w:hAnsi="Arial" w:cs="Arial"/>
                <w:sz w:val="16"/>
                <w:szCs w:val="16"/>
              </w:rPr>
            </w:pPr>
            <w:r w:rsidRPr="000675CD">
              <w:rPr>
                <w:rFonts w:ascii="Arial" w:eastAsiaTheme="minorHAnsi" w:hAnsi="Arial" w:cs="Arial"/>
                <w:sz w:val="16"/>
                <w:szCs w:val="16"/>
              </w:rPr>
              <w:t>0.148</w:t>
            </w:r>
          </w:p>
        </w:tc>
        <w:tc>
          <w:tcPr>
            <w:tcW w:w="850" w:type="dxa"/>
            <w:tcBorders>
              <w:top w:val="double" w:sz="4" w:space="0" w:color="auto"/>
              <w:right w:val="single" w:sz="4" w:space="0" w:color="auto"/>
            </w:tcBorders>
            <w:vAlign w:val="center"/>
          </w:tcPr>
          <w:p w14:paraId="47B205C3" w14:textId="77777777" w:rsidR="00ED4E09" w:rsidRPr="000675CD" w:rsidRDefault="00ED4E09" w:rsidP="000675CD">
            <w:pPr>
              <w:spacing w:before="60" w:after="60"/>
              <w:jc w:val="center"/>
              <w:rPr>
                <w:rFonts w:ascii="Arial" w:eastAsiaTheme="minorHAnsi" w:hAnsi="Arial" w:cs="Arial"/>
                <w:sz w:val="16"/>
                <w:szCs w:val="16"/>
              </w:rPr>
            </w:pPr>
            <w:r w:rsidRPr="000675CD">
              <w:rPr>
                <w:rFonts w:ascii="Arial" w:eastAsiaTheme="minorHAnsi" w:hAnsi="Arial" w:cs="Arial"/>
                <w:sz w:val="16"/>
                <w:szCs w:val="16"/>
              </w:rPr>
              <w:t>0.148</w:t>
            </w:r>
          </w:p>
        </w:tc>
        <w:tc>
          <w:tcPr>
            <w:tcW w:w="851" w:type="dxa"/>
            <w:tcBorders>
              <w:top w:val="double" w:sz="4" w:space="0" w:color="auto"/>
              <w:left w:val="single" w:sz="4" w:space="0" w:color="auto"/>
            </w:tcBorders>
            <w:vAlign w:val="center"/>
          </w:tcPr>
          <w:p w14:paraId="1393ED33" w14:textId="77777777" w:rsidR="00ED4E09" w:rsidRPr="000675CD" w:rsidRDefault="00ED4E09" w:rsidP="000675CD">
            <w:pPr>
              <w:spacing w:before="60" w:after="60"/>
              <w:jc w:val="center"/>
              <w:rPr>
                <w:sz w:val="16"/>
                <w:szCs w:val="16"/>
              </w:rPr>
            </w:pPr>
            <w:r w:rsidRPr="000675CD">
              <w:rPr>
                <w:sz w:val="16"/>
                <w:szCs w:val="16"/>
              </w:rPr>
              <w:t xml:space="preserve">0.160 </w:t>
            </w:r>
          </w:p>
        </w:tc>
        <w:tc>
          <w:tcPr>
            <w:tcW w:w="850" w:type="dxa"/>
            <w:tcBorders>
              <w:top w:val="double" w:sz="4" w:space="0" w:color="auto"/>
              <w:right w:val="single" w:sz="4" w:space="0" w:color="auto"/>
            </w:tcBorders>
            <w:vAlign w:val="center"/>
          </w:tcPr>
          <w:p w14:paraId="2CFF6B76" w14:textId="77777777" w:rsidR="00ED4E09" w:rsidRPr="001D555E" w:rsidRDefault="00ED4E09" w:rsidP="000675CD">
            <w:pPr>
              <w:spacing w:before="60" w:after="60"/>
              <w:jc w:val="center"/>
              <w:rPr>
                <w:sz w:val="16"/>
                <w:szCs w:val="16"/>
              </w:rPr>
            </w:pPr>
            <w:r w:rsidRPr="001D555E">
              <w:rPr>
                <w:sz w:val="16"/>
                <w:szCs w:val="16"/>
              </w:rPr>
              <w:t xml:space="preserve">0.160 </w:t>
            </w:r>
          </w:p>
        </w:tc>
        <w:tc>
          <w:tcPr>
            <w:tcW w:w="993" w:type="dxa"/>
            <w:tcBorders>
              <w:top w:val="double" w:sz="4" w:space="0" w:color="auto"/>
              <w:left w:val="single" w:sz="4" w:space="0" w:color="auto"/>
            </w:tcBorders>
            <w:vAlign w:val="center"/>
          </w:tcPr>
          <w:p w14:paraId="5DCA4E9B" w14:textId="77777777" w:rsidR="00ED4E09" w:rsidRPr="000675CD" w:rsidRDefault="00ED4E09" w:rsidP="000675CD">
            <w:pPr>
              <w:spacing w:before="60" w:after="60"/>
              <w:jc w:val="center"/>
              <w:rPr>
                <w:sz w:val="16"/>
                <w:szCs w:val="16"/>
              </w:rPr>
            </w:pPr>
            <w:r w:rsidRPr="000675CD">
              <w:rPr>
                <w:sz w:val="16"/>
                <w:szCs w:val="16"/>
              </w:rPr>
              <w:t xml:space="preserve"> 0.156</w:t>
            </w:r>
          </w:p>
        </w:tc>
        <w:tc>
          <w:tcPr>
            <w:tcW w:w="850" w:type="dxa"/>
            <w:tcBorders>
              <w:top w:val="double" w:sz="4" w:space="0" w:color="auto"/>
            </w:tcBorders>
            <w:vAlign w:val="center"/>
          </w:tcPr>
          <w:p w14:paraId="353667C0" w14:textId="77777777" w:rsidR="00ED4E09" w:rsidRPr="000675CD" w:rsidRDefault="00ED4E09" w:rsidP="000675CD">
            <w:pPr>
              <w:spacing w:before="60" w:after="60"/>
              <w:jc w:val="center"/>
              <w:rPr>
                <w:sz w:val="16"/>
                <w:szCs w:val="16"/>
              </w:rPr>
            </w:pPr>
            <w:r w:rsidRPr="000675CD">
              <w:rPr>
                <w:sz w:val="16"/>
                <w:szCs w:val="16"/>
              </w:rPr>
              <w:t xml:space="preserve">0.196 </w:t>
            </w:r>
          </w:p>
        </w:tc>
      </w:tr>
      <w:tr w:rsidR="00ED4E09" w:rsidRPr="001D555E" w14:paraId="4E388F47" w14:textId="77777777" w:rsidTr="000675CD">
        <w:tc>
          <w:tcPr>
            <w:tcW w:w="1276" w:type="dxa"/>
            <w:tcBorders>
              <w:top w:val="single" w:sz="4" w:space="0" w:color="auto"/>
              <w:right w:val="single" w:sz="4" w:space="0" w:color="auto"/>
            </w:tcBorders>
            <w:vAlign w:val="center"/>
          </w:tcPr>
          <w:p w14:paraId="7178B635" w14:textId="77777777" w:rsidR="00ED4E09" w:rsidRPr="001D555E" w:rsidRDefault="00000000" w:rsidP="000675CD">
            <w:pPr>
              <w:spacing w:before="60" w:after="60"/>
              <w:rPr>
                <w:bCs/>
                <w:sz w:val="20"/>
                <w:szCs w:val="20"/>
              </w:rPr>
            </w:pPr>
            <m:oMathPara>
              <m:oMathParaPr>
                <m:jc m:val="left"/>
              </m:oMathParaPr>
              <m:oMath>
                <m:sSub>
                  <m:sSubPr>
                    <m:ctrlPr>
                      <w:rPr>
                        <w:rFonts w:ascii="Cambria Math" w:hAnsi="Cambria Math"/>
                        <w:bCs/>
                        <w:i/>
                        <w:iCs/>
                        <w:sz w:val="20"/>
                        <w:szCs w:val="20"/>
                      </w:rPr>
                    </m:ctrlPr>
                  </m:sSubPr>
                  <m:e>
                    <m:r>
                      <w:rPr>
                        <w:rFonts w:ascii="Cambria Math" w:hAnsi="Cambria Math"/>
                        <w:sz w:val="20"/>
                        <w:szCs w:val="20"/>
                      </w:rPr>
                      <m:t>β</m:t>
                    </m:r>
                  </m:e>
                  <m:sub>
                    <m:r>
                      <w:rPr>
                        <w:rFonts w:ascii="Cambria Math" w:hAnsi="Cambria Math"/>
                        <w:sz w:val="20"/>
                        <w:szCs w:val="20"/>
                      </w:rPr>
                      <m:t>0</m:t>
                    </m:r>
                  </m:sub>
                </m:sSub>
              </m:oMath>
            </m:oMathPara>
          </w:p>
        </w:tc>
        <w:tc>
          <w:tcPr>
            <w:tcW w:w="851" w:type="dxa"/>
            <w:tcBorders>
              <w:top w:val="single" w:sz="4" w:space="0" w:color="auto"/>
              <w:left w:val="single" w:sz="4" w:space="0" w:color="auto"/>
            </w:tcBorders>
            <w:vAlign w:val="center"/>
          </w:tcPr>
          <w:p w14:paraId="3EF2F7DB" w14:textId="77777777" w:rsidR="00ED4E09" w:rsidRPr="000675CD" w:rsidRDefault="00ED4E09" w:rsidP="000675CD">
            <w:pPr>
              <w:spacing w:before="60" w:after="60"/>
              <w:jc w:val="center"/>
              <w:rPr>
                <w:sz w:val="16"/>
                <w:szCs w:val="16"/>
              </w:rPr>
            </w:pPr>
            <w:r w:rsidRPr="000675CD">
              <w:rPr>
                <w:sz w:val="16"/>
                <w:szCs w:val="16"/>
              </w:rPr>
              <w:t>-4.181</w:t>
            </w:r>
          </w:p>
          <w:p w14:paraId="0A1B6CFF" w14:textId="77777777" w:rsidR="00ED4E09" w:rsidRPr="000675CD" w:rsidRDefault="00ED4E09" w:rsidP="000675CD">
            <w:pPr>
              <w:spacing w:before="60" w:after="60"/>
              <w:jc w:val="center"/>
              <w:rPr>
                <w:sz w:val="16"/>
                <w:szCs w:val="16"/>
              </w:rPr>
            </w:pPr>
            <w:r w:rsidRPr="000675CD">
              <w:rPr>
                <w:sz w:val="16"/>
                <w:szCs w:val="16"/>
              </w:rPr>
              <w:t>(-1.135)</w:t>
            </w:r>
          </w:p>
        </w:tc>
        <w:tc>
          <w:tcPr>
            <w:tcW w:w="850" w:type="dxa"/>
            <w:tcBorders>
              <w:top w:val="single" w:sz="4" w:space="0" w:color="auto"/>
              <w:right w:val="single" w:sz="4" w:space="0" w:color="auto"/>
            </w:tcBorders>
            <w:vAlign w:val="center"/>
          </w:tcPr>
          <w:p w14:paraId="59311D58" w14:textId="77777777" w:rsidR="00ED4E09" w:rsidRPr="000675CD" w:rsidRDefault="00ED4E09" w:rsidP="000675CD">
            <w:pPr>
              <w:spacing w:before="60" w:after="60"/>
              <w:jc w:val="center"/>
              <w:rPr>
                <w:sz w:val="16"/>
                <w:szCs w:val="16"/>
              </w:rPr>
            </w:pPr>
            <w:r w:rsidRPr="000675CD">
              <w:rPr>
                <w:sz w:val="16"/>
                <w:szCs w:val="16"/>
              </w:rPr>
              <w:t xml:space="preserve"> -2.689</w:t>
            </w:r>
          </w:p>
          <w:p w14:paraId="4C3FA756" w14:textId="77777777" w:rsidR="00ED4E09" w:rsidRPr="000675CD" w:rsidRDefault="00ED4E09" w:rsidP="000675CD">
            <w:pPr>
              <w:spacing w:before="60" w:after="60"/>
              <w:jc w:val="center"/>
              <w:rPr>
                <w:sz w:val="16"/>
                <w:szCs w:val="16"/>
              </w:rPr>
            </w:pPr>
            <w:r w:rsidRPr="000675CD">
              <w:rPr>
                <w:sz w:val="16"/>
                <w:szCs w:val="16"/>
              </w:rPr>
              <w:t>(-0.996)</w:t>
            </w:r>
          </w:p>
        </w:tc>
        <w:tc>
          <w:tcPr>
            <w:tcW w:w="851" w:type="dxa"/>
            <w:tcBorders>
              <w:top w:val="single" w:sz="4" w:space="0" w:color="auto"/>
              <w:left w:val="single" w:sz="4" w:space="0" w:color="auto"/>
            </w:tcBorders>
            <w:vAlign w:val="center"/>
          </w:tcPr>
          <w:p w14:paraId="41037D70" w14:textId="77777777" w:rsidR="00ED4E09" w:rsidRPr="000675CD" w:rsidRDefault="00ED4E09" w:rsidP="000675CD">
            <w:pPr>
              <w:spacing w:before="60" w:after="60"/>
              <w:jc w:val="center"/>
              <w:rPr>
                <w:sz w:val="16"/>
                <w:szCs w:val="16"/>
              </w:rPr>
            </w:pPr>
            <w:r w:rsidRPr="000675CD">
              <w:rPr>
                <w:sz w:val="16"/>
                <w:szCs w:val="16"/>
              </w:rPr>
              <w:t>2.023</w:t>
            </w:r>
          </w:p>
          <w:p w14:paraId="3DEFFA71" w14:textId="77777777" w:rsidR="00ED4E09" w:rsidRPr="000675CD" w:rsidRDefault="00ED4E09" w:rsidP="000675CD">
            <w:pPr>
              <w:spacing w:before="60" w:after="60"/>
              <w:jc w:val="center"/>
              <w:rPr>
                <w:sz w:val="16"/>
                <w:szCs w:val="16"/>
              </w:rPr>
            </w:pPr>
            <w:r w:rsidRPr="000675CD">
              <w:rPr>
                <w:sz w:val="16"/>
                <w:szCs w:val="16"/>
              </w:rPr>
              <w:t>(0.817)</w:t>
            </w:r>
          </w:p>
        </w:tc>
        <w:tc>
          <w:tcPr>
            <w:tcW w:w="992" w:type="dxa"/>
            <w:tcBorders>
              <w:top w:val="single" w:sz="4" w:space="0" w:color="auto"/>
              <w:right w:val="single" w:sz="4" w:space="0" w:color="auto"/>
            </w:tcBorders>
            <w:vAlign w:val="center"/>
          </w:tcPr>
          <w:p w14:paraId="3A67A934" w14:textId="77777777" w:rsidR="00ED4E09" w:rsidRPr="000675CD" w:rsidRDefault="00ED4E09" w:rsidP="000675CD">
            <w:pPr>
              <w:spacing w:before="60" w:after="60"/>
              <w:jc w:val="center"/>
              <w:rPr>
                <w:sz w:val="16"/>
                <w:szCs w:val="16"/>
              </w:rPr>
            </w:pPr>
            <w:r w:rsidRPr="000675CD">
              <w:rPr>
                <w:sz w:val="16"/>
                <w:szCs w:val="16"/>
              </w:rPr>
              <w:t>2.826**</w:t>
            </w:r>
          </w:p>
          <w:p w14:paraId="35D2F5CD" w14:textId="77777777" w:rsidR="00ED4E09" w:rsidRPr="000675CD" w:rsidRDefault="00ED4E09" w:rsidP="000675CD">
            <w:pPr>
              <w:spacing w:before="60" w:after="60"/>
              <w:jc w:val="center"/>
              <w:rPr>
                <w:sz w:val="16"/>
                <w:szCs w:val="16"/>
              </w:rPr>
            </w:pPr>
            <w:r w:rsidRPr="000675CD">
              <w:rPr>
                <w:sz w:val="16"/>
                <w:szCs w:val="16"/>
              </w:rPr>
              <w:t xml:space="preserve">(2.406) </w:t>
            </w:r>
          </w:p>
        </w:tc>
        <w:tc>
          <w:tcPr>
            <w:tcW w:w="850" w:type="dxa"/>
            <w:tcBorders>
              <w:top w:val="single" w:sz="4" w:space="0" w:color="auto"/>
              <w:left w:val="single" w:sz="4" w:space="0" w:color="auto"/>
            </w:tcBorders>
            <w:vAlign w:val="center"/>
          </w:tcPr>
          <w:p w14:paraId="792C7F01" w14:textId="77777777" w:rsidR="00ED4E09" w:rsidRPr="000675CD" w:rsidRDefault="00ED4E09" w:rsidP="000675CD">
            <w:pPr>
              <w:spacing w:before="60" w:after="60"/>
              <w:jc w:val="center"/>
              <w:rPr>
                <w:sz w:val="16"/>
                <w:szCs w:val="16"/>
              </w:rPr>
            </w:pPr>
            <w:r w:rsidRPr="000675CD">
              <w:rPr>
                <w:sz w:val="16"/>
                <w:szCs w:val="16"/>
              </w:rPr>
              <w:t xml:space="preserve"> 3.674</w:t>
            </w:r>
          </w:p>
          <w:p w14:paraId="3B1138C8" w14:textId="77777777" w:rsidR="00ED4E09" w:rsidRPr="000675CD" w:rsidRDefault="00ED4E09" w:rsidP="000675CD">
            <w:pPr>
              <w:spacing w:before="60" w:after="60"/>
              <w:jc w:val="center"/>
              <w:rPr>
                <w:sz w:val="16"/>
                <w:szCs w:val="16"/>
              </w:rPr>
            </w:pPr>
            <w:r w:rsidRPr="000675CD">
              <w:rPr>
                <w:sz w:val="16"/>
                <w:szCs w:val="16"/>
              </w:rPr>
              <w:t>(1.088)</w:t>
            </w:r>
          </w:p>
        </w:tc>
        <w:tc>
          <w:tcPr>
            <w:tcW w:w="851" w:type="dxa"/>
            <w:tcBorders>
              <w:top w:val="single" w:sz="4" w:space="0" w:color="auto"/>
              <w:right w:val="single" w:sz="4" w:space="0" w:color="auto"/>
            </w:tcBorders>
            <w:vAlign w:val="center"/>
          </w:tcPr>
          <w:p w14:paraId="1EBC2E65" w14:textId="77777777" w:rsidR="00ED4E09" w:rsidRPr="000675CD" w:rsidRDefault="00ED4E09" w:rsidP="000675CD">
            <w:pPr>
              <w:spacing w:before="60" w:after="60"/>
              <w:jc w:val="center"/>
              <w:rPr>
                <w:sz w:val="16"/>
                <w:szCs w:val="16"/>
              </w:rPr>
            </w:pPr>
            <w:r w:rsidRPr="000675CD">
              <w:rPr>
                <w:sz w:val="16"/>
                <w:szCs w:val="16"/>
              </w:rPr>
              <w:t>9.806***</w:t>
            </w:r>
          </w:p>
          <w:p w14:paraId="344C9516" w14:textId="77777777" w:rsidR="00ED4E09" w:rsidRPr="000675CD" w:rsidRDefault="00ED4E09" w:rsidP="000675CD">
            <w:pPr>
              <w:spacing w:before="60" w:after="60"/>
              <w:jc w:val="center"/>
              <w:rPr>
                <w:sz w:val="16"/>
                <w:szCs w:val="16"/>
              </w:rPr>
            </w:pPr>
            <w:r w:rsidRPr="000675CD">
              <w:rPr>
                <w:sz w:val="16"/>
                <w:szCs w:val="16"/>
              </w:rPr>
              <w:t xml:space="preserve">(4.701) </w:t>
            </w:r>
          </w:p>
        </w:tc>
        <w:tc>
          <w:tcPr>
            <w:tcW w:w="850" w:type="dxa"/>
            <w:tcBorders>
              <w:top w:val="single" w:sz="4" w:space="0" w:color="auto"/>
              <w:left w:val="single" w:sz="4" w:space="0" w:color="auto"/>
            </w:tcBorders>
            <w:vAlign w:val="center"/>
          </w:tcPr>
          <w:p w14:paraId="79002FE6" w14:textId="77777777" w:rsidR="00ED4E09" w:rsidRPr="000675CD" w:rsidRDefault="00ED4E09" w:rsidP="000675CD">
            <w:pPr>
              <w:spacing w:before="60" w:after="60"/>
              <w:jc w:val="center"/>
              <w:rPr>
                <w:sz w:val="16"/>
                <w:szCs w:val="16"/>
              </w:rPr>
            </w:pPr>
            <w:r w:rsidRPr="000675CD">
              <w:rPr>
                <w:sz w:val="16"/>
                <w:szCs w:val="16"/>
              </w:rPr>
              <w:t xml:space="preserve"> -19.3***</w:t>
            </w:r>
          </w:p>
          <w:p w14:paraId="173A92A1" w14:textId="77777777" w:rsidR="00ED4E09" w:rsidRPr="000675CD" w:rsidRDefault="00ED4E09" w:rsidP="000675CD">
            <w:pPr>
              <w:spacing w:before="60" w:after="60"/>
              <w:jc w:val="center"/>
              <w:rPr>
                <w:sz w:val="16"/>
                <w:szCs w:val="16"/>
              </w:rPr>
            </w:pPr>
            <w:r w:rsidRPr="000675CD">
              <w:rPr>
                <w:sz w:val="16"/>
                <w:szCs w:val="16"/>
              </w:rPr>
              <w:t>(-3.600)</w:t>
            </w:r>
          </w:p>
        </w:tc>
        <w:tc>
          <w:tcPr>
            <w:tcW w:w="993" w:type="dxa"/>
            <w:tcBorders>
              <w:top w:val="single" w:sz="4" w:space="0" w:color="auto"/>
              <w:right w:val="single" w:sz="4" w:space="0" w:color="auto"/>
            </w:tcBorders>
            <w:vAlign w:val="center"/>
          </w:tcPr>
          <w:p w14:paraId="3D17D892" w14:textId="77777777" w:rsidR="00ED4E09" w:rsidRPr="000675CD" w:rsidRDefault="00ED4E09" w:rsidP="000675CD">
            <w:pPr>
              <w:spacing w:before="60" w:after="60"/>
              <w:jc w:val="center"/>
              <w:rPr>
                <w:sz w:val="16"/>
                <w:szCs w:val="16"/>
              </w:rPr>
            </w:pPr>
            <w:r w:rsidRPr="000675CD">
              <w:rPr>
                <w:sz w:val="16"/>
                <w:szCs w:val="16"/>
              </w:rPr>
              <w:t>-3.074</w:t>
            </w:r>
          </w:p>
          <w:p w14:paraId="56DC27B6" w14:textId="77777777" w:rsidR="00ED4E09" w:rsidRPr="000675CD" w:rsidRDefault="00ED4E09" w:rsidP="000675CD">
            <w:pPr>
              <w:spacing w:before="60" w:after="60"/>
              <w:jc w:val="center"/>
              <w:rPr>
                <w:sz w:val="16"/>
                <w:szCs w:val="16"/>
              </w:rPr>
            </w:pPr>
            <w:r w:rsidRPr="000675CD">
              <w:rPr>
                <w:sz w:val="16"/>
                <w:szCs w:val="16"/>
              </w:rPr>
              <w:t xml:space="preserve">(-0.613) </w:t>
            </w:r>
          </w:p>
        </w:tc>
        <w:tc>
          <w:tcPr>
            <w:tcW w:w="992" w:type="dxa"/>
            <w:tcBorders>
              <w:top w:val="single" w:sz="4" w:space="0" w:color="auto"/>
              <w:left w:val="single" w:sz="4" w:space="0" w:color="auto"/>
            </w:tcBorders>
            <w:vAlign w:val="center"/>
          </w:tcPr>
          <w:p w14:paraId="56EC66AE" w14:textId="77777777" w:rsidR="00ED4E09" w:rsidRPr="000675CD" w:rsidRDefault="00ED4E09" w:rsidP="000675CD">
            <w:pPr>
              <w:spacing w:before="60" w:after="60"/>
              <w:jc w:val="center"/>
              <w:rPr>
                <w:sz w:val="16"/>
                <w:szCs w:val="16"/>
              </w:rPr>
            </w:pPr>
            <w:r w:rsidRPr="000675CD">
              <w:rPr>
                <w:sz w:val="16"/>
                <w:szCs w:val="16"/>
              </w:rPr>
              <w:t>-0.606</w:t>
            </w:r>
          </w:p>
          <w:p w14:paraId="462BFAD3" w14:textId="77777777" w:rsidR="00ED4E09" w:rsidRPr="000675CD" w:rsidRDefault="00ED4E09" w:rsidP="000675CD">
            <w:pPr>
              <w:spacing w:before="60" w:after="60"/>
              <w:jc w:val="center"/>
              <w:rPr>
                <w:sz w:val="16"/>
                <w:szCs w:val="16"/>
              </w:rPr>
            </w:pPr>
            <w:r w:rsidRPr="000675CD">
              <w:rPr>
                <w:sz w:val="16"/>
                <w:szCs w:val="16"/>
              </w:rPr>
              <w:t>(-0.055)</w:t>
            </w:r>
          </w:p>
        </w:tc>
        <w:tc>
          <w:tcPr>
            <w:tcW w:w="850" w:type="dxa"/>
            <w:tcBorders>
              <w:top w:val="single" w:sz="4" w:space="0" w:color="auto"/>
              <w:right w:val="single" w:sz="4" w:space="0" w:color="auto"/>
            </w:tcBorders>
            <w:vAlign w:val="center"/>
          </w:tcPr>
          <w:p w14:paraId="204253C9" w14:textId="77777777" w:rsidR="00ED4E09" w:rsidRPr="000675CD" w:rsidRDefault="00ED4E09" w:rsidP="000675CD">
            <w:pPr>
              <w:spacing w:before="60" w:after="60"/>
              <w:jc w:val="center"/>
              <w:rPr>
                <w:sz w:val="16"/>
                <w:szCs w:val="16"/>
              </w:rPr>
            </w:pPr>
            <w:r w:rsidRPr="000675CD">
              <w:rPr>
                <w:sz w:val="16"/>
                <w:szCs w:val="16"/>
              </w:rPr>
              <w:t>3.07**</w:t>
            </w:r>
          </w:p>
          <w:p w14:paraId="2B950569" w14:textId="77777777" w:rsidR="00ED4E09" w:rsidRPr="000675CD" w:rsidRDefault="00ED4E09" w:rsidP="000675CD">
            <w:pPr>
              <w:spacing w:before="60" w:after="60"/>
              <w:jc w:val="center"/>
              <w:rPr>
                <w:sz w:val="16"/>
                <w:szCs w:val="16"/>
              </w:rPr>
            </w:pPr>
            <w:r w:rsidRPr="000675CD">
              <w:rPr>
                <w:sz w:val="16"/>
                <w:szCs w:val="16"/>
              </w:rPr>
              <w:t>(2.38)</w:t>
            </w:r>
          </w:p>
        </w:tc>
        <w:tc>
          <w:tcPr>
            <w:tcW w:w="851" w:type="dxa"/>
            <w:tcBorders>
              <w:top w:val="single" w:sz="4" w:space="0" w:color="auto"/>
              <w:left w:val="single" w:sz="4" w:space="0" w:color="auto"/>
            </w:tcBorders>
            <w:vAlign w:val="center"/>
          </w:tcPr>
          <w:p w14:paraId="0EFD5A40" w14:textId="77777777" w:rsidR="00ED4E09" w:rsidRPr="000675CD" w:rsidRDefault="00ED4E09" w:rsidP="000675CD">
            <w:pPr>
              <w:spacing w:before="60" w:after="60"/>
              <w:jc w:val="center"/>
              <w:rPr>
                <w:sz w:val="16"/>
                <w:szCs w:val="16"/>
              </w:rPr>
            </w:pPr>
            <w:r w:rsidRPr="000675CD">
              <w:rPr>
                <w:sz w:val="16"/>
                <w:szCs w:val="16"/>
              </w:rPr>
              <w:t>-3.866</w:t>
            </w:r>
          </w:p>
          <w:p w14:paraId="287BF935" w14:textId="77777777" w:rsidR="00ED4E09" w:rsidRPr="000675CD" w:rsidRDefault="00ED4E09" w:rsidP="000675CD">
            <w:pPr>
              <w:spacing w:before="60" w:after="60"/>
              <w:jc w:val="center"/>
              <w:rPr>
                <w:sz w:val="16"/>
                <w:szCs w:val="16"/>
              </w:rPr>
            </w:pPr>
            <w:r w:rsidRPr="000675CD">
              <w:rPr>
                <w:sz w:val="16"/>
                <w:szCs w:val="16"/>
              </w:rPr>
              <w:t xml:space="preserve">(-0.998) </w:t>
            </w:r>
          </w:p>
        </w:tc>
        <w:tc>
          <w:tcPr>
            <w:tcW w:w="850" w:type="dxa"/>
            <w:tcBorders>
              <w:top w:val="single" w:sz="4" w:space="0" w:color="auto"/>
              <w:right w:val="single" w:sz="4" w:space="0" w:color="auto"/>
            </w:tcBorders>
            <w:vAlign w:val="center"/>
          </w:tcPr>
          <w:p w14:paraId="37142352" w14:textId="77777777" w:rsidR="00ED4E09" w:rsidRPr="000675CD" w:rsidRDefault="00ED4E09" w:rsidP="000675CD">
            <w:pPr>
              <w:spacing w:before="60" w:after="60"/>
              <w:jc w:val="center"/>
              <w:rPr>
                <w:sz w:val="16"/>
                <w:szCs w:val="16"/>
              </w:rPr>
            </w:pPr>
            <w:r w:rsidRPr="000675CD">
              <w:rPr>
                <w:sz w:val="16"/>
                <w:szCs w:val="16"/>
              </w:rPr>
              <w:t>4.669**</w:t>
            </w:r>
          </w:p>
          <w:p w14:paraId="1A9BDC0E" w14:textId="77777777" w:rsidR="00ED4E09" w:rsidRPr="000675CD" w:rsidRDefault="00ED4E09" w:rsidP="000675CD">
            <w:pPr>
              <w:spacing w:before="60" w:after="60"/>
              <w:jc w:val="center"/>
              <w:rPr>
                <w:sz w:val="16"/>
                <w:szCs w:val="16"/>
              </w:rPr>
            </w:pPr>
            <w:r w:rsidRPr="000675CD">
              <w:rPr>
                <w:sz w:val="16"/>
                <w:szCs w:val="16"/>
              </w:rPr>
              <w:t xml:space="preserve">(2.322) </w:t>
            </w:r>
          </w:p>
        </w:tc>
        <w:tc>
          <w:tcPr>
            <w:tcW w:w="993" w:type="dxa"/>
            <w:tcBorders>
              <w:top w:val="single" w:sz="4" w:space="0" w:color="auto"/>
              <w:left w:val="single" w:sz="4" w:space="0" w:color="auto"/>
            </w:tcBorders>
            <w:vAlign w:val="center"/>
          </w:tcPr>
          <w:p w14:paraId="6855C1B3" w14:textId="77777777" w:rsidR="00ED4E09" w:rsidRPr="000675CD" w:rsidRDefault="00ED4E09" w:rsidP="000675CD">
            <w:pPr>
              <w:spacing w:before="60" w:after="60"/>
              <w:jc w:val="center"/>
              <w:rPr>
                <w:sz w:val="16"/>
                <w:szCs w:val="16"/>
              </w:rPr>
            </w:pPr>
            <w:r w:rsidRPr="000675CD">
              <w:rPr>
                <w:sz w:val="16"/>
                <w:szCs w:val="16"/>
              </w:rPr>
              <w:t>-2.760</w:t>
            </w:r>
          </w:p>
          <w:p w14:paraId="3CF4EE35" w14:textId="77777777" w:rsidR="00ED4E09" w:rsidRPr="000675CD" w:rsidRDefault="00ED4E09" w:rsidP="000675CD">
            <w:pPr>
              <w:spacing w:before="60" w:after="60"/>
              <w:jc w:val="center"/>
              <w:rPr>
                <w:sz w:val="16"/>
                <w:szCs w:val="16"/>
              </w:rPr>
            </w:pPr>
            <w:r w:rsidRPr="000675CD">
              <w:rPr>
                <w:sz w:val="16"/>
                <w:szCs w:val="16"/>
              </w:rPr>
              <w:t>(-1.299)</w:t>
            </w:r>
          </w:p>
        </w:tc>
        <w:tc>
          <w:tcPr>
            <w:tcW w:w="850" w:type="dxa"/>
            <w:tcBorders>
              <w:top w:val="single" w:sz="4" w:space="0" w:color="auto"/>
            </w:tcBorders>
            <w:vAlign w:val="center"/>
          </w:tcPr>
          <w:p w14:paraId="1B633C9A" w14:textId="77777777" w:rsidR="00ED4E09" w:rsidRPr="000675CD" w:rsidRDefault="00ED4E09" w:rsidP="000675CD">
            <w:pPr>
              <w:spacing w:before="60" w:after="60"/>
              <w:jc w:val="center"/>
              <w:rPr>
                <w:sz w:val="16"/>
                <w:szCs w:val="16"/>
              </w:rPr>
            </w:pPr>
            <w:r w:rsidRPr="000675CD">
              <w:rPr>
                <w:sz w:val="16"/>
                <w:szCs w:val="16"/>
              </w:rPr>
              <w:t>4.600***</w:t>
            </w:r>
          </w:p>
          <w:p w14:paraId="49188F26" w14:textId="77777777" w:rsidR="00ED4E09" w:rsidRPr="000675CD" w:rsidRDefault="00ED4E09" w:rsidP="000675CD">
            <w:pPr>
              <w:spacing w:before="60" w:after="60"/>
              <w:jc w:val="center"/>
              <w:rPr>
                <w:sz w:val="16"/>
                <w:szCs w:val="16"/>
              </w:rPr>
            </w:pPr>
            <w:r w:rsidRPr="000675CD">
              <w:rPr>
                <w:sz w:val="16"/>
                <w:szCs w:val="16"/>
              </w:rPr>
              <w:t xml:space="preserve">(1.585) </w:t>
            </w:r>
          </w:p>
        </w:tc>
      </w:tr>
      <w:tr w:rsidR="00ED4E09" w:rsidRPr="001D555E" w14:paraId="557E18B1" w14:textId="77777777" w:rsidTr="000675CD">
        <w:tc>
          <w:tcPr>
            <w:tcW w:w="1276" w:type="dxa"/>
            <w:tcBorders>
              <w:right w:val="single" w:sz="4" w:space="0" w:color="auto"/>
            </w:tcBorders>
            <w:vAlign w:val="center"/>
            <w:hideMark/>
          </w:tcPr>
          <w:p w14:paraId="6ADD74E7" w14:textId="77777777" w:rsidR="00ED4E09" w:rsidRPr="001D555E" w:rsidRDefault="00000000" w:rsidP="000675CD">
            <w:pPr>
              <w:tabs>
                <w:tab w:val="center" w:pos="4153"/>
                <w:tab w:val="right" w:pos="8306"/>
              </w:tabs>
              <w:spacing w:before="60" w:after="60"/>
              <w:rPr>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t</m:t>
                    </m:r>
                  </m:sub>
                </m:sSub>
              </m:oMath>
            </m:oMathPara>
          </w:p>
        </w:tc>
        <w:tc>
          <w:tcPr>
            <w:tcW w:w="851" w:type="dxa"/>
            <w:tcBorders>
              <w:left w:val="single" w:sz="4" w:space="0" w:color="auto"/>
            </w:tcBorders>
          </w:tcPr>
          <w:p w14:paraId="4CDAA127" w14:textId="77777777" w:rsidR="00ED4E09" w:rsidRPr="000675CD" w:rsidRDefault="00ED4E09" w:rsidP="000675CD">
            <w:pPr>
              <w:spacing w:before="60" w:after="60"/>
              <w:jc w:val="center"/>
              <w:rPr>
                <w:sz w:val="16"/>
                <w:szCs w:val="16"/>
              </w:rPr>
            </w:pPr>
            <w:r w:rsidRPr="000675CD">
              <w:rPr>
                <w:sz w:val="16"/>
                <w:szCs w:val="16"/>
              </w:rPr>
              <w:t>-0.444</w:t>
            </w:r>
          </w:p>
          <w:p w14:paraId="7A6529E9" w14:textId="77777777" w:rsidR="00ED4E09" w:rsidRPr="001D555E" w:rsidRDefault="00ED4E09" w:rsidP="000675CD">
            <w:pPr>
              <w:spacing w:before="60" w:after="60"/>
              <w:jc w:val="center"/>
              <w:rPr>
                <w:sz w:val="16"/>
                <w:szCs w:val="16"/>
              </w:rPr>
            </w:pPr>
            <w:r w:rsidRPr="000675CD">
              <w:rPr>
                <w:sz w:val="16"/>
                <w:szCs w:val="16"/>
              </w:rPr>
              <w:t xml:space="preserve">(1.132) </w:t>
            </w:r>
          </w:p>
        </w:tc>
        <w:tc>
          <w:tcPr>
            <w:tcW w:w="850" w:type="dxa"/>
            <w:tcBorders>
              <w:right w:val="single" w:sz="4" w:space="0" w:color="auto"/>
            </w:tcBorders>
          </w:tcPr>
          <w:p w14:paraId="1605BA32" w14:textId="77777777" w:rsidR="00ED4E09" w:rsidRPr="000675CD" w:rsidRDefault="00ED4E09" w:rsidP="000675CD">
            <w:pPr>
              <w:spacing w:before="60" w:after="60"/>
              <w:jc w:val="center"/>
              <w:rPr>
                <w:sz w:val="16"/>
                <w:szCs w:val="16"/>
              </w:rPr>
            </w:pPr>
            <w:r w:rsidRPr="001D555E">
              <w:rPr>
                <w:sz w:val="16"/>
                <w:szCs w:val="16"/>
              </w:rPr>
              <w:t xml:space="preserve"> </w:t>
            </w:r>
            <w:r w:rsidRPr="000675CD">
              <w:rPr>
                <w:sz w:val="16"/>
                <w:szCs w:val="16"/>
              </w:rPr>
              <w:t>-0.699**</w:t>
            </w:r>
          </w:p>
          <w:p w14:paraId="74C4CF07" w14:textId="77777777" w:rsidR="00ED4E09" w:rsidRPr="001D555E" w:rsidRDefault="00ED4E09" w:rsidP="000675CD">
            <w:pPr>
              <w:spacing w:before="60" w:after="60"/>
              <w:jc w:val="center"/>
              <w:rPr>
                <w:sz w:val="16"/>
                <w:szCs w:val="16"/>
              </w:rPr>
            </w:pPr>
            <w:r w:rsidRPr="000675CD">
              <w:rPr>
                <w:sz w:val="16"/>
                <w:szCs w:val="16"/>
              </w:rPr>
              <w:t>(.2.439)</w:t>
            </w:r>
          </w:p>
        </w:tc>
        <w:tc>
          <w:tcPr>
            <w:tcW w:w="851" w:type="dxa"/>
            <w:tcBorders>
              <w:left w:val="single" w:sz="4" w:space="0" w:color="auto"/>
            </w:tcBorders>
          </w:tcPr>
          <w:p w14:paraId="3D472898" w14:textId="77777777" w:rsidR="00ED4E09" w:rsidRPr="000675CD" w:rsidRDefault="00ED4E09" w:rsidP="000675CD">
            <w:pPr>
              <w:spacing w:before="60" w:after="60"/>
              <w:jc w:val="center"/>
              <w:rPr>
                <w:sz w:val="16"/>
                <w:szCs w:val="16"/>
              </w:rPr>
            </w:pPr>
            <w:r w:rsidRPr="000675CD">
              <w:rPr>
                <w:sz w:val="16"/>
                <w:szCs w:val="16"/>
              </w:rPr>
              <w:t>0.524***</w:t>
            </w:r>
          </w:p>
          <w:p w14:paraId="6DED1C2B" w14:textId="77777777" w:rsidR="00ED4E09" w:rsidRPr="000675CD" w:rsidRDefault="00ED4E09" w:rsidP="000675CD">
            <w:pPr>
              <w:spacing w:before="60" w:after="60"/>
              <w:jc w:val="center"/>
              <w:rPr>
                <w:sz w:val="16"/>
                <w:szCs w:val="16"/>
              </w:rPr>
            </w:pPr>
            <w:r w:rsidRPr="000675CD">
              <w:rPr>
                <w:sz w:val="16"/>
                <w:szCs w:val="16"/>
              </w:rPr>
              <w:t>(2.688)</w:t>
            </w:r>
          </w:p>
        </w:tc>
        <w:tc>
          <w:tcPr>
            <w:tcW w:w="992" w:type="dxa"/>
            <w:tcBorders>
              <w:right w:val="single" w:sz="4" w:space="0" w:color="auto"/>
            </w:tcBorders>
          </w:tcPr>
          <w:p w14:paraId="3C5E8C5E" w14:textId="77777777" w:rsidR="00ED4E09" w:rsidRPr="000675CD" w:rsidRDefault="00ED4E09" w:rsidP="000675CD">
            <w:pPr>
              <w:spacing w:before="60" w:after="60"/>
              <w:jc w:val="center"/>
              <w:rPr>
                <w:sz w:val="16"/>
                <w:szCs w:val="16"/>
              </w:rPr>
            </w:pPr>
            <w:r w:rsidRPr="000675CD">
              <w:rPr>
                <w:sz w:val="16"/>
                <w:szCs w:val="16"/>
              </w:rPr>
              <w:t xml:space="preserve"> -0.041</w:t>
            </w:r>
          </w:p>
          <w:p w14:paraId="123BB79C" w14:textId="77777777" w:rsidR="00ED4E09" w:rsidRPr="000675CD" w:rsidRDefault="00ED4E09" w:rsidP="000675CD">
            <w:pPr>
              <w:spacing w:before="60" w:after="60"/>
              <w:jc w:val="center"/>
              <w:rPr>
                <w:sz w:val="16"/>
                <w:szCs w:val="16"/>
              </w:rPr>
            </w:pPr>
            <w:r w:rsidRPr="000675CD">
              <w:rPr>
                <w:sz w:val="16"/>
                <w:szCs w:val="16"/>
              </w:rPr>
              <w:t>(-0.459)</w:t>
            </w:r>
          </w:p>
        </w:tc>
        <w:tc>
          <w:tcPr>
            <w:tcW w:w="850" w:type="dxa"/>
            <w:tcBorders>
              <w:left w:val="single" w:sz="4" w:space="0" w:color="auto"/>
            </w:tcBorders>
          </w:tcPr>
          <w:p w14:paraId="17FF9DC3" w14:textId="77777777" w:rsidR="00ED4E09" w:rsidRPr="001D555E" w:rsidRDefault="00ED4E09" w:rsidP="000675CD">
            <w:pPr>
              <w:spacing w:before="60" w:after="60"/>
              <w:jc w:val="center"/>
              <w:rPr>
                <w:sz w:val="16"/>
                <w:szCs w:val="16"/>
              </w:rPr>
            </w:pPr>
            <w:r w:rsidRPr="001D555E">
              <w:rPr>
                <w:sz w:val="16"/>
                <w:szCs w:val="16"/>
              </w:rPr>
              <w:t xml:space="preserve"> 0.543</w:t>
            </w:r>
          </w:p>
          <w:p w14:paraId="4453FD42" w14:textId="77777777" w:rsidR="00ED4E09" w:rsidRPr="008C56CC" w:rsidRDefault="00ED4E09" w:rsidP="000675CD">
            <w:pPr>
              <w:spacing w:before="60" w:after="60"/>
              <w:jc w:val="center"/>
              <w:rPr>
                <w:sz w:val="16"/>
                <w:szCs w:val="16"/>
              </w:rPr>
            </w:pPr>
            <w:r w:rsidRPr="008C56CC">
              <w:rPr>
                <w:sz w:val="16"/>
                <w:szCs w:val="16"/>
              </w:rPr>
              <w:t>(1.468)</w:t>
            </w:r>
          </w:p>
        </w:tc>
        <w:tc>
          <w:tcPr>
            <w:tcW w:w="851" w:type="dxa"/>
            <w:tcBorders>
              <w:right w:val="single" w:sz="4" w:space="0" w:color="auto"/>
            </w:tcBorders>
          </w:tcPr>
          <w:p w14:paraId="6527A863" w14:textId="77777777" w:rsidR="00ED4E09" w:rsidRPr="000675CD" w:rsidRDefault="00ED4E09" w:rsidP="000675CD">
            <w:pPr>
              <w:spacing w:before="60" w:after="60"/>
              <w:jc w:val="center"/>
              <w:rPr>
                <w:sz w:val="16"/>
                <w:szCs w:val="16"/>
              </w:rPr>
            </w:pPr>
            <w:r w:rsidRPr="000675CD">
              <w:rPr>
                <w:sz w:val="16"/>
                <w:szCs w:val="16"/>
              </w:rPr>
              <w:t>0.399***</w:t>
            </w:r>
          </w:p>
          <w:p w14:paraId="3D73CEE2" w14:textId="77777777" w:rsidR="00ED4E09" w:rsidRPr="000675CD" w:rsidRDefault="00ED4E09" w:rsidP="000675CD">
            <w:pPr>
              <w:spacing w:before="60" w:after="60"/>
              <w:jc w:val="center"/>
              <w:rPr>
                <w:sz w:val="16"/>
                <w:szCs w:val="16"/>
              </w:rPr>
            </w:pPr>
            <w:r w:rsidRPr="000675CD">
              <w:rPr>
                <w:sz w:val="16"/>
                <w:szCs w:val="16"/>
              </w:rPr>
              <w:t xml:space="preserve">(2.737) </w:t>
            </w:r>
          </w:p>
        </w:tc>
        <w:tc>
          <w:tcPr>
            <w:tcW w:w="850" w:type="dxa"/>
            <w:tcBorders>
              <w:left w:val="single" w:sz="4" w:space="0" w:color="auto"/>
            </w:tcBorders>
          </w:tcPr>
          <w:p w14:paraId="1ED483AE" w14:textId="77777777" w:rsidR="00ED4E09" w:rsidRPr="000675CD" w:rsidRDefault="00ED4E09" w:rsidP="000675CD">
            <w:pPr>
              <w:spacing w:before="60" w:after="60"/>
              <w:jc w:val="center"/>
              <w:rPr>
                <w:sz w:val="16"/>
                <w:szCs w:val="16"/>
              </w:rPr>
            </w:pPr>
            <w:r w:rsidRPr="000675CD">
              <w:rPr>
                <w:sz w:val="16"/>
                <w:szCs w:val="16"/>
              </w:rPr>
              <w:t xml:space="preserve"> -1.94***</w:t>
            </w:r>
          </w:p>
          <w:p w14:paraId="59CC59F0" w14:textId="77777777" w:rsidR="00ED4E09" w:rsidRPr="000675CD" w:rsidRDefault="00ED4E09" w:rsidP="000675CD">
            <w:pPr>
              <w:spacing w:before="60" w:after="60"/>
              <w:jc w:val="center"/>
              <w:rPr>
                <w:sz w:val="16"/>
                <w:szCs w:val="16"/>
              </w:rPr>
            </w:pPr>
            <w:r w:rsidRPr="000675CD">
              <w:rPr>
                <w:sz w:val="16"/>
                <w:szCs w:val="16"/>
              </w:rPr>
              <w:t>(-4.719)</w:t>
            </w:r>
          </w:p>
        </w:tc>
        <w:tc>
          <w:tcPr>
            <w:tcW w:w="993" w:type="dxa"/>
            <w:tcBorders>
              <w:right w:val="single" w:sz="4" w:space="0" w:color="auto"/>
            </w:tcBorders>
          </w:tcPr>
          <w:p w14:paraId="0FA34114" w14:textId="77777777" w:rsidR="00ED4E09" w:rsidRPr="000675CD" w:rsidRDefault="00ED4E09" w:rsidP="000675CD">
            <w:pPr>
              <w:spacing w:before="60" w:after="60"/>
              <w:rPr>
                <w:sz w:val="16"/>
                <w:szCs w:val="16"/>
              </w:rPr>
            </w:pPr>
            <w:r w:rsidRPr="000675CD">
              <w:rPr>
                <w:sz w:val="16"/>
                <w:szCs w:val="16"/>
              </w:rPr>
              <w:t>-1.072***</w:t>
            </w:r>
          </w:p>
          <w:p w14:paraId="05045D88" w14:textId="77777777" w:rsidR="00ED4E09" w:rsidRPr="000675CD" w:rsidRDefault="00ED4E09" w:rsidP="000675CD">
            <w:pPr>
              <w:spacing w:before="60" w:after="60"/>
              <w:jc w:val="center"/>
              <w:rPr>
                <w:sz w:val="16"/>
                <w:szCs w:val="16"/>
              </w:rPr>
            </w:pPr>
            <w:r w:rsidRPr="000675CD">
              <w:rPr>
                <w:sz w:val="16"/>
                <w:szCs w:val="16"/>
              </w:rPr>
              <w:t>(-2.877)</w:t>
            </w:r>
          </w:p>
        </w:tc>
        <w:tc>
          <w:tcPr>
            <w:tcW w:w="992" w:type="dxa"/>
            <w:tcBorders>
              <w:left w:val="single" w:sz="4" w:space="0" w:color="auto"/>
            </w:tcBorders>
            <w:vAlign w:val="center"/>
          </w:tcPr>
          <w:p w14:paraId="1384E5E7" w14:textId="77777777" w:rsidR="00ED4E09" w:rsidRPr="000675CD" w:rsidRDefault="00ED4E09" w:rsidP="000675CD">
            <w:pPr>
              <w:spacing w:before="60" w:after="60"/>
              <w:jc w:val="center"/>
              <w:rPr>
                <w:sz w:val="16"/>
                <w:szCs w:val="16"/>
              </w:rPr>
            </w:pPr>
            <w:r w:rsidRPr="000675CD">
              <w:rPr>
                <w:sz w:val="16"/>
                <w:szCs w:val="16"/>
              </w:rPr>
              <w:t>-0.145</w:t>
            </w:r>
          </w:p>
          <w:p w14:paraId="6C748AEF" w14:textId="77777777" w:rsidR="00ED4E09" w:rsidRPr="000675CD" w:rsidRDefault="00ED4E09" w:rsidP="000675CD">
            <w:pPr>
              <w:spacing w:before="60" w:after="60"/>
              <w:jc w:val="center"/>
              <w:rPr>
                <w:sz w:val="16"/>
                <w:szCs w:val="16"/>
              </w:rPr>
            </w:pPr>
            <w:r w:rsidRPr="000675CD">
              <w:rPr>
                <w:sz w:val="16"/>
                <w:szCs w:val="16"/>
              </w:rPr>
              <w:t>(0.510)</w:t>
            </w:r>
          </w:p>
        </w:tc>
        <w:tc>
          <w:tcPr>
            <w:tcW w:w="850" w:type="dxa"/>
            <w:tcBorders>
              <w:right w:val="single" w:sz="4" w:space="0" w:color="auto"/>
            </w:tcBorders>
            <w:vAlign w:val="center"/>
          </w:tcPr>
          <w:p w14:paraId="4E02DF9F" w14:textId="77777777" w:rsidR="00ED4E09" w:rsidRPr="000675CD" w:rsidRDefault="00ED4E09" w:rsidP="000675CD">
            <w:pPr>
              <w:spacing w:before="60" w:after="60"/>
              <w:jc w:val="center"/>
              <w:rPr>
                <w:sz w:val="16"/>
                <w:szCs w:val="16"/>
              </w:rPr>
            </w:pPr>
            <w:r w:rsidRPr="000675CD">
              <w:rPr>
                <w:sz w:val="16"/>
                <w:szCs w:val="16"/>
              </w:rPr>
              <w:t>0.641**</w:t>
            </w:r>
          </w:p>
          <w:p w14:paraId="5F49A6B5" w14:textId="77777777" w:rsidR="00ED4E09" w:rsidRPr="000675CD" w:rsidRDefault="00ED4E09" w:rsidP="000675CD">
            <w:pPr>
              <w:spacing w:before="60" w:after="60"/>
              <w:jc w:val="center"/>
              <w:rPr>
                <w:sz w:val="16"/>
                <w:szCs w:val="16"/>
              </w:rPr>
            </w:pPr>
            <w:r w:rsidRPr="000675CD">
              <w:rPr>
                <w:sz w:val="16"/>
                <w:szCs w:val="16"/>
              </w:rPr>
              <w:t>(2.557)</w:t>
            </w:r>
          </w:p>
        </w:tc>
        <w:tc>
          <w:tcPr>
            <w:tcW w:w="851" w:type="dxa"/>
            <w:tcBorders>
              <w:left w:val="single" w:sz="4" w:space="0" w:color="auto"/>
            </w:tcBorders>
            <w:vAlign w:val="center"/>
          </w:tcPr>
          <w:p w14:paraId="278D66B1" w14:textId="77777777" w:rsidR="00ED4E09" w:rsidRPr="000675CD" w:rsidRDefault="00ED4E09" w:rsidP="000675CD">
            <w:pPr>
              <w:spacing w:before="60" w:after="60"/>
              <w:jc w:val="center"/>
              <w:rPr>
                <w:sz w:val="16"/>
                <w:szCs w:val="16"/>
              </w:rPr>
            </w:pPr>
            <w:r w:rsidRPr="000675CD">
              <w:rPr>
                <w:sz w:val="16"/>
                <w:szCs w:val="16"/>
              </w:rPr>
              <w:t xml:space="preserve"> -0.410</w:t>
            </w:r>
          </w:p>
          <w:p w14:paraId="76A94E38" w14:textId="77777777" w:rsidR="00ED4E09" w:rsidRPr="000675CD" w:rsidRDefault="00ED4E09" w:rsidP="000675CD">
            <w:pPr>
              <w:spacing w:before="60" w:after="60"/>
              <w:jc w:val="center"/>
              <w:rPr>
                <w:sz w:val="16"/>
                <w:szCs w:val="16"/>
              </w:rPr>
            </w:pPr>
            <w:r w:rsidRPr="000675CD">
              <w:rPr>
                <w:sz w:val="16"/>
                <w:szCs w:val="16"/>
              </w:rPr>
              <w:t>(-1.007)</w:t>
            </w:r>
          </w:p>
        </w:tc>
        <w:tc>
          <w:tcPr>
            <w:tcW w:w="850" w:type="dxa"/>
            <w:tcBorders>
              <w:right w:val="single" w:sz="4" w:space="0" w:color="auto"/>
            </w:tcBorders>
            <w:vAlign w:val="center"/>
          </w:tcPr>
          <w:p w14:paraId="582AA3D7" w14:textId="77777777" w:rsidR="00ED4E09" w:rsidRPr="000675CD" w:rsidRDefault="00ED4E09" w:rsidP="000675CD">
            <w:pPr>
              <w:spacing w:before="60" w:after="60"/>
              <w:jc w:val="center"/>
              <w:rPr>
                <w:sz w:val="16"/>
                <w:szCs w:val="16"/>
              </w:rPr>
            </w:pPr>
            <w:r w:rsidRPr="000675CD">
              <w:rPr>
                <w:sz w:val="16"/>
                <w:szCs w:val="16"/>
              </w:rPr>
              <w:t>0.626***</w:t>
            </w:r>
          </w:p>
          <w:p w14:paraId="76DC65B7" w14:textId="77777777" w:rsidR="00ED4E09" w:rsidRPr="000675CD" w:rsidRDefault="00ED4E09" w:rsidP="000675CD">
            <w:pPr>
              <w:spacing w:before="60" w:after="60"/>
              <w:jc w:val="center"/>
              <w:rPr>
                <w:sz w:val="16"/>
                <w:szCs w:val="16"/>
              </w:rPr>
            </w:pPr>
            <w:r w:rsidRPr="000675CD">
              <w:rPr>
                <w:sz w:val="16"/>
                <w:szCs w:val="16"/>
              </w:rPr>
              <w:t xml:space="preserve">(2.964) </w:t>
            </w:r>
          </w:p>
        </w:tc>
        <w:tc>
          <w:tcPr>
            <w:tcW w:w="993" w:type="dxa"/>
            <w:tcBorders>
              <w:left w:val="single" w:sz="4" w:space="0" w:color="auto"/>
            </w:tcBorders>
            <w:vAlign w:val="center"/>
          </w:tcPr>
          <w:p w14:paraId="00370BEE" w14:textId="77777777" w:rsidR="00ED4E09" w:rsidRPr="000675CD" w:rsidRDefault="00ED4E09" w:rsidP="000675CD">
            <w:pPr>
              <w:spacing w:before="60" w:after="60"/>
              <w:jc w:val="center"/>
              <w:rPr>
                <w:sz w:val="16"/>
                <w:szCs w:val="16"/>
              </w:rPr>
            </w:pPr>
            <w:r w:rsidRPr="000675CD">
              <w:rPr>
                <w:sz w:val="16"/>
                <w:szCs w:val="16"/>
              </w:rPr>
              <w:t>1.148***</w:t>
            </w:r>
          </w:p>
          <w:p w14:paraId="5AD1530B" w14:textId="77777777" w:rsidR="00ED4E09" w:rsidRPr="000675CD" w:rsidRDefault="00ED4E09" w:rsidP="000675CD">
            <w:pPr>
              <w:spacing w:before="60" w:after="60"/>
              <w:jc w:val="center"/>
              <w:rPr>
                <w:sz w:val="16"/>
                <w:szCs w:val="16"/>
              </w:rPr>
            </w:pPr>
            <w:r w:rsidRPr="000675CD">
              <w:rPr>
                <w:sz w:val="16"/>
                <w:szCs w:val="16"/>
              </w:rPr>
              <w:t xml:space="preserve">(8.441) </w:t>
            </w:r>
          </w:p>
        </w:tc>
        <w:tc>
          <w:tcPr>
            <w:tcW w:w="850" w:type="dxa"/>
            <w:vAlign w:val="center"/>
          </w:tcPr>
          <w:p w14:paraId="2B6BC5EF" w14:textId="77777777" w:rsidR="00ED4E09" w:rsidRPr="000675CD" w:rsidRDefault="00ED4E09" w:rsidP="000675CD">
            <w:pPr>
              <w:spacing w:before="60" w:after="60"/>
              <w:jc w:val="center"/>
              <w:rPr>
                <w:sz w:val="16"/>
                <w:szCs w:val="16"/>
              </w:rPr>
            </w:pPr>
            <w:r w:rsidRPr="000675CD">
              <w:rPr>
                <w:sz w:val="16"/>
                <w:szCs w:val="16"/>
              </w:rPr>
              <w:t>-0.037</w:t>
            </w:r>
          </w:p>
          <w:p w14:paraId="60952A21" w14:textId="77777777" w:rsidR="00ED4E09" w:rsidRPr="000675CD" w:rsidRDefault="00ED4E09" w:rsidP="000675CD">
            <w:pPr>
              <w:spacing w:before="60" w:after="60"/>
              <w:jc w:val="center"/>
              <w:rPr>
                <w:sz w:val="16"/>
                <w:szCs w:val="16"/>
              </w:rPr>
            </w:pPr>
            <w:r w:rsidRPr="000675CD">
              <w:rPr>
                <w:sz w:val="16"/>
                <w:szCs w:val="16"/>
              </w:rPr>
              <w:t xml:space="preserve">(-0.385) </w:t>
            </w:r>
          </w:p>
        </w:tc>
      </w:tr>
      <w:tr w:rsidR="00ED4E09" w:rsidRPr="001D555E" w14:paraId="4D7C30AB" w14:textId="77777777" w:rsidTr="000675CD">
        <w:tc>
          <w:tcPr>
            <w:tcW w:w="1276" w:type="dxa"/>
            <w:tcBorders>
              <w:right w:val="single" w:sz="4" w:space="0" w:color="auto"/>
            </w:tcBorders>
            <w:vAlign w:val="center"/>
          </w:tcPr>
          <w:p w14:paraId="61861CEF" w14:textId="77777777" w:rsidR="00ED4E09" w:rsidRPr="001D555E" w:rsidRDefault="00000000" w:rsidP="000675CD">
            <w:pPr>
              <w:tabs>
                <w:tab w:val="center" w:pos="4153"/>
                <w:tab w:val="right" w:pos="8306"/>
              </w:tabs>
              <w:spacing w:before="60" w:after="60"/>
              <w:rPr>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Spurt</m:t>
                    </m:r>
                  </m:e>
                  <m:sub>
                    <m:r>
                      <w:rPr>
                        <w:rFonts w:ascii="Cambria Math" w:hAnsi="Cambria Math"/>
                        <w:sz w:val="20"/>
                        <w:szCs w:val="20"/>
                      </w:rPr>
                      <m:t>t</m:t>
                    </m:r>
                  </m:sub>
                </m:sSub>
              </m:oMath>
            </m:oMathPara>
          </w:p>
        </w:tc>
        <w:tc>
          <w:tcPr>
            <w:tcW w:w="851" w:type="dxa"/>
            <w:tcBorders>
              <w:left w:val="single" w:sz="4" w:space="0" w:color="auto"/>
            </w:tcBorders>
          </w:tcPr>
          <w:p w14:paraId="7110E678" w14:textId="77777777" w:rsidR="00ED4E09" w:rsidRPr="000675CD" w:rsidRDefault="00ED4E09" w:rsidP="000675CD">
            <w:pPr>
              <w:spacing w:before="60" w:after="60"/>
              <w:jc w:val="center"/>
              <w:rPr>
                <w:sz w:val="16"/>
                <w:szCs w:val="16"/>
              </w:rPr>
            </w:pPr>
            <w:r w:rsidRPr="000675CD">
              <w:rPr>
                <w:sz w:val="16"/>
                <w:szCs w:val="16"/>
              </w:rPr>
              <w:t xml:space="preserve"> 1.050</w:t>
            </w:r>
          </w:p>
          <w:p w14:paraId="30668E25" w14:textId="77777777" w:rsidR="00ED4E09" w:rsidRPr="001D555E" w:rsidRDefault="00ED4E09" w:rsidP="000675CD">
            <w:pPr>
              <w:spacing w:before="60" w:after="60"/>
              <w:jc w:val="center"/>
              <w:rPr>
                <w:sz w:val="16"/>
                <w:szCs w:val="16"/>
              </w:rPr>
            </w:pPr>
            <w:r w:rsidRPr="000675CD">
              <w:rPr>
                <w:sz w:val="16"/>
                <w:szCs w:val="16"/>
              </w:rPr>
              <w:t>(1.481)</w:t>
            </w:r>
          </w:p>
        </w:tc>
        <w:tc>
          <w:tcPr>
            <w:tcW w:w="850" w:type="dxa"/>
            <w:tcBorders>
              <w:right w:val="single" w:sz="4" w:space="0" w:color="auto"/>
            </w:tcBorders>
          </w:tcPr>
          <w:p w14:paraId="6967E15A" w14:textId="77777777" w:rsidR="00ED4E09" w:rsidRPr="000675CD" w:rsidRDefault="00ED4E09" w:rsidP="000675CD">
            <w:pPr>
              <w:spacing w:before="60" w:after="60"/>
              <w:jc w:val="center"/>
              <w:rPr>
                <w:sz w:val="16"/>
                <w:szCs w:val="16"/>
              </w:rPr>
            </w:pPr>
            <w:r w:rsidRPr="000675CD">
              <w:rPr>
                <w:sz w:val="16"/>
                <w:szCs w:val="16"/>
              </w:rPr>
              <w:t>3.059***</w:t>
            </w:r>
          </w:p>
          <w:p w14:paraId="513D3793" w14:textId="77777777" w:rsidR="00ED4E09" w:rsidRPr="000675CD" w:rsidRDefault="00ED4E09" w:rsidP="000675CD">
            <w:pPr>
              <w:spacing w:before="60" w:after="60"/>
              <w:jc w:val="center"/>
              <w:rPr>
                <w:sz w:val="16"/>
                <w:szCs w:val="16"/>
              </w:rPr>
            </w:pPr>
            <w:r w:rsidRPr="000675CD">
              <w:rPr>
                <w:sz w:val="16"/>
                <w:szCs w:val="16"/>
              </w:rPr>
              <w:t xml:space="preserve">(4.212) </w:t>
            </w:r>
          </w:p>
        </w:tc>
        <w:tc>
          <w:tcPr>
            <w:tcW w:w="851" w:type="dxa"/>
            <w:tcBorders>
              <w:left w:val="single" w:sz="4" w:space="0" w:color="auto"/>
            </w:tcBorders>
          </w:tcPr>
          <w:p w14:paraId="3489E23D" w14:textId="77777777" w:rsidR="00ED4E09" w:rsidRPr="000675CD" w:rsidRDefault="00ED4E09" w:rsidP="000675CD">
            <w:pPr>
              <w:spacing w:before="60" w:after="60"/>
              <w:jc w:val="center"/>
              <w:rPr>
                <w:sz w:val="16"/>
                <w:szCs w:val="16"/>
              </w:rPr>
            </w:pPr>
            <w:r w:rsidRPr="000675CD">
              <w:rPr>
                <w:sz w:val="16"/>
                <w:szCs w:val="16"/>
              </w:rPr>
              <w:t xml:space="preserve"> 0.356**</w:t>
            </w:r>
          </w:p>
          <w:p w14:paraId="28B8FDDA" w14:textId="77777777" w:rsidR="00ED4E09" w:rsidRPr="000675CD" w:rsidRDefault="00ED4E09" w:rsidP="000675CD">
            <w:pPr>
              <w:spacing w:before="60" w:after="60"/>
              <w:jc w:val="center"/>
              <w:rPr>
                <w:sz w:val="16"/>
                <w:szCs w:val="16"/>
              </w:rPr>
            </w:pPr>
            <w:r w:rsidRPr="000675CD">
              <w:rPr>
                <w:sz w:val="16"/>
                <w:szCs w:val="16"/>
              </w:rPr>
              <w:t>(2.213)</w:t>
            </w:r>
          </w:p>
        </w:tc>
        <w:tc>
          <w:tcPr>
            <w:tcW w:w="992" w:type="dxa"/>
            <w:tcBorders>
              <w:right w:val="single" w:sz="4" w:space="0" w:color="auto"/>
            </w:tcBorders>
          </w:tcPr>
          <w:p w14:paraId="5BEF56CE" w14:textId="77777777" w:rsidR="00ED4E09" w:rsidRPr="000675CD" w:rsidRDefault="00ED4E09" w:rsidP="000675CD">
            <w:pPr>
              <w:spacing w:before="60" w:after="60"/>
              <w:jc w:val="center"/>
              <w:rPr>
                <w:sz w:val="16"/>
                <w:szCs w:val="16"/>
              </w:rPr>
            </w:pPr>
            <w:r w:rsidRPr="000675CD">
              <w:rPr>
                <w:sz w:val="16"/>
                <w:szCs w:val="16"/>
              </w:rPr>
              <w:t>0.477***</w:t>
            </w:r>
          </w:p>
          <w:p w14:paraId="07E20909" w14:textId="77777777" w:rsidR="00ED4E09" w:rsidRPr="000675CD" w:rsidRDefault="00ED4E09" w:rsidP="000675CD">
            <w:pPr>
              <w:spacing w:before="60" w:after="60"/>
              <w:jc w:val="center"/>
              <w:rPr>
                <w:sz w:val="16"/>
                <w:szCs w:val="16"/>
              </w:rPr>
            </w:pPr>
            <w:r w:rsidRPr="000675CD">
              <w:rPr>
                <w:sz w:val="16"/>
                <w:szCs w:val="16"/>
              </w:rPr>
              <w:t xml:space="preserve">(6.496) </w:t>
            </w:r>
          </w:p>
        </w:tc>
        <w:tc>
          <w:tcPr>
            <w:tcW w:w="850" w:type="dxa"/>
            <w:tcBorders>
              <w:left w:val="single" w:sz="4" w:space="0" w:color="auto"/>
            </w:tcBorders>
          </w:tcPr>
          <w:p w14:paraId="05815CD7" w14:textId="77777777" w:rsidR="00ED4E09" w:rsidRPr="000675CD" w:rsidRDefault="00ED4E09" w:rsidP="000675CD">
            <w:pPr>
              <w:spacing w:before="60" w:after="60"/>
              <w:jc w:val="center"/>
              <w:rPr>
                <w:sz w:val="16"/>
                <w:szCs w:val="16"/>
              </w:rPr>
            </w:pPr>
            <w:r w:rsidRPr="000675CD">
              <w:rPr>
                <w:sz w:val="16"/>
                <w:szCs w:val="16"/>
              </w:rPr>
              <w:t xml:space="preserve"> 0.268</w:t>
            </w:r>
          </w:p>
          <w:p w14:paraId="4ED34AEB" w14:textId="77777777" w:rsidR="00ED4E09" w:rsidRPr="001D555E" w:rsidRDefault="00ED4E09" w:rsidP="000675CD">
            <w:pPr>
              <w:spacing w:before="60" w:after="60"/>
              <w:jc w:val="center"/>
              <w:rPr>
                <w:sz w:val="16"/>
                <w:szCs w:val="16"/>
              </w:rPr>
            </w:pPr>
            <w:r w:rsidRPr="000675CD">
              <w:rPr>
                <w:sz w:val="16"/>
                <w:szCs w:val="16"/>
              </w:rPr>
              <w:t>(1.183)</w:t>
            </w:r>
          </w:p>
        </w:tc>
        <w:tc>
          <w:tcPr>
            <w:tcW w:w="851" w:type="dxa"/>
            <w:tcBorders>
              <w:right w:val="single" w:sz="4" w:space="0" w:color="auto"/>
            </w:tcBorders>
          </w:tcPr>
          <w:p w14:paraId="1AEDF6A9" w14:textId="77777777" w:rsidR="00ED4E09" w:rsidRPr="000675CD" w:rsidRDefault="00ED4E09" w:rsidP="000675CD">
            <w:pPr>
              <w:spacing w:before="60" w:after="60"/>
              <w:jc w:val="center"/>
              <w:rPr>
                <w:sz w:val="16"/>
                <w:szCs w:val="16"/>
              </w:rPr>
            </w:pPr>
            <w:r w:rsidRPr="000675CD">
              <w:rPr>
                <w:sz w:val="16"/>
                <w:szCs w:val="16"/>
              </w:rPr>
              <w:t>1.255***</w:t>
            </w:r>
          </w:p>
          <w:p w14:paraId="361C6A57" w14:textId="77777777" w:rsidR="00ED4E09" w:rsidRPr="000675CD" w:rsidRDefault="00ED4E09" w:rsidP="000675CD">
            <w:pPr>
              <w:spacing w:before="60" w:after="60"/>
              <w:jc w:val="center"/>
              <w:rPr>
                <w:sz w:val="16"/>
                <w:szCs w:val="16"/>
              </w:rPr>
            </w:pPr>
            <w:r w:rsidRPr="000675CD">
              <w:rPr>
                <w:sz w:val="16"/>
                <w:szCs w:val="16"/>
              </w:rPr>
              <w:t xml:space="preserve">(3.419) </w:t>
            </w:r>
          </w:p>
        </w:tc>
        <w:tc>
          <w:tcPr>
            <w:tcW w:w="850" w:type="dxa"/>
            <w:tcBorders>
              <w:left w:val="single" w:sz="4" w:space="0" w:color="auto"/>
            </w:tcBorders>
          </w:tcPr>
          <w:p w14:paraId="7B28673D" w14:textId="77777777" w:rsidR="00ED4E09" w:rsidRPr="000675CD" w:rsidRDefault="00ED4E09" w:rsidP="000675CD">
            <w:pPr>
              <w:spacing w:before="60" w:after="60"/>
              <w:rPr>
                <w:sz w:val="16"/>
                <w:szCs w:val="16"/>
              </w:rPr>
            </w:pPr>
            <w:r w:rsidRPr="000675CD">
              <w:rPr>
                <w:sz w:val="16"/>
                <w:szCs w:val="16"/>
              </w:rPr>
              <w:t>2.176***</w:t>
            </w:r>
          </w:p>
          <w:p w14:paraId="580D94FB" w14:textId="77777777" w:rsidR="00ED4E09" w:rsidRPr="000675CD" w:rsidRDefault="00ED4E09" w:rsidP="000675CD">
            <w:pPr>
              <w:spacing w:before="60" w:after="60"/>
              <w:jc w:val="center"/>
              <w:rPr>
                <w:sz w:val="16"/>
                <w:szCs w:val="16"/>
              </w:rPr>
            </w:pPr>
            <w:r w:rsidRPr="000675CD">
              <w:rPr>
                <w:sz w:val="16"/>
                <w:szCs w:val="16"/>
              </w:rPr>
              <w:t>(8.465)</w:t>
            </w:r>
          </w:p>
        </w:tc>
        <w:tc>
          <w:tcPr>
            <w:tcW w:w="993" w:type="dxa"/>
            <w:tcBorders>
              <w:right w:val="single" w:sz="4" w:space="0" w:color="auto"/>
            </w:tcBorders>
          </w:tcPr>
          <w:p w14:paraId="1C194AE9" w14:textId="77777777" w:rsidR="00ED4E09" w:rsidRPr="000675CD" w:rsidRDefault="00ED4E09" w:rsidP="000675CD">
            <w:pPr>
              <w:spacing w:before="60" w:after="60"/>
              <w:jc w:val="center"/>
              <w:rPr>
                <w:sz w:val="16"/>
                <w:szCs w:val="16"/>
              </w:rPr>
            </w:pPr>
            <w:r w:rsidRPr="000675CD">
              <w:rPr>
                <w:sz w:val="16"/>
                <w:szCs w:val="16"/>
              </w:rPr>
              <w:t>1.215***</w:t>
            </w:r>
          </w:p>
          <w:p w14:paraId="115B8B70" w14:textId="77777777" w:rsidR="00ED4E09" w:rsidRPr="000675CD" w:rsidRDefault="00ED4E09" w:rsidP="000675CD">
            <w:pPr>
              <w:spacing w:before="60" w:after="60"/>
              <w:jc w:val="center"/>
              <w:rPr>
                <w:sz w:val="16"/>
                <w:szCs w:val="16"/>
              </w:rPr>
            </w:pPr>
            <w:r w:rsidRPr="000675CD">
              <w:rPr>
                <w:sz w:val="16"/>
                <w:szCs w:val="16"/>
              </w:rPr>
              <w:t xml:space="preserve">(4.696) </w:t>
            </w:r>
          </w:p>
        </w:tc>
        <w:tc>
          <w:tcPr>
            <w:tcW w:w="992" w:type="dxa"/>
            <w:tcBorders>
              <w:left w:val="single" w:sz="4" w:space="0" w:color="auto"/>
            </w:tcBorders>
            <w:vAlign w:val="center"/>
          </w:tcPr>
          <w:p w14:paraId="00010369" w14:textId="77777777" w:rsidR="00ED4E09" w:rsidRPr="000675CD" w:rsidRDefault="00ED4E09" w:rsidP="000675CD">
            <w:pPr>
              <w:spacing w:before="60" w:after="60"/>
              <w:jc w:val="center"/>
              <w:rPr>
                <w:sz w:val="16"/>
                <w:szCs w:val="16"/>
              </w:rPr>
            </w:pPr>
            <w:r w:rsidRPr="000675CD">
              <w:rPr>
                <w:sz w:val="16"/>
                <w:szCs w:val="16"/>
              </w:rPr>
              <w:t>0.591***</w:t>
            </w:r>
          </w:p>
          <w:p w14:paraId="41EC7DB4" w14:textId="77777777" w:rsidR="00ED4E09" w:rsidRPr="000675CD" w:rsidRDefault="00ED4E09" w:rsidP="000675CD">
            <w:pPr>
              <w:spacing w:before="60" w:after="60"/>
              <w:jc w:val="center"/>
              <w:rPr>
                <w:sz w:val="16"/>
                <w:szCs w:val="16"/>
              </w:rPr>
            </w:pPr>
            <w:r w:rsidRPr="000675CD">
              <w:rPr>
                <w:sz w:val="16"/>
                <w:szCs w:val="16"/>
              </w:rPr>
              <w:t>(5.236)</w:t>
            </w:r>
          </w:p>
        </w:tc>
        <w:tc>
          <w:tcPr>
            <w:tcW w:w="850" w:type="dxa"/>
            <w:tcBorders>
              <w:right w:val="single" w:sz="4" w:space="0" w:color="auto"/>
            </w:tcBorders>
            <w:vAlign w:val="center"/>
          </w:tcPr>
          <w:p w14:paraId="289F42D4" w14:textId="77777777" w:rsidR="00ED4E09" w:rsidRPr="000675CD" w:rsidRDefault="00ED4E09" w:rsidP="000675CD">
            <w:pPr>
              <w:spacing w:before="60" w:after="60"/>
              <w:jc w:val="center"/>
              <w:rPr>
                <w:sz w:val="16"/>
                <w:szCs w:val="16"/>
              </w:rPr>
            </w:pPr>
            <w:r w:rsidRPr="000675CD">
              <w:rPr>
                <w:sz w:val="16"/>
                <w:szCs w:val="16"/>
              </w:rPr>
              <w:t>0.44</w:t>
            </w:r>
          </w:p>
          <w:p w14:paraId="00D37797" w14:textId="77777777" w:rsidR="00ED4E09" w:rsidRPr="001D555E" w:rsidRDefault="00ED4E09" w:rsidP="000675CD">
            <w:pPr>
              <w:spacing w:before="60" w:after="60"/>
              <w:jc w:val="center"/>
              <w:rPr>
                <w:sz w:val="16"/>
                <w:szCs w:val="16"/>
              </w:rPr>
            </w:pPr>
            <w:r w:rsidRPr="000675CD">
              <w:rPr>
                <w:sz w:val="16"/>
                <w:szCs w:val="16"/>
              </w:rPr>
              <w:t>(0.445)</w:t>
            </w:r>
          </w:p>
        </w:tc>
        <w:tc>
          <w:tcPr>
            <w:tcW w:w="851" w:type="dxa"/>
            <w:tcBorders>
              <w:left w:val="single" w:sz="4" w:space="0" w:color="auto"/>
            </w:tcBorders>
            <w:vAlign w:val="center"/>
          </w:tcPr>
          <w:p w14:paraId="4B9F94A7" w14:textId="77777777" w:rsidR="00ED4E09" w:rsidRPr="000675CD" w:rsidRDefault="00ED4E09" w:rsidP="000675CD">
            <w:pPr>
              <w:spacing w:before="60" w:after="60"/>
              <w:rPr>
                <w:sz w:val="16"/>
                <w:szCs w:val="16"/>
              </w:rPr>
            </w:pPr>
            <w:r w:rsidRPr="000675CD">
              <w:rPr>
                <w:sz w:val="16"/>
                <w:szCs w:val="16"/>
              </w:rPr>
              <w:t>1.658***</w:t>
            </w:r>
          </w:p>
          <w:p w14:paraId="4416985F" w14:textId="77777777" w:rsidR="00ED4E09" w:rsidRPr="000675CD" w:rsidRDefault="00ED4E09" w:rsidP="000675CD">
            <w:pPr>
              <w:spacing w:before="60" w:after="60"/>
              <w:jc w:val="center"/>
              <w:rPr>
                <w:sz w:val="16"/>
                <w:szCs w:val="16"/>
              </w:rPr>
            </w:pPr>
            <w:r w:rsidRPr="000675CD">
              <w:rPr>
                <w:sz w:val="16"/>
                <w:szCs w:val="16"/>
              </w:rPr>
              <w:t>(4.259)</w:t>
            </w:r>
          </w:p>
        </w:tc>
        <w:tc>
          <w:tcPr>
            <w:tcW w:w="850" w:type="dxa"/>
            <w:tcBorders>
              <w:right w:val="single" w:sz="4" w:space="0" w:color="auto"/>
            </w:tcBorders>
            <w:vAlign w:val="center"/>
          </w:tcPr>
          <w:p w14:paraId="31E04150" w14:textId="77777777" w:rsidR="00ED4E09" w:rsidRPr="000675CD" w:rsidRDefault="00ED4E09" w:rsidP="000675CD">
            <w:pPr>
              <w:spacing w:before="60" w:after="60"/>
              <w:jc w:val="center"/>
              <w:rPr>
                <w:sz w:val="16"/>
                <w:szCs w:val="16"/>
              </w:rPr>
            </w:pPr>
            <w:r w:rsidRPr="000675CD">
              <w:rPr>
                <w:sz w:val="16"/>
                <w:szCs w:val="16"/>
              </w:rPr>
              <w:t>-0.526**</w:t>
            </w:r>
          </w:p>
          <w:p w14:paraId="03367AE0" w14:textId="77777777" w:rsidR="00ED4E09" w:rsidRPr="000675CD" w:rsidRDefault="00ED4E09" w:rsidP="000675CD">
            <w:pPr>
              <w:spacing w:before="60" w:after="60"/>
              <w:jc w:val="center"/>
              <w:rPr>
                <w:sz w:val="16"/>
                <w:szCs w:val="16"/>
              </w:rPr>
            </w:pPr>
            <w:r w:rsidRPr="000675CD">
              <w:rPr>
                <w:sz w:val="16"/>
                <w:szCs w:val="16"/>
              </w:rPr>
              <w:t xml:space="preserve">(-2.604) </w:t>
            </w:r>
          </w:p>
        </w:tc>
        <w:tc>
          <w:tcPr>
            <w:tcW w:w="993" w:type="dxa"/>
            <w:tcBorders>
              <w:left w:val="single" w:sz="4" w:space="0" w:color="auto"/>
            </w:tcBorders>
            <w:vAlign w:val="center"/>
          </w:tcPr>
          <w:p w14:paraId="5C148A90" w14:textId="77777777" w:rsidR="00ED4E09" w:rsidRPr="000675CD" w:rsidRDefault="00ED4E09" w:rsidP="000675CD">
            <w:pPr>
              <w:spacing w:before="60" w:after="60"/>
              <w:rPr>
                <w:sz w:val="16"/>
                <w:szCs w:val="16"/>
              </w:rPr>
            </w:pPr>
            <w:r w:rsidRPr="000675CD">
              <w:rPr>
                <w:sz w:val="16"/>
                <w:szCs w:val="16"/>
              </w:rPr>
              <w:t>1.806***</w:t>
            </w:r>
          </w:p>
          <w:p w14:paraId="1B149015" w14:textId="77777777" w:rsidR="00ED4E09" w:rsidRPr="000675CD" w:rsidRDefault="00ED4E09" w:rsidP="000675CD">
            <w:pPr>
              <w:spacing w:before="60" w:after="60"/>
              <w:jc w:val="center"/>
              <w:rPr>
                <w:sz w:val="16"/>
                <w:szCs w:val="16"/>
              </w:rPr>
            </w:pPr>
            <w:r w:rsidRPr="000675CD">
              <w:rPr>
                <w:sz w:val="16"/>
                <w:szCs w:val="16"/>
              </w:rPr>
              <w:t>(7.510)</w:t>
            </w:r>
          </w:p>
        </w:tc>
        <w:tc>
          <w:tcPr>
            <w:tcW w:w="850" w:type="dxa"/>
            <w:vAlign w:val="center"/>
          </w:tcPr>
          <w:p w14:paraId="7EE830F8" w14:textId="77777777" w:rsidR="00ED4E09" w:rsidRPr="000675CD" w:rsidRDefault="00ED4E09" w:rsidP="000675CD">
            <w:pPr>
              <w:spacing w:before="60" w:after="60"/>
              <w:jc w:val="center"/>
              <w:rPr>
                <w:sz w:val="16"/>
                <w:szCs w:val="16"/>
              </w:rPr>
            </w:pPr>
            <w:r w:rsidRPr="000675CD">
              <w:rPr>
                <w:sz w:val="16"/>
                <w:szCs w:val="16"/>
              </w:rPr>
              <w:t>2.322***</w:t>
            </w:r>
          </w:p>
          <w:p w14:paraId="2CAB94E7" w14:textId="77777777" w:rsidR="00ED4E09" w:rsidRPr="000675CD" w:rsidRDefault="00ED4E09" w:rsidP="000675CD">
            <w:pPr>
              <w:spacing w:before="60" w:after="60"/>
              <w:jc w:val="center"/>
              <w:rPr>
                <w:sz w:val="16"/>
                <w:szCs w:val="16"/>
              </w:rPr>
            </w:pPr>
            <w:r w:rsidRPr="000675CD">
              <w:rPr>
                <w:sz w:val="16"/>
                <w:szCs w:val="16"/>
              </w:rPr>
              <w:t xml:space="preserve">(7.438) </w:t>
            </w:r>
          </w:p>
        </w:tc>
      </w:tr>
      <w:tr w:rsidR="00ED4E09" w:rsidRPr="001D555E" w14:paraId="2B0BCAAF" w14:textId="77777777" w:rsidTr="000675CD">
        <w:tc>
          <w:tcPr>
            <w:tcW w:w="1276" w:type="dxa"/>
            <w:tcBorders>
              <w:right w:val="single" w:sz="4" w:space="0" w:color="auto"/>
            </w:tcBorders>
            <w:vAlign w:val="center"/>
          </w:tcPr>
          <w:p w14:paraId="3063E64A" w14:textId="77777777" w:rsidR="00ED4E09" w:rsidRPr="001D555E" w:rsidRDefault="00000000" w:rsidP="000675CD">
            <w:pPr>
              <w:tabs>
                <w:tab w:val="center" w:pos="4153"/>
                <w:tab w:val="right" w:pos="8306"/>
              </w:tabs>
              <w:spacing w:before="60" w:after="60"/>
              <w:rPr>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t</m:t>
                    </m:r>
                  </m:sub>
                </m:sSub>
              </m:oMath>
            </m:oMathPara>
          </w:p>
        </w:tc>
        <w:tc>
          <w:tcPr>
            <w:tcW w:w="851" w:type="dxa"/>
            <w:tcBorders>
              <w:left w:val="single" w:sz="4" w:space="0" w:color="auto"/>
            </w:tcBorders>
          </w:tcPr>
          <w:p w14:paraId="03867A61" w14:textId="77777777" w:rsidR="00ED4E09" w:rsidRPr="000675CD" w:rsidRDefault="00ED4E09" w:rsidP="000675CD">
            <w:pPr>
              <w:spacing w:before="60" w:after="60"/>
              <w:jc w:val="center"/>
              <w:rPr>
                <w:sz w:val="16"/>
                <w:szCs w:val="16"/>
              </w:rPr>
            </w:pPr>
            <w:r w:rsidRPr="000675CD">
              <w:rPr>
                <w:sz w:val="16"/>
                <w:szCs w:val="16"/>
              </w:rPr>
              <w:t xml:space="preserve"> -0.09***</w:t>
            </w:r>
          </w:p>
          <w:p w14:paraId="59119861" w14:textId="77777777" w:rsidR="00ED4E09" w:rsidRPr="000675CD" w:rsidRDefault="00ED4E09" w:rsidP="000675CD">
            <w:pPr>
              <w:spacing w:before="60" w:after="60"/>
              <w:jc w:val="center"/>
              <w:rPr>
                <w:sz w:val="16"/>
                <w:szCs w:val="16"/>
              </w:rPr>
            </w:pPr>
            <w:r w:rsidRPr="000675CD">
              <w:rPr>
                <w:sz w:val="16"/>
                <w:szCs w:val="16"/>
              </w:rPr>
              <w:t>(-3.23)</w:t>
            </w:r>
          </w:p>
        </w:tc>
        <w:tc>
          <w:tcPr>
            <w:tcW w:w="850" w:type="dxa"/>
            <w:tcBorders>
              <w:right w:val="single" w:sz="4" w:space="0" w:color="auto"/>
            </w:tcBorders>
          </w:tcPr>
          <w:p w14:paraId="130FA379" w14:textId="77777777" w:rsidR="00ED4E09" w:rsidRPr="000675CD" w:rsidRDefault="00ED4E09" w:rsidP="000675CD">
            <w:pPr>
              <w:spacing w:before="60" w:after="60"/>
              <w:jc w:val="center"/>
              <w:rPr>
                <w:sz w:val="16"/>
                <w:szCs w:val="16"/>
              </w:rPr>
            </w:pPr>
            <w:r w:rsidRPr="000675CD">
              <w:rPr>
                <w:sz w:val="16"/>
                <w:szCs w:val="16"/>
              </w:rPr>
              <w:t>0.005</w:t>
            </w:r>
          </w:p>
          <w:p w14:paraId="59FF1174" w14:textId="77777777" w:rsidR="00ED4E09" w:rsidRPr="000675CD" w:rsidRDefault="00ED4E09" w:rsidP="000675CD">
            <w:pPr>
              <w:spacing w:before="60" w:after="60"/>
              <w:jc w:val="center"/>
              <w:rPr>
                <w:sz w:val="16"/>
                <w:szCs w:val="16"/>
              </w:rPr>
            </w:pPr>
            <w:r w:rsidRPr="000675CD">
              <w:rPr>
                <w:sz w:val="16"/>
                <w:szCs w:val="16"/>
              </w:rPr>
              <w:t xml:space="preserve">(0.256) </w:t>
            </w:r>
          </w:p>
        </w:tc>
        <w:tc>
          <w:tcPr>
            <w:tcW w:w="851" w:type="dxa"/>
            <w:tcBorders>
              <w:left w:val="single" w:sz="4" w:space="0" w:color="auto"/>
            </w:tcBorders>
          </w:tcPr>
          <w:p w14:paraId="294D6755" w14:textId="77777777" w:rsidR="00ED4E09" w:rsidRPr="000675CD" w:rsidRDefault="00ED4E09" w:rsidP="000675CD">
            <w:pPr>
              <w:spacing w:before="60" w:after="60"/>
              <w:jc w:val="center"/>
              <w:rPr>
                <w:sz w:val="16"/>
                <w:szCs w:val="16"/>
              </w:rPr>
            </w:pPr>
            <w:r w:rsidRPr="000675CD">
              <w:rPr>
                <w:sz w:val="16"/>
                <w:szCs w:val="16"/>
              </w:rPr>
              <w:t>0.034***</w:t>
            </w:r>
          </w:p>
          <w:p w14:paraId="1981F9B4" w14:textId="77777777" w:rsidR="00ED4E09" w:rsidRPr="000675CD" w:rsidRDefault="00ED4E09" w:rsidP="000675CD">
            <w:pPr>
              <w:spacing w:before="60" w:after="60"/>
              <w:jc w:val="center"/>
              <w:rPr>
                <w:sz w:val="16"/>
                <w:szCs w:val="16"/>
              </w:rPr>
            </w:pPr>
            <w:r w:rsidRPr="000675CD">
              <w:rPr>
                <w:sz w:val="16"/>
                <w:szCs w:val="16"/>
              </w:rPr>
              <w:t>(3.474)</w:t>
            </w:r>
          </w:p>
        </w:tc>
        <w:tc>
          <w:tcPr>
            <w:tcW w:w="992" w:type="dxa"/>
            <w:tcBorders>
              <w:right w:val="single" w:sz="4" w:space="0" w:color="auto"/>
            </w:tcBorders>
          </w:tcPr>
          <w:p w14:paraId="2A552F5B" w14:textId="77777777" w:rsidR="00ED4E09" w:rsidRPr="000675CD" w:rsidRDefault="00ED4E09" w:rsidP="000675CD">
            <w:pPr>
              <w:spacing w:before="60" w:after="60"/>
              <w:jc w:val="center"/>
              <w:rPr>
                <w:sz w:val="16"/>
                <w:szCs w:val="16"/>
              </w:rPr>
            </w:pPr>
            <w:r w:rsidRPr="000675CD">
              <w:rPr>
                <w:sz w:val="16"/>
                <w:szCs w:val="16"/>
              </w:rPr>
              <w:t xml:space="preserve"> 0.025***</w:t>
            </w:r>
          </w:p>
          <w:p w14:paraId="21067C0B" w14:textId="77777777" w:rsidR="00ED4E09" w:rsidRPr="000675CD" w:rsidRDefault="00ED4E09" w:rsidP="000675CD">
            <w:pPr>
              <w:spacing w:before="60" w:after="60"/>
              <w:jc w:val="center"/>
              <w:rPr>
                <w:sz w:val="16"/>
                <w:szCs w:val="16"/>
              </w:rPr>
            </w:pPr>
            <w:r w:rsidRPr="000675CD">
              <w:rPr>
                <w:sz w:val="16"/>
                <w:szCs w:val="16"/>
              </w:rPr>
              <w:t>(5.299)</w:t>
            </w:r>
          </w:p>
        </w:tc>
        <w:tc>
          <w:tcPr>
            <w:tcW w:w="850" w:type="dxa"/>
            <w:tcBorders>
              <w:left w:val="single" w:sz="4" w:space="0" w:color="auto"/>
            </w:tcBorders>
          </w:tcPr>
          <w:p w14:paraId="10D17E80" w14:textId="77777777" w:rsidR="00ED4E09" w:rsidRPr="000675CD" w:rsidRDefault="00ED4E09" w:rsidP="000675CD">
            <w:pPr>
              <w:spacing w:before="60" w:after="60"/>
              <w:jc w:val="center"/>
              <w:rPr>
                <w:sz w:val="16"/>
                <w:szCs w:val="16"/>
              </w:rPr>
            </w:pPr>
            <w:r w:rsidRPr="000675CD">
              <w:rPr>
                <w:sz w:val="16"/>
                <w:szCs w:val="16"/>
              </w:rPr>
              <w:t xml:space="preserve"> -0.004</w:t>
            </w:r>
          </w:p>
          <w:p w14:paraId="4FEEB96F" w14:textId="77777777" w:rsidR="00ED4E09" w:rsidRPr="001D555E" w:rsidRDefault="00ED4E09" w:rsidP="000675CD">
            <w:pPr>
              <w:spacing w:before="60" w:after="60"/>
              <w:jc w:val="center"/>
              <w:rPr>
                <w:sz w:val="16"/>
                <w:szCs w:val="16"/>
              </w:rPr>
            </w:pPr>
            <w:r w:rsidRPr="000675CD">
              <w:rPr>
                <w:sz w:val="16"/>
                <w:szCs w:val="16"/>
              </w:rPr>
              <w:t>(-0.411)</w:t>
            </w:r>
          </w:p>
        </w:tc>
        <w:tc>
          <w:tcPr>
            <w:tcW w:w="851" w:type="dxa"/>
            <w:tcBorders>
              <w:right w:val="single" w:sz="4" w:space="0" w:color="auto"/>
            </w:tcBorders>
          </w:tcPr>
          <w:p w14:paraId="144CB55D" w14:textId="77777777" w:rsidR="00ED4E09" w:rsidRPr="000675CD" w:rsidRDefault="00ED4E09" w:rsidP="000675CD">
            <w:pPr>
              <w:spacing w:before="60" w:after="60"/>
              <w:jc w:val="center"/>
              <w:rPr>
                <w:sz w:val="16"/>
                <w:szCs w:val="16"/>
              </w:rPr>
            </w:pPr>
            <w:r w:rsidRPr="000675CD">
              <w:rPr>
                <w:sz w:val="16"/>
                <w:szCs w:val="16"/>
              </w:rPr>
              <w:t>-0.007</w:t>
            </w:r>
          </w:p>
          <w:p w14:paraId="5DD662B0" w14:textId="77777777" w:rsidR="00ED4E09" w:rsidRPr="000675CD" w:rsidRDefault="00ED4E09" w:rsidP="000675CD">
            <w:pPr>
              <w:spacing w:before="60" w:after="60"/>
              <w:jc w:val="center"/>
              <w:rPr>
                <w:sz w:val="16"/>
                <w:szCs w:val="16"/>
              </w:rPr>
            </w:pPr>
            <w:r w:rsidRPr="000675CD">
              <w:rPr>
                <w:sz w:val="16"/>
                <w:szCs w:val="16"/>
              </w:rPr>
              <w:t xml:space="preserve">(-1-025) </w:t>
            </w:r>
          </w:p>
        </w:tc>
        <w:tc>
          <w:tcPr>
            <w:tcW w:w="850" w:type="dxa"/>
            <w:tcBorders>
              <w:left w:val="single" w:sz="4" w:space="0" w:color="auto"/>
            </w:tcBorders>
          </w:tcPr>
          <w:p w14:paraId="0494D2BB" w14:textId="77777777" w:rsidR="00ED4E09" w:rsidRPr="000675CD" w:rsidRDefault="00ED4E09" w:rsidP="000675CD">
            <w:pPr>
              <w:spacing w:before="60" w:after="60"/>
              <w:jc w:val="center"/>
              <w:rPr>
                <w:sz w:val="16"/>
                <w:szCs w:val="16"/>
              </w:rPr>
            </w:pPr>
            <w:r w:rsidRPr="000675CD">
              <w:rPr>
                <w:sz w:val="16"/>
                <w:szCs w:val="16"/>
              </w:rPr>
              <w:t>0.047***</w:t>
            </w:r>
          </w:p>
          <w:p w14:paraId="5C650CC6" w14:textId="77777777" w:rsidR="00ED4E09" w:rsidRPr="000675CD" w:rsidRDefault="00ED4E09" w:rsidP="000675CD">
            <w:pPr>
              <w:spacing w:before="60" w:after="60"/>
              <w:jc w:val="center"/>
              <w:rPr>
                <w:sz w:val="16"/>
                <w:szCs w:val="16"/>
              </w:rPr>
            </w:pPr>
            <w:r w:rsidRPr="000675CD">
              <w:rPr>
                <w:sz w:val="16"/>
                <w:szCs w:val="16"/>
              </w:rPr>
              <w:t>(4.365)</w:t>
            </w:r>
          </w:p>
        </w:tc>
        <w:tc>
          <w:tcPr>
            <w:tcW w:w="993" w:type="dxa"/>
            <w:tcBorders>
              <w:right w:val="single" w:sz="4" w:space="0" w:color="auto"/>
            </w:tcBorders>
          </w:tcPr>
          <w:p w14:paraId="2BA7F4A7" w14:textId="77777777" w:rsidR="00ED4E09" w:rsidRPr="000675CD" w:rsidRDefault="00ED4E09" w:rsidP="000675CD">
            <w:pPr>
              <w:spacing w:before="60" w:after="60"/>
              <w:rPr>
                <w:sz w:val="16"/>
                <w:szCs w:val="16"/>
              </w:rPr>
            </w:pPr>
            <w:r w:rsidRPr="000675CD">
              <w:rPr>
                <w:sz w:val="16"/>
                <w:szCs w:val="16"/>
              </w:rPr>
              <w:t>0.041***</w:t>
            </w:r>
          </w:p>
          <w:p w14:paraId="656173A5" w14:textId="77777777" w:rsidR="00ED4E09" w:rsidRPr="000675CD" w:rsidRDefault="00ED4E09" w:rsidP="000675CD">
            <w:pPr>
              <w:spacing w:before="60" w:after="60"/>
              <w:jc w:val="center"/>
              <w:rPr>
                <w:sz w:val="16"/>
                <w:szCs w:val="16"/>
              </w:rPr>
            </w:pPr>
            <w:r w:rsidRPr="000675CD">
              <w:rPr>
                <w:sz w:val="16"/>
                <w:szCs w:val="16"/>
              </w:rPr>
              <w:t>(4.219)</w:t>
            </w:r>
          </w:p>
        </w:tc>
        <w:tc>
          <w:tcPr>
            <w:tcW w:w="992" w:type="dxa"/>
            <w:tcBorders>
              <w:left w:val="single" w:sz="4" w:space="0" w:color="auto"/>
            </w:tcBorders>
            <w:vAlign w:val="center"/>
          </w:tcPr>
          <w:p w14:paraId="669E7DFF" w14:textId="77777777" w:rsidR="00ED4E09" w:rsidRPr="000675CD" w:rsidRDefault="00ED4E09" w:rsidP="000675CD">
            <w:pPr>
              <w:spacing w:before="60" w:after="60"/>
              <w:jc w:val="center"/>
              <w:rPr>
                <w:sz w:val="16"/>
                <w:szCs w:val="16"/>
              </w:rPr>
            </w:pPr>
            <w:r w:rsidRPr="000675CD">
              <w:rPr>
                <w:sz w:val="16"/>
                <w:szCs w:val="16"/>
              </w:rPr>
              <w:t>-0.11***</w:t>
            </w:r>
          </w:p>
          <w:p w14:paraId="69547F8B" w14:textId="77777777" w:rsidR="00ED4E09" w:rsidRPr="001D555E" w:rsidRDefault="00ED4E09" w:rsidP="000675CD">
            <w:pPr>
              <w:spacing w:before="60" w:after="60"/>
              <w:jc w:val="center"/>
              <w:rPr>
                <w:sz w:val="16"/>
                <w:szCs w:val="16"/>
              </w:rPr>
            </w:pPr>
            <w:r w:rsidRPr="000675CD">
              <w:rPr>
                <w:sz w:val="16"/>
                <w:szCs w:val="16"/>
              </w:rPr>
              <w:t>(-5.490)</w:t>
            </w:r>
          </w:p>
        </w:tc>
        <w:tc>
          <w:tcPr>
            <w:tcW w:w="850" w:type="dxa"/>
            <w:tcBorders>
              <w:right w:val="single" w:sz="4" w:space="0" w:color="auto"/>
            </w:tcBorders>
            <w:vAlign w:val="center"/>
          </w:tcPr>
          <w:p w14:paraId="69ADE484" w14:textId="77777777" w:rsidR="00ED4E09" w:rsidRPr="000675CD" w:rsidRDefault="00ED4E09" w:rsidP="000675CD">
            <w:pPr>
              <w:spacing w:before="60" w:after="60"/>
              <w:jc w:val="center"/>
              <w:rPr>
                <w:sz w:val="16"/>
                <w:szCs w:val="16"/>
              </w:rPr>
            </w:pPr>
            <w:r w:rsidRPr="000675CD">
              <w:rPr>
                <w:sz w:val="16"/>
                <w:szCs w:val="16"/>
              </w:rPr>
              <w:t>-0.008</w:t>
            </w:r>
          </w:p>
          <w:p w14:paraId="4F2480CE" w14:textId="77777777" w:rsidR="00ED4E09" w:rsidRPr="001D555E" w:rsidRDefault="00ED4E09" w:rsidP="000675CD">
            <w:pPr>
              <w:spacing w:before="60" w:after="60"/>
              <w:jc w:val="center"/>
              <w:rPr>
                <w:sz w:val="16"/>
                <w:szCs w:val="16"/>
              </w:rPr>
            </w:pPr>
            <w:r w:rsidRPr="000675CD">
              <w:rPr>
                <w:sz w:val="16"/>
                <w:szCs w:val="16"/>
              </w:rPr>
              <w:t>(-0.470)</w:t>
            </w:r>
          </w:p>
        </w:tc>
        <w:tc>
          <w:tcPr>
            <w:tcW w:w="851" w:type="dxa"/>
            <w:tcBorders>
              <w:left w:val="single" w:sz="4" w:space="0" w:color="auto"/>
            </w:tcBorders>
            <w:vAlign w:val="center"/>
          </w:tcPr>
          <w:p w14:paraId="466E4B68" w14:textId="77777777" w:rsidR="00ED4E09" w:rsidRPr="000675CD" w:rsidRDefault="00ED4E09" w:rsidP="000675CD">
            <w:pPr>
              <w:spacing w:before="60" w:after="60"/>
              <w:jc w:val="center"/>
              <w:rPr>
                <w:sz w:val="16"/>
                <w:szCs w:val="16"/>
              </w:rPr>
            </w:pPr>
            <w:r w:rsidRPr="000675CD">
              <w:rPr>
                <w:sz w:val="16"/>
                <w:szCs w:val="16"/>
              </w:rPr>
              <w:t xml:space="preserve"> 0.004</w:t>
            </w:r>
          </w:p>
          <w:p w14:paraId="104FB631" w14:textId="77777777" w:rsidR="00ED4E09" w:rsidRPr="000675CD" w:rsidRDefault="00ED4E09" w:rsidP="000675CD">
            <w:pPr>
              <w:spacing w:before="60" w:after="60"/>
              <w:jc w:val="center"/>
              <w:rPr>
                <w:sz w:val="16"/>
                <w:szCs w:val="16"/>
              </w:rPr>
            </w:pPr>
            <w:r w:rsidRPr="000675CD">
              <w:rPr>
                <w:sz w:val="16"/>
                <w:szCs w:val="16"/>
              </w:rPr>
              <w:t>(0.169)</w:t>
            </w:r>
          </w:p>
        </w:tc>
        <w:tc>
          <w:tcPr>
            <w:tcW w:w="850" w:type="dxa"/>
            <w:tcBorders>
              <w:right w:val="single" w:sz="4" w:space="0" w:color="auto"/>
            </w:tcBorders>
            <w:vAlign w:val="center"/>
          </w:tcPr>
          <w:p w14:paraId="5D0D2E5F" w14:textId="77777777" w:rsidR="00ED4E09" w:rsidRPr="000675CD" w:rsidRDefault="00ED4E09" w:rsidP="000675CD">
            <w:pPr>
              <w:spacing w:before="60" w:after="60"/>
              <w:jc w:val="center"/>
              <w:rPr>
                <w:sz w:val="16"/>
                <w:szCs w:val="16"/>
              </w:rPr>
            </w:pPr>
            <w:r w:rsidRPr="000675CD">
              <w:rPr>
                <w:sz w:val="16"/>
                <w:szCs w:val="16"/>
              </w:rPr>
              <w:t>0.039***</w:t>
            </w:r>
          </w:p>
          <w:p w14:paraId="5DB8D1AB" w14:textId="77777777" w:rsidR="00ED4E09" w:rsidRPr="001D555E" w:rsidRDefault="00ED4E09" w:rsidP="000675CD">
            <w:pPr>
              <w:spacing w:before="60" w:after="60"/>
              <w:jc w:val="center"/>
              <w:rPr>
                <w:sz w:val="16"/>
                <w:szCs w:val="16"/>
              </w:rPr>
            </w:pPr>
            <w:r w:rsidRPr="000675CD">
              <w:rPr>
                <w:sz w:val="16"/>
                <w:szCs w:val="16"/>
              </w:rPr>
              <w:t xml:space="preserve">(2.745) </w:t>
            </w:r>
          </w:p>
        </w:tc>
        <w:tc>
          <w:tcPr>
            <w:tcW w:w="993" w:type="dxa"/>
            <w:tcBorders>
              <w:left w:val="single" w:sz="4" w:space="0" w:color="auto"/>
            </w:tcBorders>
            <w:vAlign w:val="center"/>
          </w:tcPr>
          <w:p w14:paraId="16508130" w14:textId="77777777" w:rsidR="00ED4E09" w:rsidRPr="000675CD" w:rsidRDefault="00ED4E09" w:rsidP="000675CD">
            <w:pPr>
              <w:spacing w:before="60" w:after="60"/>
              <w:jc w:val="center"/>
              <w:rPr>
                <w:sz w:val="16"/>
                <w:szCs w:val="16"/>
              </w:rPr>
            </w:pPr>
            <w:r w:rsidRPr="000675CD">
              <w:rPr>
                <w:sz w:val="16"/>
                <w:szCs w:val="16"/>
              </w:rPr>
              <w:t>-0.024***</w:t>
            </w:r>
          </w:p>
          <w:p w14:paraId="2978CFC7" w14:textId="77777777" w:rsidR="00ED4E09" w:rsidRPr="000675CD" w:rsidRDefault="00ED4E09" w:rsidP="000675CD">
            <w:pPr>
              <w:spacing w:before="60" w:after="60"/>
              <w:jc w:val="center"/>
              <w:rPr>
                <w:sz w:val="16"/>
                <w:szCs w:val="16"/>
              </w:rPr>
            </w:pPr>
            <w:r w:rsidRPr="000675CD">
              <w:rPr>
                <w:sz w:val="16"/>
                <w:szCs w:val="16"/>
              </w:rPr>
              <w:t xml:space="preserve">(-2.820) </w:t>
            </w:r>
          </w:p>
        </w:tc>
        <w:tc>
          <w:tcPr>
            <w:tcW w:w="850" w:type="dxa"/>
            <w:vAlign w:val="center"/>
          </w:tcPr>
          <w:p w14:paraId="1AC7C7C2" w14:textId="77777777" w:rsidR="00ED4E09" w:rsidRPr="000675CD" w:rsidRDefault="00ED4E09" w:rsidP="000675CD">
            <w:pPr>
              <w:spacing w:before="60" w:after="60"/>
              <w:jc w:val="center"/>
              <w:rPr>
                <w:sz w:val="16"/>
                <w:szCs w:val="16"/>
              </w:rPr>
            </w:pPr>
            <w:r w:rsidRPr="000675CD">
              <w:rPr>
                <w:sz w:val="16"/>
                <w:szCs w:val="16"/>
              </w:rPr>
              <w:t>0.015**</w:t>
            </w:r>
          </w:p>
          <w:p w14:paraId="7D47155F" w14:textId="77777777" w:rsidR="00ED4E09" w:rsidRPr="001D555E" w:rsidRDefault="00ED4E09" w:rsidP="000675CD">
            <w:pPr>
              <w:spacing w:before="60" w:after="60"/>
              <w:jc w:val="center"/>
              <w:rPr>
                <w:sz w:val="16"/>
                <w:szCs w:val="16"/>
              </w:rPr>
            </w:pPr>
            <w:r w:rsidRPr="000675CD">
              <w:rPr>
                <w:sz w:val="16"/>
                <w:szCs w:val="16"/>
              </w:rPr>
              <w:t>(2.389)</w:t>
            </w:r>
          </w:p>
        </w:tc>
      </w:tr>
      <w:tr w:rsidR="00ED4E09" w:rsidRPr="001D555E" w14:paraId="6A45D147" w14:textId="77777777" w:rsidTr="000675CD">
        <w:trPr>
          <w:trHeight w:val="633"/>
        </w:trPr>
        <w:tc>
          <w:tcPr>
            <w:tcW w:w="1276" w:type="dxa"/>
            <w:tcBorders>
              <w:right w:val="single" w:sz="4" w:space="0" w:color="auto"/>
            </w:tcBorders>
            <w:vAlign w:val="center"/>
          </w:tcPr>
          <w:p w14:paraId="7E6B6813" w14:textId="77777777" w:rsidR="00ED4E09" w:rsidRPr="001D555E" w:rsidRDefault="00000000" w:rsidP="000675CD">
            <w:pPr>
              <w:spacing w:before="60" w:after="60"/>
              <w:rPr>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BCI</m:t>
                    </m:r>
                  </m:e>
                  <m:sub>
                    <m:r>
                      <w:rPr>
                        <w:rFonts w:ascii="Cambria Math" w:hAnsi="Cambria Math"/>
                        <w:sz w:val="20"/>
                        <w:szCs w:val="20"/>
                      </w:rPr>
                      <m:t>t</m:t>
                    </m:r>
                  </m:sub>
                </m:sSub>
              </m:oMath>
            </m:oMathPara>
          </w:p>
        </w:tc>
        <w:tc>
          <w:tcPr>
            <w:tcW w:w="851" w:type="dxa"/>
            <w:tcBorders>
              <w:left w:val="single" w:sz="4" w:space="0" w:color="auto"/>
            </w:tcBorders>
            <w:vAlign w:val="center"/>
          </w:tcPr>
          <w:p w14:paraId="79848C32" w14:textId="77777777" w:rsidR="00ED4E09" w:rsidRPr="000675CD" w:rsidRDefault="00ED4E09" w:rsidP="000675CD">
            <w:pPr>
              <w:spacing w:before="60" w:after="60"/>
              <w:jc w:val="center"/>
              <w:rPr>
                <w:sz w:val="16"/>
                <w:szCs w:val="16"/>
              </w:rPr>
            </w:pPr>
            <w:r w:rsidRPr="000675CD">
              <w:rPr>
                <w:sz w:val="16"/>
                <w:szCs w:val="16"/>
              </w:rPr>
              <w:t>2.360***</w:t>
            </w:r>
          </w:p>
          <w:p w14:paraId="6D035E8F" w14:textId="77777777" w:rsidR="00ED4E09" w:rsidRPr="000675CD" w:rsidRDefault="00ED4E09" w:rsidP="000675CD">
            <w:pPr>
              <w:spacing w:before="60" w:after="60"/>
              <w:jc w:val="center"/>
              <w:rPr>
                <w:sz w:val="16"/>
                <w:szCs w:val="16"/>
              </w:rPr>
            </w:pPr>
            <w:r w:rsidRPr="000675CD">
              <w:rPr>
                <w:sz w:val="16"/>
                <w:szCs w:val="16"/>
              </w:rPr>
              <w:t>(2.415)</w:t>
            </w:r>
          </w:p>
        </w:tc>
        <w:tc>
          <w:tcPr>
            <w:tcW w:w="850" w:type="dxa"/>
            <w:tcBorders>
              <w:right w:val="single" w:sz="4" w:space="0" w:color="auto"/>
            </w:tcBorders>
            <w:vAlign w:val="center"/>
          </w:tcPr>
          <w:p w14:paraId="354F92A7" w14:textId="77777777" w:rsidR="00ED4E09" w:rsidRPr="000675CD" w:rsidRDefault="00ED4E09" w:rsidP="000675CD">
            <w:pPr>
              <w:spacing w:before="60" w:after="60"/>
              <w:jc w:val="center"/>
              <w:rPr>
                <w:sz w:val="16"/>
                <w:szCs w:val="16"/>
              </w:rPr>
            </w:pPr>
            <w:r w:rsidRPr="000675CD">
              <w:rPr>
                <w:sz w:val="16"/>
                <w:szCs w:val="16"/>
              </w:rPr>
              <w:t>2.187***</w:t>
            </w:r>
          </w:p>
          <w:p w14:paraId="48B9F080" w14:textId="77777777" w:rsidR="00ED4E09" w:rsidRPr="000675CD" w:rsidRDefault="00ED4E09" w:rsidP="000675CD">
            <w:pPr>
              <w:spacing w:before="60" w:after="60"/>
              <w:jc w:val="center"/>
              <w:rPr>
                <w:sz w:val="16"/>
                <w:szCs w:val="16"/>
              </w:rPr>
            </w:pPr>
            <w:r w:rsidRPr="000675CD">
              <w:rPr>
                <w:sz w:val="16"/>
                <w:szCs w:val="16"/>
              </w:rPr>
              <w:t>(3.056)</w:t>
            </w:r>
          </w:p>
        </w:tc>
        <w:tc>
          <w:tcPr>
            <w:tcW w:w="851" w:type="dxa"/>
            <w:tcBorders>
              <w:left w:val="single" w:sz="4" w:space="0" w:color="auto"/>
            </w:tcBorders>
            <w:vAlign w:val="center"/>
          </w:tcPr>
          <w:p w14:paraId="204C448E" w14:textId="77777777" w:rsidR="00ED4E09" w:rsidRPr="000675CD" w:rsidRDefault="00ED4E09" w:rsidP="000675CD">
            <w:pPr>
              <w:spacing w:before="60" w:after="60"/>
              <w:jc w:val="center"/>
              <w:rPr>
                <w:sz w:val="16"/>
                <w:szCs w:val="16"/>
              </w:rPr>
            </w:pPr>
            <w:r w:rsidRPr="000675CD">
              <w:rPr>
                <w:sz w:val="16"/>
                <w:szCs w:val="16"/>
              </w:rPr>
              <w:t>-0.003</w:t>
            </w:r>
          </w:p>
          <w:p w14:paraId="28EEBE33" w14:textId="77777777" w:rsidR="00ED4E09" w:rsidRPr="000675CD" w:rsidRDefault="00ED4E09" w:rsidP="000675CD">
            <w:pPr>
              <w:spacing w:before="60" w:after="60"/>
              <w:jc w:val="center"/>
              <w:rPr>
                <w:sz w:val="16"/>
                <w:szCs w:val="16"/>
              </w:rPr>
            </w:pPr>
            <w:r w:rsidRPr="000675CD">
              <w:rPr>
                <w:sz w:val="16"/>
                <w:szCs w:val="16"/>
              </w:rPr>
              <w:t>(-005)</w:t>
            </w:r>
          </w:p>
        </w:tc>
        <w:tc>
          <w:tcPr>
            <w:tcW w:w="992" w:type="dxa"/>
            <w:tcBorders>
              <w:right w:val="single" w:sz="4" w:space="0" w:color="auto"/>
            </w:tcBorders>
            <w:vAlign w:val="center"/>
          </w:tcPr>
          <w:p w14:paraId="6A03705C" w14:textId="77777777" w:rsidR="00ED4E09" w:rsidRPr="000675CD" w:rsidRDefault="00ED4E09" w:rsidP="000675CD">
            <w:pPr>
              <w:spacing w:before="60" w:after="60"/>
              <w:jc w:val="center"/>
              <w:rPr>
                <w:sz w:val="16"/>
                <w:szCs w:val="16"/>
              </w:rPr>
            </w:pPr>
            <w:r w:rsidRPr="000675CD">
              <w:rPr>
                <w:sz w:val="16"/>
                <w:szCs w:val="16"/>
              </w:rPr>
              <w:t>0.308</w:t>
            </w:r>
          </w:p>
          <w:p w14:paraId="20FA5E5A" w14:textId="77777777" w:rsidR="00ED4E09" w:rsidRPr="000675CD" w:rsidRDefault="00ED4E09" w:rsidP="000675CD">
            <w:pPr>
              <w:spacing w:before="60" w:after="60"/>
              <w:jc w:val="center"/>
              <w:rPr>
                <w:sz w:val="16"/>
                <w:szCs w:val="16"/>
              </w:rPr>
            </w:pPr>
            <w:r w:rsidRPr="000675CD">
              <w:rPr>
                <w:sz w:val="16"/>
                <w:szCs w:val="16"/>
              </w:rPr>
              <w:t>(1.019)</w:t>
            </w:r>
          </w:p>
        </w:tc>
        <w:tc>
          <w:tcPr>
            <w:tcW w:w="850" w:type="dxa"/>
            <w:tcBorders>
              <w:left w:val="single" w:sz="4" w:space="0" w:color="auto"/>
            </w:tcBorders>
            <w:vAlign w:val="center"/>
          </w:tcPr>
          <w:p w14:paraId="40026FDF" w14:textId="77777777" w:rsidR="00ED4E09" w:rsidRPr="000675CD" w:rsidRDefault="00ED4E09" w:rsidP="000675CD">
            <w:pPr>
              <w:spacing w:before="60" w:after="60"/>
              <w:jc w:val="center"/>
              <w:rPr>
                <w:sz w:val="16"/>
                <w:szCs w:val="16"/>
              </w:rPr>
            </w:pPr>
            <w:r w:rsidRPr="000675CD">
              <w:rPr>
                <w:sz w:val="16"/>
                <w:szCs w:val="16"/>
              </w:rPr>
              <w:t>-0.346</w:t>
            </w:r>
          </w:p>
          <w:p w14:paraId="388A9B4C" w14:textId="77777777" w:rsidR="00ED4E09" w:rsidRPr="001D555E" w:rsidRDefault="00ED4E09" w:rsidP="000675CD">
            <w:pPr>
              <w:spacing w:before="60" w:after="60"/>
              <w:jc w:val="center"/>
              <w:rPr>
                <w:sz w:val="16"/>
                <w:szCs w:val="16"/>
              </w:rPr>
            </w:pPr>
            <w:r w:rsidRPr="000675CD">
              <w:rPr>
                <w:sz w:val="16"/>
                <w:szCs w:val="16"/>
              </w:rPr>
              <w:t>(-0.342)</w:t>
            </w:r>
          </w:p>
        </w:tc>
        <w:tc>
          <w:tcPr>
            <w:tcW w:w="851" w:type="dxa"/>
            <w:tcBorders>
              <w:right w:val="single" w:sz="4" w:space="0" w:color="auto"/>
            </w:tcBorders>
            <w:vAlign w:val="center"/>
          </w:tcPr>
          <w:p w14:paraId="387491EB" w14:textId="77777777" w:rsidR="00ED4E09" w:rsidRPr="000675CD" w:rsidRDefault="00ED4E09" w:rsidP="000675CD">
            <w:pPr>
              <w:spacing w:before="60" w:after="60"/>
              <w:jc w:val="center"/>
              <w:rPr>
                <w:sz w:val="16"/>
                <w:szCs w:val="16"/>
              </w:rPr>
            </w:pPr>
            <w:r w:rsidRPr="000675CD">
              <w:rPr>
                <w:sz w:val="16"/>
                <w:szCs w:val="16"/>
              </w:rPr>
              <w:t>-1.57***</w:t>
            </w:r>
          </w:p>
          <w:p w14:paraId="6B0EC002" w14:textId="77777777" w:rsidR="00ED4E09" w:rsidRPr="001D555E" w:rsidRDefault="00ED4E09" w:rsidP="000675CD">
            <w:pPr>
              <w:spacing w:before="60" w:after="60"/>
              <w:jc w:val="center"/>
              <w:rPr>
                <w:sz w:val="16"/>
                <w:szCs w:val="16"/>
              </w:rPr>
            </w:pPr>
            <w:r w:rsidRPr="000675CD">
              <w:rPr>
                <w:sz w:val="16"/>
                <w:szCs w:val="16"/>
              </w:rPr>
              <w:t>(-2.842)</w:t>
            </w:r>
          </w:p>
        </w:tc>
        <w:tc>
          <w:tcPr>
            <w:tcW w:w="850" w:type="dxa"/>
            <w:tcBorders>
              <w:left w:val="single" w:sz="4" w:space="0" w:color="auto"/>
            </w:tcBorders>
            <w:vAlign w:val="center"/>
          </w:tcPr>
          <w:p w14:paraId="2FE8EC30" w14:textId="77777777" w:rsidR="00ED4E09" w:rsidRPr="000675CD" w:rsidRDefault="00ED4E09" w:rsidP="000675CD">
            <w:pPr>
              <w:spacing w:before="60" w:after="60"/>
              <w:jc w:val="center"/>
              <w:rPr>
                <w:sz w:val="16"/>
                <w:szCs w:val="16"/>
              </w:rPr>
            </w:pPr>
            <w:r w:rsidRPr="000675CD">
              <w:rPr>
                <w:sz w:val="16"/>
                <w:szCs w:val="16"/>
              </w:rPr>
              <w:t>7.005***</w:t>
            </w:r>
          </w:p>
          <w:p w14:paraId="15B9B0CD" w14:textId="77777777" w:rsidR="00ED4E09" w:rsidRPr="000675CD" w:rsidRDefault="00ED4E09" w:rsidP="000675CD">
            <w:pPr>
              <w:spacing w:before="60" w:after="60"/>
              <w:jc w:val="center"/>
              <w:rPr>
                <w:sz w:val="16"/>
                <w:szCs w:val="16"/>
              </w:rPr>
            </w:pPr>
            <w:r w:rsidRPr="000675CD">
              <w:rPr>
                <w:sz w:val="16"/>
                <w:szCs w:val="16"/>
              </w:rPr>
              <w:t>(4.897)</w:t>
            </w:r>
          </w:p>
        </w:tc>
        <w:tc>
          <w:tcPr>
            <w:tcW w:w="993" w:type="dxa"/>
            <w:tcBorders>
              <w:right w:val="single" w:sz="4" w:space="0" w:color="auto"/>
            </w:tcBorders>
            <w:vAlign w:val="center"/>
          </w:tcPr>
          <w:p w14:paraId="0FC06744" w14:textId="77777777" w:rsidR="00ED4E09" w:rsidRPr="000675CD" w:rsidRDefault="00ED4E09" w:rsidP="000675CD">
            <w:pPr>
              <w:spacing w:before="60" w:after="60"/>
              <w:jc w:val="center"/>
              <w:rPr>
                <w:sz w:val="16"/>
                <w:szCs w:val="16"/>
              </w:rPr>
            </w:pPr>
            <w:r w:rsidRPr="000675CD">
              <w:rPr>
                <w:sz w:val="16"/>
                <w:szCs w:val="16"/>
              </w:rPr>
              <w:t>2.565*</w:t>
            </w:r>
          </w:p>
          <w:p w14:paraId="6346576B" w14:textId="77777777" w:rsidR="00ED4E09" w:rsidRPr="000675CD" w:rsidRDefault="00ED4E09" w:rsidP="000675CD">
            <w:pPr>
              <w:spacing w:before="60" w:after="60"/>
              <w:jc w:val="center"/>
              <w:rPr>
                <w:sz w:val="16"/>
                <w:szCs w:val="16"/>
              </w:rPr>
            </w:pPr>
            <w:r w:rsidRPr="000675CD">
              <w:rPr>
                <w:sz w:val="16"/>
                <w:szCs w:val="16"/>
              </w:rPr>
              <w:t>(1.327)</w:t>
            </w:r>
          </w:p>
        </w:tc>
        <w:tc>
          <w:tcPr>
            <w:tcW w:w="992" w:type="dxa"/>
            <w:tcBorders>
              <w:left w:val="single" w:sz="4" w:space="0" w:color="auto"/>
            </w:tcBorders>
            <w:vAlign w:val="center"/>
          </w:tcPr>
          <w:p w14:paraId="1C949B29" w14:textId="77777777" w:rsidR="00ED4E09" w:rsidRPr="000675CD" w:rsidRDefault="00ED4E09" w:rsidP="000675CD">
            <w:pPr>
              <w:spacing w:before="60" w:after="60"/>
              <w:jc w:val="center"/>
              <w:rPr>
                <w:sz w:val="16"/>
                <w:szCs w:val="16"/>
              </w:rPr>
            </w:pPr>
            <w:r w:rsidRPr="000675CD">
              <w:rPr>
                <w:sz w:val="16"/>
                <w:szCs w:val="16"/>
              </w:rPr>
              <w:t>1.371*</w:t>
            </w:r>
          </w:p>
          <w:p w14:paraId="0C112DF8" w14:textId="77777777" w:rsidR="00ED4E09" w:rsidRPr="000675CD" w:rsidRDefault="00ED4E09" w:rsidP="000675CD">
            <w:pPr>
              <w:spacing w:before="60" w:after="60"/>
              <w:jc w:val="center"/>
              <w:rPr>
                <w:sz w:val="16"/>
                <w:szCs w:val="16"/>
              </w:rPr>
            </w:pPr>
            <w:r w:rsidRPr="000675CD">
              <w:rPr>
                <w:sz w:val="16"/>
                <w:szCs w:val="16"/>
              </w:rPr>
              <w:t>(2.611)</w:t>
            </w:r>
          </w:p>
        </w:tc>
        <w:tc>
          <w:tcPr>
            <w:tcW w:w="850" w:type="dxa"/>
            <w:tcBorders>
              <w:right w:val="single" w:sz="4" w:space="0" w:color="auto"/>
            </w:tcBorders>
            <w:vAlign w:val="center"/>
          </w:tcPr>
          <w:p w14:paraId="0A1D2DCE" w14:textId="77777777" w:rsidR="00ED4E09" w:rsidRPr="000675CD" w:rsidRDefault="00ED4E09" w:rsidP="000675CD">
            <w:pPr>
              <w:spacing w:before="60" w:after="60"/>
              <w:jc w:val="center"/>
              <w:rPr>
                <w:sz w:val="16"/>
                <w:szCs w:val="16"/>
              </w:rPr>
            </w:pPr>
            <w:r w:rsidRPr="000675CD">
              <w:rPr>
                <w:sz w:val="16"/>
                <w:szCs w:val="16"/>
              </w:rPr>
              <w:t>-4.638*</w:t>
            </w:r>
          </w:p>
          <w:p w14:paraId="1C72FFD8" w14:textId="77777777" w:rsidR="00ED4E09" w:rsidRPr="001D555E" w:rsidRDefault="00ED4E09" w:rsidP="000675CD">
            <w:pPr>
              <w:spacing w:before="60" w:after="60"/>
              <w:jc w:val="center"/>
              <w:rPr>
                <w:sz w:val="16"/>
                <w:szCs w:val="16"/>
              </w:rPr>
            </w:pPr>
            <w:r w:rsidRPr="000675CD">
              <w:rPr>
                <w:sz w:val="16"/>
                <w:szCs w:val="16"/>
              </w:rPr>
              <w:t>(-1.99)</w:t>
            </w:r>
          </w:p>
        </w:tc>
        <w:tc>
          <w:tcPr>
            <w:tcW w:w="851" w:type="dxa"/>
            <w:tcBorders>
              <w:left w:val="single" w:sz="4" w:space="0" w:color="auto"/>
            </w:tcBorders>
            <w:vAlign w:val="center"/>
          </w:tcPr>
          <w:p w14:paraId="02CDCA4E" w14:textId="77777777" w:rsidR="00ED4E09" w:rsidRPr="000675CD" w:rsidRDefault="00ED4E09" w:rsidP="000675CD">
            <w:pPr>
              <w:spacing w:before="60" w:after="60"/>
              <w:jc w:val="center"/>
              <w:rPr>
                <w:sz w:val="16"/>
                <w:szCs w:val="16"/>
              </w:rPr>
            </w:pPr>
            <w:r w:rsidRPr="000675CD">
              <w:rPr>
                <w:sz w:val="16"/>
                <w:szCs w:val="16"/>
              </w:rPr>
              <w:t>2.230**</w:t>
            </w:r>
          </w:p>
          <w:p w14:paraId="2BD6B4BB" w14:textId="77777777" w:rsidR="00ED4E09" w:rsidRPr="000675CD" w:rsidRDefault="00ED4E09" w:rsidP="000675CD">
            <w:pPr>
              <w:spacing w:before="60" w:after="60"/>
              <w:jc w:val="center"/>
              <w:rPr>
                <w:sz w:val="16"/>
                <w:szCs w:val="16"/>
              </w:rPr>
            </w:pPr>
            <w:r w:rsidRPr="000675CD">
              <w:rPr>
                <w:sz w:val="16"/>
                <w:szCs w:val="16"/>
              </w:rPr>
              <w:t>(2.011)</w:t>
            </w:r>
          </w:p>
        </w:tc>
        <w:tc>
          <w:tcPr>
            <w:tcW w:w="850" w:type="dxa"/>
            <w:tcBorders>
              <w:right w:val="single" w:sz="4" w:space="0" w:color="auto"/>
            </w:tcBorders>
            <w:vAlign w:val="center"/>
          </w:tcPr>
          <w:p w14:paraId="66E02BB9" w14:textId="77777777" w:rsidR="00ED4E09" w:rsidRPr="000675CD" w:rsidRDefault="00ED4E09" w:rsidP="000675CD">
            <w:pPr>
              <w:spacing w:before="60" w:after="60"/>
              <w:jc w:val="center"/>
              <w:rPr>
                <w:sz w:val="16"/>
                <w:szCs w:val="16"/>
              </w:rPr>
            </w:pPr>
            <w:r w:rsidRPr="000675CD">
              <w:rPr>
                <w:sz w:val="16"/>
                <w:szCs w:val="16"/>
              </w:rPr>
              <w:t>-0.755</w:t>
            </w:r>
          </w:p>
          <w:p w14:paraId="40FA351E" w14:textId="77777777" w:rsidR="00ED4E09" w:rsidRPr="000675CD" w:rsidRDefault="00ED4E09" w:rsidP="000675CD">
            <w:pPr>
              <w:spacing w:before="60" w:after="60"/>
              <w:jc w:val="center"/>
              <w:rPr>
                <w:sz w:val="16"/>
                <w:szCs w:val="16"/>
              </w:rPr>
            </w:pPr>
            <w:r w:rsidRPr="000675CD">
              <w:rPr>
                <w:sz w:val="16"/>
                <w:szCs w:val="16"/>
              </w:rPr>
              <w:t>(-1.310)</w:t>
            </w:r>
          </w:p>
        </w:tc>
        <w:tc>
          <w:tcPr>
            <w:tcW w:w="993" w:type="dxa"/>
            <w:tcBorders>
              <w:left w:val="single" w:sz="4" w:space="0" w:color="auto"/>
            </w:tcBorders>
            <w:vAlign w:val="center"/>
          </w:tcPr>
          <w:p w14:paraId="59D4A2BA" w14:textId="77777777" w:rsidR="00ED4E09" w:rsidRPr="000675CD" w:rsidRDefault="00ED4E09" w:rsidP="000675CD">
            <w:pPr>
              <w:spacing w:before="60" w:after="60"/>
              <w:jc w:val="center"/>
              <w:rPr>
                <w:sz w:val="16"/>
                <w:szCs w:val="16"/>
              </w:rPr>
            </w:pPr>
            <w:r w:rsidRPr="000675CD">
              <w:rPr>
                <w:sz w:val="16"/>
                <w:szCs w:val="16"/>
              </w:rPr>
              <w:t>0.546</w:t>
            </w:r>
          </w:p>
          <w:p w14:paraId="4D73A9D0" w14:textId="77777777" w:rsidR="00ED4E09" w:rsidRPr="000675CD" w:rsidRDefault="00ED4E09" w:rsidP="000675CD">
            <w:pPr>
              <w:spacing w:before="60" w:after="60"/>
              <w:jc w:val="center"/>
              <w:rPr>
                <w:sz w:val="16"/>
                <w:szCs w:val="16"/>
              </w:rPr>
            </w:pPr>
            <w:r w:rsidRPr="000675CD">
              <w:rPr>
                <w:sz w:val="16"/>
                <w:szCs w:val="16"/>
              </w:rPr>
              <w:t>(1.082)</w:t>
            </w:r>
          </w:p>
        </w:tc>
        <w:tc>
          <w:tcPr>
            <w:tcW w:w="850" w:type="dxa"/>
            <w:vAlign w:val="center"/>
          </w:tcPr>
          <w:p w14:paraId="69466E25" w14:textId="77777777" w:rsidR="00ED4E09" w:rsidRPr="000675CD" w:rsidRDefault="00ED4E09" w:rsidP="000675CD">
            <w:pPr>
              <w:spacing w:before="60" w:after="60"/>
              <w:jc w:val="center"/>
              <w:rPr>
                <w:sz w:val="16"/>
                <w:szCs w:val="16"/>
              </w:rPr>
            </w:pPr>
            <w:r w:rsidRPr="000675CD">
              <w:rPr>
                <w:sz w:val="16"/>
                <w:szCs w:val="16"/>
              </w:rPr>
              <w:t>-0.089</w:t>
            </w:r>
          </w:p>
          <w:p w14:paraId="4DFC7C9F" w14:textId="77777777" w:rsidR="00ED4E09" w:rsidRPr="000675CD" w:rsidRDefault="00ED4E09" w:rsidP="000675CD">
            <w:pPr>
              <w:spacing w:before="60" w:after="60"/>
              <w:jc w:val="center"/>
              <w:rPr>
                <w:sz w:val="16"/>
                <w:szCs w:val="16"/>
              </w:rPr>
            </w:pPr>
            <w:r w:rsidRPr="000675CD">
              <w:rPr>
                <w:sz w:val="16"/>
                <w:szCs w:val="16"/>
              </w:rPr>
              <w:t>(-0.243)</w:t>
            </w:r>
          </w:p>
        </w:tc>
      </w:tr>
      <w:tr w:rsidR="00ED4E09" w:rsidRPr="001D555E" w14:paraId="4C9D7E15" w14:textId="77777777" w:rsidTr="000675CD">
        <w:trPr>
          <w:trHeight w:val="633"/>
        </w:trPr>
        <w:tc>
          <w:tcPr>
            <w:tcW w:w="1276" w:type="dxa"/>
            <w:tcBorders>
              <w:right w:val="single" w:sz="4" w:space="0" w:color="auto"/>
            </w:tcBorders>
            <w:vAlign w:val="center"/>
          </w:tcPr>
          <w:p w14:paraId="137A71C1" w14:textId="77777777" w:rsidR="00ED4E09" w:rsidRPr="001D555E" w:rsidRDefault="00ED4E09" w:rsidP="000675CD">
            <w:pPr>
              <w:spacing w:before="60" w:after="60"/>
              <w:rPr>
                <w:sz w:val="20"/>
                <w:szCs w:val="20"/>
              </w:rPr>
            </w:pPr>
            <m:oMathPara>
              <m:oMathParaPr>
                <m:jc m:val="left"/>
              </m:oMathParaPr>
              <m:oMath>
                <m:r>
                  <w:rPr>
                    <w:rFonts w:ascii="Cambria Math" w:hAnsi="Cambria Math"/>
                    <w:sz w:val="20"/>
                    <w:szCs w:val="20"/>
                  </w:rPr>
                  <m:t>trend</m:t>
                </m:r>
              </m:oMath>
            </m:oMathPara>
          </w:p>
        </w:tc>
        <w:tc>
          <w:tcPr>
            <w:tcW w:w="851" w:type="dxa"/>
            <w:tcBorders>
              <w:left w:val="single" w:sz="4" w:space="0" w:color="auto"/>
            </w:tcBorders>
            <w:vAlign w:val="center"/>
          </w:tcPr>
          <w:p w14:paraId="5B6AAE3C" w14:textId="77777777" w:rsidR="00ED4E09" w:rsidRPr="000675CD" w:rsidRDefault="00ED4E09" w:rsidP="000675CD">
            <w:pPr>
              <w:spacing w:before="60" w:after="60"/>
              <w:jc w:val="center"/>
              <w:rPr>
                <w:sz w:val="16"/>
                <w:szCs w:val="16"/>
              </w:rPr>
            </w:pPr>
            <w:r w:rsidRPr="000675CD">
              <w:rPr>
                <w:sz w:val="16"/>
                <w:szCs w:val="16"/>
              </w:rPr>
              <w:t>0.001</w:t>
            </w:r>
          </w:p>
          <w:p w14:paraId="26AB2BAF" w14:textId="77777777" w:rsidR="00ED4E09" w:rsidRPr="000675CD" w:rsidRDefault="00ED4E09" w:rsidP="000675CD">
            <w:pPr>
              <w:spacing w:before="60" w:after="60"/>
              <w:jc w:val="center"/>
              <w:rPr>
                <w:sz w:val="16"/>
                <w:szCs w:val="16"/>
              </w:rPr>
            </w:pPr>
            <w:r w:rsidRPr="000675CD">
              <w:rPr>
                <w:sz w:val="16"/>
                <w:szCs w:val="16"/>
              </w:rPr>
              <w:t>(0.586)</w:t>
            </w:r>
          </w:p>
        </w:tc>
        <w:tc>
          <w:tcPr>
            <w:tcW w:w="850" w:type="dxa"/>
            <w:tcBorders>
              <w:right w:val="single" w:sz="4" w:space="0" w:color="auto"/>
            </w:tcBorders>
            <w:vAlign w:val="center"/>
          </w:tcPr>
          <w:p w14:paraId="0FB7A408" w14:textId="77777777" w:rsidR="00ED4E09" w:rsidRPr="001D555E" w:rsidRDefault="00ED4E09" w:rsidP="000675CD">
            <w:pPr>
              <w:spacing w:before="60" w:after="60"/>
              <w:jc w:val="center"/>
              <w:rPr>
                <w:sz w:val="16"/>
                <w:szCs w:val="16"/>
              </w:rPr>
            </w:pPr>
            <w:r w:rsidRPr="001D555E">
              <w:rPr>
                <w:sz w:val="16"/>
                <w:szCs w:val="16"/>
              </w:rPr>
              <w:t>-0.01***</w:t>
            </w:r>
          </w:p>
          <w:p w14:paraId="131C7703" w14:textId="77777777" w:rsidR="00ED4E09" w:rsidRPr="008C56CC" w:rsidRDefault="00ED4E09" w:rsidP="000675CD">
            <w:pPr>
              <w:spacing w:before="60" w:after="60"/>
              <w:jc w:val="center"/>
              <w:rPr>
                <w:sz w:val="16"/>
                <w:szCs w:val="16"/>
              </w:rPr>
            </w:pPr>
            <w:r w:rsidRPr="008C56CC">
              <w:rPr>
                <w:sz w:val="16"/>
                <w:szCs w:val="16"/>
              </w:rPr>
              <w:t>(-3.123)</w:t>
            </w:r>
          </w:p>
        </w:tc>
        <w:tc>
          <w:tcPr>
            <w:tcW w:w="851" w:type="dxa"/>
            <w:tcBorders>
              <w:left w:val="single" w:sz="4" w:space="0" w:color="auto"/>
            </w:tcBorders>
            <w:vAlign w:val="center"/>
          </w:tcPr>
          <w:p w14:paraId="460E7918" w14:textId="77777777" w:rsidR="00ED4E09" w:rsidRPr="000675CD" w:rsidRDefault="00ED4E09" w:rsidP="000675CD">
            <w:pPr>
              <w:spacing w:before="60" w:after="60"/>
              <w:jc w:val="center"/>
              <w:rPr>
                <w:sz w:val="16"/>
                <w:szCs w:val="16"/>
              </w:rPr>
            </w:pPr>
            <w:r w:rsidRPr="000675CD">
              <w:rPr>
                <w:sz w:val="16"/>
                <w:szCs w:val="16"/>
              </w:rPr>
              <w:t>0.004***</w:t>
            </w:r>
          </w:p>
          <w:p w14:paraId="344860BE" w14:textId="77777777" w:rsidR="00ED4E09" w:rsidRPr="000675CD" w:rsidRDefault="00ED4E09" w:rsidP="000675CD">
            <w:pPr>
              <w:spacing w:before="60" w:after="60"/>
              <w:jc w:val="center"/>
              <w:rPr>
                <w:sz w:val="16"/>
                <w:szCs w:val="16"/>
              </w:rPr>
            </w:pPr>
            <w:r w:rsidRPr="000675CD">
              <w:rPr>
                <w:sz w:val="16"/>
                <w:szCs w:val="16"/>
              </w:rPr>
              <w:t>(6.146)</w:t>
            </w:r>
          </w:p>
        </w:tc>
        <w:tc>
          <w:tcPr>
            <w:tcW w:w="992" w:type="dxa"/>
            <w:tcBorders>
              <w:right w:val="single" w:sz="4" w:space="0" w:color="auto"/>
            </w:tcBorders>
            <w:vAlign w:val="center"/>
          </w:tcPr>
          <w:p w14:paraId="57B41663" w14:textId="77777777" w:rsidR="00ED4E09" w:rsidRPr="000675CD" w:rsidRDefault="00ED4E09" w:rsidP="000675CD">
            <w:pPr>
              <w:spacing w:before="60" w:after="60"/>
              <w:jc w:val="center"/>
              <w:rPr>
                <w:sz w:val="16"/>
                <w:szCs w:val="16"/>
              </w:rPr>
            </w:pPr>
            <w:r w:rsidRPr="000675CD">
              <w:rPr>
                <w:sz w:val="16"/>
                <w:szCs w:val="16"/>
              </w:rPr>
              <w:t>0.010***</w:t>
            </w:r>
          </w:p>
          <w:p w14:paraId="32CBCB1A" w14:textId="77777777" w:rsidR="00ED4E09" w:rsidRPr="000675CD" w:rsidRDefault="00ED4E09" w:rsidP="000675CD">
            <w:pPr>
              <w:spacing w:before="60" w:after="60"/>
              <w:jc w:val="center"/>
              <w:rPr>
                <w:sz w:val="16"/>
                <w:szCs w:val="16"/>
              </w:rPr>
            </w:pPr>
            <w:r w:rsidRPr="000675CD">
              <w:rPr>
                <w:sz w:val="16"/>
                <w:szCs w:val="16"/>
              </w:rPr>
              <w:t>(31.332)</w:t>
            </w:r>
          </w:p>
        </w:tc>
        <w:tc>
          <w:tcPr>
            <w:tcW w:w="850" w:type="dxa"/>
            <w:tcBorders>
              <w:left w:val="single" w:sz="4" w:space="0" w:color="auto"/>
            </w:tcBorders>
            <w:vAlign w:val="center"/>
          </w:tcPr>
          <w:p w14:paraId="4F3B76F1" w14:textId="77777777" w:rsidR="00ED4E09" w:rsidRPr="000675CD" w:rsidRDefault="00ED4E09" w:rsidP="000675CD">
            <w:pPr>
              <w:spacing w:before="60" w:after="60"/>
              <w:jc w:val="center"/>
              <w:rPr>
                <w:sz w:val="16"/>
                <w:szCs w:val="16"/>
              </w:rPr>
            </w:pPr>
            <w:r w:rsidRPr="000675CD">
              <w:rPr>
                <w:sz w:val="16"/>
                <w:szCs w:val="16"/>
              </w:rPr>
              <w:t>0.002***</w:t>
            </w:r>
          </w:p>
          <w:p w14:paraId="374ED4DE" w14:textId="77777777" w:rsidR="00ED4E09" w:rsidRPr="000675CD" w:rsidRDefault="00ED4E09" w:rsidP="000675CD">
            <w:pPr>
              <w:spacing w:before="60" w:after="60"/>
              <w:jc w:val="center"/>
              <w:rPr>
                <w:sz w:val="16"/>
                <w:szCs w:val="16"/>
              </w:rPr>
            </w:pPr>
            <w:r w:rsidRPr="000675CD">
              <w:rPr>
                <w:sz w:val="16"/>
                <w:szCs w:val="16"/>
              </w:rPr>
              <w:t>(2.828)</w:t>
            </w:r>
          </w:p>
        </w:tc>
        <w:tc>
          <w:tcPr>
            <w:tcW w:w="851" w:type="dxa"/>
            <w:tcBorders>
              <w:right w:val="single" w:sz="4" w:space="0" w:color="auto"/>
            </w:tcBorders>
            <w:vAlign w:val="center"/>
          </w:tcPr>
          <w:p w14:paraId="66490FE7" w14:textId="77777777" w:rsidR="00ED4E09" w:rsidRPr="000675CD" w:rsidRDefault="00ED4E09" w:rsidP="000675CD">
            <w:pPr>
              <w:spacing w:before="60" w:after="60"/>
              <w:jc w:val="center"/>
              <w:rPr>
                <w:sz w:val="16"/>
                <w:szCs w:val="16"/>
              </w:rPr>
            </w:pPr>
            <w:r w:rsidRPr="000675CD">
              <w:rPr>
                <w:sz w:val="16"/>
                <w:szCs w:val="16"/>
              </w:rPr>
              <w:t>0.006***</w:t>
            </w:r>
          </w:p>
          <w:p w14:paraId="1BF40728" w14:textId="77777777" w:rsidR="00ED4E09" w:rsidRPr="000675CD" w:rsidRDefault="00ED4E09" w:rsidP="000675CD">
            <w:pPr>
              <w:spacing w:before="60" w:after="60"/>
              <w:jc w:val="center"/>
              <w:rPr>
                <w:sz w:val="16"/>
                <w:szCs w:val="16"/>
              </w:rPr>
            </w:pPr>
            <w:r w:rsidRPr="000675CD">
              <w:rPr>
                <w:sz w:val="16"/>
                <w:szCs w:val="16"/>
              </w:rPr>
              <w:t>(9.566)</w:t>
            </w:r>
          </w:p>
        </w:tc>
        <w:tc>
          <w:tcPr>
            <w:tcW w:w="850" w:type="dxa"/>
            <w:tcBorders>
              <w:left w:val="single" w:sz="4" w:space="0" w:color="auto"/>
            </w:tcBorders>
            <w:vAlign w:val="center"/>
          </w:tcPr>
          <w:p w14:paraId="7BC35521" w14:textId="77777777" w:rsidR="00ED4E09" w:rsidRPr="000675CD" w:rsidRDefault="00ED4E09" w:rsidP="000675CD">
            <w:pPr>
              <w:spacing w:before="60" w:after="60"/>
              <w:jc w:val="center"/>
              <w:rPr>
                <w:sz w:val="16"/>
                <w:szCs w:val="16"/>
              </w:rPr>
            </w:pPr>
            <w:r w:rsidRPr="000675CD">
              <w:rPr>
                <w:sz w:val="16"/>
                <w:szCs w:val="16"/>
              </w:rPr>
              <w:t>0.003***</w:t>
            </w:r>
          </w:p>
          <w:p w14:paraId="0FA5DDC2" w14:textId="77777777" w:rsidR="00ED4E09" w:rsidRPr="000675CD" w:rsidRDefault="00ED4E09" w:rsidP="000675CD">
            <w:pPr>
              <w:spacing w:before="60" w:after="60"/>
              <w:jc w:val="center"/>
              <w:rPr>
                <w:sz w:val="16"/>
                <w:szCs w:val="16"/>
              </w:rPr>
            </w:pPr>
            <w:r w:rsidRPr="000675CD">
              <w:rPr>
                <w:sz w:val="16"/>
                <w:szCs w:val="16"/>
              </w:rPr>
              <w:t>(3.228)</w:t>
            </w:r>
          </w:p>
        </w:tc>
        <w:tc>
          <w:tcPr>
            <w:tcW w:w="993" w:type="dxa"/>
            <w:tcBorders>
              <w:right w:val="single" w:sz="4" w:space="0" w:color="auto"/>
            </w:tcBorders>
            <w:vAlign w:val="center"/>
          </w:tcPr>
          <w:p w14:paraId="69391E3C" w14:textId="77777777" w:rsidR="00ED4E09" w:rsidRPr="000675CD" w:rsidRDefault="00ED4E09" w:rsidP="000675CD">
            <w:pPr>
              <w:spacing w:before="60" w:after="60"/>
              <w:jc w:val="center"/>
              <w:rPr>
                <w:sz w:val="16"/>
                <w:szCs w:val="16"/>
              </w:rPr>
            </w:pPr>
            <w:r w:rsidRPr="000675CD">
              <w:rPr>
                <w:sz w:val="16"/>
                <w:szCs w:val="16"/>
              </w:rPr>
              <w:t>0.,008***</w:t>
            </w:r>
          </w:p>
          <w:p w14:paraId="4F49DDEE" w14:textId="77777777" w:rsidR="00ED4E09" w:rsidRPr="000675CD" w:rsidRDefault="00ED4E09" w:rsidP="000675CD">
            <w:pPr>
              <w:spacing w:before="60" w:after="60"/>
              <w:jc w:val="center"/>
              <w:rPr>
                <w:sz w:val="16"/>
                <w:szCs w:val="16"/>
              </w:rPr>
            </w:pPr>
            <w:r w:rsidRPr="000675CD">
              <w:rPr>
                <w:sz w:val="16"/>
                <w:szCs w:val="16"/>
              </w:rPr>
              <w:t>(8.637)</w:t>
            </w:r>
          </w:p>
        </w:tc>
        <w:tc>
          <w:tcPr>
            <w:tcW w:w="992" w:type="dxa"/>
            <w:tcBorders>
              <w:left w:val="single" w:sz="4" w:space="0" w:color="auto"/>
            </w:tcBorders>
            <w:vAlign w:val="center"/>
          </w:tcPr>
          <w:p w14:paraId="5FD3D025" w14:textId="77777777" w:rsidR="00ED4E09" w:rsidRPr="000675CD" w:rsidRDefault="00ED4E09" w:rsidP="000675CD">
            <w:pPr>
              <w:spacing w:before="60" w:after="60"/>
              <w:jc w:val="center"/>
              <w:rPr>
                <w:sz w:val="16"/>
                <w:szCs w:val="16"/>
              </w:rPr>
            </w:pPr>
            <w:r w:rsidRPr="000675CD">
              <w:rPr>
                <w:sz w:val="16"/>
                <w:szCs w:val="16"/>
              </w:rPr>
              <w:t>-0.005***</w:t>
            </w:r>
          </w:p>
          <w:p w14:paraId="5BE50FBB" w14:textId="77777777" w:rsidR="00ED4E09" w:rsidRPr="000675CD" w:rsidRDefault="00ED4E09" w:rsidP="000675CD">
            <w:pPr>
              <w:spacing w:before="60" w:after="60"/>
              <w:jc w:val="center"/>
              <w:rPr>
                <w:sz w:val="16"/>
                <w:szCs w:val="16"/>
              </w:rPr>
            </w:pPr>
            <w:r w:rsidRPr="000675CD">
              <w:rPr>
                <w:sz w:val="16"/>
                <w:szCs w:val="16"/>
              </w:rPr>
              <w:t>(-10.106)</w:t>
            </w:r>
          </w:p>
        </w:tc>
        <w:tc>
          <w:tcPr>
            <w:tcW w:w="850" w:type="dxa"/>
            <w:tcBorders>
              <w:right w:val="single" w:sz="4" w:space="0" w:color="auto"/>
            </w:tcBorders>
            <w:vAlign w:val="center"/>
          </w:tcPr>
          <w:p w14:paraId="7D994F2C" w14:textId="77777777" w:rsidR="00ED4E09" w:rsidRPr="000675CD" w:rsidRDefault="00ED4E09" w:rsidP="000675CD">
            <w:pPr>
              <w:spacing w:before="60" w:after="60"/>
              <w:jc w:val="center"/>
              <w:rPr>
                <w:sz w:val="16"/>
                <w:szCs w:val="16"/>
              </w:rPr>
            </w:pPr>
            <w:r w:rsidRPr="000675CD">
              <w:rPr>
                <w:sz w:val="16"/>
                <w:szCs w:val="16"/>
              </w:rPr>
              <w:t>0.001**</w:t>
            </w:r>
          </w:p>
          <w:p w14:paraId="7D7F4DCE" w14:textId="77777777" w:rsidR="00ED4E09" w:rsidRPr="001D555E" w:rsidRDefault="00ED4E09" w:rsidP="000675CD">
            <w:pPr>
              <w:spacing w:before="60" w:after="60"/>
              <w:jc w:val="center"/>
              <w:rPr>
                <w:sz w:val="16"/>
                <w:szCs w:val="16"/>
              </w:rPr>
            </w:pPr>
            <w:r w:rsidRPr="000675CD">
              <w:rPr>
                <w:sz w:val="16"/>
                <w:szCs w:val="16"/>
              </w:rPr>
              <w:t>(2.659)</w:t>
            </w:r>
          </w:p>
        </w:tc>
        <w:tc>
          <w:tcPr>
            <w:tcW w:w="851" w:type="dxa"/>
            <w:tcBorders>
              <w:left w:val="single" w:sz="4" w:space="0" w:color="auto"/>
            </w:tcBorders>
            <w:vAlign w:val="center"/>
          </w:tcPr>
          <w:p w14:paraId="17D8DDBC" w14:textId="77777777" w:rsidR="00ED4E09" w:rsidRPr="000675CD" w:rsidRDefault="00ED4E09" w:rsidP="000675CD">
            <w:pPr>
              <w:spacing w:before="60" w:after="60"/>
              <w:jc w:val="center"/>
              <w:rPr>
                <w:sz w:val="16"/>
                <w:szCs w:val="16"/>
              </w:rPr>
            </w:pPr>
            <w:r w:rsidRPr="000675CD">
              <w:rPr>
                <w:sz w:val="16"/>
                <w:szCs w:val="16"/>
              </w:rPr>
              <w:t>0.004**</w:t>
            </w:r>
          </w:p>
          <w:p w14:paraId="75BF3F8C" w14:textId="77777777" w:rsidR="00ED4E09" w:rsidRPr="000675CD" w:rsidRDefault="00ED4E09" w:rsidP="000675CD">
            <w:pPr>
              <w:spacing w:before="60" w:after="60"/>
              <w:jc w:val="center"/>
              <w:rPr>
                <w:sz w:val="16"/>
                <w:szCs w:val="16"/>
              </w:rPr>
            </w:pPr>
            <w:r w:rsidRPr="000675CD">
              <w:rPr>
                <w:sz w:val="16"/>
                <w:szCs w:val="16"/>
              </w:rPr>
              <w:t>(2.325)</w:t>
            </w:r>
          </w:p>
        </w:tc>
        <w:tc>
          <w:tcPr>
            <w:tcW w:w="850" w:type="dxa"/>
            <w:tcBorders>
              <w:right w:val="single" w:sz="4" w:space="0" w:color="auto"/>
            </w:tcBorders>
            <w:vAlign w:val="center"/>
          </w:tcPr>
          <w:p w14:paraId="44F5DE49" w14:textId="77777777" w:rsidR="00ED4E09" w:rsidRPr="000675CD" w:rsidRDefault="00ED4E09" w:rsidP="000675CD">
            <w:pPr>
              <w:spacing w:before="60" w:after="60"/>
              <w:jc w:val="center"/>
              <w:rPr>
                <w:sz w:val="16"/>
                <w:szCs w:val="16"/>
              </w:rPr>
            </w:pPr>
            <w:r w:rsidRPr="000675CD">
              <w:rPr>
                <w:sz w:val="16"/>
                <w:szCs w:val="16"/>
              </w:rPr>
              <w:t>0.011***</w:t>
            </w:r>
          </w:p>
          <w:p w14:paraId="275D7D40" w14:textId="77777777" w:rsidR="00ED4E09" w:rsidRPr="000675CD" w:rsidRDefault="00ED4E09" w:rsidP="000675CD">
            <w:pPr>
              <w:spacing w:before="60" w:after="60"/>
              <w:jc w:val="center"/>
              <w:rPr>
                <w:sz w:val="16"/>
                <w:szCs w:val="16"/>
              </w:rPr>
            </w:pPr>
            <w:r w:rsidRPr="000675CD">
              <w:rPr>
                <w:sz w:val="16"/>
                <w:szCs w:val="16"/>
              </w:rPr>
              <w:t>(11.524)</w:t>
            </w:r>
          </w:p>
        </w:tc>
        <w:tc>
          <w:tcPr>
            <w:tcW w:w="993" w:type="dxa"/>
            <w:tcBorders>
              <w:left w:val="single" w:sz="4" w:space="0" w:color="auto"/>
            </w:tcBorders>
            <w:vAlign w:val="center"/>
          </w:tcPr>
          <w:p w14:paraId="489AB4D9" w14:textId="77777777" w:rsidR="00ED4E09" w:rsidRPr="000675CD" w:rsidRDefault="00ED4E09" w:rsidP="000675CD">
            <w:pPr>
              <w:spacing w:before="60" w:after="60"/>
              <w:jc w:val="center"/>
              <w:rPr>
                <w:sz w:val="16"/>
                <w:szCs w:val="16"/>
              </w:rPr>
            </w:pPr>
            <w:r w:rsidRPr="000675CD">
              <w:rPr>
                <w:sz w:val="16"/>
                <w:szCs w:val="16"/>
              </w:rPr>
              <w:t>0.002***</w:t>
            </w:r>
          </w:p>
          <w:p w14:paraId="7218D64D" w14:textId="77777777" w:rsidR="00ED4E09" w:rsidRPr="000675CD" w:rsidRDefault="00ED4E09" w:rsidP="000675CD">
            <w:pPr>
              <w:spacing w:before="60" w:after="60"/>
              <w:jc w:val="center"/>
              <w:rPr>
                <w:sz w:val="16"/>
                <w:szCs w:val="16"/>
              </w:rPr>
            </w:pPr>
            <w:r w:rsidRPr="000675CD">
              <w:rPr>
                <w:sz w:val="16"/>
                <w:szCs w:val="16"/>
              </w:rPr>
              <w:t>(5.229)</w:t>
            </w:r>
          </w:p>
        </w:tc>
        <w:tc>
          <w:tcPr>
            <w:tcW w:w="850" w:type="dxa"/>
            <w:vAlign w:val="center"/>
          </w:tcPr>
          <w:p w14:paraId="3DE23046" w14:textId="77777777" w:rsidR="00ED4E09" w:rsidRPr="000675CD" w:rsidRDefault="00ED4E09" w:rsidP="000675CD">
            <w:pPr>
              <w:spacing w:before="60" w:after="60"/>
              <w:jc w:val="center"/>
              <w:rPr>
                <w:sz w:val="16"/>
                <w:szCs w:val="16"/>
              </w:rPr>
            </w:pPr>
            <w:r w:rsidRPr="000675CD">
              <w:rPr>
                <w:sz w:val="16"/>
                <w:szCs w:val="16"/>
              </w:rPr>
              <w:t>0.012***</w:t>
            </w:r>
          </w:p>
          <w:p w14:paraId="2962C147" w14:textId="77777777" w:rsidR="00ED4E09" w:rsidRPr="000675CD" w:rsidRDefault="00ED4E09" w:rsidP="000675CD">
            <w:pPr>
              <w:spacing w:before="60" w:after="60"/>
              <w:jc w:val="center"/>
              <w:rPr>
                <w:sz w:val="16"/>
                <w:szCs w:val="16"/>
              </w:rPr>
            </w:pPr>
            <w:r w:rsidRPr="000675CD">
              <w:rPr>
                <w:sz w:val="16"/>
                <w:szCs w:val="16"/>
              </w:rPr>
              <w:t>(42.101)</w:t>
            </w:r>
          </w:p>
        </w:tc>
      </w:tr>
      <w:tr w:rsidR="00ED4E09" w:rsidRPr="001D555E" w14:paraId="54D5CC2D" w14:textId="77777777" w:rsidTr="000675CD">
        <w:trPr>
          <w:trHeight w:val="633"/>
        </w:trPr>
        <w:tc>
          <w:tcPr>
            <w:tcW w:w="1276" w:type="dxa"/>
            <w:tcBorders>
              <w:right w:val="single" w:sz="4" w:space="0" w:color="auto"/>
            </w:tcBorders>
            <w:vAlign w:val="center"/>
            <w:hideMark/>
          </w:tcPr>
          <w:p w14:paraId="50FADBCC" w14:textId="77777777" w:rsidR="00ED4E09" w:rsidRPr="001D555E" w:rsidRDefault="00ED4E09" w:rsidP="000675CD">
            <w:pPr>
              <w:spacing w:before="60" w:after="60"/>
              <w:rPr>
                <w:i/>
                <w:iCs/>
                <w:sz w:val="20"/>
                <w:szCs w:val="20"/>
              </w:rPr>
            </w:pPr>
            <w:r w:rsidRPr="001D555E">
              <w:rPr>
                <w:position w:val="-4"/>
                <w:sz w:val="20"/>
                <w:szCs w:val="20"/>
              </w:rPr>
              <w:object w:dxaOrig="300" w:dyaOrig="300" w14:anchorId="3A30F3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5pt;height:15.05pt" o:ole="">
                  <v:imagedata r:id="rId39" o:title=""/>
                </v:shape>
                <o:OLEObject Type="Embed" ProgID="Equation.3" ShapeID="_x0000_i1025" DrawAspect="Content" ObjectID="_1749837136" r:id="rId40"/>
              </w:object>
            </w:r>
          </w:p>
        </w:tc>
        <w:tc>
          <w:tcPr>
            <w:tcW w:w="851" w:type="dxa"/>
            <w:tcBorders>
              <w:left w:val="single" w:sz="4" w:space="0" w:color="auto"/>
            </w:tcBorders>
            <w:vAlign w:val="center"/>
          </w:tcPr>
          <w:p w14:paraId="42CEF7BA" w14:textId="77777777" w:rsidR="00ED4E09" w:rsidRPr="008C56CC" w:rsidRDefault="00ED4E09" w:rsidP="000675CD">
            <w:pPr>
              <w:spacing w:before="60" w:after="60"/>
              <w:jc w:val="center"/>
              <w:rPr>
                <w:sz w:val="16"/>
                <w:szCs w:val="16"/>
              </w:rPr>
            </w:pPr>
            <w:r w:rsidRPr="008C56CC">
              <w:rPr>
                <w:sz w:val="16"/>
                <w:szCs w:val="16"/>
              </w:rPr>
              <w:t xml:space="preserve"> 0.786</w:t>
            </w:r>
          </w:p>
        </w:tc>
        <w:tc>
          <w:tcPr>
            <w:tcW w:w="850" w:type="dxa"/>
            <w:tcBorders>
              <w:right w:val="single" w:sz="4" w:space="0" w:color="auto"/>
            </w:tcBorders>
            <w:vAlign w:val="center"/>
          </w:tcPr>
          <w:p w14:paraId="19027383" w14:textId="77777777" w:rsidR="00ED4E09" w:rsidRPr="008C56CC" w:rsidRDefault="00ED4E09" w:rsidP="000675CD">
            <w:pPr>
              <w:spacing w:before="60" w:after="60"/>
              <w:jc w:val="center"/>
              <w:rPr>
                <w:sz w:val="16"/>
                <w:szCs w:val="16"/>
              </w:rPr>
            </w:pPr>
            <w:r w:rsidRPr="008C56CC">
              <w:rPr>
                <w:sz w:val="16"/>
                <w:szCs w:val="16"/>
              </w:rPr>
              <w:t xml:space="preserve">0.743 </w:t>
            </w:r>
          </w:p>
        </w:tc>
        <w:tc>
          <w:tcPr>
            <w:tcW w:w="851" w:type="dxa"/>
            <w:tcBorders>
              <w:left w:val="single" w:sz="4" w:space="0" w:color="auto"/>
            </w:tcBorders>
            <w:vAlign w:val="center"/>
          </w:tcPr>
          <w:p w14:paraId="0E16335F" w14:textId="77777777" w:rsidR="00ED4E09" w:rsidRPr="001D555E" w:rsidRDefault="00ED4E09" w:rsidP="000675CD">
            <w:pPr>
              <w:spacing w:before="60" w:after="60"/>
              <w:jc w:val="center"/>
              <w:rPr>
                <w:sz w:val="16"/>
                <w:szCs w:val="16"/>
              </w:rPr>
            </w:pPr>
            <w:r w:rsidRPr="001D555E">
              <w:rPr>
                <w:sz w:val="16"/>
                <w:szCs w:val="16"/>
              </w:rPr>
              <w:t xml:space="preserve">0.641 </w:t>
            </w:r>
          </w:p>
        </w:tc>
        <w:tc>
          <w:tcPr>
            <w:tcW w:w="992" w:type="dxa"/>
            <w:tcBorders>
              <w:right w:val="single" w:sz="4" w:space="0" w:color="auto"/>
            </w:tcBorders>
            <w:vAlign w:val="center"/>
          </w:tcPr>
          <w:p w14:paraId="04BD81A2" w14:textId="77777777" w:rsidR="00ED4E09" w:rsidRPr="001D555E" w:rsidRDefault="00ED4E09" w:rsidP="000675CD">
            <w:pPr>
              <w:spacing w:before="60" w:after="60"/>
              <w:jc w:val="center"/>
              <w:rPr>
                <w:sz w:val="16"/>
                <w:szCs w:val="16"/>
              </w:rPr>
            </w:pPr>
            <w:r w:rsidRPr="001D555E">
              <w:rPr>
                <w:sz w:val="16"/>
                <w:szCs w:val="16"/>
              </w:rPr>
              <w:t xml:space="preserve">0.993 </w:t>
            </w:r>
          </w:p>
        </w:tc>
        <w:tc>
          <w:tcPr>
            <w:tcW w:w="850" w:type="dxa"/>
            <w:tcBorders>
              <w:left w:val="single" w:sz="4" w:space="0" w:color="auto"/>
            </w:tcBorders>
            <w:vAlign w:val="center"/>
          </w:tcPr>
          <w:p w14:paraId="7522C737" w14:textId="77777777" w:rsidR="00ED4E09" w:rsidRPr="001D555E" w:rsidRDefault="00ED4E09" w:rsidP="000675CD">
            <w:pPr>
              <w:spacing w:before="60" w:after="60"/>
              <w:jc w:val="center"/>
              <w:rPr>
                <w:sz w:val="16"/>
                <w:szCs w:val="16"/>
              </w:rPr>
            </w:pPr>
            <w:r w:rsidRPr="001D555E">
              <w:rPr>
                <w:sz w:val="16"/>
                <w:szCs w:val="16"/>
              </w:rPr>
              <w:t xml:space="preserve">0.831 </w:t>
            </w:r>
          </w:p>
        </w:tc>
        <w:tc>
          <w:tcPr>
            <w:tcW w:w="851" w:type="dxa"/>
            <w:tcBorders>
              <w:right w:val="single" w:sz="4" w:space="0" w:color="auto"/>
            </w:tcBorders>
            <w:vAlign w:val="center"/>
          </w:tcPr>
          <w:p w14:paraId="52417EFE" w14:textId="77777777" w:rsidR="00ED4E09" w:rsidRPr="001D555E" w:rsidRDefault="00ED4E09" w:rsidP="000675CD">
            <w:pPr>
              <w:spacing w:before="60" w:after="60"/>
              <w:jc w:val="center"/>
              <w:rPr>
                <w:sz w:val="16"/>
                <w:szCs w:val="16"/>
              </w:rPr>
            </w:pPr>
            <w:r w:rsidRPr="001D555E">
              <w:rPr>
                <w:sz w:val="16"/>
                <w:szCs w:val="16"/>
              </w:rPr>
              <w:t xml:space="preserve">0.980 </w:t>
            </w:r>
          </w:p>
        </w:tc>
        <w:tc>
          <w:tcPr>
            <w:tcW w:w="850" w:type="dxa"/>
            <w:tcBorders>
              <w:left w:val="single" w:sz="4" w:space="0" w:color="auto"/>
            </w:tcBorders>
            <w:vAlign w:val="center"/>
          </w:tcPr>
          <w:p w14:paraId="35B1B369" w14:textId="77777777" w:rsidR="00ED4E09" w:rsidRPr="001D555E" w:rsidRDefault="00ED4E09" w:rsidP="000675CD">
            <w:pPr>
              <w:spacing w:before="60" w:after="60"/>
              <w:jc w:val="center"/>
              <w:rPr>
                <w:sz w:val="16"/>
                <w:szCs w:val="16"/>
              </w:rPr>
            </w:pPr>
            <w:r w:rsidRPr="001D555E">
              <w:rPr>
                <w:sz w:val="16"/>
                <w:szCs w:val="16"/>
              </w:rPr>
              <w:t xml:space="preserve"> 0.752</w:t>
            </w:r>
          </w:p>
        </w:tc>
        <w:tc>
          <w:tcPr>
            <w:tcW w:w="993" w:type="dxa"/>
            <w:tcBorders>
              <w:right w:val="single" w:sz="4" w:space="0" w:color="auto"/>
            </w:tcBorders>
            <w:vAlign w:val="center"/>
          </w:tcPr>
          <w:p w14:paraId="7D3C9483" w14:textId="77777777" w:rsidR="00ED4E09" w:rsidRPr="001D555E" w:rsidRDefault="00ED4E09" w:rsidP="000675CD">
            <w:pPr>
              <w:spacing w:before="60" w:after="60"/>
              <w:jc w:val="center"/>
              <w:rPr>
                <w:sz w:val="16"/>
                <w:szCs w:val="16"/>
              </w:rPr>
            </w:pPr>
            <w:r w:rsidRPr="001D555E">
              <w:rPr>
                <w:sz w:val="16"/>
                <w:szCs w:val="16"/>
              </w:rPr>
              <w:t>0.731</w:t>
            </w:r>
          </w:p>
        </w:tc>
        <w:tc>
          <w:tcPr>
            <w:tcW w:w="992" w:type="dxa"/>
            <w:tcBorders>
              <w:left w:val="single" w:sz="4" w:space="0" w:color="auto"/>
            </w:tcBorders>
            <w:vAlign w:val="center"/>
          </w:tcPr>
          <w:p w14:paraId="181A6FD6" w14:textId="77777777" w:rsidR="00ED4E09" w:rsidRPr="001D555E" w:rsidRDefault="00ED4E09" w:rsidP="000675CD">
            <w:pPr>
              <w:spacing w:before="60" w:after="60"/>
              <w:jc w:val="center"/>
              <w:rPr>
                <w:sz w:val="16"/>
                <w:szCs w:val="16"/>
              </w:rPr>
            </w:pPr>
            <w:r w:rsidRPr="001D555E">
              <w:rPr>
                <w:sz w:val="16"/>
                <w:szCs w:val="16"/>
              </w:rPr>
              <w:t>0.816</w:t>
            </w:r>
          </w:p>
        </w:tc>
        <w:tc>
          <w:tcPr>
            <w:tcW w:w="850" w:type="dxa"/>
            <w:tcBorders>
              <w:right w:val="single" w:sz="4" w:space="0" w:color="auto"/>
            </w:tcBorders>
            <w:vAlign w:val="center"/>
          </w:tcPr>
          <w:p w14:paraId="49411D2A" w14:textId="77777777" w:rsidR="00ED4E09" w:rsidRPr="001D555E" w:rsidRDefault="00ED4E09" w:rsidP="000675CD">
            <w:pPr>
              <w:spacing w:before="60" w:after="60"/>
              <w:jc w:val="center"/>
              <w:rPr>
                <w:sz w:val="16"/>
                <w:szCs w:val="16"/>
              </w:rPr>
            </w:pPr>
            <w:r w:rsidRPr="001D555E">
              <w:rPr>
                <w:sz w:val="16"/>
                <w:szCs w:val="16"/>
              </w:rPr>
              <w:t>0.705</w:t>
            </w:r>
          </w:p>
        </w:tc>
        <w:tc>
          <w:tcPr>
            <w:tcW w:w="851" w:type="dxa"/>
            <w:tcBorders>
              <w:left w:val="single" w:sz="4" w:space="0" w:color="auto"/>
            </w:tcBorders>
            <w:vAlign w:val="center"/>
          </w:tcPr>
          <w:p w14:paraId="6208A57A" w14:textId="77777777" w:rsidR="00ED4E09" w:rsidRPr="001D555E" w:rsidRDefault="00ED4E09" w:rsidP="000675CD">
            <w:pPr>
              <w:spacing w:before="60" w:after="60"/>
              <w:jc w:val="center"/>
              <w:rPr>
                <w:sz w:val="16"/>
                <w:szCs w:val="16"/>
              </w:rPr>
            </w:pPr>
            <w:r w:rsidRPr="001D555E">
              <w:rPr>
                <w:sz w:val="16"/>
                <w:szCs w:val="16"/>
              </w:rPr>
              <w:t xml:space="preserve"> 0.417</w:t>
            </w:r>
          </w:p>
        </w:tc>
        <w:tc>
          <w:tcPr>
            <w:tcW w:w="850" w:type="dxa"/>
            <w:tcBorders>
              <w:right w:val="single" w:sz="4" w:space="0" w:color="auto"/>
            </w:tcBorders>
            <w:vAlign w:val="center"/>
          </w:tcPr>
          <w:p w14:paraId="00C135A1" w14:textId="77777777" w:rsidR="00ED4E09" w:rsidRPr="001D555E" w:rsidRDefault="00ED4E09" w:rsidP="000675CD">
            <w:pPr>
              <w:spacing w:before="60" w:after="60"/>
              <w:jc w:val="center"/>
              <w:rPr>
                <w:sz w:val="16"/>
                <w:szCs w:val="16"/>
              </w:rPr>
            </w:pPr>
            <w:r w:rsidRPr="001D555E">
              <w:rPr>
                <w:sz w:val="16"/>
                <w:szCs w:val="16"/>
              </w:rPr>
              <w:t>0.959</w:t>
            </w:r>
          </w:p>
        </w:tc>
        <w:tc>
          <w:tcPr>
            <w:tcW w:w="993" w:type="dxa"/>
            <w:tcBorders>
              <w:left w:val="single" w:sz="4" w:space="0" w:color="auto"/>
            </w:tcBorders>
            <w:vAlign w:val="center"/>
          </w:tcPr>
          <w:p w14:paraId="0F332214" w14:textId="77777777" w:rsidR="00ED4E09" w:rsidRPr="001D555E" w:rsidRDefault="00ED4E09" w:rsidP="000675CD">
            <w:pPr>
              <w:spacing w:before="60" w:after="60"/>
              <w:jc w:val="center"/>
              <w:rPr>
                <w:sz w:val="16"/>
                <w:szCs w:val="16"/>
              </w:rPr>
            </w:pPr>
            <w:r w:rsidRPr="001D555E">
              <w:rPr>
                <w:sz w:val="16"/>
                <w:szCs w:val="16"/>
              </w:rPr>
              <w:t xml:space="preserve"> 0.920</w:t>
            </w:r>
          </w:p>
        </w:tc>
        <w:tc>
          <w:tcPr>
            <w:tcW w:w="850" w:type="dxa"/>
            <w:vAlign w:val="center"/>
          </w:tcPr>
          <w:p w14:paraId="37AF22C6" w14:textId="77777777" w:rsidR="00ED4E09" w:rsidRPr="001D555E" w:rsidRDefault="00ED4E09" w:rsidP="000675CD">
            <w:pPr>
              <w:spacing w:before="60" w:after="60"/>
              <w:jc w:val="center"/>
              <w:rPr>
                <w:sz w:val="16"/>
                <w:szCs w:val="16"/>
              </w:rPr>
            </w:pPr>
            <w:r w:rsidRPr="001D555E">
              <w:rPr>
                <w:sz w:val="16"/>
                <w:szCs w:val="16"/>
              </w:rPr>
              <w:t xml:space="preserve">0.995 </w:t>
            </w:r>
          </w:p>
        </w:tc>
      </w:tr>
      <w:tr w:rsidR="00ED4E09" w:rsidRPr="001D555E" w14:paraId="27E5FFE4" w14:textId="77777777" w:rsidTr="000675CD">
        <w:tc>
          <w:tcPr>
            <w:tcW w:w="1276" w:type="dxa"/>
            <w:tcBorders>
              <w:bottom w:val="single" w:sz="4" w:space="0" w:color="auto"/>
              <w:right w:val="single" w:sz="4" w:space="0" w:color="auto"/>
            </w:tcBorders>
            <w:vAlign w:val="center"/>
            <w:hideMark/>
          </w:tcPr>
          <w:p w14:paraId="2906AC05" w14:textId="77777777" w:rsidR="00ED4E09" w:rsidRPr="001D555E" w:rsidRDefault="00ED4E09" w:rsidP="000675CD">
            <w:pPr>
              <w:spacing w:before="60" w:after="60"/>
              <w:rPr>
                <w:sz w:val="20"/>
                <w:szCs w:val="20"/>
                <w:lang w:val="en-GB"/>
              </w:rPr>
            </w:pPr>
            <w:r w:rsidRPr="001D555E">
              <w:rPr>
                <w:sz w:val="20"/>
                <w:szCs w:val="20"/>
                <w:lang w:val="en-GB"/>
              </w:rPr>
              <w:t>Trace Test Statistic (critical value: 79.341)</w:t>
            </w:r>
          </w:p>
        </w:tc>
        <w:tc>
          <w:tcPr>
            <w:tcW w:w="851" w:type="dxa"/>
            <w:tcBorders>
              <w:left w:val="single" w:sz="4" w:space="0" w:color="auto"/>
              <w:bottom w:val="single" w:sz="4" w:space="0" w:color="auto"/>
            </w:tcBorders>
            <w:vAlign w:val="center"/>
          </w:tcPr>
          <w:p w14:paraId="00021536" w14:textId="77777777" w:rsidR="00ED4E09" w:rsidRPr="000675CD" w:rsidRDefault="00ED4E09" w:rsidP="000675CD">
            <w:pPr>
              <w:spacing w:before="60" w:after="60"/>
              <w:jc w:val="center"/>
              <w:rPr>
                <w:sz w:val="16"/>
                <w:szCs w:val="16"/>
              </w:rPr>
            </w:pPr>
            <w:r w:rsidRPr="000675CD">
              <w:rPr>
                <w:sz w:val="16"/>
                <w:szCs w:val="16"/>
                <w:lang w:val="en-GB"/>
              </w:rPr>
              <w:t xml:space="preserve">   </w:t>
            </w:r>
            <w:r w:rsidRPr="000675CD">
              <w:rPr>
                <w:sz w:val="16"/>
                <w:szCs w:val="16"/>
              </w:rPr>
              <w:t>98.153</w:t>
            </w:r>
          </w:p>
        </w:tc>
        <w:tc>
          <w:tcPr>
            <w:tcW w:w="850" w:type="dxa"/>
            <w:tcBorders>
              <w:bottom w:val="single" w:sz="4" w:space="0" w:color="auto"/>
              <w:right w:val="single" w:sz="4" w:space="0" w:color="auto"/>
            </w:tcBorders>
            <w:vAlign w:val="center"/>
          </w:tcPr>
          <w:p w14:paraId="6AF4607A" w14:textId="77777777" w:rsidR="00ED4E09" w:rsidRPr="000675CD" w:rsidRDefault="00ED4E09" w:rsidP="000675CD">
            <w:pPr>
              <w:spacing w:before="60" w:after="60"/>
              <w:jc w:val="center"/>
              <w:rPr>
                <w:sz w:val="16"/>
                <w:szCs w:val="16"/>
              </w:rPr>
            </w:pPr>
            <w:r w:rsidRPr="000675CD">
              <w:rPr>
                <w:sz w:val="16"/>
                <w:szCs w:val="16"/>
              </w:rPr>
              <w:t xml:space="preserve"> 65.195</w:t>
            </w:r>
          </w:p>
        </w:tc>
        <w:tc>
          <w:tcPr>
            <w:tcW w:w="851" w:type="dxa"/>
            <w:tcBorders>
              <w:left w:val="single" w:sz="4" w:space="0" w:color="auto"/>
              <w:bottom w:val="single" w:sz="4" w:space="0" w:color="auto"/>
            </w:tcBorders>
            <w:vAlign w:val="center"/>
          </w:tcPr>
          <w:p w14:paraId="3C261A70" w14:textId="77777777" w:rsidR="00ED4E09" w:rsidRPr="000675CD" w:rsidRDefault="00ED4E09" w:rsidP="000675CD">
            <w:pPr>
              <w:spacing w:before="60" w:after="60"/>
              <w:jc w:val="center"/>
              <w:rPr>
                <w:sz w:val="16"/>
                <w:szCs w:val="16"/>
              </w:rPr>
            </w:pPr>
            <w:r w:rsidRPr="000675CD">
              <w:rPr>
                <w:sz w:val="16"/>
                <w:szCs w:val="16"/>
              </w:rPr>
              <w:t xml:space="preserve">103.241  </w:t>
            </w:r>
          </w:p>
        </w:tc>
        <w:tc>
          <w:tcPr>
            <w:tcW w:w="992" w:type="dxa"/>
            <w:tcBorders>
              <w:bottom w:val="single" w:sz="4" w:space="0" w:color="auto"/>
              <w:right w:val="single" w:sz="4" w:space="0" w:color="auto"/>
            </w:tcBorders>
            <w:vAlign w:val="center"/>
          </w:tcPr>
          <w:p w14:paraId="1CD11487" w14:textId="77777777" w:rsidR="00ED4E09" w:rsidRPr="000675CD" w:rsidRDefault="00ED4E09" w:rsidP="000675CD">
            <w:pPr>
              <w:spacing w:before="60" w:after="60"/>
              <w:jc w:val="center"/>
              <w:rPr>
                <w:sz w:val="16"/>
                <w:szCs w:val="16"/>
              </w:rPr>
            </w:pPr>
            <w:r w:rsidRPr="000675CD">
              <w:rPr>
                <w:sz w:val="16"/>
                <w:szCs w:val="16"/>
              </w:rPr>
              <w:t xml:space="preserve"> 105.633</w:t>
            </w:r>
          </w:p>
        </w:tc>
        <w:tc>
          <w:tcPr>
            <w:tcW w:w="850" w:type="dxa"/>
            <w:tcBorders>
              <w:left w:val="single" w:sz="4" w:space="0" w:color="auto"/>
              <w:bottom w:val="single" w:sz="4" w:space="0" w:color="auto"/>
            </w:tcBorders>
            <w:vAlign w:val="center"/>
          </w:tcPr>
          <w:p w14:paraId="1C0D50B8" w14:textId="77777777" w:rsidR="00ED4E09" w:rsidRPr="000675CD" w:rsidRDefault="00ED4E09" w:rsidP="000675CD">
            <w:pPr>
              <w:spacing w:before="60" w:after="60"/>
              <w:jc w:val="center"/>
              <w:rPr>
                <w:sz w:val="16"/>
                <w:szCs w:val="16"/>
              </w:rPr>
            </w:pPr>
            <w:r w:rsidRPr="000675CD">
              <w:rPr>
                <w:sz w:val="16"/>
                <w:szCs w:val="16"/>
              </w:rPr>
              <w:t xml:space="preserve">  113.742</w:t>
            </w:r>
          </w:p>
        </w:tc>
        <w:tc>
          <w:tcPr>
            <w:tcW w:w="851" w:type="dxa"/>
            <w:tcBorders>
              <w:bottom w:val="single" w:sz="4" w:space="0" w:color="auto"/>
              <w:right w:val="single" w:sz="4" w:space="0" w:color="auto"/>
            </w:tcBorders>
            <w:vAlign w:val="center"/>
          </w:tcPr>
          <w:p w14:paraId="45DE55DF" w14:textId="77777777" w:rsidR="00ED4E09" w:rsidRPr="000675CD" w:rsidRDefault="00ED4E09" w:rsidP="000675CD">
            <w:pPr>
              <w:spacing w:before="60" w:after="60"/>
              <w:jc w:val="center"/>
              <w:rPr>
                <w:sz w:val="16"/>
                <w:szCs w:val="16"/>
              </w:rPr>
            </w:pPr>
            <w:r w:rsidRPr="000675CD">
              <w:rPr>
                <w:sz w:val="16"/>
                <w:szCs w:val="16"/>
              </w:rPr>
              <w:t>100.033</w:t>
            </w:r>
          </w:p>
        </w:tc>
        <w:tc>
          <w:tcPr>
            <w:tcW w:w="850" w:type="dxa"/>
            <w:tcBorders>
              <w:left w:val="single" w:sz="4" w:space="0" w:color="auto"/>
              <w:bottom w:val="single" w:sz="4" w:space="0" w:color="auto"/>
            </w:tcBorders>
            <w:vAlign w:val="center"/>
          </w:tcPr>
          <w:p w14:paraId="7D911A3C" w14:textId="77777777" w:rsidR="00ED4E09" w:rsidRPr="000675CD" w:rsidRDefault="00ED4E09" w:rsidP="000675CD">
            <w:pPr>
              <w:spacing w:before="60" w:after="60"/>
              <w:jc w:val="center"/>
              <w:rPr>
                <w:sz w:val="16"/>
                <w:szCs w:val="16"/>
              </w:rPr>
            </w:pPr>
            <w:r w:rsidRPr="000675CD">
              <w:rPr>
                <w:sz w:val="16"/>
                <w:szCs w:val="16"/>
              </w:rPr>
              <w:t xml:space="preserve">140.771 </w:t>
            </w:r>
          </w:p>
        </w:tc>
        <w:tc>
          <w:tcPr>
            <w:tcW w:w="993" w:type="dxa"/>
            <w:tcBorders>
              <w:bottom w:val="single" w:sz="4" w:space="0" w:color="auto"/>
              <w:right w:val="single" w:sz="4" w:space="0" w:color="auto"/>
            </w:tcBorders>
            <w:vAlign w:val="center"/>
          </w:tcPr>
          <w:p w14:paraId="42A861EA" w14:textId="77777777" w:rsidR="00ED4E09" w:rsidRPr="000675CD" w:rsidRDefault="00ED4E09" w:rsidP="000675CD">
            <w:pPr>
              <w:spacing w:before="60" w:after="60"/>
              <w:jc w:val="center"/>
              <w:rPr>
                <w:sz w:val="16"/>
                <w:szCs w:val="16"/>
              </w:rPr>
            </w:pPr>
            <w:r w:rsidRPr="000675CD">
              <w:rPr>
                <w:sz w:val="16"/>
                <w:szCs w:val="16"/>
              </w:rPr>
              <w:t>101.328</w:t>
            </w:r>
          </w:p>
        </w:tc>
        <w:tc>
          <w:tcPr>
            <w:tcW w:w="992" w:type="dxa"/>
            <w:tcBorders>
              <w:left w:val="single" w:sz="4" w:space="0" w:color="auto"/>
              <w:bottom w:val="single" w:sz="4" w:space="0" w:color="auto"/>
            </w:tcBorders>
            <w:vAlign w:val="center"/>
          </w:tcPr>
          <w:p w14:paraId="50C11A0F" w14:textId="77777777" w:rsidR="00ED4E09" w:rsidRPr="000675CD" w:rsidRDefault="00ED4E09" w:rsidP="000675CD">
            <w:pPr>
              <w:spacing w:before="60" w:after="60"/>
              <w:jc w:val="center"/>
              <w:rPr>
                <w:sz w:val="16"/>
                <w:szCs w:val="16"/>
              </w:rPr>
            </w:pPr>
            <w:r w:rsidRPr="000675CD">
              <w:rPr>
                <w:sz w:val="16"/>
                <w:szCs w:val="16"/>
              </w:rPr>
              <w:t xml:space="preserve"> 109.012</w:t>
            </w:r>
          </w:p>
        </w:tc>
        <w:tc>
          <w:tcPr>
            <w:tcW w:w="850" w:type="dxa"/>
            <w:tcBorders>
              <w:bottom w:val="single" w:sz="4" w:space="0" w:color="auto"/>
              <w:right w:val="single" w:sz="4" w:space="0" w:color="auto"/>
            </w:tcBorders>
            <w:vAlign w:val="center"/>
          </w:tcPr>
          <w:p w14:paraId="1B11994D" w14:textId="77777777" w:rsidR="00ED4E09" w:rsidRPr="000675CD" w:rsidRDefault="00ED4E09" w:rsidP="000675CD">
            <w:pPr>
              <w:spacing w:before="60" w:after="60"/>
              <w:jc w:val="center"/>
              <w:rPr>
                <w:sz w:val="16"/>
                <w:szCs w:val="16"/>
              </w:rPr>
            </w:pPr>
            <w:r w:rsidRPr="000675CD">
              <w:rPr>
                <w:sz w:val="16"/>
                <w:szCs w:val="16"/>
              </w:rPr>
              <w:t>100.514</w:t>
            </w:r>
          </w:p>
        </w:tc>
        <w:tc>
          <w:tcPr>
            <w:tcW w:w="851" w:type="dxa"/>
            <w:tcBorders>
              <w:left w:val="single" w:sz="4" w:space="0" w:color="auto"/>
              <w:bottom w:val="single" w:sz="4" w:space="0" w:color="auto"/>
            </w:tcBorders>
            <w:vAlign w:val="center"/>
          </w:tcPr>
          <w:p w14:paraId="0D32EF60" w14:textId="77777777" w:rsidR="00ED4E09" w:rsidRPr="000675CD" w:rsidRDefault="00ED4E09" w:rsidP="000675CD">
            <w:pPr>
              <w:spacing w:before="60" w:after="60"/>
              <w:jc w:val="center"/>
              <w:rPr>
                <w:sz w:val="16"/>
                <w:szCs w:val="16"/>
              </w:rPr>
            </w:pPr>
            <w:r w:rsidRPr="000675CD">
              <w:rPr>
                <w:sz w:val="16"/>
                <w:szCs w:val="16"/>
              </w:rPr>
              <w:t xml:space="preserve"> 113.647</w:t>
            </w:r>
          </w:p>
        </w:tc>
        <w:tc>
          <w:tcPr>
            <w:tcW w:w="850" w:type="dxa"/>
            <w:tcBorders>
              <w:bottom w:val="single" w:sz="4" w:space="0" w:color="auto"/>
              <w:right w:val="single" w:sz="4" w:space="0" w:color="auto"/>
            </w:tcBorders>
            <w:vAlign w:val="center"/>
          </w:tcPr>
          <w:p w14:paraId="7615E587" w14:textId="77777777" w:rsidR="00ED4E09" w:rsidRPr="000675CD" w:rsidRDefault="00ED4E09" w:rsidP="000675CD">
            <w:pPr>
              <w:spacing w:before="60" w:after="60"/>
              <w:jc w:val="center"/>
              <w:rPr>
                <w:sz w:val="16"/>
                <w:szCs w:val="16"/>
              </w:rPr>
            </w:pPr>
            <w:r w:rsidRPr="000675CD">
              <w:rPr>
                <w:sz w:val="16"/>
                <w:szCs w:val="16"/>
              </w:rPr>
              <w:t>122.817</w:t>
            </w:r>
          </w:p>
        </w:tc>
        <w:tc>
          <w:tcPr>
            <w:tcW w:w="993" w:type="dxa"/>
            <w:tcBorders>
              <w:left w:val="single" w:sz="4" w:space="0" w:color="auto"/>
              <w:bottom w:val="single" w:sz="4" w:space="0" w:color="auto"/>
            </w:tcBorders>
            <w:vAlign w:val="center"/>
          </w:tcPr>
          <w:p w14:paraId="411359F7" w14:textId="77777777" w:rsidR="00ED4E09" w:rsidRPr="000675CD" w:rsidRDefault="00ED4E09" w:rsidP="000675CD">
            <w:pPr>
              <w:spacing w:before="60" w:after="60"/>
              <w:jc w:val="center"/>
              <w:rPr>
                <w:sz w:val="16"/>
                <w:szCs w:val="16"/>
              </w:rPr>
            </w:pPr>
            <w:r w:rsidRPr="000675CD">
              <w:rPr>
                <w:sz w:val="16"/>
                <w:szCs w:val="16"/>
              </w:rPr>
              <w:t xml:space="preserve"> 101.404</w:t>
            </w:r>
          </w:p>
        </w:tc>
        <w:tc>
          <w:tcPr>
            <w:tcW w:w="850" w:type="dxa"/>
            <w:tcBorders>
              <w:bottom w:val="single" w:sz="4" w:space="0" w:color="auto"/>
            </w:tcBorders>
            <w:vAlign w:val="center"/>
          </w:tcPr>
          <w:p w14:paraId="1E6F1E31" w14:textId="77777777" w:rsidR="00ED4E09" w:rsidRPr="000675CD" w:rsidRDefault="00ED4E09" w:rsidP="000675CD">
            <w:pPr>
              <w:spacing w:before="60" w:after="60"/>
              <w:jc w:val="center"/>
              <w:rPr>
                <w:sz w:val="16"/>
                <w:szCs w:val="16"/>
              </w:rPr>
            </w:pPr>
            <w:r w:rsidRPr="000675CD">
              <w:rPr>
                <w:sz w:val="16"/>
                <w:szCs w:val="16"/>
              </w:rPr>
              <w:t>113.844</w:t>
            </w:r>
          </w:p>
        </w:tc>
      </w:tr>
      <w:tr w:rsidR="00ED4E09" w:rsidRPr="00834306" w14:paraId="76D08186" w14:textId="77777777" w:rsidTr="000675CD">
        <w:tc>
          <w:tcPr>
            <w:tcW w:w="13750" w:type="dxa"/>
            <w:gridSpan w:val="15"/>
            <w:tcBorders>
              <w:bottom w:val="nil"/>
            </w:tcBorders>
            <w:vAlign w:val="center"/>
          </w:tcPr>
          <w:p w14:paraId="0F7B2853" w14:textId="77777777" w:rsidR="00A936B9" w:rsidRDefault="00A936B9" w:rsidP="000675CD">
            <w:pPr>
              <w:pStyle w:val="Subtitle"/>
              <w:tabs>
                <w:tab w:val="left" w:pos="1134"/>
              </w:tabs>
              <w:spacing w:before="60" w:after="60"/>
              <w:ind w:left="2127" w:hanging="1809"/>
              <w:jc w:val="left"/>
              <w:rPr>
                <w:rFonts w:ascii="Garamond" w:hAnsi="Garamond"/>
                <w:b w:val="0"/>
                <w:bCs w:val="0"/>
                <w:sz w:val="20"/>
                <w:szCs w:val="20"/>
              </w:rPr>
            </w:pPr>
          </w:p>
          <w:p w14:paraId="3D96893F" w14:textId="647FA21D" w:rsidR="00ED4E09" w:rsidRPr="002338A9" w:rsidRDefault="00ED4E09" w:rsidP="000675CD">
            <w:pPr>
              <w:pStyle w:val="Subtitle"/>
              <w:tabs>
                <w:tab w:val="left" w:pos="1134"/>
              </w:tabs>
              <w:spacing w:before="60" w:after="60"/>
              <w:ind w:left="2127" w:hanging="1809"/>
              <w:jc w:val="left"/>
              <w:rPr>
                <w:rFonts w:ascii="Garamond" w:hAnsi="Garamond"/>
                <w:b w:val="0"/>
                <w:bCs w:val="0"/>
                <w:i/>
                <w:iCs/>
                <w:sz w:val="20"/>
                <w:szCs w:val="20"/>
              </w:rPr>
            </w:pPr>
            <w:r w:rsidRPr="002338A9">
              <w:rPr>
                <w:rFonts w:ascii="Garamond" w:hAnsi="Garamond"/>
                <w:b w:val="0"/>
                <w:bCs w:val="0"/>
                <w:sz w:val="20"/>
                <w:szCs w:val="20"/>
              </w:rPr>
              <w:t>Wald test statistics are in parentheses.</w:t>
            </w:r>
          </w:p>
          <w:p w14:paraId="531C114C" w14:textId="77777777" w:rsidR="00ED4E09" w:rsidRPr="001D555E" w:rsidRDefault="00ED4E09" w:rsidP="000675CD">
            <w:pPr>
              <w:pStyle w:val="Subtitle"/>
              <w:tabs>
                <w:tab w:val="left" w:pos="3969"/>
              </w:tabs>
              <w:spacing w:before="60" w:after="60"/>
              <w:ind w:left="2127" w:hanging="1809"/>
              <w:jc w:val="left"/>
              <w:rPr>
                <w:b w:val="0"/>
                <w:bCs w:val="0"/>
                <w:sz w:val="20"/>
                <w:szCs w:val="20"/>
              </w:rPr>
            </w:pPr>
            <w:r w:rsidRPr="002338A9">
              <w:rPr>
                <w:rFonts w:ascii="Garamond" w:hAnsi="Garamond"/>
                <w:b w:val="0"/>
                <w:bCs w:val="0"/>
                <w:sz w:val="20"/>
                <w:szCs w:val="20"/>
              </w:rPr>
              <w:t xml:space="preserve"> ***, **, * Significant at 1, 5, and 10 per cent respectively</w:t>
            </w:r>
          </w:p>
        </w:tc>
      </w:tr>
    </w:tbl>
    <w:p w14:paraId="0FA29EAC" w14:textId="4A625A59" w:rsidR="00ED4E09" w:rsidRPr="00ED4E09" w:rsidRDefault="00ED4E09" w:rsidP="00ED4E09">
      <w:pPr>
        <w:spacing w:line="360" w:lineRule="auto"/>
        <w:ind w:firstLine="720"/>
        <w:jc w:val="center"/>
        <w:rPr>
          <w:sz w:val="32"/>
          <w:szCs w:val="32"/>
          <w:lang w:val="en-GB"/>
        </w:rPr>
        <w:sectPr w:rsidR="00ED4E09" w:rsidRPr="00ED4E09" w:rsidSect="009909BC">
          <w:pgSz w:w="16840" w:h="11910" w:orient="landscape"/>
          <w:pgMar w:top="1985" w:right="1701" w:bottom="1418" w:left="1701" w:header="0" w:footer="1004" w:gutter="0"/>
          <w:cols w:space="720"/>
        </w:sectPr>
      </w:pPr>
    </w:p>
    <w:p w14:paraId="56EF1622" w14:textId="11EF65ED" w:rsidR="00820BEF" w:rsidRPr="002338A9" w:rsidRDefault="00820BEF" w:rsidP="00546077">
      <w:pPr>
        <w:spacing w:line="360" w:lineRule="auto"/>
        <w:ind w:firstLine="720"/>
        <w:jc w:val="both"/>
        <w:rPr>
          <w:sz w:val="24"/>
          <w:szCs w:val="24"/>
          <w:lang w:val="en-GB"/>
        </w:rPr>
      </w:pPr>
      <w:r w:rsidRPr="002338A9">
        <w:rPr>
          <w:sz w:val="24"/>
          <w:szCs w:val="24"/>
          <w:lang w:val="en-GB"/>
        </w:rPr>
        <w:lastRenderedPageBreak/>
        <w:t>For a better comprehension o</w:t>
      </w:r>
      <w:r w:rsidR="00151D8E">
        <w:rPr>
          <w:sz w:val="24"/>
          <w:szCs w:val="24"/>
          <w:lang w:val="en-GB"/>
        </w:rPr>
        <w:t>f</w:t>
      </w:r>
      <w:r w:rsidRPr="002338A9">
        <w:rPr>
          <w:sz w:val="24"/>
          <w:szCs w:val="24"/>
          <w:lang w:val="en-GB"/>
        </w:rPr>
        <w:t xml:space="preserve"> how the spurt variable, </w:t>
      </w:r>
      <m:oMath>
        <m:sSub>
          <m:sSubPr>
            <m:ctrlPr>
              <w:rPr>
                <w:rFonts w:ascii="Cambria Math" w:hAnsi="Cambria Math"/>
                <w:i/>
                <w:sz w:val="24"/>
                <w:szCs w:val="24"/>
                <w:lang w:val="en-GB"/>
              </w:rPr>
            </m:ctrlPr>
          </m:sSubPr>
          <m:e>
            <m:r>
              <w:rPr>
                <w:rFonts w:ascii="Cambria Math" w:hAnsi="Cambria Math"/>
                <w:sz w:val="24"/>
                <w:szCs w:val="24"/>
                <w:lang w:val="en-GB"/>
              </w:rPr>
              <m:t>S</m:t>
            </m:r>
          </m:e>
          <m:sub>
            <m:r>
              <w:rPr>
                <w:rFonts w:ascii="Cambria Math" w:hAnsi="Cambria Math"/>
                <w:sz w:val="24"/>
                <w:szCs w:val="24"/>
                <w:lang w:val="en-GB"/>
              </w:rPr>
              <m:t>t</m:t>
            </m:r>
          </m:sub>
        </m:sSub>
      </m:oMath>
      <w:r w:rsidRPr="002338A9">
        <w:rPr>
          <w:sz w:val="24"/>
          <w:szCs w:val="24"/>
          <w:lang w:val="en-GB"/>
        </w:rPr>
        <w:t xml:space="preserve">, is computed, we present the example of the USA. The hysteresis algorithm, briefly described in Appendix </w:t>
      </w:r>
      <w:r w:rsidR="002F4384" w:rsidRPr="002338A9">
        <w:rPr>
          <w:sz w:val="24"/>
          <w:szCs w:val="24"/>
          <w:lang w:val="en-GB"/>
        </w:rPr>
        <w:t>2</w:t>
      </w:r>
      <w:r w:rsidRPr="002338A9">
        <w:rPr>
          <w:sz w:val="24"/>
          <w:szCs w:val="24"/>
          <w:lang w:val="en-GB"/>
        </w:rPr>
        <w:t xml:space="preserve">., filters out the small changes </w:t>
      </w:r>
      <w:r w:rsidR="00151D8E">
        <w:rPr>
          <w:sz w:val="24"/>
          <w:szCs w:val="24"/>
          <w:lang w:val="en-GB"/>
        </w:rPr>
        <w:t>in</w:t>
      </w:r>
      <w:r w:rsidRPr="002338A9">
        <w:rPr>
          <w:sz w:val="24"/>
          <w:szCs w:val="24"/>
          <w:lang w:val="en-GB"/>
        </w:rPr>
        <w:t xml:space="preserve"> the original capacity utilization variable (</w:t>
      </w:r>
      <m:oMath>
        <m:r>
          <w:rPr>
            <w:rFonts w:ascii="Cambria Math" w:hAnsi="Cambria Math"/>
            <w:sz w:val="24"/>
            <w:szCs w:val="24"/>
            <w:lang w:val="en-GB"/>
          </w:rPr>
          <m:t>∆</m:t>
        </m:r>
        <m:sSub>
          <m:sSubPr>
            <m:ctrlPr>
              <w:rPr>
                <w:rFonts w:ascii="Cambria Math" w:hAnsi="Cambria Math"/>
                <w:i/>
                <w:sz w:val="24"/>
                <w:szCs w:val="24"/>
                <w:lang w:val="en-GB"/>
              </w:rPr>
            </m:ctrlPr>
          </m:sSubPr>
          <m:e>
            <m:r>
              <w:rPr>
                <w:rFonts w:ascii="Cambria Math" w:hAnsi="Cambria Math"/>
                <w:sz w:val="24"/>
                <w:szCs w:val="24"/>
                <w:lang w:val="en-GB"/>
              </w:rPr>
              <m:t>x</m:t>
            </m:r>
          </m:e>
          <m:sub>
            <m:r>
              <w:rPr>
                <w:rFonts w:ascii="Cambria Math" w:hAnsi="Cambria Math"/>
                <w:sz w:val="24"/>
                <w:szCs w:val="24"/>
                <w:lang w:val="en-GB"/>
              </w:rPr>
              <m:t>t</m:t>
            </m:r>
          </m:sub>
        </m:sSub>
        <m:r>
          <w:rPr>
            <w:rFonts w:ascii="Cambria Math" w:hAnsi="Cambria Math"/>
            <w:sz w:val="24"/>
            <w:szCs w:val="24"/>
            <w:lang w:val="en-GB"/>
          </w:rPr>
          <m:t>&lt;γ</m:t>
        </m:r>
      </m:oMath>
      <w:r w:rsidRPr="002338A9">
        <w:rPr>
          <w:sz w:val="24"/>
          <w:szCs w:val="24"/>
          <w:lang w:val="en-GB"/>
        </w:rPr>
        <w:t xml:space="preserve">), by taking different values of the play interval from a grid of admissible values. It computes several filtered </w:t>
      </w:r>
      <m:oMath>
        <m:sSub>
          <m:sSubPr>
            <m:ctrlPr>
              <w:rPr>
                <w:rFonts w:ascii="Cambria Math" w:hAnsi="Cambria Math"/>
                <w:i/>
                <w:sz w:val="24"/>
                <w:szCs w:val="24"/>
                <w:lang w:val="en-GB"/>
              </w:rPr>
            </m:ctrlPr>
          </m:sSubPr>
          <m:e>
            <m:r>
              <w:rPr>
                <w:rFonts w:ascii="Cambria Math" w:hAnsi="Cambria Math"/>
                <w:sz w:val="24"/>
                <w:szCs w:val="24"/>
                <w:lang w:val="en-GB"/>
              </w:rPr>
              <m:t>x</m:t>
            </m:r>
          </m:e>
          <m:sub>
            <m:r>
              <w:rPr>
                <w:rFonts w:ascii="Cambria Math" w:hAnsi="Cambria Math"/>
                <w:sz w:val="24"/>
                <w:szCs w:val="24"/>
                <w:lang w:val="en-GB"/>
              </w:rPr>
              <m:t>t</m:t>
            </m:r>
          </m:sub>
        </m:sSub>
      </m:oMath>
      <w:r w:rsidRPr="002338A9">
        <w:rPr>
          <w:sz w:val="24"/>
          <w:szCs w:val="24"/>
          <w:lang w:val="en-GB"/>
        </w:rPr>
        <w:t xml:space="preserve"> series (one for each chosen play interval, </w:t>
      </w:r>
      <m:oMath>
        <m:r>
          <w:rPr>
            <w:rFonts w:ascii="Cambria Math" w:hAnsi="Cambria Math"/>
            <w:sz w:val="24"/>
            <w:szCs w:val="24"/>
            <w:lang w:val="en-GB"/>
          </w:rPr>
          <m:t>γ</m:t>
        </m:r>
      </m:oMath>
      <w:r w:rsidRPr="002338A9">
        <w:rPr>
          <w:sz w:val="24"/>
          <w:szCs w:val="24"/>
          <w:lang w:val="en-GB"/>
        </w:rPr>
        <w:t xml:space="preserve">), and estimates several Equations </w:t>
      </w:r>
      <w:r w:rsidR="00E00A54">
        <w:rPr>
          <w:sz w:val="24"/>
          <w:szCs w:val="24"/>
          <w:lang w:val="en-GB"/>
        </w:rPr>
        <w:t>3</w:t>
      </w:r>
      <w:r w:rsidRPr="002338A9">
        <w:rPr>
          <w:sz w:val="24"/>
          <w:szCs w:val="24"/>
          <w:lang w:val="en-GB"/>
        </w:rPr>
        <w:t xml:space="preserve">.1. with these filtered series. It finally selects the value that originates a filtered </w:t>
      </w:r>
      <m:oMath>
        <m:sSub>
          <m:sSubPr>
            <m:ctrlPr>
              <w:rPr>
                <w:rFonts w:ascii="Cambria Math" w:hAnsi="Cambria Math"/>
                <w:i/>
                <w:sz w:val="24"/>
                <w:szCs w:val="24"/>
                <w:lang w:val="en-GB"/>
              </w:rPr>
            </m:ctrlPr>
          </m:sSubPr>
          <m:e>
            <m:r>
              <w:rPr>
                <w:rFonts w:ascii="Cambria Math" w:hAnsi="Cambria Math"/>
                <w:sz w:val="24"/>
                <w:szCs w:val="24"/>
                <w:lang w:val="en-GB"/>
              </w:rPr>
              <m:t>x</m:t>
            </m:r>
          </m:e>
          <m:sub>
            <m:r>
              <w:rPr>
                <w:rFonts w:ascii="Cambria Math" w:hAnsi="Cambria Math"/>
                <w:sz w:val="24"/>
                <w:szCs w:val="24"/>
                <w:lang w:val="en-GB"/>
              </w:rPr>
              <m:t>t</m:t>
            </m:r>
          </m:sub>
        </m:sSub>
      </m:oMath>
      <w:r w:rsidRPr="002338A9">
        <w:rPr>
          <w:sz w:val="24"/>
          <w:szCs w:val="24"/>
          <w:lang w:val="en-GB"/>
        </w:rPr>
        <w:t xml:space="preserve"> series that maximizes the </w:t>
      </w:r>
      <w:r w:rsidRPr="00C07FD2">
        <w:rPr>
          <w:i/>
          <w:iCs/>
          <w:sz w:val="24"/>
          <w:szCs w:val="24"/>
          <w:lang w:val="en-GB"/>
        </w:rPr>
        <w:t>R</w:t>
      </w:r>
      <w:r w:rsidRPr="002338A9">
        <w:rPr>
          <w:sz w:val="24"/>
          <w:szCs w:val="24"/>
          <w:vertAlign w:val="superscript"/>
          <w:lang w:val="en-GB"/>
        </w:rPr>
        <w:t xml:space="preserve">2 </w:t>
      </w:r>
      <w:r w:rsidRPr="002338A9">
        <w:rPr>
          <w:sz w:val="24"/>
          <w:szCs w:val="24"/>
          <w:lang w:val="en-GB"/>
        </w:rPr>
        <w:t xml:space="preserve">of the investment </w:t>
      </w:r>
      <w:r w:rsidR="002C1B3B" w:rsidRPr="002338A9">
        <w:rPr>
          <w:sz w:val="24"/>
          <w:szCs w:val="24"/>
          <w:lang w:val="en-GB"/>
        </w:rPr>
        <w:t>E</w:t>
      </w:r>
      <w:r w:rsidRPr="002338A9">
        <w:rPr>
          <w:sz w:val="24"/>
          <w:szCs w:val="24"/>
          <w:lang w:val="en-GB"/>
        </w:rPr>
        <w:t>quation (</w:t>
      </w:r>
      <w:r w:rsidR="00236592">
        <w:rPr>
          <w:sz w:val="24"/>
          <w:szCs w:val="24"/>
          <w:lang w:val="en-GB"/>
        </w:rPr>
        <w:t>3</w:t>
      </w:r>
      <w:r w:rsidRPr="002338A9">
        <w:rPr>
          <w:sz w:val="24"/>
          <w:szCs w:val="24"/>
          <w:lang w:val="en-GB"/>
        </w:rPr>
        <w:t>.1).</w:t>
      </w:r>
    </w:p>
    <w:p w14:paraId="3C8860BB" w14:textId="4A7B8000" w:rsidR="00820BEF" w:rsidRPr="002338A9" w:rsidRDefault="00820BEF" w:rsidP="00546077">
      <w:pPr>
        <w:spacing w:line="360" w:lineRule="auto"/>
        <w:ind w:firstLine="720"/>
        <w:jc w:val="both"/>
        <w:rPr>
          <w:sz w:val="24"/>
          <w:szCs w:val="24"/>
          <w:lang w:val="en-GB"/>
        </w:rPr>
      </w:pPr>
      <w:r w:rsidRPr="002338A9">
        <w:rPr>
          <w:sz w:val="24"/>
          <w:szCs w:val="24"/>
          <w:lang w:val="en-GB"/>
        </w:rPr>
        <w:t>Figure 1</w:t>
      </w:r>
      <w:r w:rsidR="00823088" w:rsidRPr="002338A9">
        <w:rPr>
          <w:sz w:val="24"/>
          <w:szCs w:val="24"/>
          <w:lang w:val="en-GB"/>
        </w:rPr>
        <w:t>1</w:t>
      </w:r>
      <w:r w:rsidRPr="002338A9">
        <w:rPr>
          <w:sz w:val="24"/>
          <w:szCs w:val="24"/>
          <w:lang w:val="en-GB"/>
        </w:rPr>
        <w:t xml:space="preserve"> shows the value of the </w:t>
      </w:r>
      <w:r w:rsidRPr="002338A9">
        <w:rPr>
          <w:i/>
          <w:iCs/>
          <w:sz w:val="24"/>
          <w:szCs w:val="24"/>
          <w:lang w:val="en-GB"/>
        </w:rPr>
        <w:t>R</w:t>
      </w:r>
      <w:r w:rsidRPr="002338A9">
        <w:rPr>
          <w:sz w:val="24"/>
          <w:szCs w:val="24"/>
          <w:vertAlign w:val="superscript"/>
          <w:lang w:val="en-GB"/>
        </w:rPr>
        <w:t>2</w:t>
      </w:r>
      <w:r w:rsidRPr="002338A9">
        <w:rPr>
          <w:sz w:val="24"/>
          <w:szCs w:val="24"/>
          <w:lang w:val="en-GB"/>
        </w:rPr>
        <w:t xml:space="preserve"> associated </w:t>
      </w:r>
      <w:r w:rsidR="005938EE">
        <w:rPr>
          <w:sz w:val="24"/>
          <w:szCs w:val="24"/>
          <w:lang w:val="en-GB"/>
        </w:rPr>
        <w:t>with</w:t>
      </w:r>
      <w:r w:rsidRPr="002338A9">
        <w:rPr>
          <w:sz w:val="24"/>
          <w:szCs w:val="24"/>
          <w:lang w:val="en-GB"/>
        </w:rPr>
        <w:t xml:space="preserve"> each play value, </w:t>
      </w:r>
      <m:oMath>
        <m:r>
          <w:rPr>
            <w:rFonts w:ascii="Cambria Math" w:hAnsi="Cambria Math"/>
            <w:sz w:val="24"/>
            <w:szCs w:val="24"/>
            <w:lang w:val="en-GB"/>
          </w:rPr>
          <m:t>γ</m:t>
        </m:r>
      </m:oMath>
      <w:r w:rsidRPr="002338A9">
        <w:rPr>
          <w:sz w:val="24"/>
          <w:szCs w:val="24"/>
          <w:lang w:val="en-GB"/>
        </w:rPr>
        <w:t xml:space="preserve">, chosen from a grid. The maximum of the </w:t>
      </w:r>
      <w:r w:rsidRPr="002338A9">
        <w:rPr>
          <w:i/>
          <w:iCs/>
          <w:sz w:val="24"/>
          <w:szCs w:val="24"/>
          <w:lang w:val="en-GB"/>
        </w:rPr>
        <w:t>R</w:t>
      </w:r>
      <w:r w:rsidRPr="002338A9">
        <w:rPr>
          <w:sz w:val="24"/>
          <w:szCs w:val="24"/>
          <w:vertAlign w:val="superscript"/>
          <w:lang w:val="en-GB"/>
        </w:rPr>
        <w:t>2</w:t>
      </w:r>
      <w:r w:rsidRPr="002338A9">
        <w:rPr>
          <w:sz w:val="24"/>
          <w:szCs w:val="24"/>
          <w:lang w:val="en-GB"/>
        </w:rPr>
        <w:t xml:space="preserve"> of the intangible investment equation occurred for a play interval equal to 0.196 </w:t>
      </w:r>
      <w:r w:rsidR="00952EC9">
        <w:rPr>
          <w:sz w:val="24"/>
          <w:szCs w:val="24"/>
          <w:lang w:val="en-GB"/>
        </w:rPr>
        <w:t>which</w:t>
      </w:r>
      <w:r w:rsidRPr="002338A9">
        <w:rPr>
          <w:sz w:val="24"/>
          <w:szCs w:val="24"/>
          <w:lang w:val="en-GB"/>
        </w:rPr>
        <w:t xml:space="preserve"> is higher than the play interval that is associated with the maximum </w:t>
      </w:r>
      <w:r w:rsidRPr="002338A9">
        <w:rPr>
          <w:i/>
          <w:iCs/>
          <w:sz w:val="24"/>
          <w:szCs w:val="24"/>
          <w:lang w:val="en-GB"/>
        </w:rPr>
        <w:t>R</w:t>
      </w:r>
      <w:r w:rsidRPr="002338A9">
        <w:rPr>
          <w:sz w:val="24"/>
          <w:szCs w:val="24"/>
          <w:vertAlign w:val="superscript"/>
          <w:lang w:val="en-GB"/>
        </w:rPr>
        <w:t>2</w:t>
      </w:r>
      <w:r w:rsidRPr="002338A9">
        <w:rPr>
          <w:sz w:val="24"/>
          <w:szCs w:val="24"/>
          <w:lang w:val="en-GB"/>
        </w:rPr>
        <w:t xml:space="preserve"> of the tangible investment equation (0.156).</w:t>
      </w:r>
    </w:p>
    <w:p w14:paraId="33F1F0F0" w14:textId="0DE96269" w:rsidR="00820BEF" w:rsidRDefault="00820BEF">
      <w:pPr>
        <w:rPr>
          <w:sz w:val="24"/>
          <w:szCs w:val="24"/>
          <w:lang w:val="en-GB"/>
        </w:rPr>
      </w:pPr>
      <w:r>
        <w:rPr>
          <w:sz w:val="24"/>
          <w:szCs w:val="24"/>
          <w:lang w:val="en-GB"/>
        </w:rPr>
        <w:br w:type="page"/>
      </w:r>
    </w:p>
    <w:p w14:paraId="1E69918C" w14:textId="55061959" w:rsidR="00820BEF" w:rsidRDefault="00820BEF" w:rsidP="00CF35DB">
      <w:pPr>
        <w:spacing w:line="360" w:lineRule="auto"/>
        <w:ind w:left="1134" w:hanging="567"/>
        <w:jc w:val="center"/>
        <w:rPr>
          <w:bCs/>
          <w:sz w:val="24"/>
          <w:szCs w:val="24"/>
          <w:lang w:val="en-GB"/>
        </w:rPr>
      </w:pPr>
      <w:r w:rsidRPr="00C64EAF">
        <w:rPr>
          <w:b/>
          <w:sz w:val="24"/>
          <w:szCs w:val="24"/>
          <w:lang w:val="en-GB"/>
        </w:rPr>
        <w:lastRenderedPageBreak/>
        <w:t xml:space="preserve">Figure </w:t>
      </w:r>
      <w:r>
        <w:rPr>
          <w:b/>
          <w:sz w:val="24"/>
          <w:szCs w:val="24"/>
          <w:lang w:val="en-GB"/>
        </w:rPr>
        <w:t>1</w:t>
      </w:r>
      <w:r w:rsidR="005168AD">
        <w:rPr>
          <w:b/>
          <w:sz w:val="24"/>
          <w:szCs w:val="24"/>
          <w:lang w:val="en-GB"/>
        </w:rPr>
        <w:t>1</w:t>
      </w:r>
      <w:r w:rsidRPr="00C64EAF">
        <w:rPr>
          <w:b/>
          <w:sz w:val="24"/>
          <w:szCs w:val="24"/>
          <w:lang w:val="en-GB"/>
        </w:rPr>
        <w:t xml:space="preserve">. </w:t>
      </w:r>
      <w:r w:rsidRPr="008602F0">
        <w:rPr>
          <w:bCs/>
          <w:sz w:val="24"/>
          <w:szCs w:val="24"/>
          <w:lang w:val="en-GB"/>
        </w:rPr>
        <w:t>R</w:t>
      </w:r>
      <w:r w:rsidRPr="008602F0">
        <w:rPr>
          <w:bCs/>
          <w:sz w:val="24"/>
          <w:szCs w:val="24"/>
          <w:vertAlign w:val="superscript"/>
          <w:lang w:val="en-GB"/>
        </w:rPr>
        <w:t>2</w:t>
      </w:r>
      <w:r w:rsidRPr="008602F0">
        <w:rPr>
          <w:bCs/>
          <w:sz w:val="24"/>
          <w:szCs w:val="24"/>
          <w:lang w:val="en-GB"/>
        </w:rPr>
        <w:t xml:space="preserve"> of the Investment Equation for the USA for each Play </w:t>
      </w:r>
      <w:r w:rsidR="00823088">
        <w:rPr>
          <w:bCs/>
          <w:sz w:val="24"/>
          <w:szCs w:val="24"/>
          <w:lang w:val="en-GB"/>
        </w:rPr>
        <w:t>V</w:t>
      </w:r>
      <w:r w:rsidRPr="008602F0">
        <w:rPr>
          <w:bCs/>
          <w:sz w:val="24"/>
          <w:szCs w:val="24"/>
          <w:lang w:val="en-GB"/>
        </w:rPr>
        <w:t xml:space="preserve">alue </w:t>
      </w:r>
      <w:r w:rsidR="00823088">
        <w:rPr>
          <w:bCs/>
          <w:sz w:val="24"/>
          <w:szCs w:val="24"/>
          <w:lang w:val="en-GB"/>
        </w:rPr>
        <w:t>C</w:t>
      </w:r>
      <w:r w:rsidRPr="008602F0">
        <w:rPr>
          <w:bCs/>
          <w:sz w:val="24"/>
          <w:szCs w:val="24"/>
          <w:lang w:val="en-GB"/>
        </w:rPr>
        <w:t xml:space="preserve">hosen from </w:t>
      </w:r>
      <w:r w:rsidR="00823088">
        <w:rPr>
          <w:bCs/>
          <w:sz w:val="24"/>
          <w:szCs w:val="24"/>
          <w:lang w:val="en-GB"/>
        </w:rPr>
        <w:t>a G</w:t>
      </w:r>
      <w:r w:rsidRPr="008602F0">
        <w:rPr>
          <w:bCs/>
          <w:sz w:val="24"/>
          <w:szCs w:val="24"/>
          <w:lang w:val="en-GB"/>
        </w:rPr>
        <w:t>rid.</w:t>
      </w:r>
    </w:p>
    <w:p w14:paraId="2328FB19" w14:textId="77777777" w:rsidR="00820BEF" w:rsidRDefault="00820BEF" w:rsidP="00820BEF">
      <w:pPr>
        <w:spacing w:line="360" w:lineRule="auto"/>
        <w:jc w:val="center"/>
        <w:rPr>
          <w:bCs/>
          <w:sz w:val="24"/>
          <w:szCs w:val="24"/>
          <w:lang w:val="en-GB"/>
        </w:rPr>
      </w:pPr>
    </w:p>
    <w:p w14:paraId="5F30879F" w14:textId="77777777" w:rsidR="00820BEF" w:rsidRPr="00383920" w:rsidRDefault="00820BEF" w:rsidP="00820BEF">
      <w:pPr>
        <w:pStyle w:val="ListParagraph"/>
        <w:widowControl/>
        <w:numPr>
          <w:ilvl w:val="0"/>
          <w:numId w:val="20"/>
        </w:numPr>
        <w:autoSpaceDE/>
        <w:autoSpaceDN/>
        <w:contextualSpacing/>
        <w:jc w:val="center"/>
        <w:rPr>
          <w:sz w:val="24"/>
          <w:szCs w:val="24"/>
          <w:lang w:val="en-GB"/>
        </w:rPr>
      </w:pPr>
      <w:r w:rsidRPr="00383920">
        <w:rPr>
          <w:sz w:val="24"/>
          <w:szCs w:val="24"/>
          <w:lang w:val="en-GB"/>
        </w:rPr>
        <w:t>Tangible Investment</w:t>
      </w:r>
    </w:p>
    <w:p w14:paraId="59D6535E" w14:textId="77777777" w:rsidR="00820BEF" w:rsidRDefault="00820BEF" w:rsidP="00820BEF">
      <w:pPr>
        <w:pStyle w:val="ListParagraph"/>
        <w:widowControl/>
        <w:autoSpaceDE/>
        <w:autoSpaceDN/>
        <w:ind w:left="720" w:firstLine="0"/>
        <w:contextualSpacing/>
        <w:rPr>
          <w:lang w:val="en-GB"/>
        </w:rPr>
      </w:pPr>
    </w:p>
    <w:p w14:paraId="31A79EB5" w14:textId="78E33E42" w:rsidR="00820BEF" w:rsidRDefault="00820BEF" w:rsidP="00820BEF">
      <w:pPr>
        <w:spacing w:line="360" w:lineRule="auto"/>
        <w:jc w:val="center"/>
        <w:rPr>
          <w:b/>
          <w:sz w:val="24"/>
          <w:szCs w:val="24"/>
          <w:lang w:val="en-GB"/>
        </w:rPr>
      </w:pPr>
      <w:r w:rsidRPr="008B7EAD">
        <w:rPr>
          <w:noProof/>
          <w:lang w:val="en-GB" w:eastAsia="en-GB"/>
        </w:rPr>
        <w:drawing>
          <wp:inline distT="0" distB="0" distL="0" distR="0" wp14:anchorId="40D87066" wp14:editId="5C2D4A4E">
            <wp:extent cx="4794935" cy="2296795"/>
            <wp:effectExtent l="0" t="0" r="5715" b="8255"/>
            <wp:docPr id="637962162" name="Picture 637962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9972" t="5816" r="8487" b="4132"/>
                    <a:stretch/>
                  </pic:blipFill>
                  <pic:spPr bwMode="auto">
                    <a:xfrm>
                      <a:off x="0" y="0"/>
                      <a:ext cx="4802279" cy="2300313"/>
                    </a:xfrm>
                    <a:prstGeom prst="rect">
                      <a:avLst/>
                    </a:prstGeom>
                    <a:noFill/>
                    <a:ln>
                      <a:noFill/>
                    </a:ln>
                    <a:extLst>
                      <a:ext uri="{53640926-AAD7-44D8-BBD7-CCE9431645EC}">
                        <a14:shadowObscured xmlns:a14="http://schemas.microsoft.com/office/drawing/2010/main"/>
                      </a:ext>
                    </a:extLst>
                  </pic:spPr>
                </pic:pic>
              </a:graphicData>
            </a:graphic>
          </wp:inline>
        </w:drawing>
      </w:r>
    </w:p>
    <w:p w14:paraId="5426496B" w14:textId="77777777" w:rsidR="00820BEF" w:rsidRPr="00383920" w:rsidRDefault="00820BEF" w:rsidP="00820BEF">
      <w:pPr>
        <w:contextualSpacing/>
        <w:jc w:val="center"/>
        <w:rPr>
          <w:sz w:val="24"/>
          <w:szCs w:val="24"/>
          <w:lang w:val="en-GB"/>
        </w:rPr>
      </w:pPr>
      <w:r w:rsidRPr="00383920">
        <w:rPr>
          <w:sz w:val="24"/>
          <w:szCs w:val="24"/>
          <w:lang w:val="en-GB"/>
        </w:rPr>
        <w:t>Max: Play: 0.156; R</w:t>
      </w:r>
      <w:r w:rsidRPr="00383920">
        <w:rPr>
          <w:sz w:val="24"/>
          <w:szCs w:val="24"/>
          <w:vertAlign w:val="superscript"/>
          <w:lang w:val="en-GB"/>
        </w:rPr>
        <w:t>2</w:t>
      </w:r>
      <w:r w:rsidRPr="00383920">
        <w:rPr>
          <w:sz w:val="24"/>
          <w:szCs w:val="24"/>
          <w:lang w:val="en-GB"/>
        </w:rPr>
        <w:t>: 0.921</w:t>
      </w:r>
    </w:p>
    <w:p w14:paraId="33FDB134" w14:textId="77777777" w:rsidR="00820BEF" w:rsidRDefault="00820BEF" w:rsidP="00820BEF">
      <w:pPr>
        <w:spacing w:line="360" w:lineRule="auto"/>
        <w:jc w:val="center"/>
        <w:rPr>
          <w:b/>
          <w:sz w:val="24"/>
          <w:szCs w:val="24"/>
          <w:lang w:val="en-GB"/>
        </w:rPr>
      </w:pPr>
    </w:p>
    <w:p w14:paraId="047AC5FE" w14:textId="77777777" w:rsidR="00820BEF" w:rsidRPr="00383920" w:rsidRDefault="00820BEF" w:rsidP="00820BEF">
      <w:pPr>
        <w:pStyle w:val="ListParagraph"/>
        <w:widowControl/>
        <w:numPr>
          <w:ilvl w:val="0"/>
          <w:numId w:val="21"/>
        </w:numPr>
        <w:autoSpaceDE/>
        <w:autoSpaceDN/>
        <w:contextualSpacing/>
        <w:jc w:val="center"/>
        <w:rPr>
          <w:sz w:val="24"/>
          <w:szCs w:val="24"/>
          <w:lang w:val="en-GB"/>
        </w:rPr>
      </w:pPr>
      <w:r w:rsidRPr="00383920">
        <w:rPr>
          <w:sz w:val="24"/>
          <w:szCs w:val="24"/>
          <w:lang w:val="en-GB"/>
        </w:rPr>
        <w:t>Intangible Investment</w:t>
      </w:r>
    </w:p>
    <w:p w14:paraId="0C8812E3" w14:textId="77777777" w:rsidR="00820BEF" w:rsidRDefault="00820BEF" w:rsidP="00820BEF">
      <w:pPr>
        <w:spacing w:line="360" w:lineRule="auto"/>
        <w:jc w:val="center"/>
        <w:rPr>
          <w:b/>
          <w:sz w:val="24"/>
          <w:szCs w:val="24"/>
          <w:lang w:val="en-GB"/>
        </w:rPr>
      </w:pPr>
    </w:p>
    <w:p w14:paraId="3A4BFB55" w14:textId="77777777" w:rsidR="00820BEF" w:rsidRDefault="00820BEF" w:rsidP="00820BEF">
      <w:pPr>
        <w:spacing w:line="360" w:lineRule="auto"/>
        <w:ind w:firstLine="720"/>
        <w:rPr>
          <w:noProof/>
          <w:lang w:val="en-GB" w:eastAsia="en-GB"/>
        </w:rPr>
      </w:pPr>
      <w:r w:rsidRPr="00B213B2">
        <w:rPr>
          <w:noProof/>
          <w:lang w:val="en-GB" w:eastAsia="en-GB"/>
        </w:rPr>
        <w:drawing>
          <wp:inline distT="0" distB="0" distL="0" distR="0" wp14:anchorId="67790B32" wp14:editId="58DB1115">
            <wp:extent cx="4628631" cy="2332181"/>
            <wp:effectExtent l="0" t="0" r="63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9350" t="5311" r="8505" b="3910"/>
                    <a:stretch/>
                  </pic:blipFill>
                  <pic:spPr bwMode="auto">
                    <a:xfrm>
                      <a:off x="0" y="0"/>
                      <a:ext cx="4656486" cy="2346216"/>
                    </a:xfrm>
                    <a:prstGeom prst="rect">
                      <a:avLst/>
                    </a:prstGeom>
                    <a:noFill/>
                    <a:ln>
                      <a:noFill/>
                    </a:ln>
                    <a:extLst>
                      <a:ext uri="{53640926-AAD7-44D8-BBD7-CCE9431645EC}">
                        <a14:shadowObscured xmlns:a14="http://schemas.microsoft.com/office/drawing/2010/main"/>
                      </a:ext>
                    </a:extLst>
                  </pic:spPr>
                </pic:pic>
              </a:graphicData>
            </a:graphic>
          </wp:inline>
        </w:drawing>
      </w:r>
    </w:p>
    <w:p w14:paraId="0FF5BB02" w14:textId="77777777" w:rsidR="00820BEF" w:rsidRPr="00383920" w:rsidRDefault="00820BEF" w:rsidP="00820BEF">
      <w:pPr>
        <w:jc w:val="center"/>
        <w:rPr>
          <w:sz w:val="24"/>
          <w:szCs w:val="24"/>
          <w:lang w:val="en-GB"/>
        </w:rPr>
      </w:pPr>
      <w:r w:rsidRPr="00383920">
        <w:rPr>
          <w:sz w:val="24"/>
          <w:szCs w:val="24"/>
          <w:lang w:val="en-GB"/>
        </w:rPr>
        <w:t>Max: Play: 0.196; R</w:t>
      </w:r>
      <w:r w:rsidRPr="00383920">
        <w:rPr>
          <w:sz w:val="24"/>
          <w:szCs w:val="24"/>
          <w:vertAlign w:val="superscript"/>
          <w:lang w:val="en-GB"/>
        </w:rPr>
        <w:t>2</w:t>
      </w:r>
      <w:r w:rsidRPr="00383920">
        <w:rPr>
          <w:sz w:val="24"/>
          <w:szCs w:val="24"/>
          <w:lang w:val="en-GB"/>
        </w:rPr>
        <w:t>: 0.994</w:t>
      </w:r>
    </w:p>
    <w:p w14:paraId="6113E802" w14:textId="77777777" w:rsidR="00820BEF" w:rsidRDefault="00820BEF" w:rsidP="00820BEF">
      <w:pPr>
        <w:jc w:val="center"/>
        <w:rPr>
          <w:lang w:val="en-GB"/>
        </w:rPr>
      </w:pPr>
    </w:p>
    <w:p w14:paraId="668A8CA4" w14:textId="77777777" w:rsidR="005B5A99" w:rsidRDefault="00820BEF" w:rsidP="00820BEF">
      <w:pPr>
        <w:pStyle w:val="Heading3"/>
        <w:tabs>
          <w:tab w:val="left" w:pos="934"/>
        </w:tabs>
        <w:spacing w:before="1" w:line="360" w:lineRule="auto"/>
        <w:ind w:left="0" w:firstLine="720"/>
        <w:jc w:val="both"/>
        <w:rPr>
          <w:b w:val="0"/>
          <w:bCs w:val="0"/>
          <w:lang w:val="en-GB"/>
        </w:rPr>
      </w:pPr>
      <w:r w:rsidRPr="00383920">
        <w:rPr>
          <w:b w:val="0"/>
          <w:bCs w:val="0"/>
          <w:lang w:val="en-GB"/>
        </w:rPr>
        <w:tab/>
      </w:r>
    </w:p>
    <w:p w14:paraId="4E4BCF1C" w14:textId="3423C7B9" w:rsidR="00820BEF" w:rsidRPr="00383920" w:rsidRDefault="00820BEF" w:rsidP="00820BEF">
      <w:pPr>
        <w:pStyle w:val="Heading3"/>
        <w:tabs>
          <w:tab w:val="left" w:pos="934"/>
        </w:tabs>
        <w:spacing w:before="1" w:line="360" w:lineRule="auto"/>
        <w:ind w:left="0" w:firstLine="720"/>
        <w:jc w:val="both"/>
        <w:rPr>
          <w:b w:val="0"/>
          <w:lang w:val="en-GB"/>
        </w:rPr>
      </w:pPr>
      <w:r w:rsidRPr="00383920">
        <w:rPr>
          <w:b w:val="0"/>
          <w:bCs w:val="0"/>
          <w:lang w:val="en-GB"/>
        </w:rPr>
        <w:t xml:space="preserve">In Figure </w:t>
      </w:r>
      <w:r w:rsidR="00823088" w:rsidRPr="00383920">
        <w:rPr>
          <w:b w:val="0"/>
          <w:bCs w:val="0"/>
          <w:lang w:val="en-GB"/>
        </w:rPr>
        <w:t>12</w:t>
      </w:r>
      <w:r w:rsidRPr="00383920">
        <w:rPr>
          <w:b w:val="0"/>
          <w:bCs w:val="0"/>
          <w:lang w:val="en-GB"/>
        </w:rPr>
        <w:t xml:space="preserve">, the rate of capacity in manufacturing, </w:t>
      </w:r>
      <m:oMath>
        <m:sSub>
          <m:sSubPr>
            <m:ctrlPr>
              <w:rPr>
                <w:rFonts w:ascii="Cambria Math" w:hAnsi="Cambria Math"/>
                <w:b w:val="0"/>
                <w:i/>
                <w:lang w:val="en-GB"/>
              </w:rPr>
            </m:ctrlPr>
          </m:sSubPr>
          <m:e>
            <m:r>
              <w:rPr>
                <w:rFonts w:ascii="Cambria Math" w:hAnsi="Cambria Math"/>
                <w:lang w:val="en-GB"/>
              </w:rPr>
              <m:t>x</m:t>
            </m:r>
          </m:e>
          <m:sub>
            <m:r>
              <w:rPr>
                <w:rFonts w:ascii="Cambria Math" w:hAnsi="Cambria Math"/>
                <w:lang w:val="en-GB"/>
              </w:rPr>
              <m:t>t</m:t>
            </m:r>
          </m:sub>
        </m:sSub>
        <m:r>
          <m:rPr>
            <m:sty m:val="bi"/>
          </m:rPr>
          <w:rPr>
            <w:rFonts w:ascii="Cambria Math" w:hAnsi="Cambria Math"/>
            <w:lang w:val="en-GB"/>
          </w:rPr>
          <m:t>,</m:t>
        </m:r>
      </m:oMath>
      <w:r w:rsidRPr="00383920">
        <w:rPr>
          <w:b w:val="0"/>
          <w:lang w:val="en-GB"/>
        </w:rPr>
        <w:t xml:space="preserve"> is displayed along with its hysteretic transformation based on the play interval values mentioned above.</w:t>
      </w:r>
    </w:p>
    <w:p w14:paraId="719647BD" w14:textId="2D4B07FC" w:rsidR="00820BEF" w:rsidRDefault="00820BEF">
      <w:pPr>
        <w:rPr>
          <w:bCs/>
          <w:sz w:val="24"/>
          <w:szCs w:val="24"/>
          <w:lang w:val="en-GB"/>
        </w:rPr>
      </w:pPr>
      <w:r>
        <w:rPr>
          <w:b/>
          <w:lang w:val="en-GB"/>
        </w:rPr>
        <w:br w:type="page"/>
      </w:r>
    </w:p>
    <w:p w14:paraId="361B46A8" w14:textId="18C0A153" w:rsidR="00820BEF" w:rsidRPr="00383920" w:rsidRDefault="00820BEF" w:rsidP="00820BEF">
      <w:pPr>
        <w:spacing w:line="360" w:lineRule="auto"/>
        <w:ind w:firstLine="720"/>
        <w:jc w:val="center"/>
        <w:rPr>
          <w:sz w:val="24"/>
          <w:szCs w:val="24"/>
          <w:lang w:val="en-GB"/>
        </w:rPr>
      </w:pPr>
      <w:r w:rsidRPr="00383920">
        <w:rPr>
          <w:b/>
          <w:bCs/>
          <w:sz w:val="24"/>
          <w:szCs w:val="24"/>
          <w:lang w:val="en-GB"/>
        </w:rPr>
        <w:lastRenderedPageBreak/>
        <w:t xml:space="preserve">Figure </w:t>
      </w:r>
      <w:r w:rsidR="005168AD" w:rsidRPr="00383920">
        <w:rPr>
          <w:b/>
          <w:bCs/>
          <w:sz w:val="24"/>
          <w:szCs w:val="24"/>
          <w:lang w:val="en-GB"/>
        </w:rPr>
        <w:t>12</w:t>
      </w:r>
      <w:r w:rsidR="00016A4F" w:rsidRPr="00383920">
        <w:rPr>
          <w:b/>
          <w:bCs/>
          <w:sz w:val="24"/>
          <w:szCs w:val="24"/>
          <w:lang w:val="en-GB"/>
        </w:rPr>
        <w:t>.</w:t>
      </w:r>
      <w:r w:rsidRPr="00383920">
        <w:rPr>
          <w:b/>
          <w:bCs/>
          <w:sz w:val="24"/>
          <w:szCs w:val="24"/>
          <w:lang w:val="en-GB"/>
        </w:rPr>
        <w:t xml:space="preserve"> </w:t>
      </w:r>
      <w:r w:rsidRPr="00383920">
        <w:rPr>
          <w:sz w:val="24"/>
          <w:szCs w:val="24"/>
          <w:lang w:val="en-GB"/>
        </w:rPr>
        <w:t>Original Forcing Variable of the Investment Equation and the Hysteresis Variable for the USA.</w:t>
      </w:r>
    </w:p>
    <w:p w14:paraId="3917B084" w14:textId="6B7F65B7" w:rsidR="00820BEF" w:rsidRDefault="00820BEF" w:rsidP="00C80E09">
      <w:pPr>
        <w:spacing w:line="360" w:lineRule="auto"/>
        <w:rPr>
          <w:b/>
          <w:sz w:val="24"/>
          <w:szCs w:val="24"/>
          <w:lang w:val="en-GB"/>
        </w:rPr>
      </w:pPr>
      <w:r>
        <w:rPr>
          <w:noProof/>
          <w:sz w:val="24"/>
          <w:szCs w:val="24"/>
          <w:lang w:val="en-GB"/>
        </w:rPr>
        <w:drawing>
          <wp:anchor distT="0" distB="0" distL="114300" distR="114300" simplePos="0" relativeHeight="251687424" behindDoc="1" locked="0" layoutInCell="1" allowOverlap="1" wp14:anchorId="223E5EF9" wp14:editId="0C94D902">
            <wp:simplePos x="0" y="0"/>
            <wp:positionH relativeFrom="margin">
              <wp:align>center</wp:align>
            </wp:positionH>
            <wp:positionV relativeFrom="paragraph">
              <wp:posOffset>253365</wp:posOffset>
            </wp:positionV>
            <wp:extent cx="3990975" cy="7750175"/>
            <wp:effectExtent l="0" t="0" r="9525" b="3175"/>
            <wp:wrapTight wrapText="bothSides">
              <wp:wrapPolygon edited="0">
                <wp:start x="0" y="0"/>
                <wp:lineTo x="0" y="21556"/>
                <wp:lineTo x="21548" y="21556"/>
                <wp:lineTo x="21548" y="0"/>
                <wp:lineTo x="0" y="0"/>
              </wp:wrapPolygon>
            </wp:wrapTight>
            <wp:docPr id="783621270" name="Picture 783621270"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716745" name="Picture 4" descr="A picture containing text, diagram, line, plot&#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90975" cy="7750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D2CE62" w14:textId="660867B5" w:rsidR="00820BEF" w:rsidRDefault="00820BEF">
      <w:pPr>
        <w:rPr>
          <w:sz w:val="24"/>
          <w:szCs w:val="24"/>
          <w:lang w:val="en-GB"/>
        </w:rPr>
      </w:pPr>
    </w:p>
    <w:p w14:paraId="5F89C6AE" w14:textId="77777777" w:rsidR="00820BEF" w:rsidRDefault="00820BEF">
      <w:pPr>
        <w:rPr>
          <w:sz w:val="24"/>
          <w:szCs w:val="24"/>
          <w:lang w:val="en-GB"/>
        </w:rPr>
      </w:pPr>
      <w:r>
        <w:rPr>
          <w:sz w:val="24"/>
          <w:szCs w:val="24"/>
          <w:lang w:val="en-GB"/>
        </w:rPr>
        <w:br w:type="page"/>
      </w:r>
    </w:p>
    <w:p w14:paraId="6BE124D0" w14:textId="1943971A" w:rsidR="001451C1" w:rsidRDefault="001451C1" w:rsidP="001451C1">
      <w:pPr>
        <w:spacing w:line="360" w:lineRule="auto"/>
        <w:ind w:firstLine="720"/>
        <w:jc w:val="both"/>
        <w:rPr>
          <w:sz w:val="24"/>
          <w:szCs w:val="24"/>
          <w:lang w:val="en-GB"/>
        </w:rPr>
      </w:pPr>
      <w:r>
        <w:rPr>
          <w:sz w:val="24"/>
          <w:szCs w:val="24"/>
          <w:lang w:val="en-GB"/>
        </w:rPr>
        <w:lastRenderedPageBreak/>
        <w:t xml:space="preserve">The estimated play intervals, </w:t>
      </w:r>
      <w:r w:rsidRPr="00D74035">
        <w:rPr>
          <w:i/>
          <w:iCs/>
          <w:sz w:val="24"/>
          <w:szCs w:val="24"/>
          <w:lang w:val="en-GB"/>
        </w:rPr>
        <w:t>i.e.</w:t>
      </w:r>
      <w:r>
        <w:rPr>
          <w:sz w:val="24"/>
          <w:szCs w:val="24"/>
          <w:lang w:val="en-GB"/>
        </w:rPr>
        <w:t>, the investment band of inaction for tangibles</w:t>
      </w:r>
      <w:r w:rsidR="00C911BD">
        <w:rPr>
          <w:sz w:val="24"/>
          <w:szCs w:val="24"/>
          <w:lang w:val="en-GB"/>
        </w:rPr>
        <w:t xml:space="preserve"> assets</w:t>
      </w:r>
      <w:r>
        <w:rPr>
          <w:sz w:val="24"/>
          <w:szCs w:val="24"/>
          <w:lang w:val="en-GB"/>
        </w:rPr>
        <w:t xml:space="preserve"> and intangible</w:t>
      </w:r>
      <w:r w:rsidR="00C911BD">
        <w:rPr>
          <w:sz w:val="24"/>
          <w:szCs w:val="24"/>
          <w:lang w:val="en-GB"/>
        </w:rPr>
        <w:t xml:space="preserve"> assets</w:t>
      </w:r>
      <w:r>
        <w:rPr>
          <w:sz w:val="24"/>
          <w:szCs w:val="24"/>
          <w:lang w:val="en-GB"/>
        </w:rPr>
        <w:t xml:space="preserve"> for the G7 countries </w:t>
      </w:r>
      <w:r w:rsidR="0073028A">
        <w:rPr>
          <w:sz w:val="24"/>
          <w:szCs w:val="24"/>
          <w:lang w:val="en-GB"/>
        </w:rPr>
        <w:t>are</w:t>
      </w:r>
      <w:r>
        <w:rPr>
          <w:sz w:val="24"/>
          <w:szCs w:val="24"/>
          <w:lang w:val="en-GB"/>
        </w:rPr>
        <w:t xml:space="preserve"> displayed </w:t>
      </w:r>
      <w:r w:rsidRPr="009E44FA">
        <w:rPr>
          <w:sz w:val="24"/>
          <w:szCs w:val="24"/>
          <w:lang w:val="en-GB"/>
        </w:rPr>
        <w:t>in Table 3</w:t>
      </w:r>
      <w:r>
        <w:rPr>
          <w:sz w:val="24"/>
          <w:szCs w:val="24"/>
          <w:lang w:val="en-GB"/>
        </w:rPr>
        <w:t>, and in Figure 13</w:t>
      </w:r>
      <w:r w:rsidRPr="001451C1">
        <w:rPr>
          <w:sz w:val="24"/>
          <w:szCs w:val="24"/>
          <w:lang w:val="en-GB"/>
        </w:rPr>
        <w:t>.</w:t>
      </w:r>
    </w:p>
    <w:p w14:paraId="374E3666" w14:textId="3C252EE8" w:rsidR="001451C1" w:rsidRDefault="001451C1" w:rsidP="001451C1">
      <w:pPr>
        <w:spacing w:line="360" w:lineRule="auto"/>
        <w:ind w:firstLine="720"/>
        <w:jc w:val="both"/>
        <w:rPr>
          <w:sz w:val="24"/>
          <w:szCs w:val="24"/>
          <w:lang w:val="en-GB"/>
        </w:rPr>
      </w:pPr>
      <w:r>
        <w:rPr>
          <w:sz w:val="24"/>
          <w:szCs w:val="24"/>
          <w:lang w:val="en-GB"/>
        </w:rPr>
        <w:t>O</w:t>
      </w:r>
      <w:r w:rsidRPr="00937322">
        <w:rPr>
          <w:sz w:val="24"/>
          <w:szCs w:val="24"/>
          <w:lang w:val="en-GB"/>
        </w:rPr>
        <w:t>ur main hypothesis that hysteresis effects are greater in the case of investment in intangibles relative to inve</w:t>
      </w:r>
      <w:r>
        <w:rPr>
          <w:sz w:val="24"/>
          <w:szCs w:val="24"/>
          <w:lang w:val="en-GB"/>
        </w:rPr>
        <w:t>stment in tangibles is corroborated</w:t>
      </w:r>
      <w:r w:rsidRPr="00937322">
        <w:rPr>
          <w:sz w:val="24"/>
          <w:szCs w:val="24"/>
          <w:lang w:val="en-GB"/>
        </w:rPr>
        <w:t xml:space="preserve"> in </w:t>
      </w:r>
      <w:r>
        <w:rPr>
          <w:sz w:val="24"/>
          <w:szCs w:val="24"/>
          <w:lang w:val="en-GB"/>
        </w:rPr>
        <w:t xml:space="preserve">the </w:t>
      </w:r>
      <w:r w:rsidRPr="00937322">
        <w:rPr>
          <w:sz w:val="24"/>
          <w:szCs w:val="24"/>
          <w:lang w:val="en-GB"/>
        </w:rPr>
        <w:t>cases</w:t>
      </w:r>
      <w:r>
        <w:rPr>
          <w:sz w:val="24"/>
          <w:szCs w:val="24"/>
          <w:lang w:val="en-GB"/>
        </w:rPr>
        <w:t xml:space="preserve"> of France, Germany, Italy, and the United States. Hysteresis effects in the dynamics of investment seemed to be of the same magnitude in Japan and the UK. </w:t>
      </w:r>
      <w:r w:rsidRPr="00984C77">
        <w:rPr>
          <w:sz w:val="24"/>
          <w:szCs w:val="24"/>
          <w:lang w:val="en-GB"/>
        </w:rPr>
        <w:t xml:space="preserve">The estimated investment band of inaction for Canada is, larger for tangible investment. However, we </w:t>
      </w:r>
      <w:r w:rsidR="00C911BD" w:rsidRPr="00984C77">
        <w:rPr>
          <w:sz w:val="24"/>
          <w:szCs w:val="24"/>
          <w:lang w:val="en-GB"/>
        </w:rPr>
        <w:t>fail to find at least one cointegrating vector relating the variables of the equation for</w:t>
      </w:r>
      <w:r w:rsidRPr="00984C77">
        <w:rPr>
          <w:sz w:val="24"/>
          <w:szCs w:val="24"/>
          <w:lang w:val="en-GB"/>
        </w:rPr>
        <w:t xml:space="preserve"> tangible investment.</w:t>
      </w:r>
      <w:r w:rsidR="00C911BD">
        <w:rPr>
          <w:sz w:val="24"/>
          <w:szCs w:val="24"/>
          <w:lang w:val="en-GB"/>
        </w:rPr>
        <w:t xml:space="preserve"> Therefore greater case should be put in th</w:t>
      </w:r>
      <w:r w:rsidR="0073028A">
        <w:rPr>
          <w:sz w:val="24"/>
          <w:szCs w:val="24"/>
          <w:lang w:val="en-GB"/>
        </w:rPr>
        <w:t>e</w:t>
      </w:r>
      <w:r w:rsidR="00C911BD">
        <w:rPr>
          <w:sz w:val="24"/>
          <w:szCs w:val="24"/>
          <w:lang w:val="en-GB"/>
        </w:rPr>
        <w:t xml:space="preserve"> conclusion</w:t>
      </w:r>
      <w:r w:rsidR="0073028A">
        <w:rPr>
          <w:sz w:val="24"/>
          <w:szCs w:val="24"/>
          <w:lang w:val="en-GB"/>
        </w:rPr>
        <w:t>s for this country</w:t>
      </w:r>
      <w:r w:rsidR="00C911BD">
        <w:rPr>
          <w:sz w:val="24"/>
          <w:szCs w:val="24"/>
          <w:lang w:val="en-GB"/>
        </w:rPr>
        <w:t>.</w:t>
      </w:r>
    </w:p>
    <w:p w14:paraId="6EF7E95A" w14:textId="77777777" w:rsidR="003333ED" w:rsidRDefault="003333ED" w:rsidP="003333ED">
      <w:pPr>
        <w:spacing w:line="360" w:lineRule="auto"/>
        <w:ind w:firstLine="720"/>
        <w:jc w:val="both"/>
        <w:rPr>
          <w:sz w:val="24"/>
          <w:szCs w:val="24"/>
          <w:lang w:val="en-GB"/>
        </w:rPr>
      </w:pPr>
    </w:p>
    <w:p w14:paraId="35F70087" w14:textId="4D42F0A1" w:rsidR="00F20D6A" w:rsidRDefault="00F20D6A" w:rsidP="00F20D6A">
      <w:pPr>
        <w:spacing w:line="360" w:lineRule="auto"/>
        <w:ind w:firstLine="720"/>
        <w:jc w:val="center"/>
        <w:rPr>
          <w:sz w:val="24"/>
          <w:szCs w:val="24"/>
          <w:lang w:val="en-GB"/>
        </w:rPr>
      </w:pPr>
      <w:r>
        <w:rPr>
          <w:b/>
          <w:bCs/>
          <w:sz w:val="24"/>
          <w:szCs w:val="24"/>
          <w:lang w:val="en-GB"/>
        </w:rPr>
        <w:t>Figure 1</w:t>
      </w:r>
      <w:r w:rsidR="0020542A">
        <w:rPr>
          <w:b/>
          <w:bCs/>
          <w:sz w:val="24"/>
          <w:szCs w:val="24"/>
          <w:lang w:val="en-GB"/>
        </w:rPr>
        <w:t>3</w:t>
      </w:r>
      <w:r w:rsidR="00DF2609">
        <w:rPr>
          <w:b/>
          <w:bCs/>
          <w:sz w:val="24"/>
          <w:szCs w:val="24"/>
          <w:lang w:val="en-GB"/>
        </w:rPr>
        <w:t>.</w:t>
      </w:r>
      <w:r>
        <w:rPr>
          <w:b/>
          <w:bCs/>
          <w:sz w:val="24"/>
          <w:szCs w:val="24"/>
          <w:lang w:val="en-GB"/>
        </w:rPr>
        <w:t xml:space="preserve"> </w:t>
      </w:r>
      <w:r>
        <w:rPr>
          <w:sz w:val="24"/>
          <w:szCs w:val="24"/>
          <w:lang w:val="en-GB"/>
        </w:rPr>
        <w:t xml:space="preserve">Investment </w:t>
      </w:r>
      <w:r w:rsidR="00016A4F">
        <w:rPr>
          <w:sz w:val="24"/>
          <w:szCs w:val="24"/>
          <w:lang w:val="en-GB"/>
        </w:rPr>
        <w:t>B</w:t>
      </w:r>
      <w:r>
        <w:rPr>
          <w:sz w:val="24"/>
          <w:szCs w:val="24"/>
          <w:lang w:val="en-GB"/>
        </w:rPr>
        <w:t xml:space="preserve">and of </w:t>
      </w:r>
      <w:r w:rsidR="00016A4F">
        <w:rPr>
          <w:sz w:val="24"/>
          <w:szCs w:val="24"/>
          <w:lang w:val="en-GB"/>
        </w:rPr>
        <w:t>I</w:t>
      </w:r>
      <w:r>
        <w:rPr>
          <w:sz w:val="24"/>
          <w:szCs w:val="24"/>
          <w:lang w:val="en-GB"/>
        </w:rPr>
        <w:t>naction</w:t>
      </w:r>
      <w:r w:rsidR="004365B6">
        <w:rPr>
          <w:sz w:val="24"/>
          <w:szCs w:val="24"/>
          <w:lang w:val="en-GB"/>
        </w:rPr>
        <w:t xml:space="preserve"> for the G7</w:t>
      </w:r>
      <w:r w:rsidR="00016A4F">
        <w:rPr>
          <w:sz w:val="24"/>
          <w:szCs w:val="24"/>
          <w:lang w:val="en-GB"/>
        </w:rPr>
        <w:t>-</w:t>
      </w:r>
      <w:r>
        <w:rPr>
          <w:sz w:val="24"/>
          <w:szCs w:val="24"/>
          <w:lang w:val="en-GB"/>
        </w:rPr>
        <w:t xml:space="preserve"> </w:t>
      </w:r>
      <w:r w:rsidR="00016A4F">
        <w:rPr>
          <w:sz w:val="24"/>
          <w:szCs w:val="24"/>
          <w:lang w:val="en-GB"/>
        </w:rPr>
        <w:t>T</w:t>
      </w:r>
      <w:r>
        <w:rPr>
          <w:sz w:val="24"/>
          <w:szCs w:val="24"/>
          <w:lang w:val="en-GB"/>
        </w:rPr>
        <w:t>angibl</w:t>
      </w:r>
      <w:r w:rsidR="00016A4F">
        <w:rPr>
          <w:sz w:val="24"/>
          <w:szCs w:val="24"/>
          <w:lang w:val="en-GB"/>
        </w:rPr>
        <w:t>es</w:t>
      </w:r>
      <w:r>
        <w:rPr>
          <w:sz w:val="24"/>
          <w:szCs w:val="24"/>
          <w:lang w:val="en-GB"/>
        </w:rPr>
        <w:t xml:space="preserve"> vs </w:t>
      </w:r>
      <w:r w:rsidR="00016A4F">
        <w:rPr>
          <w:sz w:val="24"/>
          <w:szCs w:val="24"/>
          <w:lang w:val="en-GB"/>
        </w:rPr>
        <w:t>I</w:t>
      </w:r>
      <w:r>
        <w:rPr>
          <w:sz w:val="24"/>
          <w:szCs w:val="24"/>
          <w:lang w:val="en-GB"/>
        </w:rPr>
        <w:t>ntangible</w:t>
      </w:r>
      <w:r w:rsidR="00016A4F">
        <w:rPr>
          <w:sz w:val="24"/>
          <w:szCs w:val="24"/>
          <w:lang w:val="en-GB"/>
        </w:rPr>
        <w:t>s.</w:t>
      </w:r>
    </w:p>
    <w:p w14:paraId="52D85996" w14:textId="77777777" w:rsidR="00AA3AF0" w:rsidRDefault="00AA3AF0" w:rsidP="00F20D6A">
      <w:pPr>
        <w:spacing w:line="360" w:lineRule="auto"/>
        <w:ind w:firstLine="720"/>
        <w:jc w:val="center"/>
        <w:rPr>
          <w:sz w:val="24"/>
          <w:szCs w:val="24"/>
          <w:lang w:val="en-GB"/>
        </w:rPr>
      </w:pPr>
    </w:p>
    <w:p w14:paraId="1A489FD8" w14:textId="51FA54CB" w:rsidR="00AA3AF0" w:rsidRPr="00F20D6A" w:rsidRDefault="00AA3AF0" w:rsidP="00F20D6A">
      <w:pPr>
        <w:spacing w:line="360" w:lineRule="auto"/>
        <w:ind w:firstLine="720"/>
        <w:jc w:val="center"/>
        <w:rPr>
          <w:sz w:val="24"/>
          <w:szCs w:val="24"/>
          <w:lang w:val="en-GB"/>
        </w:rPr>
      </w:pPr>
      <w:r>
        <w:rPr>
          <w:noProof/>
        </w:rPr>
        <w:drawing>
          <wp:inline distT="0" distB="0" distL="0" distR="0" wp14:anchorId="0B93CDA3" wp14:editId="40448A2E">
            <wp:extent cx="4572000" cy="2743200"/>
            <wp:effectExtent l="0" t="0" r="0" b="0"/>
            <wp:docPr id="1421165376" name="Chart 1">
              <a:extLst xmlns:a="http://schemas.openxmlformats.org/drawingml/2006/main">
                <a:ext uri="{FF2B5EF4-FFF2-40B4-BE49-F238E27FC236}">
                  <a16:creationId xmlns:a16="http://schemas.microsoft.com/office/drawing/2014/main" id="{9E7B5F97-CF96-4E85-FFEF-1D3C6FB1E4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E4AD305" w14:textId="2928CF44" w:rsidR="001D42CE" w:rsidRPr="0063438A" w:rsidRDefault="003333ED" w:rsidP="00C531C6">
      <w:pPr>
        <w:spacing w:line="360" w:lineRule="auto"/>
        <w:jc w:val="both"/>
        <w:rPr>
          <w:sz w:val="24"/>
          <w:szCs w:val="24"/>
        </w:rPr>
      </w:pPr>
      <w:r>
        <w:rPr>
          <w:sz w:val="24"/>
          <w:szCs w:val="24"/>
          <w:lang w:val="en-GB"/>
        </w:rPr>
        <w:br w:type="page"/>
      </w:r>
      <w:r w:rsidR="001D42CE" w:rsidRPr="001D42CE">
        <w:rPr>
          <w:b/>
          <w:bCs/>
          <w:sz w:val="28"/>
          <w:szCs w:val="28"/>
        </w:rPr>
        <w:lastRenderedPageBreak/>
        <w:t>Conclusion</w:t>
      </w:r>
    </w:p>
    <w:p w14:paraId="30AAF51C" w14:textId="77777777" w:rsidR="001D42CE" w:rsidRPr="0063438A" w:rsidRDefault="001D42CE" w:rsidP="00A35328">
      <w:pPr>
        <w:spacing w:line="360" w:lineRule="auto"/>
        <w:ind w:firstLine="720"/>
        <w:jc w:val="both"/>
        <w:rPr>
          <w:sz w:val="24"/>
          <w:szCs w:val="24"/>
        </w:rPr>
      </w:pPr>
    </w:p>
    <w:p w14:paraId="678E1100" w14:textId="77777777" w:rsidR="001D42CE" w:rsidRPr="00A918DB" w:rsidRDefault="001D42CE" w:rsidP="001D42CE">
      <w:pPr>
        <w:pStyle w:val="ListParagraph"/>
        <w:numPr>
          <w:ilvl w:val="0"/>
          <w:numId w:val="8"/>
        </w:numPr>
        <w:tabs>
          <w:tab w:val="left" w:pos="934"/>
        </w:tabs>
        <w:spacing w:before="1"/>
        <w:jc w:val="both"/>
        <w:outlineLvl w:val="2"/>
        <w:rPr>
          <w:b/>
          <w:bCs/>
          <w:vanish/>
          <w:sz w:val="24"/>
          <w:szCs w:val="24"/>
          <w:lang w:val="en-GB"/>
        </w:rPr>
      </w:pPr>
    </w:p>
    <w:p w14:paraId="377EDD80" w14:textId="0F5BC9E4" w:rsidR="003C6E44" w:rsidRPr="003C6E44" w:rsidRDefault="003C6E44" w:rsidP="003C6E44">
      <w:pPr>
        <w:spacing w:line="360" w:lineRule="auto"/>
        <w:ind w:firstLine="720"/>
        <w:jc w:val="both"/>
        <w:rPr>
          <w:sz w:val="24"/>
          <w:szCs w:val="24"/>
          <w:lang w:val="en-GB"/>
        </w:rPr>
      </w:pPr>
      <w:r>
        <w:rPr>
          <w:sz w:val="24"/>
          <w:szCs w:val="24"/>
          <w:lang w:val="en-GB"/>
        </w:rPr>
        <w:t>This work analyses hysteresis in the dynamics of investment and the distinctions between tangible and intangible investment.</w:t>
      </w:r>
      <w:r w:rsidRPr="003C6E44">
        <w:rPr>
          <w:sz w:val="24"/>
          <w:szCs w:val="24"/>
          <w:lang w:val="en-GB"/>
        </w:rPr>
        <w:t xml:space="preserve"> </w:t>
      </w:r>
      <w:r w:rsidR="00AC2025">
        <w:rPr>
          <w:sz w:val="24"/>
          <w:szCs w:val="24"/>
          <w:lang w:val="en-GB"/>
        </w:rPr>
        <w:t xml:space="preserve">The results of our research indicate that there are hysteresis effects both relating to tangible investment and intangible investment. </w:t>
      </w:r>
      <w:r w:rsidR="00233A11">
        <w:rPr>
          <w:sz w:val="24"/>
          <w:szCs w:val="24"/>
          <w:lang w:val="en-GB"/>
        </w:rPr>
        <w:t>As for the</w:t>
      </w:r>
      <w:r w:rsidRPr="003C6E44">
        <w:rPr>
          <w:sz w:val="24"/>
          <w:szCs w:val="24"/>
          <w:lang w:val="en-GB"/>
        </w:rPr>
        <w:t xml:space="preserve"> answer to </w:t>
      </w:r>
      <w:r>
        <w:rPr>
          <w:sz w:val="24"/>
          <w:szCs w:val="24"/>
          <w:lang w:val="en-GB"/>
        </w:rPr>
        <w:t>our</w:t>
      </w:r>
      <w:r w:rsidRPr="003C6E44">
        <w:rPr>
          <w:sz w:val="24"/>
          <w:szCs w:val="24"/>
          <w:lang w:val="en-GB"/>
        </w:rPr>
        <w:t xml:space="preserve"> </w:t>
      </w:r>
      <w:r>
        <w:rPr>
          <w:sz w:val="24"/>
          <w:szCs w:val="24"/>
          <w:lang w:val="en-GB"/>
        </w:rPr>
        <w:t xml:space="preserve">research </w:t>
      </w:r>
      <w:r w:rsidRPr="003C6E44">
        <w:rPr>
          <w:sz w:val="24"/>
          <w:szCs w:val="24"/>
          <w:lang w:val="en-GB"/>
        </w:rPr>
        <w:t>question</w:t>
      </w:r>
      <w:r w:rsidR="005A3125">
        <w:rPr>
          <w:sz w:val="24"/>
          <w:szCs w:val="24"/>
          <w:lang w:val="en-GB"/>
        </w:rPr>
        <w:t>,</w:t>
      </w:r>
      <w:r w:rsidRPr="003C6E44">
        <w:rPr>
          <w:sz w:val="24"/>
          <w:szCs w:val="24"/>
          <w:lang w:val="en-GB"/>
        </w:rPr>
        <w:t xml:space="preserve"> there do appear to </w:t>
      </w:r>
      <w:r>
        <w:rPr>
          <w:sz w:val="24"/>
          <w:szCs w:val="24"/>
          <w:lang w:val="en-GB"/>
        </w:rPr>
        <w:t xml:space="preserve">be </w:t>
      </w:r>
      <w:r w:rsidRPr="003C6E44">
        <w:rPr>
          <w:sz w:val="24"/>
          <w:szCs w:val="24"/>
          <w:lang w:val="en-GB"/>
        </w:rPr>
        <w:t>greater hysteresis effects relating to intangible investment than those associated with tangible investment</w:t>
      </w:r>
      <w:r>
        <w:rPr>
          <w:sz w:val="24"/>
          <w:szCs w:val="24"/>
          <w:lang w:val="en-GB"/>
        </w:rPr>
        <w:t>.</w:t>
      </w:r>
      <w:r w:rsidRPr="003C6E44">
        <w:rPr>
          <w:sz w:val="24"/>
          <w:szCs w:val="24"/>
          <w:lang w:val="en-GB"/>
        </w:rPr>
        <w:t xml:space="preserve"> </w:t>
      </w:r>
      <w:r>
        <w:rPr>
          <w:sz w:val="24"/>
          <w:szCs w:val="24"/>
          <w:lang w:val="en-GB"/>
        </w:rPr>
        <w:t>Germany, France, Italy and the USA exhibit greater bands of inaction for intangible investment than for tangible investment and they compose the majority of the G7 countries.</w:t>
      </w:r>
    </w:p>
    <w:p w14:paraId="5507F399" w14:textId="62BEAC26" w:rsidR="003C6E44" w:rsidRDefault="003C6E44" w:rsidP="003C6E44">
      <w:pPr>
        <w:spacing w:line="360" w:lineRule="auto"/>
        <w:ind w:firstLine="720"/>
        <w:jc w:val="both"/>
        <w:rPr>
          <w:sz w:val="24"/>
          <w:szCs w:val="24"/>
          <w:lang w:val="en-GB"/>
        </w:rPr>
      </w:pPr>
      <w:r w:rsidRPr="003C6E44">
        <w:rPr>
          <w:sz w:val="24"/>
          <w:szCs w:val="24"/>
          <w:lang w:val="en-GB"/>
        </w:rPr>
        <w:t>The implications of our research are of great importance for fiscal and monetary policies. To ensure that investment levels (especially in intangible assets) are not greatly harmed in times of economic recessions, since sufficiently severe negative shocks (even if temporary) may not be easily reversed, it is important to apply the preventative, significant and sustained expansionary fiscal and monetary policy to avoid the decrease of aggregate investment. This policy reaction is particularly important for the intangible investment that appears to present greater hysteresis effects.</w:t>
      </w:r>
      <w:r>
        <w:rPr>
          <w:sz w:val="24"/>
          <w:szCs w:val="24"/>
          <w:lang w:val="en-GB"/>
        </w:rPr>
        <w:t xml:space="preserve"> One possibility, on the side of fiscal policy, could be government co-financing (and bank loan guarantees) of intangible investment, bypassing the debt finance hurdle and impeding a fall of investment in intangible assets. This example is not exempt from issues such as the moral hazard problem that could arise from managers knowing they would be protected in times of crisis and taking on more risks for personal gain, or the possibility of protecting firms that would benefit society more if they went bankrupt and ceased to exist (</w:t>
      </w:r>
      <w:r>
        <w:rPr>
          <w:i/>
          <w:iCs/>
          <w:sz w:val="24"/>
          <w:szCs w:val="24"/>
          <w:lang w:val="en-GB"/>
        </w:rPr>
        <w:t>i.e.</w:t>
      </w:r>
      <w:r>
        <w:rPr>
          <w:sz w:val="24"/>
          <w:szCs w:val="24"/>
          <w:lang w:val="en-GB"/>
        </w:rPr>
        <w:t>, Schumpeter’s creative destruction). Another possibility, on the side of monetary policy, could be having lower interest rates for firms that invest heavily in intangible assets.</w:t>
      </w:r>
    </w:p>
    <w:p w14:paraId="0EA7C3B0" w14:textId="7D5C9D66" w:rsidR="008548AF" w:rsidRDefault="003E63CF" w:rsidP="008C2FB2">
      <w:pPr>
        <w:spacing w:line="360" w:lineRule="auto"/>
        <w:ind w:firstLine="720"/>
        <w:jc w:val="both"/>
        <w:rPr>
          <w:sz w:val="24"/>
          <w:szCs w:val="24"/>
          <w:lang w:val="en-GB"/>
        </w:rPr>
      </w:pPr>
      <w:r>
        <w:rPr>
          <w:sz w:val="24"/>
          <w:szCs w:val="24"/>
          <w:lang w:val="en-GB"/>
        </w:rPr>
        <w:t xml:space="preserve">As for recommendations </w:t>
      </w:r>
      <w:r w:rsidR="007819B2">
        <w:rPr>
          <w:sz w:val="24"/>
          <w:szCs w:val="24"/>
          <w:lang w:val="en-GB"/>
        </w:rPr>
        <w:t>for</w:t>
      </w:r>
      <w:r>
        <w:rPr>
          <w:sz w:val="24"/>
          <w:szCs w:val="24"/>
          <w:lang w:val="en-GB"/>
        </w:rPr>
        <w:t xml:space="preserve"> future research, it would be very interesting to analyse the dynamics of intangible investment in more </w:t>
      </w:r>
      <w:r w:rsidR="00800185">
        <w:rPr>
          <w:sz w:val="24"/>
          <w:szCs w:val="24"/>
          <w:lang w:val="en-GB"/>
        </w:rPr>
        <w:t>disaggregated</w:t>
      </w:r>
      <w:r>
        <w:rPr>
          <w:sz w:val="24"/>
          <w:szCs w:val="24"/>
          <w:lang w:val="en-GB"/>
        </w:rPr>
        <w:t xml:space="preserve"> terms</w:t>
      </w:r>
      <w:r w:rsidR="00800185">
        <w:rPr>
          <w:sz w:val="24"/>
          <w:szCs w:val="24"/>
          <w:lang w:val="en-GB"/>
        </w:rPr>
        <w:t>, considering each subdivision of intangible assets one by one</w:t>
      </w:r>
      <w:r>
        <w:rPr>
          <w:sz w:val="24"/>
          <w:szCs w:val="24"/>
          <w:lang w:val="en-GB"/>
        </w:rPr>
        <w:t xml:space="preserve">, which </w:t>
      </w:r>
      <w:r w:rsidR="00800185">
        <w:rPr>
          <w:sz w:val="24"/>
          <w:szCs w:val="24"/>
          <w:lang w:val="en-GB"/>
        </w:rPr>
        <w:t xml:space="preserve">requires data that </w:t>
      </w:r>
      <w:r>
        <w:rPr>
          <w:sz w:val="24"/>
          <w:szCs w:val="24"/>
          <w:lang w:val="en-GB"/>
        </w:rPr>
        <w:t xml:space="preserve">for the present </w:t>
      </w:r>
      <w:r w:rsidR="00800185">
        <w:rPr>
          <w:sz w:val="24"/>
          <w:szCs w:val="24"/>
          <w:lang w:val="en-GB"/>
        </w:rPr>
        <w:t>is</w:t>
      </w:r>
      <w:r>
        <w:rPr>
          <w:sz w:val="24"/>
          <w:szCs w:val="24"/>
          <w:lang w:val="en-GB"/>
        </w:rPr>
        <w:t xml:space="preserve"> only available for the United States</w:t>
      </w:r>
      <w:r w:rsidR="002B7A6D">
        <w:rPr>
          <w:sz w:val="24"/>
          <w:szCs w:val="24"/>
          <w:lang w:val="en-GB"/>
        </w:rPr>
        <w:t xml:space="preserve">. This </w:t>
      </w:r>
      <w:r>
        <w:rPr>
          <w:sz w:val="24"/>
          <w:szCs w:val="24"/>
          <w:lang w:val="en-GB"/>
        </w:rPr>
        <w:t xml:space="preserve">would </w:t>
      </w:r>
      <w:r w:rsidR="002B7A6D">
        <w:rPr>
          <w:sz w:val="24"/>
          <w:szCs w:val="24"/>
          <w:lang w:val="en-GB"/>
        </w:rPr>
        <w:t>make it possible to design more targeted investment policies.</w:t>
      </w:r>
      <w:r w:rsidR="008548AF">
        <w:rPr>
          <w:sz w:val="24"/>
          <w:szCs w:val="24"/>
          <w:lang w:val="en-GB"/>
        </w:rPr>
        <w:br w:type="page"/>
      </w:r>
    </w:p>
    <w:p w14:paraId="2095E1C0" w14:textId="286144F9" w:rsidR="008548AF" w:rsidRPr="005E3620" w:rsidRDefault="008548AF" w:rsidP="00800185">
      <w:pPr>
        <w:pStyle w:val="Heading1"/>
        <w:ind w:left="-567" w:hanging="142"/>
        <w:jc w:val="center"/>
        <w:rPr>
          <w:b w:val="0"/>
          <w:bCs w:val="0"/>
          <w:sz w:val="24"/>
          <w:szCs w:val="24"/>
          <w:lang w:val="en-GB"/>
        </w:rPr>
      </w:pPr>
      <w:r w:rsidRPr="005E3620">
        <w:rPr>
          <w:sz w:val="24"/>
          <w:szCs w:val="24"/>
          <w:lang w:val="en-GB"/>
        </w:rPr>
        <w:lastRenderedPageBreak/>
        <w:t>Appendix</w:t>
      </w:r>
      <w:r w:rsidR="00B52CDE" w:rsidRPr="005E3620">
        <w:rPr>
          <w:sz w:val="24"/>
          <w:szCs w:val="24"/>
          <w:lang w:val="en-GB"/>
        </w:rPr>
        <w:t xml:space="preserve">. 1. </w:t>
      </w:r>
      <w:r w:rsidR="00B52CDE" w:rsidRPr="005E3620">
        <w:rPr>
          <w:b w:val="0"/>
          <w:bCs w:val="0"/>
          <w:sz w:val="24"/>
          <w:szCs w:val="24"/>
          <w:lang w:val="en-GB"/>
        </w:rPr>
        <w:t>Descriptive Statistics of the Variables</w:t>
      </w:r>
    </w:p>
    <w:p w14:paraId="208EEBF0" w14:textId="77777777" w:rsidR="008548AF" w:rsidRPr="0063438A" w:rsidRDefault="008548AF" w:rsidP="008548AF">
      <w:pPr>
        <w:pStyle w:val="Heading1"/>
        <w:ind w:left="0"/>
        <w:rPr>
          <w:b w:val="0"/>
          <w:bCs w:val="0"/>
          <w:sz w:val="24"/>
          <w:szCs w:val="24"/>
          <w:lang w:val="en-GB"/>
        </w:rPr>
      </w:pPr>
    </w:p>
    <w:p w14:paraId="785F4B5D" w14:textId="1C7E326A" w:rsidR="00F75098" w:rsidRDefault="00F75098" w:rsidP="00F75098">
      <w:pPr>
        <w:pStyle w:val="Heading1"/>
        <w:ind w:left="0"/>
        <w:jc w:val="center"/>
        <w:rPr>
          <w:b w:val="0"/>
          <w:bCs w:val="0"/>
          <w:sz w:val="24"/>
          <w:szCs w:val="24"/>
          <w:lang w:val="en-GB"/>
        </w:rPr>
      </w:pPr>
      <w:r w:rsidRPr="00C03789">
        <w:rPr>
          <w:b w:val="0"/>
          <w:bCs w:val="0"/>
          <w:sz w:val="24"/>
          <w:szCs w:val="24"/>
          <w:lang w:val="en-GB"/>
        </w:rPr>
        <w:t>Gross Fixed Capital Formation, from OECD – Quarterly National Accounts (including dwelling, other buildings and structures, and machinery and equipment plus weapon systems</w:t>
      </w:r>
      <w:r w:rsidRPr="00267E6C">
        <w:rPr>
          <w:b w:val="0"/>
          <w:bCs w:val="0"/>
          <w:sz w:val="24"/>
          <w:szCs w:val="24"/>
          <w:lang w:val="en-GB"/>
        </w:rPr>
        <w:t>) (</w:t>
      </w:r>
      <m:oMath>
        <m:sSub>
          <m:sSubPr>
            <m:ctrlPr>
              <w:rPr>
                <w:rFonts w:ascii="Cambria Math" w:hAnsi="Cambria Math"/>
                <w:b w:val="0"/>
                <w:bCs w:val="0"/>
                <w:i/>
                <w:sz w:val="20"/>
                <w:szCs w:val="20"/>
              </w:rPr>
            </m:ctrlPr>
          </m:sSubPr>
          <m:e>
            <m:r>
              <w:rPr>
                <w:rFonts w:ascii="Cambria Math" w:hAnsi="Cambria Math"/>
                <w:sz w:val="20"/>
                <w:szCs w:val="20"/>
              </w:rPr>
              <m:t>I</m:t>
            </m:r>
            <m:r>
              <w:rPr>
                <w:rFonts w:ascii="Cambria Math" w:hAnsi="Cambria Math"/>
                <w:sz w:val="20"/>
                <w:szCs w:val="20"/>
                <w:lang w:val="en-GB"/>
              </w:rPr>
              <m:t>_</m:t>
            </m:r>
            <m:r>
              <w:rPr>
                <w:rFonts w:ascii="Cambria Math" w:hAnsi="Cambria Math"/>
                <w:sz w:val="20"/>
                <w:szCs w:val="20"/>
              </w:rPr>
              <m:t>TAN</m:t>
            </m:r>
          </m:e>
          <m:sub>
            <m:r>
              <w:rPr>
                <w:rFonts w:ascii="Cambria Math" w:hAnsi="Cambria Math"/>
                <w:sz w:val="20"/>
                <w:szCs w:val="20"/>
              </w:rPr>
              <m:t>t</m:t>
            </m:r>
          </m:sub>
        </m:sSub>
      </m:oMath>
      <w:r w:rsidRPr="00267E6C">
        <w:rPr>
          <w:b w:val="0"/>
          <w:bCs w:val="0"/>
          <w:sz w:val="24"/>
          <w:szCs w:val="24"/>
          <w:lang w:val="en-GB"/>
        </w:rPr>
        <w:t>)</w:t>
      </w:r>
    </w:p>
    <w:p w14:paraId="26E0245C" w14:textId="77777777" w:rsidR="00F75098" w:rsidRPr="00C03789" w:rsidRDefault="00F75098" w:rsidP="00F75098">
      <w:pPr>
        <w:pStyle w:val="Heading1"/>
        <w:ind w:left="0"/>
        <w:jc w:val="center"/>
        <w:rPr>
          <w:b w:val="0"/>
          <w:bCs w:val="0"/>
          <w:sz w:val="24"/>
          <w:szCs w:val="24"/>
          <w:lang w:val="en-GB"/>
        </w:rPr>
      </w:pPr>
    </w:p>
    <w:tbl>
      <w:tblPr>
        <w:tblW w:w="9250" w:type="dxa"/>
        <w:tblInd w:w="-572" w:type="dxa"/>
        <w:tblLook w:val="04A0" w:firstRow="1" w:lastRow="0" w:firstColumn="1" w:lastColumn="0" w:noHBand="0" w:noVBand="1"/>
      </w:tblPr>
      <w:tblGrid>
        <w:gridCol w:w="1397"/>
        <w:gridCol w:w="1092"/>
        <w:gridCol w:w="1282"/>
        <w:gridCol w:w="1109"/>
        <w:gridCol w:w="1132"/>
        <w:gridCol w:w="1109"/>
        <w:gridCol w:w="1107"/>
        <w:gridCol w:w="1109"/>
      </w:tblGrid>
      <w:tr w:rsidR="00F75098" w:rsidRPr="00DB6F7A" w14:paraId="09C32E4B" w14:textId="77777777" w:rsidTr="00096287">
        <w:trPr>
          <w:trHeight w:val="194"/>
        </w:trPr>
        <w:tc>
          <w:tcPr>
            <w:tcW w:w="13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AE6925"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4D0498AB" w14:textId="77777777" w:rsidR="00F75098" w:rsidRPr="00DB6F7A" w:rsidRDefault="00F75098" w:rsidP="00096287">
            <w:pPr>
              <w:widowControl/>
              <w:autoSpaceDE/>
              <w:autoSpaceDN/>
              <w:ind w:right="-286"/>
              <w:rPr>
                <w:rFonts w:ascii="Calibri" w:eastAsia="Times New Roman" w:hAnsi="Calibri" w:cs="Calibri"/>
                <w:color w:val="000000"/>
                <w:lang w:val="en-GB" w:eastAsia="en-GB"/>
              </w:rPr>
            </w:pPr>
            <w:r>
              <w:rPr>
                <w:rFonts w:ascii="Calibri" w:eastAsia="Times New Roman" w:hAnsi="Calibri" w:cs="Calibri"/>
                <w:color w:val="000000"/>
                <w:lang w:val="en-GB" w:eastAsia="en-GB"/>
              </w:rPr>
              <w:t>Canada</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4461A4FF"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F</w:t>
            </w:r>
            <w:r>
              <w:rPr>
                <w:rFonts w:ascii="Calibri" w:eastAsia="Times New Roman" w:hAnsi="Calibri" w:cs="Calibri"/>
                <w:color w:val="000000"/>
                <w:lang w:val="en-GB" w:eastAsia="en-GB"/>
              </w:rPr>
              <w:t>rance</w:t>
            </w:r>
          </w:p>
        </w:tc>
        <w:tc>
          <w:tcPr>
            <w:tcW w:w="1083" w:type="dxa"/>
            <w:tcBorders>
              <w:top w:val="single" w:sz="4" w:space="0" w:color="auto"/>
              <w:left w:val="nil"/>
              <w:bottom w:val="single" w:sz="4" w:space="0" w:color="auto"/>
              <w:right w:val="single" w:sz="4" w:space="0" w:color="auto"/>
            </w:tcBorders>
            <w:shd w:val="clear" w:color="auto" w:fill="auto"/>
            <w:noWrap/>
            <w:vAlign w:val="bottom"/>
            <w:hideMark/>
          </w:tcPr>
          <w:p w14:paraId="7103B269"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G</w:t>
            </w:r>
            <w:r>
              <w:rPr>
                <w:rFonts w:ascii="Calibri" w:eastAsia="Times New Roman" w:hAnsi="Calibri" w:cs="Calibri"/>
                <w:color w:val="000000"/>
                <w:lang w:val="en-GB" w:eastAsia="en-GB"/>
              </w:rPr>
              <w:t>ermany</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14:paraId="35E055F0"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I</w:t>
            </w:r>
            <w:r>
              <w:rPr>
                <w:rFonts w:ascii="Calibri" w:eastAsia="Times New Roman" w:hAnsi="Calibri" w:cs="Calibri"/>
                <w:color w:val="000000"/>
                <w:lang w:val="en-GB" w:eastAsia="en-GB"/>
              </w:rPr>
              <w:t>taly</w:t>
            </w:r>
          </w:p>
        </w:tc>
        <w:tc>
          <w:tcPr>
            <w:tcW w:w="1107" w:type="dxa"/>
            <w:tcBorders>
              <w:top w:val="single" w:sz="4" w:space="0" w:color="auto"/>
              <w:left w:val="nil"/>
              <w:bottom w:val="single" w:sz="4" w:space="0" w:color="auto"/>
              <w:right w:val="single" w:sz="4" w:space="0" w:color="auto"/>
            </w:tcBorders>
            <w:shd w:val="clear" w:color="auto" w:fill="auto"/>
            <w:noWrap/>
            <w:vAlign w:val="bottom"/>
            <w:hideMark/>
          </w:tcPr>
          <w:p w14:paraId="7A4DB253"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J</w:t>
            </w:r>
            <w:r>
              <w:rPr>
                <w:rFonts w:ascii="Calibri" w:eastAsia="Times New Roman" w:hAnsi="Calibri" w:cs="Calibri"/>
                <w:color w:val="000000"/>
                <w:lang w:val="en-GB" w:eastAsia="en-GB"/>
              </w:rPr>
              <w:t>apan</w:t>
            </w:r>
          </w:p>
        </w:tc>
        <w:tc>
          <w:tcPr>
            <w:tcW w:w="1107" w:type="dxa"/>
            <w:tcBorders>
              <w:top w:val="single" w:sz="4" w:space="0" w:color="auto"/>
              <w:left w:val="nil"/>
              <w:bottom w:val="single" w:sz="4" w:space="0" w:color="auto"/>
              <w:right w:val="single" w:sz="4" w:space="0" w:color="auto"/>
            </w:tcBorders>
            <w:shd w:val="clear" w:color="auto" w:fill="auto"/>
            <w:noWrap/>
            <w:vAlign w:val="bottom"/>
            <w:hideMark/>
          </w:tcPr>
          <w:p w14:paraId="11BF07B3"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UK</w:t>
            </w:r>
          </w:p>
        </w:tc>
        <w:tc>
          <w:tcPr>
            <w:tcW w:w="1083" w:type="dxa"/>
            <w:tcBorders>
              <w:top w:val="single" w:sz="4" w:space="0" w:color="auto"/>
              <w:left w:val="nil"/>
              <w:bottom w:val="single" w:sz="4" w:space="0" w:color="auto"/>
              <w:right w:val="single" w:sz="4" w:space="0" w:color="auto"/>
            </w:tcBorders>
            <w:shd w:val="clear" w:color="auto" w:fill="auto"/>
            <w:noWrap/>
            <w:vAlign w:val="bottom"/>
            <w:hideMark/>
          </w:tcPr>
          <w:p w14:paraId="68972715"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USA</w:t>
            </w:r>
          </w:p>
        </w:tc>
      </w:tr>
      <w:tr w:rsidR="00F75098" w:rsidRPr="00DB6F7A" w14:paraId="5D930D84" w14:textId="77777777" w:rsidTr="00096287">
        <w:trPr>
          <w:trHeight w:val="194"/>
        </w:trPr>
        <w:tc>
          <w:tcPr>
            <w:tcW w:w="1364" w:type="dxa"/>
            <w:tcBorders>
              <w:top w:val="nil"/>
              <w:left w:val="single" w:sz="4" w:space="0" w:color="auto"/>
              <w:bottom w:val="single" w:sz="4" w:space="0" w:color="auto"/>
              <w:right w:val="single" w:sz="4" w:space="0" w:color="auto"/>
            </w:tcBorders>
            <w:shd w:val="clear" w:color="auto" w:fill="auto"/>
            <w:noWrap/>
            <w:vAlign w:val="bottom"/>
            <w:hideMark/>
          </w:tcPr>
          <w:p w14:paraId="1FD3A8AC"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15FA9585"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282" w:type="dxa"/>
            <w:tcBorders>
              <w:top w:val="nil"/>
              <w:left w:val="nil"/>
              <w:bottom w:val="single" w:sz="4" w:space="0" w:color="auto"/>
              <w:right w:val="single" w:sz="4" w:space="0" w:color="auto"/>
            </w:tcBorders>
            <w:shd w:val="clear" w:color="auto" w:fill="auto"/>
            <w:noWrap/>
            <w:vAlign w:val="bottom"/>
            <w:hideMark/>
          </w:tcPr>
          <w:p w14:paraId="4946CA49"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083" w:type="dxa"/>
            <w:tcBorders>
              <w:top w:val="nil"/>
              <w:left w:val="nil"/>
              <w:bottom w:val="single" w:sz="4" w:space="0" w:color="auto"/>
              <w:right w:val="single" w:sz="4" w:space="0" w:color="auto"/>
            </w:tcBorders>
            <w:shd w:val="clear" w:color="auto" w:fill="auto"/>
            <w:noWrap/>
            <w:vAlign w:val="bottom"/>
            <w:hideMark/>
          </w:tcPr>
          <w:p w14:paraId="3BCB2A7C"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132" w:type="dxa"/>
            <w:tcBorders>
              <w:top w:val="nil"/>
              <w:left w:val="nil"/>
              <w:bottom w:val="single" w:sz="4" w:space="0" w:color="auto"/>
              <w:right w:val="single" w:sz="4" w:space="0" w:color="auto"/>
            </w:tcBorders>
            <w:shd w:val="clear" w:color="auto" w:fill="auto"/>
            <w:noWrap/>
            <w:vAlign w:val="bottom"/>
            <w:hideMark/>
          </w:tcPr>
          <w:p w14:paraId="7C29BA53"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107" w:type="dxa"/>
            <w:tcBorders>
              <w:top w:val="nil"/>
              <w:left w:val="nil"/>
              <w:bottom w:val="single" w:sz="4" w:space="0" w:color="auto"/>
              <w:right w:val="single" w:sz="4" w:space="0" w:color="auto"/>
            </w:tcBorders>
            <w:shd w:val="clear" w:color="auto" w:fill="auto"/>
            <w:noWrap/>
            <w:vAlign w:val="bottom"/>
            <w:hideMark/>
          </w:tcPr>
          <w:p w14:paraId="67DDF5D7"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107" w:type="dxa"/>
            <w:tcBorders>
              <w:top w:val="nil"/>
              <w:left w:val="nil"/>
              <w:bottom w:val="single" w:sz="4" w:space="0" w:color="auto"/>
              <w:right w:val="single" w:sz="4" w:space="0" w:color="auto"/>
            </w:tcBorders>
            <w:shd w:val="clear" w:color="auto" w:fill="auto"/>
            <w:noWrap/>
            <w:vAlign w:val="bottom"/>
            <w:hideMark/>
          </w:tcPr>
          <w:p w14:paraId="492D2454"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083" w:type="dxa"/>
            <w:tcBorders>
              <w:top w:val="nil"/>
              <w:left w:val="nil"/>
              <w:bottom w:val="single" w:sz="4" w:space="0" w:color="auto"/>
              <w:right w:val="single" w:sz="4" w:space="0" w:color="auto"/>
            </w:tcBorders>
            <w:shd w:val="clear" w:color="auto" w:fill="auto"/>
            <w:noWrap/>
            <w:vAlign w:val="bottom"/>
            <w:hideMark/>
          </w:tcPr>
          <w:p w14:paraId="63D78195"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r>
      <w:tr w:rsidR="00F75098" w:rsidRPr="00DB6F7A" w14:paraId="565EB7F5" w14:textId="77777777" w:rsidTr="00096287">
        <w:trPr>
          <w:trHeight w:val="194"/>
        </w:trPr>
        <w:tc>
          <w:tcPr>
            <w:tcW w:w="1364" w:type="dxa"/>
            <w:tcBorders>
              <w:top w:val="nil"/>
              <w:left w:val="single" w:sz="4" w:space="0" w:color="auto"/>
              <w:bottom w:val="single" w:sz="4" w:space="0" w:color="auto"/>
              <w:right w:val="single" w:sz="4" w:space="0" w:color="auto"/>
            </w:tcBorders>
            <w:shd w:val="clear" w:color="auto" w:fill="auto"/>
            <w:noWrap/>
            <w:vAlign w:val="bottom"/>
            <w:hideMark/>
          </w:tcPr>
          <w:p w14:paraId="6D7A595E"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xml:space="preserve"> Mean</w:t>
            </w:r>
          </w:p>
        </w:tc>
        <w:tc>
          <w:tcPr>
            <w:tcW w:w="1092" w:type="dxa"/>
            <w:tcBorders>
              <w:top w:val="nil"/>
              <w:left w:val="nil"/>
              <w:bottom w:val="single" w:sz="4" w:space="0" w:color="auto"/>
              <w:right w:val="single" w:sz="4" w:space="0" w:color="auto"/>
            </w:tcBorders>
            <w:shd w:val="clear" w:color="auto" w:fill="auto"/>
            <w:noWrap/>
            <w:vAlign w:val="bottom"/>
            <w:hideMark/>
          </w:tcPr>
          <w:p w14:paraId="09C351E1"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86902.58</w:t>
            </w:r>
          </w:p>
        </w:tc>
        <w:tc>
          <w:tcPr>
            <w:tcW w:w="1282" w:type="dxa"/>
            <w:tcBorders>
              <w:top w:val="nil"/>
              <w:left w:val="nil"/>
              <w:bottom w:val="single" w:sz="4" w:space="0" w:color="auto"/>
              <w:right w:val="single" w:sz="4" w:space="0" w:color="auto"/>
            </w:tcBorders>
            <w:shd w:val="clear" w:color="auto" w:fill="auto"/>
            <w:noWrap/>
            <w:vAlign w:val="bottom"/>
            <w:hideMark/>
          </w:tcPr>
          <w:p w14:paraId="2528D96A"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93095.88</w:t>
            </w:r>
          </w:p>
        </w:tc>
        <w:tc>
          <w:tcPr>
            <w:tcW w:w="1083" w:type="dxa"/>
            <w:tcBorders>
              <w:top w:val="nil"/>
              <w:left w:val="nil"/>
              <w:bottom w:val="single" w:sz="4" w:space="0" w:color="auto"/>
              <w:right w:val="single" w:sz="4" w:space="0" w:color="auto"/>
            </w:tcBorders>
            <w:shd w:val="clear" w:color="auto" w:fill="auto"/>
            <w:noWrap/>
            <w:vAlign w:val="bottom"/>
            <w:hideMark/>
          </w:tcPr>
          <w:p w14:paraId="2B298596"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121490.6</w:t>
            </w:r>
          </w:p>
        </w:tc>
        <w:tc>
          <w:tcPr>
            <w:tcW w:w="1132" w:type="dxa"/>
            <w:tcBorders>
              <w:top w:val="nil"/>
              <w:left w:val="nil"/>
              <w:bottom w:val="single" w:sz="4" w:space="0" w:color="auto"/>
              <w:right w:val="single" w:sz="4" w:space="0" w:color="auto"/>
            </w:tcBorders>
            <w:shd w:val="clear" w:color="auto" w:fill="auto"/>
            <w:noWrap/>
            <w:vAlign w:val="bottom"/>
            <w:hideMark/>
          </w:tcPr>
          <w:p w14:paraId="72F6894E"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71671.99</w:t>
            </w:r>
          </w:p>
        </w:tc>
        <w:tc>
          <w:tcPr>
            <w:tcW w:w="1107" w:type="dxa"/>
            <w:tcBorders>
              <w:top w:val="nil"/>
              <w:left w:val="nil"/>
              <w:bottom w:val="single" w:sz="4" w:space="0" w:color="auto"/>
              <w:right w:val="single" w:sz="4" w:space="0" w:color="auto"/>
            </w:tcBorders>
            <w:shd w:val="clear" w:color="auto" w:fill="auto"/>
            <w:noWrap/>
            <w:vAlign w:val="bottom"/>
            <w:hideMark/>
          </w:tcPr>
          <w:p w14:paraId="76FE6FEA"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26576311</w:t>
            </w:r>
          </w:p>
        </w:tc>
        <w:tc>
          <w:tcPr>
            <w:tcW w:w="1107" w:type="dxa"/>
            <w:tcBorders>
              <w:top w:val="nil"/>
              <w:left w:val="nil"/>
              <w:bottom w:val="single" w:sz="4" w:space="0" w:color="auto"/>
              <w:right w:val="single" w:sz="4" w:space="0" w:color="auto"/>
            </w:tcBorders>
            <w:shd w:val="clear" w:color="auto" w:fill="auto"/>
            <w:noWrap/>
            <w:vAlign w:val="bottom"/>
            <w:hideMark/>
          </w:tcPr>
          <w:p w14:paraId="1A186A82"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68496.47</w:t>
            </w:r>
          </w:p>
        </w:tc>
        <w:tc>
          <w:tcPr>
            <w:tcW w:w="1083" w:type="dxa"/>
            <w:tcBorders>
              <w:top w:val="nil"/>
              <w:left w:val="nil"/>
              <w:bottom w:val="single" w:sz="4" w:space="0" w:color="auto"/>
              <w:right w:val="single" w:sz="4" w:space="0" w:color="auto"/>
            </w:tcBorders>
            <w:shd w:val="clear" w:color="auto" w:fill="auto"/>
            <w:noWrap/>
            <w:vAlign w:val="bottom"/>
            <w:hideMark/>
          </w:tcPr>
          <w:p w14:paraId="35BAB280"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622050.5</w:t>
            </w:r>
          </w:p>
        </w:tc>
      </w:tr>
      <w:tr w:rsidR="00F75098" w:rsidRPr="00DB6F7A" w14:paraId="5FA0F8CF" w14:textId="77777777" w:rsidTr="00096287">
        <w:trPr>
          <w:trHeight w:val="194"/>
        </w:trPr>
        <w:tc>
          <w:tcPr>
            <w:tcW w:w="1364" w:type="dxa"/>
            <w:tcBorders>
              <w:top w:val="nil"/>
              <w:left w:val="single" w:sz="4" w:space="0" w:color="auto"/>
              <w:bottom w:val="single" w:sz="4" w:space="0" w:color="auto"/>
              <w:right w:val="single" w:sz="4" w:space="0" w:color="auto"/>
            </w:tcBorders>
            <w:shd w:val="clear" w:color="auto" w:fill="auto"/>
            <w:noWrap/>
            <w:vAlign w:val="bottom"/>
            <w:hideMark/>
          </w:tcPr>
          <w:p w14:paraId="0AC41B95"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xml:space="preserve"> Median</w:t>
            </w:r>
          </w:p>
        </w:tc>
        <w:tc>
          <w:tcPr>
            <w:tcW w:w="1092" w:type="dxa"/>
            <w:tcBorders>
              <w:top w:val="nil"/>
              <w:left w:val="nil"/>
              <w:bottom w:val="single" w:sz="4" w:space="0" w:color="auto"/>
              <w:right w:val="single" w:sz="4" w:space="0" w:color="auto"/>
            </w:tcBorders>
            <w:shd w:val="clear" w:color="auto" w:fill="auto"/>
            <w:noWrap/>
            <w:vAlign w:val="bottom"/>
            <w:hideMark/>
          </w:tcPr>
          <w:p w14:paraId="2062D3FC"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91543</w:t>
            </w:r>
          </w:p>
        </w:tc>
        <w:tc>
          <w:tcPr>
            <w:tcW w:w="1282" w:type="dxa"/>
            <w:tcBorders>
              <w:top w:val="nil"/>
              <w:left w:val="nil"/>
              <w:bottom w:val="single" w:sz="4" w:space="0" w:color="auto"/>
              <w:right w:val="single" w:sz="4" w:space="0" w:color="auto"/>
            </w:tcBorders>
            <w:shd w:val="clear" w:color="auto" w:fill="auto"/>
            <w:noWrap/>
            <w:vAlign w:val="bottom"/>
            <w:hideMark/>
          </w:tcPr>
          <w:p w14:paraId="0A6B2E83"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91954.8</w:t>
            </w:r>
          </w:p>
        </w:tc>
        <w:tc>
          <w:tcPr>
            <w:tcW w:w="1083" w:type="dxa"/>
            <w:tcBorders>
              <w:top w:val="nil"/>
              <w:left w:val="nil"/>
              <w:bottom w:val="single" w:sz="4" w:space="0" w:color="auto"/>
              <w:right w:val="single" w:sz="4" w:space="0" w:color="auto"/>
            </w:tcBorders>
            <w:shd w:val="clear" w:color="auto" w:fill="auto"/>
            <w:noWrap/>
            <w:vAlign w:val="bottom"/>
            <w:hideMark/>
          </w:tcPr>
          <w:p w14:paraId="4CE40166"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121093.8</w:t>
            </w:r>
          </w:p>
        </w:tc>
        <w:tc>
          <w:tcPr>
            <w:tcW w:w="1132" w:type="dxa"/>
            <w:tcBorders>
              <w:top w:val="nil"/>
              <w:left w:val="nil"/>
              <w:bottom w:val="single" w:sz="4" w:space="0" w:color="auto"/>
              <w:right w:val="single" w:sz="4" w:space="0" w:color="auto"/>
            </w:tcBorders>
            <w:shd w:val="clear" w:color="auto" w:fill="auto"/>
            <w:noWrap/>
            <w:vAlign w:val="bottom"/>
            <w:hideMark/>
          </w:tcPr>
          <w:p w14:paraId="62168D87"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73755.4</w:t>
            </w:r>
          </w:p>
        </w:tc>
        <w:tc>
          <w:tcPr>
            <w:tcW w:w="1107" w:type="dxa"/>
            <w:tcBorders>
              <w:top w:val="nil"/>
              <w:left w:val="nil"/>
              <w:bottom w:val="single" w:sz="4" w:space="0" w:color="auto"/>
              <w:right w:val="single" w:sz="4" w:space="0" w:color="auto"/>
            </w:tcBorders>
            <w:shd w:val="clear" w:color="auto" w:fill="auto"/>
            <w:noWrap/>
            <w:vAlign w:val="bottom"/>
            <w:hideMark/>
          </w:tcPr>
          <w:p w14:paraId="16406E54"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26672000</w:t>
            </w:r>
          </w:p>
        </w:tc>
        <w:tc>
          <w:tcPr>
            <w:tcW w:w="1107" w:type="dxa"/>
            <w:tcBorders>
              <w:top w:val="nil"/>
              <w:left w:val="nil"/>
              <w:bottom w:val="single" w:sz="4" w:space="0" w:color="auto"/>
              <w:right w:val="single" w:sz="4" w:space="0" w:color="auto"/>
            </w:tcBorders>
            <w:shd w:val="clear" w:color="auto" w:fill="auto"/>
            <w:noWrap/>
            <w:vAlign w:val="bottom"/>
            <w:hideMark/>
          </w:tcPr>
          <w:p w14:paraId="40D550C7"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68276.5</w:t>
            </w:r>
          </w:p>
        </w:tc>
        <w:tc>
          <w:tcPr>
            <w:tcW w:w="1083" w:type="dxa"/>
            <w:tcBorders>
              <w:top w:val="nil"/>
              <w:left w:val="nil"/>
              <w:bottom w:val="single" w:sz="4" w:space="0" w:color="auto"/>
              <w:right w:val="single" w:sz="4" w:space="0" w:color="auto"/>
            </w:tcBorders>
            <w:shd w:val="clear" w:color="auto" w:fill="auto"/>
            <w:noWrap/>
            <w:vAlign w:val="bottom"/>
            <w:hideMark/>
          </w:tcPr>
          <w:p w14:paraId="5288A7FA"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633557.7</w:t>
            </w:r>
          </w:p>
        </w:tc>
      </w:tr>
      <w:tr w:rsidR="00F75098" w:rsidRPr="00DB6F7A" w14:paraId="6354B9F1" w14:textId="77777777" w:rsidTr="00096287">
        <w:trPr>
          <w:trHeight w:val="194"/>
        </w:trPr>
        <w:tc>
          <w:tcPr>
            <w:tcW w:w="1364" w:type="dxa"/>
            <w:tcBorders>
              <w:top w:val="nil"/>
              <w:left w:val="single" w:sz="4" w:space="0" w:color="auto"/>
              <w:bottom w:val="single" w:sz="4" w:space="0" w:color="auto"/>
              <w:right w:val="single" w:sz="4" w:space="0" w:color="auto"/>
            </w:tcBorders>
            <w:shd w:val="clear" w:color="auto" w:fill="auto"/>
            <w:noWrap/>
            <w:vAlign w:val="bottom"/>
            <w:hideMark/>
          </w:tcPr>
          <w:p w14:paraId="3D7618FB"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xml:space="preserve"> Maximum</w:t>
            </w:r>
          </w:p>
        </w:tc>
        <w:tc>
          <w:tcPr>
            <w:tcW w:w="1092" w:type="dxa"/>
            <w:tcBorders>
              <w:top w:val="nil"/>
              <w:left w:val="nil"/>
              <w:bottom w:val="single" w:sz="4" w:space="0" w:color="auto"/>
              <w:right w:val="single" w:sz="4" w:space="0" w:color="auto"/>
            </w:tcBorders>
            <w:shd w:val="clear" w:color="auto" w:fill="auto"/>
            <w:noWrap/>
            <w:vAlign w:val="bottom"/>
            <w:hideMark/>
          </w:tcPr>
          <w:p w14:paraId="76A931B8"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103903.5</w:t>
            </w:r>
          </w:p>
        </w:tc>
        <w:tc>
          <w:tcPr>
            <w:tcW w:w="1282" w:type="dxa"/>
            <w:tcBorders>
              <w:top w:val="nil"/>
              <w:left w:val="nil"/>
              <w:bottom w:val="single" w:sz="4" w:space="0" w:color="auto"/>
              <w:right w:val="single" w:sz="4" w:space="0" w:color="auto"/>
            </w:tcBorders>
            <w:shd w:val="clear" w:color="auto" w:fill="auto"/>
            <w:noWrap/>
            <w:vAlign w:val="bottom"/>
            <w:hideMark/>
          </w:tcPr>
          <w:p w14:paraId="53E54632"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103839.9</w:t>
            </w:r>
          </w:p>
        </w:tc>
        <w:tc>
          <w:tcPr>
            <w:tcW w:w="1083" w:type="dxa"/>
            <w:tcBorders>
              <w:top w:val="nil"/>
              <w:left w:val="nil"/>
              <w:bottom w:val="single" w:sz="4" w:space="0" w:color="auto"/>
              <w:right w:val="single" w:sz="4" w:space="0" w:color="auto"/>
            </w:tcBorders>
            <w:shd w:val="clear" w:color="auto" w:fill="auto"/>
            <w:noWrap/>
            <w:vAlign w:val="bottom"/>
            <w:hideMark/>
          </w:tcPr>
          <w:p w14:paraId="1DC2CACD"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138857.8</w:t>
            </w:r>
          </w:p>
        </w:tc>
        <w:tc>
          <w:tcPr>
            <w:tcW w:w="1132" w:type="dxa"/>
            <w:tcBorders>
              <w:top w:val="nil"/>
              <w:left w:val="nil"/>
              <w:bottom w:val="single" w:sz="4" w:space="0" w:color="auto"/>
              <w:right w:val="single" w:sz="4" w:space="0" w:color="auto"/>
            </w:tcBorders>
            <w:shd w:val="clear" w:color="auto" w:fill="auto"/>
            <w:noWrap/>
            <w:vAlign w:val="bottom"/>
            <w:hideMark/>
          </w:tcPr>
          <w:p w14:paraId="54EADDC2"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87795.7</w:t>
            </w:r>
          </w:p>
        </w:tc>
        <w:tc>
          <w:tcPr>
            <w:tcW w:w="1107" w:type="dxa"/>
            <w:tcBorders>
              <w:top w:val="nil"/>
              <w:left w:val="nil"/>
              <w:bottom w:val="single" w:sz="4" w:space="0" w:color="auto"/>
              <w:right w:val="single" w:sz="4" w:space="0" w:color="auto"/>
            </w:tcBorders>
            <w:shd w:val="clear" w:color="auto" w:fill="auto"/>
            <w:noWrap/>
            <w:vAlign w:val="bottom"/>
            <w:hideMark/>
          </w:tcPr>
          <w:p w14:paraId="514A39A9"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31405050</w:t>
            </w:r>
          </w:p>
        </w:tc>
        <w:tc>
          <w:tcPr>
            <w:tcW w:w="1107" w:type="dxa"/>
            <w:tcBorders>
              <w:top w:val="nil"/>
              <w:left w:val="nil"/>
              <w:bottom w:val="single" w:sz="4" w:space="0" w:color="auto"/>
              <w:right w:val="single" w:sz="4" w:space="0" w:color="auto"/>
            </w:tcBorders>
            <w:shd w:val="clear" w:color="auto" w:fill="auto"/>
            <w:noWrap/>
            <w:vAlign w:val="bottom"/>
            <w:hideMark/>
          </w:tcPr>
          <w:p w14:paraId="2792EE99"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82136</w:t>
            </w:r>
          </w:p>
        </w:tc>
        <w:tc>
          <w:tcPr>
            <w:tcW w:w="1083" w:type="dxa"/>
            <w:tcBorders>
              <w:top w:val="nil"/>
              <w:left w:val="nil"/>
              <w:bottom w:val="single" w:sz="4" w:space="0" w:color="auto"/>
              <w:right w:val="single" w:sz="4" w:space="0" w:color="auto"/>
            </w:tcBorders>
            <w:shd w:val="clear" w:color="auto" w:fill="auto"/>
            <w:noWrap/>
            <w:vAlign w:val="bottom"/>
            <w:hideMark/>
          </w:tcPr>
          <w:p w14:paraId="4AD83421"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722321.5</w:t>
            </w:r>
          </w:p>
        </w:tc>
      </w:tr>
      <w:tr w:rsidR="00F75098" w:rsidRPr="00DB6F7A" w14:paraId="00E2E360" w14:textId="77777777" w:rsidTr="00096287">
        <w:trPr>
          <w:trHeight w:val="194"/>
        </w:trPr>
        <w:tc>
          <w:tcPr>
            <w:tcW w:w="1364" w:type="dxa"/>
            <w:tcBorders>
              <w:top w:val="nil"/>
              <w:left w:val="single" w:sz="4" w:space="0" w:color="auto"/>
              <w:bottom w:val="single" w:sz="4" w:space="0" w:color="auto"/>
              <w:right w:val="single" w:sz="4" w:space="0" w:color="auto"/>
            </w:tcBorders>
            <w:shd w:val="clear" w:color="auto" w:fill="auto"/>
            <w:noWrap/>
            <w:vAlign w:val="bottom"/>
            <w:hideMark/>
          </w:tcPr>
          <w:p w14:paraId="446E383B"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xml:space="preserve"> Minimum</w:t>
            </w:r>
          </w:p>
        </w:tc>
        <w:tc>
          <w:tcPr>
            <w:tcW w:w="1092" w:type="dxa"/>
            <w:tcBorders>
              <w:top w:val="nil"/>
              <w:left w:val="nil"/>
              <w:bottom w:val="single" w:sz="4" w:space="0" w:color="auto"/>
              <w:right w:val="single" w:sz="4" w:space="0" w:color="auto"/>
            </w:tcBorders>
            <w:shd w:val="clear" w:color="auto" w:fill="auto"/>
            <w:noWrap/>
            <w:vAlign w:val="bottom"/>
            <w:hideMark/>
          </w:tcPr>
          <w:p w14:paraId="536FF591"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59752.3</w:t>
            </w:r>
          </w:p>
        </w:tc>
        <w:tc>
          <w:tcPr>
            <w:tcW w:w="1282" w:type="dxa"/>
            <w:tcBorders>
              <w:top w:val="nil"/>
              <w:left w:val="nil"/>
              <w:bottom w:val="single" w:sz="4" w:space="0" w:color="auto"/>
              <w:right w:val="single" w:sz="4" w:space="0" w:color="auto"/>
            </w:tcBorders>
            <w:shd w:val="clear" w:color="auto" w:fill="auto"/>
            <w:noWrap/>
            <w:vAlign w:val="bottom"/>
            <w:hideMark/>
          </w:tcPr>
          <w:p w14:paraId="092C961E"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73300.8</w:t>
            </w:r>
          </w:p>
        </w:tc>
        <w:tc>
          <w:tcPr>
            <w:tcW w:w="1083" w:type="dxa"/>
            <w:tcBorders>
              <w:top w:val="nil"/>
              <w:left w:val="nil"/>
              <w:bottom w:val="single" w:sz="4" w:space="0" w:color="auto"/>
              <w:right w:val="single" w:sz="4" w:space="0" w:color="auto"/>
            </w:tcBorders>
            <w:shd w:val="clear" w:color="auto" w:fill="auto"/>
            <w:noWrap/>
            <w:vAlign w:val="bottom"/>
            <w:hideMark/>
          </w:tcPr>
          <w:p w14:paraId="0E87B998"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102787.8</w:t>
            </w:r>
          </w:p>
        </w:tc>
        <w:tc>
          <w:tcPr>
            <w:tcW w:w="1132" w:type="dxa"/>
            <w:tcBorders>
              <w:top w:val="nil"/>
              <w:left w:val="nil"/>
              <w:bottom w:val="single" w:sz="4" w:space="0" w:color="auto"/>
              <w:right w:val="single" w:sz="4" w:space="0" w:color="auto"/>
            </w:tcBorders>
            <w:shd w:val="clear" w:color="auto" w:fill="auto"/>
            <w:noWrap/>
            <w:vAlign w:val="bottom"/>
            <w:hideMark/>
          </w:tcPr>
          <w:p w14:paraId="07E7B4A5"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47052.6</w:t>
            </w:r>
          </w:p>
        </w:tc>
        <w:tc>
          <w:tcPr>
            <w:tcW w:w="1107" w:type="dxa"/>
            <w:tcBorders>
              <w:top w:val="nil"/>
              <w:left w:val="nil"/>
              <w:bottom w:val="single" w:sz="4" w:space="0" w:color="auto"/>
              <w:right w:val="single" w:sz="4" w:space="0" w:color="auto"/>
            </w:tcBorders>
            <w:shd w:val="clear" w:color="auto" w:fill="auto"/>
            <w:noWrap/>
            <w:vAlign w:val="bottom"/>
            <w:hideMark/>
          </w:tcPr>
          <w:p w14:paraId="5F09C8CC"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22465325</w:t>
            </w:r>
          </w:p>
        </w:tc>
        <w:tc>
          <w:tcPr>
            <w:tcW w:w="1107" w:type="dxa"/>
            <w:tcBorders>
              <w:top w:val="nil"/>
              <w:left w:val="nil"/>
              <w:bottom w:val="single" w:sz="4" w:space="0" w:color="auto"/>
              <w:right w:val="single" w:sz="4" w:space="0" w:color="auto"/>
            </w:tcBorders>
            <w:shd w:val="clear" w:color="auto" w:fill="auto"/>
            <w:noWrap/>
            <w:vAlign w:val="bottom"/>
            <w:hideMark/>
          </w:tcPr>
          <w:p w14:paraId="1569366B"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56661</w:t>
            </w:r>
          </w:p>
        </w:tc>
        <w:tc>
          <w:tcPr>
            <w:tcW w:w="1083" w:type="dxa"/>
            <w:tcBorders>
              <w:top w:val="nil"/>
              <w:left w:val="nil"/>
              <w:bottom w:val="single" w:sz="4" w:space="0" w:color="auto"/>
              <w:right w:val="single" w:sz="4" w:space="0" w:color="auto"/>
            </w:tcBorders>
            <w:shd w:val="clear" w:color="auto" w:fill="auto"/>
            <w:noWrap/>
            <w:vAlign w:val="bottom"/>
            <w:hideMark/>
          </w:tcPr>
          <w:p w14:paraId="00596777"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496487</w:t>
            </w:r>
          </w:p>
        </w:tc>
      </w:tr>
      <w:tr w:rsidR="00F75098" w:rsidRPr="00DB6F7A" w14:paraId="1CF218BF" w14:textId="77777777" w:rsidTr="00096287">
        <w:trPr>
          <w:trHeight w:val="194"/>
        </w:trPr>
        <w:tc>
          <w:tcPr>
            <w:tcW w:w="1364" w:type="dxa"/>
            <w:tcBorders>
              <w:top w:val="nil"/>
              <w:left w:val="single" w:sz="4" w:space="0" w:color="auto"/>
              <w:bottom w:val="single" w:sz="4" w:space="0" w:color="auto"/>
              <w:right w:val="single" w:sz="4" w:space="0" w:color="auto"/>
            </w:tcBorders>
            <w:shd w:val="clear" w:color="auto" w:fill="auto"/>
            <w:noWrap/>
            <w:vAlign w:val="bottom"/>
            <w:hideMark/>
          </w:tcPr>
          <w:p w14:paraId="1B39949F"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xml:space="preserve"> Std. Dev.</w:t>
            </w:r>
          </w:p>
        </w:tc>
        <w:tc>
          <w:tcPr>
            <w:tcW w:w="1092" w:type="dxa"/>
            <w:tcBorders>
              <w:top w:val="nil"/>
              <w:left w:val="nil"/>
              <w:bottom w:val="single" w:sz="4" w:space="0" w:color="auto"/>
              <w:right w:val="single" w:sz="4" w:space="0" w:color="auto"/>
            </w:tcBorders>
            <w:shd w:val="clear" w:color="auto" w:fill="auto"/>
            <w:noWrap/>
            <w:vAlign w:val="bottom"/>
            <w:hideMark/>
          </w:tcPr>
          <w:p w14:paraId="0B076933"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13406.59</w:t>
            </w:r>
          </w:p>
        </w:tc>
        <w:tc>
          <w:tcPr>
            <w:tcW w:w="1282" w:type="dxa"/>
            <w:tcBorders>
              <w:top w:val="nil"/>
              <w:left w:val="nil"/>
              <w:bottom w:val="single" w:sz="4" w:space="0" w:color="auto"/>
              <w:right w:val="single" w:sz="4" w:space="0" w:color="auto"/>
            </w:tcBorders>
            <w:shd w:val="clear" w:color="auto" w:fill="auto"/>
            <w:noWrap/>
            <w:vAlign w:val="bottom"/>
            <w:hideMark/>
          </w:tcPr>
          <w:p w14:paraId="365B82A0"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6199.474</w:t>
            </w:r>
          </w:p>
        </w:tc>
        <w:tc>
          <w:tcPr>
            <w:tcW w:w="1083" w:type="dxa"/>
            <w:tcBorders>
              <w:top w:val="nil"/>
              <w:left w:val="nil"/>
              <w:bottom w:val="single" w:sz="4" w:space="0" w:color="auto"/>
              <w:right w:val="single" w:sz="4" w:space="0" w:color="auto"/>
            </w:tcBorders>
            <w:shd w:val="clear" w:color="auto" w:fill="auto"/>
            <w:noWrap/>
            <w:vAlign w:val="bottom"/>
            <w:hideMark/>
          </w:tcPr>
          <w:p w14:paraId="6FAEF755"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10681.07</w:t>
            </w:r>
          </w:p>
        </w:tc>
        <w:tc>
          <w:tcPr>
            <w:tcW w:w="1132" w:type="dxa"/>
            <w:tcBorders>
              <w:top w:val="nil"/>
              <w:left w:val="nil"/>
              <w:bottom w:val="single" w:sz="4" w:space="0" w:color="auto"/>
              <w:right w:val="single" w:sz="4" w:space="0" w:color="auto"/>
            </w:tcBorders>
            <w:shd w:val="clear" w:color="auto" w:fill="auto"/>
            <w:noWrap/>
            <w:vAlign w:val="bottom"/>
            <w:hideMark/>
          </w:tcPr>
          <w:p w14:paraId="26537576"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9850.105</w:t>
            </w:r>
          </w:p>
        </w:tc>
        <w:tc>
          <w:tcPr>
            <w:tcW w:w="1107" w:type="dxa"/>
            <w:tcBorders>
              <w:top w:val="nil"/>
              <w:left w:val="nil"/>
              <w:bottom w:val="single" w:sz="4" w:space="0" w:color="auto"/>
              <w:right w:val="single" w:sz="4" w:space="0" w:color="auto"/>
            </w:tcBorders>
            <w:shd w:val="clear" w:color="auto" w:fill="auto"/>
            <w:noWrap/>
            <w:vAlign w:val="bottom"/>
            <w:hideMark/>
          </w:tcPr>
          <w:p w14:paraId="6ACDF3D3"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2202516</w:t>
            </w:r>
          </w:p>
        </w:tc>
        <w:tc>
          <w:tcPr>
            <w:tcW w:w="1107" w:type="dxa"/>
            <w:tcBorders>
              <w:top w:val="nil"/>
              <w:left w:val="nil"/>
              <w:bottom w:val="single" w:sz="4" w:space="0" w:color="auto"/>
              <w:right w:val="single" w:sz="4" w:space="0" w:color="auto"/>
            </w:tcBorders>
            <w:shd w:val="clear" w:color="auto" w:fill="auto"/>
            <w:noWrap/>
            <w:vAlign w:val="bottom"/>
            <w:hideMark/>
          </w:tcPr>
          <w:p w14:paraId="7A0FDC30"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7056.181</w:t>
            </w:r>
          </w:p>
        </w:tc>
        <w:tc>
          <w:tcPr>
            <w:tcW w:w="1083" w:type="dxa"/>
            <w:tcBorders>
              <w:top w:val="nil"/>
              <w:left w:val="nil"/>
              <w:bottom w:val="single" w:sz="4" w:space="0" w:color="auto"/>
              <w:right w:val="single" w:sz="4" w:space="0" w:color="auto"/>
            </w:tcBorders>
            <w:shd w:val="clear" w:color="auto" w:fill="auto"/>
            <w:noWrap/>
            <w:vAlign w:val="bottom"/>
            <w:hideMark/>
          </w:tcPr>
          <w:p w14:paraId="4D7F0510"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64271.3</w:t>
            </w:r>
          </w:p>
        </w:tc>
      </w:tr>
      <w:tr w:rsidR="00F75098" w:rsidRPr="00DB6F7A" w14:paraId="536CB55D" w14:textId="77777777" w:rsidTr="00096287">
        <w:trPr>
          <w:trHeight w:val="194"/>
        </w:trPr>
        <w:tc>
          <w:tcPr>
            <w:tcW w:w="1364" w:type="dxa"/>
            <w:tcBorders>
              <w:top w:val="nil"/>
              <w:left w:val="single" w:sz="4" w:space="0" w:color="auto"/>
              <w:bottom w:val="single" w:sz="4" w:space="0" w:color="auto"/>
              <w:right w:val="single" w:sz="4" w:space="0" w:color="auto"/>
            </w:tcBorders>
            <w:shd w:val="clear" w:color="auto" w:fill="auto"/>
            <w:noWrap/>
            <w:vAlign w:val="bottom"/>
            <w:hideMark/>
          </w:tcPr>
          <w:p w14:paraId="0EAC1A60"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xml:space="preserve"> Skewness</w:t>
            </w:r>
          </w:p>
        </w:tc>
        <w:tc>
          <w:tcPr>
            <w:tcW w:w="1092" w:type="dxa"/>
            <w:tcBorders>
              <w:top w:val="nil"/>
              <w:left w:val="nil"/>
              <w:bottom w:val="single" w:sz="4" w:space="0" w:color="auto"/>
              <w:right w:val="single" w:sz="4" w:space="0" w:color="auto"/>
            </w:tcBorders>
            <w:shd w:val="clear" w:color="auto" w:fill="auto"/>
            <w:noWrap/>
            <w:vAlign w:val="bottom"/>
            <w:hideMark/>
          </w:tcPr>
          <w:p w14:paraId="7B7C972F" w14:textId="1D61CF1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-0.770</w:t>
            </w:r>
          </w:p>
        </w:tc>
        <w:tc>
          <w:tcPr>
            <w:tcW w:w="1282" w:type="dxa"/>
            <w:tcBorders>
              <w:top w:val="nil"/>
              <w:left w:val="nil"/>
              <w:bottom w:val="single" w:sz="4" w:space="0" w:color="auto"/>
              <w:right w:val="single" w:sz="4" w:space="0" w:color="auto"/>
            </w:tcBorders>
            <w:shd w:val="clear" w:color="auto" w:fill="auto"/>
            <w:noWrap/>
            <w:vAlign w:val="bottom"/>
            <w:hideMark/>
          </w:tcPr>
          <w:p w14:paraId="75C0DCC2" w14:textId="647C901A"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-0.02</w:t>
            </w:r>
            <w:r w:rsidR="008F396F">
              <w:rPr>
                <w:rFonts w:ascii="Calibri" w:eastAsia="Times New Roman" w:hAnsi="Calibri" w:cs="Calibri"/>
                <w:color w:val="000000"/>
                <w:lang w:val="en-GB" w:eastAsia="en-GB"/>
              </w:rPr>
              <w:t>2</w:t>
            </w:r>
          </w:p>
        </w:tc>
        <w:tc>
          <w:tcPr>
            <w:tcW w:w="1083" w:type="dxa"/>
            <w:tcBorders>
              <w:top w:val="nil"/>
              <w:left w:val="nil"/>
              <w:bottom w:val="single" w:sz="4" w:space="0" w:color="auto"/>
              <w:right w:val="single" w:sz="4" w:space="0" w:color="auto"/>
            </w:tcBorders>
            <w:shd w:val="clear" w:color="auto" w:fill="auto"/>
            <w:noWrap/>
            <w:vAlign w:val="bottom"/>
            <w:hideMark/>
          </w:tcPr>
          <w:p w14:paraId="02E1F3E5" w14:textId="1EE5687A"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0.00</w:t>
            </w:r>
            <w:r w:rsidR="008F396F">
              <w:rPr>
                <w:rFonts w:ascii="Calibri" w:eastAsia="Times New Roman" w:hAnsi="Calibri" w:cs="Calibri"/>
                <w:color w:val="000000"/>
                <w:lang w:val="en-GB" w:eastAsia="en-GB"/>
              </w:rPr>
              <w:t>3</w:t>
            </w:r>
          </w:p>
        </w:tc>
        <w:tc>
          <w:tcPr>
            <w:tcW w:w="1132" w:type="dxa"/>
            <w:tcBorders>
              <w:top w:val="nil"/>
              <w:left w:val="nil"/>
              <w:bottom w:val="single" w:sz="4" w:space="0" w:color="auto"/>
              <w:right w:val="single" w:sz="4" w:space="0" w:color="auto"/>
            </w:tcBorders>
            <w:shd w:val="clear" w:color="auto" w:fill="auto"/>
            <w:noWrap/>
            <w:vAlign w:val="bottom"/>
            <w:hideMark/>
          </w:tcPr>
          <w:p w14:paraId="31563D95" w14:textId="2179B073"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-0.20</w:t>
            </w:r>
            <w:r w:rsidR="008F396F">
              <w:rPr>
                <w:rFonts w:ascii="Calibri" w:eastAsia="Times New Roman" w:hAnsi="Calibri" w:cs="Calibri"/>
                <w:color w:val="000000"/>
                <w:lang w:val="en-GB" w:eastAsia="en-GB"/>
              </w:rPr>
              <w:t>1</w:t>
            </w:r>
          </w:p>
        </w:tc>
        <w:tc>
          <w:tcPr>
            <w:tcW w:w="1107" w:type="dxa"/>
            <w:tcBorders>
              <w:top w:val="nil"/>
              <w:left w:val="nil"/>
              <w:bottom w:val="single" w:sz="4" w:space="0" w:color="auto"/>
              <w:right w:val="single" w:sz="4" w:space="0" w:color="auto"/>
            </w:tcBorders>
            <w:shd w:val="clear" w:color="auto" w:fill="auto"/>
            <w:noWrap/>
            <w:vAlign w:val="bottom"/>
            <w:hideMark/>
          </w:tcPr>
          <w:p w14:paraId="5485491C" w14:textId="54676F54"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-0.033</w:t>
            </w:r>
          </w:p>
        </w:tc>
        <w:tc>
          <w:tcPr>
            <w:tcW w:w="1107" w:type="dxa"/>
            <w:tcBorders>
              <w:top w:val="nil"/>
              <w:left w:val="nil"/>
              <w:bottom w:val="single" w:sz="4" w:space="0" w:color="auto"/>
              <w:right w:val="single" w:sz="4" w:space="0" w:color="auto"/>
            </w:tcBorders>
            <w:shd w:val="clear" w:color="auto" w:fill="auto"/>
            <w:noWrap/>
            <w:vAlign w:val="bottom"/>
            <w:hideMark/>
          </w:tcPr>
          <w:p w14:paraId="185288B2" w14:textId="2B864339"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0.054</w:t>
            </w:r>
          </w:p>
        </w:tc>
        <w:tc>
          <w:tcPr>
            <w:tcW w:w="1083" w:type="dxa"/>
            <w:tcBorders>
              <w:top w:val="nil"/>
              <w:left w:val="nil"/>
              <w:bottom w:val="single" w:sz="4" w:space="0" w:color="auto"/>
              <w:right w:val="single" w:sz="4" w:space="0" w:color="auto"/>
            </w:tcBorders>
            <w:shd w:val="clear" w:color="auto" w:fill="auto"/>
            <w:noWrap/>
            <w:vAlign w:val="bottom"/>
            <w:hideMark/>
          </w:tcPr>
          <w:p w14:paraId="3152E01E" w14:textId="36B25715"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-0.19</w:t>
            </w:r>
            <w:r w:rsidR="008F396F">
              <w:rPr>
                <w:rFonts w:ascii="Calibri" w:eastAsia="Times New Roman" w:hAnsi="Calibri" w:cs="Calibri"/>
                <w:color w:val="000000"/>
                <w:lang w:val="en-GB" w:eastAsia="en-GB"/>
              </w:rPr>
              <w:t>5</w:t>
            </w:r>
          </w:p>
        </w:tc>
      </w:tr>
      <w:tr w:rsidR="00F75098" w:rsidRPr="00DB6F7A" w14:paraId="4DAECE82" w14:textId="77777777" w:rsidTr="00096287">
        <w:trPr>
          <w:trHeight w:val="194"/>
        </w:trPr>
        <w:tc>
          <w:tcPr>
            <w:tcW w:w="1364" w:type="dxa"/>
            <w:tcBorders>
              <w:top w:val="nil"/>
              <w:left w:val="single" w:sz="4" w:space="0" w:color="auto"/>
              <w:bottom w:val="single" w:sz="4" w:space="0" w:color="auto"/>
              <w:right w:val="single" w:sz="4" w:space="0" w:color="auto"/>
            </w:tcBorders>
            <w:shd w:val="clear" w:color="auto" w:fill="auto"/>
            <w:noWrap/>
            <w:vAlign w:val="bottom"/>
            <w:hideMark/>
          </w:tcPr>
          <w:p w14:paraId="0C76A228"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xml:space="preserve"> Kurtosis</w:t>
            </w:r>
          </w:p>
        </w:tc>
        <w:tc>
          <w:tcPr>
            <w:tcW w:w="1092" w:type="dxa"/>
            <w:tcBorders>
              <w:top w:val="nil"/>
              <w:left w:val="nil"/>
              <w:bottom w:val="single" w:sz="4" w:space="0" w:color="auto"/>
              <w:right w:val="single" w:sz="4" w:space="0" w:color="auto"/>
            </w:tcBorders>
            <w:shd w:val="clear" w:color="auto" w:fill="auto"/>
            <w:noWrap/>
            <w:vAlign w:val="bottom"/>
            <w:hideMark/>
          </w:tcPr>
          <w:p w14:paraId="3E378530" w14:textId="1732965F"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2.284</w:t>
            </w:r>
          </w:p>
        </w:tc>
        <w:tc>
          <w:tcPr>
            <w:tcW w:w="1282" w:type="dxa"/>
            <w:tcBorders>
              <w:top w:val="nil"/>
              <w:left w:val="nil"/>
              <w:bottom w:val="single" w:sz="4" w:space="0" w:color="auto"/>
              <w:right w:val="single" w:sz="4" w:space="0" w:color="auto"/>
            </w:tcBorders>
            <w:shd w:val="clear" w:color="auto" w:fill="auto"/>
            <w:noWrap/>
            <w:vAlign w:val="bottom"/>
            <w:hideMark/>
          </w:tcPr>
          <w:p w14:paraId="72FD662A" w14:textId="72CA0B3B"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2.77</w:t>
            </w:r>
            <w:r w:rsidR="008F396F">
              <w:rPr>
                <w:rFonts w:ascii="Calibri" w:eastAsia="Times New Roman" w:hAnsi="Calibri" w:cs="Calibri"/>
                <w:color w:val="000000"/>
                <w:lang w:val="en-GB" w:eastAsia="en-GB"/>
              </w:rPr>
              <w:t>4</w:t>
            </w:r>
          </w:p>
        </w:tc>
        <w:tc>
          <w:tcPr>
            <w:tcW w:w="1083" w:type="dxa"/>
            <w:tcBorders>
              <w:top w:val="nil"/>
              <w:left w:val="nil"/>
              <w:bottom w:val="single" w:sz="4" w:space="0" w:color="auto"/>
              <w:right w:val="single" w:sz="4" w:space="0" w:color="auto"/>
            </w:tcBorders>
            <w:shd w:val="clear" w:color="auto" w:fill="auto"/>
            <w:noWrap/>
            <w:vAlign w:val="bottom"/>
            <w:hideMark/>
          </w:tcPr>
          <w:p w14:paraId="7E455064" w14:textId="1149DABD"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1.956</w:t>
            </w:r>
          </w:p>
        </w:tc>
        <w:tc>
          <w:tcPr>
            <w:tcW w:w="1132" w:type="dxa"/>
            <w:tcBorders>
              <w:top w:val="nil"/>
              <w:left w:val="nil"/>
              <w:bottom w:val="single" w:sz="4" w:space="0" w:color="auto"/>
              <w:right w:val="single" w:sz="4" w:space="0" w:color="auto"/>
            </w:tcBorders>
            <w:shd w:val="clear" w:color="auto" w:fill="auto"/>
            <w:noWrap/>
            <w:vAlign w:val="bottom"/>
            <w:hideMark/>
          </w:tcPr>
          <w:p w14:paraId="442A0556" w14:textId="3CD67590"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1.877</w:t>
            </w:r>
          </w:p>
        </w:tc>
        <w:tc>
          <w:tcPr>
            <w:tcW w:w="1107" w:type="dxa"/>
            <w:tcBorders>
              <w:top w:val="nil"/>
              <w:left w:val="nil"/>
              <w:bottom w:val="single" w:sz="4" w:space="0" w:color="auto"/>
              <w:right w:val="single" w:sz="4" w:space="0" w:color="auto"/>
            </w:tcBorders>
            <w:shd w:val="clear" w:color="auto" w:fill="auto"/>
            <w:noWrap/>
            <w:vAlign w:val="bottom"/>
            <w:hideMark/>
          </w:tcPr>
          <w:p w14:paraId="1B1B9B92" w14:textId="14981055"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2.394</w:t>
            </w:r>
          </w:p>
        </w:tc>
        <w:tc>
          <w:tcPr>
            <w:tcW w:w="1107" w:type="dxa"/>
            <w:tcBorders>
              <w:top w:val="nil"/>
              <w:left w:val="nil"/>
              <w:bottom w:val="single" w:sz="4" w:space="0" w:color="auto"/>
              <w:right w:val="single" w:sz="4" w:space="0" w:color="auto"/>
            </w:tcBorders>
            <w:shd w:val="clear" w:color="auto" w:fill="auto"/>
            <w:noWrap/>
            <w:vAlign w:val="bottom"/>
            <w:hideMark/>
          </w:tcPr>
          <w:p w14:paraId="0D2BF607" w14:textId="2BC3C373"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1.8</w:t>
            </w:r>
            <w:r w:rsidR="008F396F">
              <w:rPr>
                <w:rFonts w:ascii="Calibri" w:eastAsia="Times New Roman" w:hAnsi="Calibri" w:cs="Calibri"/>
                <w:color w:val="000000"/>
                <w:lang w:val="en-GB" w:eastAsia="en-GB"/>
              </w:rPr>
              <w:t>70</w:t>
            </w:r>
          </w:p>
        </w:tc>
        <w:tc>
          <w:tcPr>
            <w:tcW w:w="1083" w:type="dxa"/>
            <w:tcBorders>
              <w:top w:val="nil"/>
              <w:left w:val="nil"/>
              <w:bottom w:val="single" w:sz="4" w:space="0" w:color="auto"/>
              <w:right w:val="single" w:sz="4" w:space="0" w:color="auto"/>
            </w:tcBorders>
            <w:shd w:val="clear" w:color="auto" w:fill="auto"/>
            <w:noWrap/>
            <w:vAlign w:val="bottom"/>
            <w:hideMark/>
          </w:tcPr>
          <w:p w14:paraId="6A8A10AE" w14:textId="5EA84F7F"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1.960</w:t>
            </w:r>
          </w:p>
        </w:tc>
      </w:tr>
      <w:tr w:rsidR="00F75098" w:rsidRPr="00DB6F7A" w14:paraId="442D2E53" w14:textId="77777777" w:rsidTr="00096287">
        <w:trPr>
          <w:trHeight w:val="194"/>
        </w:trPr>
        <w:tc>
          <w:tcPr>
            <w:tcW w:w="1364" w:type="dxa"/>
            <w:tcBorders>
              <w:top w:val="nil"/>
              <w:left w:val="single" w:sz="4" w:space="0" w:color="auto"/>
              <w:bottom w:val="single" w:sz="4" w:space="0" w:color="auto"/>
              <w:right w:val="single" w:sz="4" w:space="0" w:color="auto"/>
            </w:tcBorders>
            <w:shd w:val="clear" w:color="auto" w:fill="auto"/>
            <w:noWrap/>
            <w:vAlign w:val="bottom"/>
            <w:hideMark/>
          </w:tcPr>
          <w:p w14:paraId="46352F43"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0162F59C"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282" w:type="dxa"/>
            <w:tcBorders>
              <w:top w:val="nil"/>
              <w:left w:val="nil"/>
              <w:bottom w:val="single" w:sz="4" w:space="0" w:color="auto"/>
              <w:right w:val="single" w:sz="4" w:space="0" w:color="auto"/>
            </w:tcBorders>
            <w:shd w:val="clear" w:color="auto" w:fill="auto"/>
            <w:noWrap/>
            <w:vAlign w:val="bottom"/>
            <w:hideMark/>
          </w:tcPr>
          <w:p w14:paraId="4C751419"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083" w:type="dxa"/>
            <w:tcBorders>
              <w:top w:val="nil"/>
              <w:left w:val="nil"/>
              <w:bottom w:val="single" w:sz="4" w:space="0" w:color="auto"/>
              <w:right w:val="single" w:sz="4" w:space="0" w:color="auto"/>
            </w:tcBorders>
            <w:shd w:val="clear" w:color="auto" w:fill="auto"/>
            <w:noWrap/>
            <w:vAlign w:val="bottom"/>
            <w:hideMark/>
          </w:tcPr>
          <w:p w14:paraId="4290E64A"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132" w:type="dxa"/>
            <w:tcBorders>
              <w:top w:val="nil"/>
              <w:left w:val="nil"/>
              <w:bottom w:val="single" w:sz="4" w:space="0" w:color="auto"/>
              <w:right w:val="single" w:sz="4" w:space="0" w:color="auto"/>
            </w:tcBorders>
            <w:shd w:val="clear" w:color="auto" w:fill="auto"/>
            <w:noWrap/>
            <w:vAlign w:val="bottom"/>
            <w:hideMark/>
          </w:tcPr>
          <w:p w14:paraId="4BDF76B4"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107" w:type="dxa"/>
            <w:tcBorders>
              <w:top w:val="nil"/>
              <w:left w:val="nil"/>
              <w:bottom w:val="single" w:sz="4" w:space="0" w:color="auto"/>
              <w:right w:val="single" w:sz="4" w:space="0" w:color="auto"/>
            </w:tcBorders>
            <w:shd w:val="clear" w:color="auto" w:fill="auto"/>
            <w:noWrap/>
            <w:vAlign w:val="bottom"/>
            <w:hideMark/>
          </w:tcPr>
          <w:p w14:paraId="56D9BEB7"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107" w:type="dxa"/>
            <w:tcBorders>
              <w:top w:val="nil"/>
              <w:left w:val="nil"/>
              <w:bottom w:val="single" w:sz="4" w:space="0" w:color="auto"/>
              <w:right w:val="single" w:sz="4" w:space="0" w:color="auto"/>
            </w:tcBorders>
            <w:shd w:val="clear" w:color="auto" w:fill="auto"/>
            <w:noWrap/>
            <w:vAlign w:val="bottom"/>
            <w:hideMark/>
          </w:tcPr>
          <w:p w14:paraId="7A765ED3"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083" w:type="dxa"/>
            <w:tcBorders>
              <w:top w:val="nil"/>
              <w:left w:val="nil"/>
              <w:bottom w:val="single" w:sz="4" w:space="0" w:color="auto"/>
              <w:right w:val="single" w:sz="4" w:space="0" w:color="auto"/>
            </w:tcBorders>
            <w:shd w:val="clear" w:color="auto" w:fill="auto"/>
            <w:noWrap/>
            <w:vAlign w:val="bottom"/>
            <w:hideMark/>
          </w:tcPr>
          <w:p w14:paraId="2A20B785"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r>
      <w:tr w:rsidR="00F75098" w:rsidRPr="00DB6F7A" w14:paraId="101FD30C" w14:textId="77777777" w:rsidTr="00096287">
        <w:trPr>
          <w:trHeight w:val="194"/>
        </w:trPr>
        <w:tc>
          <w:tcPr>
            <w:tcW w:w="1364" w:type="dxa"/>
            <w:tcBorders>
              <w:top w:val="nil"/>
              <w:left w:val="single" w:sz="4" w:space="0" w:color="auto"/>
              <w:bottom w:val="single" w:sz="4" w:space="0" w:color="auto"/>
              <w:right w:val="single" w:sz="4" w:space="0" w:color="auto"/>
            </w:tcBorders>
            <w:shd w:val="clear" w:color="auto" w:fill="auto"/>
            <w:noWrap/>
            <w:vAlign w:val="bottom"/>
            <w:hideMark/>
          </w:tcPr>
          <w:p w14:paraId="14570B29"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xml:space="preserve"> Jarque-Bera</w:t>
            </w:r>
          </w:p>
        </w:tc>
        <w:tc>
          <w:tcPr>
            <w:tcW w:w="1092" w:type="dxa"/>
            <w:tcBorders>
              <w:top w:val="nil"/>
              <w:left w:val="nil"/>
              <w:bottom w:val="single" w:sz="4" w:space="0" w:color="auto"/>
              <w:right w:val="single" w:sz="4" w:space="0" w:color="auto"/>
            </w:tcBorders>
            <w:shd w:val="clear" w:color="auto" w:fill="auto"/>
            <w:noWrap/>
            <w:vAlign w:val="bottom"/>
            <w:hideMark/>
          </w:tcPr>
          <w:p w14:paraId="6A53D1AC" w14:textId="711B845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11.058</w:t>
            </w:r>
          </w:p>
        </w:tc>
        <w:tc>
          <w:tcPr>
            <w:tcW w:w="1282" w:type="dxa"/>
            <w:tcBorders>
              <w:top w:val="nil"/>
              <w:left w:val="nil"/>
              <w:bottom w:val="single" w:sz="4" w:space="0" w:color="auto"/>
              <w:right w:val="single" w:sz="4" w:space="0" w:color="auto"/>
            </w:tcBorders>
            <w:shd w:val="clear" w:color="auto" w:fill="auto"/>
            <w:noWrap/>
            <w:vAlign w:val="bottom"/>
            <w:hideMark/>
          </w:tcPr>
          <w:p w14:paraId="2C9FB304" w14:textId="0B23E35A"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0.203</w:t>
            </w:r>
          </w:p>
        </w:tc>
        <w:tc>
          <w:tcPr>
            <w:tcW w:w="1083" w:type="dxa"/>
            <w:tcBorders>
              <w:top w:val="nil"/>
              <w:left w:val="nil"/>
              <w:bottom w:val="single" w:sz="4" w:space="0" w:color="auto"/>
              <w:right w:val="single" w:sz="4" w:space="0" w:color="auto"/>
            </w:tcBorders>
            <w:shd w:val="clear" w:color="auto" w:fill="auto"/>
            <w:noWrap/>
            <w:vAlign w:val="bottom"/>
            <w:hideMark/>
          </w:tcPr>
          <w:p w14:paraId="05A359C7" w14:textId="5FF14C38"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4.17</w:t>
            </w:r>
            <w:r w:rsidR="008F396F">
              <w:rPr>
                <w:rFonts w:ascii="Calibri" w:eastAsia="Times New Roman" w:hAnsi="Calibri" w:cs="Calibri"/>
                <w:color w:val="000000"/>
                <w:lang w:val="en-GB" w:eastAsia="en-GB"/>
              </w:rPr>
              <w:t>8</w:t>
            </w:r>
          </w:p>
        </w:tc>
        <w:tc>
          <w:tcPr>
            <w:tcW w:w="1132" w:type="dxa"/>
            <w:tcBorders>
              <w:top w:val="nil"/>
              <w:left w:val="nil"/>
              <w:bottom w:val="single" w:sz="4" w:space="0" w:color="auto"/>
              <w:right w:val="single" w:sz="4" w:space="0" w:color="auto"/>
            </w:tcBorders>
            <w:shd w:val="clear" w:color="auto" w:fill="auto"/>
            <w:noWrap/>
            <w:vAlign w:val="bottom"/>
            <w:hideMark/>
          </w:tcPr>
          <w:p w14:paraId="66B7D90B" w14:textId="755CAD3C"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5.45</w:t>
            </w:r>
            <w:r w:rsidR="008F396F">
              <w:rPr>
                <w:rFonts w:ascii="Calibri" w:eastAsia="Times New Roman" w:hAnsi="Calibri" w:cs="Calibri"/>
                <w:color w:val="000000"/>
                <w:lang w:val="en-GB" w:eastAsia="en-GB"/>
              </w:rPr>
              <w:t>1</w:t>
            </w:r>
          </w:p>
        </w:tc>
        <w:tc>
          <w:tcPr>
            <w:tcW w:w="1107" w:type="dxa"/>
            <w:tcBorders>
              <w:top w:val="nil"/>
              <w:left w:val="nil"/>
              <w:bottom w:val="single" w:sz="4" w:space="0" w:color="auto"/>
              <w:right w:val="single" w:sz="4" w:space="0" w:color="auto"/>
            </w:tcBorders>
            <w:shd w:val="clear" w:color="auto" w:fill="auto"/>
            <w:noWrap/>
            <w:vAlign w:val="bottom"/>
            <w:hideMark/>
          </w:tcPr>
          <w:p w14:paraId="360E6C37"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1.052411</w:t>
            </w:r>
          </w:p>
        </w:tc>
        <w:tc>
          <w:tcPr>
            <w:tcW w:w="1107" w:type="dxa"/>
            <w:tcBorders>
              <w:top w:val="nil"/>
              <w:left w:val="nil"/>
              <w:bottom w:val="single" w:sz="4" w:space="0" w:color="auto"/>
              <w:right w:val="single" w:sz="4" w:space="0" w:color="auto"/>
            </w:tcBorders>
            <w:shd w:val="clear" w:color="auto" w:fill="auto"/>
            <w:noWrap/>
            <w:vAlign w:val="bottom"/>
            <w:hideMark/>
          </w:tcPr>
          <w:p w14:paraId="625A3F10" w14:textId="1D9A01F5"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4.943</w:t>
            </w:r>
          </w:p>
        </w:tc>
        <w:tc>
          <w:tcPr>
            <w:tcW w:w="1083" w:type="dxa"/>
            <w:tcBorders>
              <w:top w:val="nil"/>
              <w:left w:val="nil"/>
              <w:bottom w:val="single" w:sz="4" w:space="0" w:color="auto"/>
              <w:right w:val="single" w:sz="4" w:space="0" w:color="auto"/>
            </w:tcBorders>
            <w:shd w:val="clear" w:color="auto" w:fill="auto"/>
            <w:noWrap/>
            <w:vAlign w:val="bottom"/>
            <w:hideMark/>
          </w:tcPr>
          <w:p w14:paraId="3B3234C9" w14:textId="115A4B9A"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4.727</w:t>
            </w:r>
          </w:p>
        </w:tc>
      </w:tr>
      <w:tr w:rsidR="00F75098" w:rsidRPr="00DB6F7A" w14:paraId="3DCA29D2" w14:textId="77777777" w:rsidTr="00096287">
        <w:trPr>
          <w:trHeight w:val="194"/>
        </w:trPr>
        <w:tc>
          <w:tcPr>
            <w:tcW w:w="1364" w:type="dxa"/>
            <w:tcBorders>
              <w:top w:val="nil"/>
              <w:left w:val="single" w:sz="4" w:space="0" w:color="auto"/>
              <w:bottom w:val="single" w:sz="4" w:space="0" w:color="auto"/>
              <w:right w:val="single" w:sz="4" w:space="0" w:color="auto"/>
            </w:tcBorders>
            <w:shd w:val="clear" w:color="auto" w:fill="auto"/>
            <w:noWrap/>
            <w:vAlign w:val="bottom"/>
            <w:hideMark/>
          </w:tcPr>
          <w:p w14:paraId="2FF02689"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xml:space="preserve"> Probability</w:t>
            </w:r>
          </w:p>
        </w:tc>
        <w:tc>
          <w:tcPr>
            <w:tcW w:w="1092" w:type="dxa"/>
            <w:tcBorders>
              <w:top w:val="nil"/>
              <w:left w:val="nil"/>
              <w:bottom w:val="single" w:sz="4" w:space="0" w:color="auto"/>
              <w:right w:val="single" w:sz="4" w:space="0" w:color="auto"/>
            </w:tcBorders>
            <w:shd w:val="clear" w:color="auto" w:fill="auto"/>
            <w:noWrap/>
            <w:vAlign w:val="bottom"/>
            <w:hideMark/>
          </w:tcPr>
          <w:p w14:paraId="2B0331EF" w14:textId="5E2DAFB6"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0.00</w:t>
            </w:r>
            <w:r w:rsidR="008F396F">
              <w:rPr>
                <w:rFonts w:ascii="Calibri" w:eastAsia="Times New Roman" w:hAnsi="Calibri" w:cs="Calibri"/>
                <w:color w:val="000000"/>
                <w:lang w:val="en-GB" w:eastAsia="en-GB"/>
              </w:rPr>
              <w:t>4</w:t>
            </w:r>
          </w:p>
        </w:tc>
        <w:tc>
          <w:tcPr>
            <w:tcW w:w="1282" w:type="dxa"/>
            <w:tcBorders>
              <w:top w:val="nil"/>
              <w:left w:val="nil"/>
              <w:bottom w:val="single" w:sz="4" w:space="0" w:color="auto"/>
              <w:right w:val="single" w:sz="4" w:space="0" w:color="auto"/>
            </w:tcBorders>
            <w:shd w:val="clear" w:color="auto" w:fill="auto"/>
            <w:noWrap/>
            <w:vAlign w:val="bottom"/>
            <w:hideMark/>
          </w:tcPr>
          <w:p w14:paraId="349F6156" w14:textId="27DF3583"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0.903</w:t>
            </w:r>
          </w:p>
        </w:tc>
        <w:tc>
          <w:tcPr>
            <w:tcW w:w="1083" w:type="dxa"/>
            <w:tcBorders>
              <w:top w:val="nil"/>
              <w:left w:val="nil"/>
              <w:bottom w:val="single" w:sz="4" w:space="0" w:color="auto"/>
              <w:right w:val="single" w:sz="4" w:space="0" w:color="auto"/>
            </w:tcBorders>
            <w:shd w:val="clear" w:color="auto" w:fill="auto"/>
            <w:noWrap/>
            <w:vAlign w:val="bottom"/>
            <w:hideMark/>
          </w:tcPr>
          <w:p w14:paraId="6165ECF8" w14:textId="40D52B73"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0.12</w:t>
            </w:r>
            <w:r w:rsidR="008F396F">
              <w:rPr>
                <w:rFonts w:ascii="Calibri" w:eastAsia="Times New Roman" w:hAnsi="Calibri" w:cs="Calibri"/>
                <w:color w:val="000000"/>
                <w:lang w:val="en-GB" w:eastAsia="en-GB"/>
              </w:rPr>
              <w:t>4</w:t>
            </w:r>
          </w:p>
        </w:tc>
        <w:tc>
          <w:tcPr>
            <w:tcW w:w="1132" w:type="dxa"/>
            <w:tcBorders>
              <w:top w:val="nil"/>
              <w:left w:val="nil"/>
              <w:bottom w:val="single" w:sz="4" w:space="0" w:color="auto"/>
              <w:right w:val="single" w:sz="4" w:space="0" w:color="auto"/>
            </w:tcBorders>
            <w:shd w:val="clear" w:color="auto" w:fill="auto"/>
            <w:noWrap/>
            <w:vAlign w:val="bottom"/>
            <w:hideMark/>
          </w:tcPr>
          <w:p w14:paraId="1E40BFEF" w14:textId="5CAADBD4"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0.06</w:t>
            </w:r>
            <w:r w:rsidR="008F396F">
              <w:rPr>
                <w:rFonts w:ascii="Calibri" w:eastAsia="Times New Roman" w:hAnsi="Calibri" w:cs="Calibri"/>
                <w:color w:val="000000"/>
                <w:lang w:val="en-GB" w:eastAsia="en-GB"/>
              </w:rPr>
              <w:t>6</w:t>
            </w:r>
          </w:p>
        </w:tc>
        <w:tc>
          <w:tcPr>
            <w:tcW w:w="1107" w:type="dxa"/>
            <w:tcBorders>
              <w:top w:val="nil"/>
              <w:left w:val="nil"/>
              <w:bottom w:val="single" w:sz="4" w:space="0" w:color="auto"/>
              <w:right w:val="single" w:sz="4" w:space="0" w:color="auto"/>
            </w:tcBorders>
            <w:shd w:val="clear" w:color="auto" w:fill="auto"/>
            <w:noWrap/>
            <w:vAlign w:val="bottom"/>
            <w:hideMark/>
          </w:tcPr>
          <w:p w14:paraId="3510057F"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0.590843</w:t>
            </w:r>
          </w:p>
        </w:tc>
        <w:tc>
          <w:tcPr>
            <w:tcW w:w="1107" w:type="dxa"/>
            <w:tcBorders>
              <w:top w:val="nil"/>
              <w:left w:val="nil"/>
              <w:bottom w:val="single" w:sz="4" w:space="0" w:color="auto"/>
              <w:right w:val="single" w:sz="4" w:space="0" w:color="auto"/>
            </w:tcBorders>
            <w:shd w:val="clear" w:color="auto" w:fill="auto"/>
            <w:noWrap/>
            <w:vAlign w:val="bottom"/>
            <w:hideMark/>
          </w:tcPr>
          <w:p w14:paraId="42AFB287" w14:textId="4D86918F"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0.084</w:t>
            </w:r>
          </w:p>
        </w:tc>
        <w:tc>
          <w:tcPr>
            <w:tcW w:w="1083" w:type="dxa"/>
            <w:tcBorders>
              <w:top w:val="nil"/>
              <w:left w:val="nil"/>
              <w:bottom w:val="single" w:sz="4" w:space="0" w:color="auto"/>
              <w:right w:val="single" w:sz="4" w:space="0" w:color="auto"/>
            </w:tcBorders>
            <w:shd w:val="clear" w:color="auto" w:fill="auto"/>
            <w:noWrap/>
            <w:vAlign w:val="bottom"/>
            <w:hideMark/>
          </w:tcPr>
          <w:p w14:paraId="6960B344" w14:textId="050F8D3B"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0.094</w:t>
            </w:r>
          </w:p>
        </w:tc>
      </w:tr>
      <w:tr w:rsidR="00F75098" w:rsidRPr="00DB6F7A" w14:paraId="129B3795" w14:textId="77777777" w:rsidTr="00096287">
        <w:trPr>
          <w:trHeight w:val="194"/>
        </w:trPr>
        <w:tc>
          <w:tcPr>
            <w:tcW w:w="1364" w:type="dxa"/>
            <w:tcBorders>
              <w:top w:val="nil"/>
              <w:left w:val="single" w:sz="4" w:space="0" w:color="auto"/>
              <w:bottom w:val="single" w:sz="4" w:space="0" w:color="auto"/>
              <w:right w:val="single" w:sz="4" w:space="0" w:color="auto"/>
            </w:tcBorders>
            <w:shd w:val="clear" w:color="auto" w:fill="auto"/>
            <w:noWrap/>
            <w:vAlign w:val="bottom"/>
            <w:hideMark/>
          </w:tcPr>
          <w:p w14:paraId="0FB32945"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6742F695"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282" w:type="dxa"/>
            <w:tcBorders>
              <w:top w:val="nil"/>
              <w:left w:val="nil"/>
              <w:bottom w:val="single" w:sz="4" w:space="0" w:color="auto"/>
              <w:right w:val="single" w:sz="4" w:space="0" w:color="auto"/>
            </w:tcBorders>
            <w:shd w:val="clear" w:color="auto" w:fill="auto"/>
            <w:noWrap/>
            <w:vAlign w:val="bottom"/>
            <w:hideMark/>
          </w:tcPr>
          <w:p w14:paraId="0EFAAD04"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083" w:type="dxa"/>
            <w:tcBorders>
              <w:top w:val="nil"/>
              <w:left w:val="nil"/>
              <w:bottom w:val="single" w:sz="4" w:space="0" w:color="auto"/>
              <w:right w:val="single" w:sz="4" w:space="0" w:color="auto"/>
            </w:tcBorders>
            <w:shd w:val="clear" w:color="auto" w:fill="auto"/>
            <w:noWrap/>
            <w:vAlign w:val="bottom"/>
            <w:hideMark/>
          </w:tcPr>
          <w:p w14:paraId="41CC21BC"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132" w:type="dxa"/>
            <w:tcBorders>
              <w:top w:val="nil"/>
              <w:left w:val="nil"/>
              <w:bottom w:val="single" w:sz="4" w:space="0" w:color="auto"/>
              <w:right w:val="single" w:sz="4" w:space="0" w:color="auto"/>
            </w:tcBorders>
            <w:shd w:val="clear" w:color="auto" w:fill="auto"/>
            <w:noWrap/>
            <w:vAlign w:val="bottom"/>
            <w:hideMark/>
          </w:tcPr>
          <w:p w14:paraId="4F36F460"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107" w:type="dxa"/>
            <w:tcBorders>
              <w:top w:val="nil"/>
              <w:left w:val="nil"/>
              <w:bottom w:val="single" w:sz="4" w:space="0" w:color="auto"/>
              <w:right w:val="single" w:sz="4" w:space="0" w:color="auto"/>
            </w:tcBorders>
            <w:shd w:val="clear" w:color="auto" w:fill="auto"/>
            <w:noWrap/>
            <w:vAlign w:val="bottom"/>
            <w:hideMark/>
          </w:tcPr>
          <w:p w14:paraId="0A49E0DE"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107" w:type="dxa"/>
            <w:tcBorders>
              <w:top w:val="nil"/>
              <w:left w:val="nil"/>
              <w:bottom w:val="single" w:sz="4" w:space="0" w:color="auto"/>
              <w:right w:val="single" w:sz="4" w:space="0" w:color="auto"/>
            </w:tcBorders>
            <w:shd w:val="clear" w:color="auto" w:fill="auto"/>
            <w:noWrap/>
            <w:vAlign w:val="bottom"/>
            <w:hideMark/>
          </w:tcPr>
          <w:p w14:paraId="4F445DE5"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083" w:type="dxa"/>
            <w:tcBorders>
              <w:top w:val="nil"/>
              <w:left w:val="nil"/>
              <w:bottom w:val="single" w:sz="4" w:space="0" w:color="auto"/>
              <w:right w:val="single" w:sz="4" w:space="0" w:color="auto"/>
            </w:tcBorders>
            <w:shd w:val="clear" w:color="auto" w:fill="auto"/>
            <w:noWrap/>
            <w:vAlign w:val="bottom"/>
            <w:hideMark/>
          </w:tcPr>
          <w:p w14:paraId="0CD2EB58"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r>
      <w:tr w:rsidR="00F75098" w:rsidRPr="00DB6F7A" w14:paraId="3648A568" w14:textId="77777777" w:rsidTr="00096287">
        <w:trPr>
          <w:trHeight w:val="194"/>
        </w:trPr>
        <w:tc>
          <w:tcPr>
            <w:tcW w:w="1364" w:type="dxa"/>
            <w:tcBorders>
              <w:top w:val="nil"/>
              <w:left w:val="single" w:sz="4" w:space="0" w:color="auto"/>
              <w:bottom w:val="single" w:sz="4" w:space="0" w:color="auto"/>
              <w:right w:val="single" w:sz="4" w:space="0" w:color="auto"/>
            </w:tcBorders>
            <w:shd w:val="clear" w:color="auto" w:fill="auto"/>
            <w:noWrap/>
            <w:vAlign w:val="bottom"/>
            <w:hideMark/>
          </w:tcPr>
          <w:p w14:paraId="67B013D6"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xml:space="preserve"> Sum</w:t>
            </w:r>
          </w:p>
        </w:tc>
        <w:tc>
          <w:tcPr>
            <w:tcW w:w="1092" w:type="dxa"/>
            <w:tcBorders>
              <w:top w:val="nil"/>
              <w:left w:val="nil"/>
              <w:bottom w:val="single" w:sz="4" w:space="0" w:color="auto"/>
              <w:right w:val="single" w:sz="4" w:space="0" w:color="auto"/>
            </w:tcBorders>
            <w:shd w:val="clear" w:color="auto" w:fill="auto"/>
            <w:noWrap/>
            <w:vAlign w:val="bottom"/>
            <w:hideMark/>
          </w:tcPr>
          <w:p w14:paraId="68F5E83C"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7995037</w:t>
            </w:r>
          </w:p>
        </w:tc>
        <w:tc>
          <w:tcPr>
            <w:tcW w:w="1282" w:type="dxa"/>
            <w:tcBorders>
              <w:top w:val="nil"/>
              <w:left w:val="nil"/>
              <w:bottom w:val="single" w:sz="4" w:space="0" w:color="auto"/>
              <w:right w:val="single" w:sz="4" w:space="0" w:color="auto"/>
            </w:tcBorders>
            <w:shd w:val="clear" w:color="auto" w:fill="auto"/>
            <w:noWrap/>
            <w:vAlign w:val="bottom"/>
            <w:hideMark/>
          </w:tcPr>
          <w:p w14:paraId="3CDB2A6D"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8564821</w:t>
            </w:r>
          </w:p>
        </w:tc>
        <w:tc>
          <w:tcPr>
            <w:tcW w:w="1083" w:type="dxa"/>
            <w:tcBorders>
              <w:top w:val="nil"/>
              <w:left w:val="nil"/>
              <w:bottom w:val="single" w:sz="4" w:space="0" w:color="auto"/>
              <w:right w:val="single" w:sz="4" w:space="0" w:color="auto"/>
            </w:tcBorders>
            <w:shd w:val="clear" w:color="auto" w:fill="auto"/>
            <w:noWrap/>
            <w:vAlign w:val="bottom"/>
            <w:hideMark/>
          </w:tcPr>
          <w:p w14:paraId="3EF76F44"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11177133</w:t>
            </w:r>
          </w:p>
        </w:tc>
        <w:tc>
          <w:tcPr>
            <w:tcW w:w="1132" w:type="dxa"/>
            <w:tcBorders>
              <w:top w:val="nil"/>
              <w:left w:val="nil"/>
              <w:bottom w:val="single" w:sz="4" w:space="0" w:color="auto"/>
              <w:right w:val="single" w:sz="4" w:space="0" w:color="auto"/>
            </w:tcBorders>
            <w:shd w:val="clear" w:color="auto" w:fill="auto"/>
            <w:noWrap/>
            <w:vAlign w:val="bottom"/>
            <w:hideMark/>
          </w:tcPr>
          <w:p w14:paraId="35744B1C"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6593823</w:t>
            </w:r>
          </w:p>
        </w:tc>
        <w:tc>
          <w:tcPr>
            <w:tcW w:w="1107" w:type="dxa"/>
            <w:tcBorders>
              <w:top w:val="nil"/>
              <w:left w:val="nil"/>
              <w:bottom w:val="single" w:sz="4" w:space="0" w:color="auto"/>
              <w:right w:val="single" w:sz="4" w:space="0" w:color="auto"/>
            </w:tcBorders>
            <w:shd w:val="clear" w:color="auto" w:fill="auto"/>
            <w:noWrap/>
            <w:vAlign w:val="bottom"/>
            <w:hideMark/>
          </w:tcPr>
          <w:p w14:paraId="49724EFB"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1.81E+09</w:t>
            </w:r>
          </w:p>
        </w:tc>
        <w:tc>
          <w:tcPr>
            <w:tcW w:w="1107" w:type="dxa"/>
            <w:tcBorders>
              <w:top w:val="nil"/>
              <w:left w:val="nil"/>
              <w:bottom w:val="single" w:sz="4" w:space="0" w:color="auto"/>
              <w:right w:val="single" w:sz="4" w:space="0" w:color="auto"/>
            </w:tcBorders>
            <w:shd w:val="clear" w:color="auto" w:fill="auto"/>
            <w:noWrap/>
            <w:vAlign w:val="bottom"/>
            <w:hideMark/>
          </w:tcPr>
          <w:p w14:paraId="414CDCE8"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6301675</w:t>
            </w:r>
          </w:p>
        </w:tc>
        <w:tc>
          <w:tcPr>
            <w:tcW w:w="1083" w:type="dxa"/>
            <w:tcBorders>
              <w:top w:val="nil"/>
              <w:left w:val="nil"/>
              <w:bottom w:val="single" w:sz="4" w:space="0" w:color="auto"/>
              <w:right w:val="single" w:sz="4" w:space="0" w:color="auto"/>
            </w:tcBorders>
            <w:shd w:val="clear" w:color="auto" w:fill="auto"/>
            <w:noWrap/>
            <w:vAlign w:val="bottom"/>
            <w:hideMark/>
          </w:tcPr>
          <w:p w14:paraId="3CC3956F"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57228650</w:t>
            </w:r>
          </w:p>
        </w:tc>
      </w:tr>
      <w:tr w:rsidR="00F75098" w:rsidRPr="00DB6F7A" w14:paraId="2FA99E39" w14:textId="77777777" w:rsidTr="00096287">
        <w:trPr>
          <w:trHeight w:val="194"/>
        </w:trPr>
        <w:tc>
          <w:tcPr>
            <w:tcW w:w="1364" w:type="dxa"/>
            <w:tcBorders>
              <w:top w:val="nil"/>
              <w:left w:val="single" w:sz="4" w:space="0" w:color="auto"/>
              <w:bottom w:val="single" w:sz="4" w:space="0" w:color="auto"/>
              <w:right w:val="single" w:sz="4" w:space="0" w:color="auto"/>
            </w:tcBorders>
            <w:shd w:val="clear" w:color="auto" w:fill="auto"/>
            <w:noWrap/>
            <w:vAlign w:val="bottom"/>
            <w:hideMark/>
          </w:tcPr>
          <w:p w14:paraId="1BFE57B5"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xml:space="preserve"> Sum Sq. Dev.</w:t>
            </w:r>
          </w:p>
        </w:tc>
        <w:tc>
          <w:tcPr>
            <w:tcW w:w="1092" w:type="dxa"/>
            <w:tcBorders>
              <w:top w:val="nil"/>
              <w:left w:val="nil"/>
              <w:bottom w:val="single" w:sz="4" w:space="0" w:color="auto"/>
              <w:right w:val="single" w:sz="4" w:space="0" w:color="auto"/>
            </w:tcBorders>
            <w:shd w:val="clear" w:color="auto" w:fill="auto"/>
            <w:noWrap/>
            <w:vAlign w:val="bottom"/>
            <w:hideMark/>
          </w:tcPr>
          <w:p w14:paraId="077774D4"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1.64E+10</w:t>
            </w:r>
          </w:p>
        </w:tc>
        <w:tc>
          <w:tcPr>
            <w:tcW w:w="1282" w:type="dxa"/>
            <w:tcBorders>
              <w:top w:val="nil"/>
              <w:left w:val="nil"/>
              <w:bottom w:val="single" w:sz="4" w:space="0" w:color="auto"/>
              <w:right w:val="single" w:sz="4" w:space="0" w:color="auto"/>
            </w:tcBorders>
            <w:shd w:val="clear" w:color="auto" w:fill="auto"/>
            <w:noWrap/>
            <w:vAlign w:val="bottom"/>
            <w:hideMark/>
          </w:tcPr>
          <w:p w14:paraId="0CC993BA"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3.50E+09</w:t>
            </w:r>
          </w:p>
        </w:tc>
        <w:tc>
          <w:tcPr>
            <w:tcW w:w="1083" w:type="dxa"/>
            <w:tcBorders>
              <w:top w:val="nil"/>
              <w:left w:val="nil"/>
              <w:bottom w:val="single" w:sz="4" w:space="0" w:color="auto"/>
              <w:right w:val="single" w:sz="4" w:space="0" w:color="auto"/>
            </w:tcBorders>
            <w:shd w:val="clear" w:color="auto" w:fill="auto"/>
            <w:noWrap/>
            <w:vAlign w:val="bottom"/>
            <w:hideMark/>
          </w:tcPr>
          <w:p w14:paraId="2C350E94"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1.04E+10</w:t>
            </w:r>
          </w:p>
        </w:tc>
        <w:tc>
          <w:tcPr>
            <w:tcW w:w="1132" w:type="dxa"/>
            <w:tcBorders>
              <w:top w:val="nil"/>
              <w:left w:val="nil"/>
              <w:bottom w:val="single" w:sz="4" w:space="0" w:color="auto"/>
              <w:right w:val="single" w:sz="4" w:space="0" w:color="auto"/>
            </w:tcBorders>
            <w:shd w:val="clear" w:color="auto" w:fill="auto"/>
            <w:noWrap/>
            <w:vAlign w:val="bottom"/>
            <w:hideMark/>
          </w:tcPr>
          <w:p w14:paraId="0A7D0C99"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8.83E+09</w:t>
            </w:r>
          </w:p>
        </w:tc>
        <w:tc>
          <w:tcPr>
            <w:tcW w:w="1107" w:type="dxa"/>
            <w:tcBorders>
              <w:top w:val="nil"/>
              <w:left w:val="nil"/>
              <w:bottom w:val="single" w:sz="4" w:space="0" w:color="auto"/>
              <w:right w:val="single" w:sz="4" w:space="0" w:color="auto"/>
            </w:tcBorders>
            <w:shd w:val="clear" w:color="auto" w:fill="auto"/>
            <w:noWrap/>
            <w:vAlign w:val="bottom"/>
            <w:hideMark/>
          </w:tcPr>
          <w:p w14:paraId="7A591256"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3.25E+14</w:t>
            </w:r>
          </w:p>
        </w:tc>
        <w:tc>
          <w:tcPr>
            <w:tcW w:w="1107" w:type="dxa"/>
            <w:tcBorders>
              <w:top w:val="nil"/>
              <w:left w:val="nil"/>
              <w:bottom w:val="single" w:sz="4" w:space="0" w:color="auto"/>
              <w:right w:val="single" w:sz="4" w:space="0" w:color="auto"/>
            </w:tcBorders>
            <w:shd w:val="clear" w:color="auto" w:fill="auto"/>
            <w:noWrap/>
            <w:vAlign w:val="bottom"/>
            <w:hideMark/>
          </w:tcPr>
          <w:p w14:paraId="46215564"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4.53E+09</w:t>
            </w:r>
          </w:p>
        </w:tc>
        <w:tc>
          <w:tcPr>
            <w:tcW w:w="1083" w:type="dxa"/>
            <w:tcBorders>
              <w:top w:val="nil"/>
              <w:left w:val="nil"/>
              <w:bottom w:val="single" w:sz="4" w:space="0" w:color="auto"/>
              <w:right w:val="single" w:sz="4" w:space="0" w:color="auto"/>
            </w:tcBorders>
            <w:shd w:val="clear" w:color="auto" w:fill="auto"/>
            <w:noWrap/>
            <w:vAlign w:val="bottom"/>
            <w:hideMark/>
          </w:tcPr>
          <w:p w14:paraId="07D5C9C1"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3.76E+11</w:t>
            </w:r>
          </w:p>
        </w:tc>
      </w:tr>
      <w:tr w:rsidR="00F75098" w:rsidRPr="00DB6F7A" w14:paraId="75B124BB" w14:textId="77777777" w:rsidTr="00096287">
        <w:trPr>
          <w:trHeight w:val="194"/>
        </w:trPr>
        <w:tc>
          <w:tcPr>
            <w:tcW w:w="1364" w:type="dxa"/>
            <w:tcBorders>
              <w:top w:val="nil"/>
              <w:left w:val="single" w:sz="4" w:space="0" w:color="auto"/>
              <w:bottom w:val="single" w:sz="4" w:space="0" w:color="auto"/>
              <w:right w:val="single" w:sz="4" w:space="0" w:color="auto"/>
            </w:tcBorders>
            <w:shd w:val="clear" w:color="auto" w:fill="auto"/>
            <w:noWrap/>
            <w:vAlign w:val="bottom"/>
            <w:hideMark/>
          </w:tcPr>
          <w:p w14:paraId="1927B186"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22D219BA"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282" w:type="dxa"/>
            <w:tcBorders>
              <w:top w:val="nil"/>
              <w:left w:val="nil"/>
              <w:bottom w:val="single" w:sz="4" w:space="0" w:color="auto"/>
              <w:right w:val="single" w:sz="4" w:space="0" w:color="auto"/>
            </w:tcBorders>
            <w:shd w:val="clear" w:color="auto" w:fill="auto"/>
            <w:noWrap/>
            <w:vAlign w:val="bottom"/>
            <w:hideMark/>
          </w:tcPr>
          <w:p w14:paraId="7131C950"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083" w:type="dxa"/>
            <w:tcBorders>
              <w:top w:val="nil"/>
              <w:left w:val="nil"/>
              <w:bottom w:val="single" w:sz="4" w:space="0" w:color="auto"/>
              <w:right w:val="single" w:sz="4" w:space="0" w:color="auto"/>
            </w:tcBorders>
            <w:shd w:val="clear" w:color="auto" w:fill="auto"/>
            <w:noWrap/>
            <w:vAlign w:val="bottom"/>
            <w:hideMark/>
          </w:tcPr>
          <w:p w14:paraId="1E04EC9D"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132" w:type="dxa"/>
            <w:tcBorders>
              <w:top w:val="nil"/>
              <w:left w:val="nil"/>
              <w:bottom w:val="single" w:sz="4" w:space="0" w:color="auto"/>
              <w:right w:val="single" w:sz="4" w:space="0" w:color="auto"/>
            </w:tcBorders>
            <w:shd w:val="clear" w:color="auto" w:fill="auto"/>
            <w:noWrap/>
            <w:vAlign w:val="bottom"/>
            <w:hideMark/>
          </w:tcPr>
          <w:p w14:paraId="3DF601E7"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107" w:type="dxa"/>
            <w:tcBorders>
              <w:top w:val="nil"/>
              <w:left w:val="nil"/>
              <w:bottom w:val="single" w:sz="4" w:space="0" w:color="auto"/>
              <w:right w:val="single" w:sz="4" w:space="0" w:color="auto"/>
            </w:tcBorders>
            <w:shd w:val="clear" w:color="auto" w:fill="auto"/>
            <w:noWrap/>
            <w:vAlign w:val="bottom"/>
            <w:hideMark/>
          </w:tcPr>
          <w:p w14:paraId="21B3BD9B"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107" w:type="dxa"/>
            <w:tcBorders>
              <w:top w:val="nil"/>
              <w:left w:val="nil"/>
              <w:bottom w:val="single" w:sz="4" w:space="0" w:color="auto"/>
              <w:right w:val="single" w:sz="4" w:space="0" w:color="auto"/>
            </w:tcBorders>
            <w:shd w:val="clear" w:color="auto" w:fill="auto"/>
            <w:noWrap/>
            <w:vAlign w:val="bottom"/>
            <w:hideMark/>
          </w:tcPr>
          <w:p w14:paraId="077DB01D"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c>
          <w:tcPr>
            <w:tcW w:w="1083" w:type="dxa"/>
            <w:tcBorders>
              <w:top w:val="nil"/>
              <w:left w:val="nil"/>
              <w:bottom w:val="single" w:sz="4" w:space="0" w:color="auto"/>
              <w:right w:val="single" w:sz="4" w:space="0" w:color="auto"/>
            </w:tcBorders>
            <w:shd w:val="clear" w:color="auto" w:fill="auto"/>
            <w:noWrap/>
            <w:vAlign w:val="bottom"/>
            <w:hideMark/>
          </w:tcPr>
          <w:p w14:paraId="7BDA02FA"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w:t>
            </w:r>
          </w:p>
        </w:tc>
      </w:tr>
      <w:tr w:rsidR="00F75098" w:rsidRPr="00DB6F7A" w14:paraId="6964D33F" w14:textId="77777777" w:rsidTr="00096287">
        <w:trPr>
          <w:trHeight w:val="33"/>
        </w:trPr>
        <w:tc>
          <w:tcPr>
            <w:tcW w:w="1364" w:type="dxa"/>
            <w:tcBorders>
              <w:top w:val="nil"/>
              <w:left w:val="single" w:sz="4" w:space="0" w:color="auto"/>
              <w:bottom w:val="single" w:sz="4" w:space="0" w:color="auto"/>
              <w:right w:val="single" w:sz="4" w:space="0" w:color="auto"/>
            </w:tcBorders>
            <w:shd w:val="clear" w:color="auto" w:fill="auto"/>
            <w:noWrap/>
            <w:vAlign w:val="bottom"/>
            <w:hideMark/>
          </w:tcPr>
          <w:p w14:paraId="27DB1A23" w14:textId="77777777" w:rsidR="00F75098" w:rsidRPr="00DB6F7A" w:rsidRDefault="00F75098" w:rsidP="00096287">
            <w:pPr>
              <w:widowControl/>
              <w:autoSpaceDE/>
              <w:autoSpaceDN/>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 xml:space="preserve"> Observations</w:t>
            </w:r>
          </w:p>
        </w:tc>
        <w:tc>
          <w:tcPr>
            <w:tcW w:w="1092" w:type="dxa"/>
            <w:tcBorders>
              <w:top w:val="nil"/>
              <w:left w:val="nil"/>
              <w:bottom w:val="single" w:sz="4" w:space="0" w:color="auto"/>
              <w:right w:val="single" w:sz="4" w:space="0" w:color="auto"/>
            </w:tcBorders>
            <w:shd w:val="clear" w:color="auto" w:fill="auto"/>
            <w:noWrap/>
            <w:vAlign w:val="bottom"/>
            <w:hideMark/>
          </w:tcPr>
          <w:p w14:paraId="1B868277"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92</w:t>
            </w:r>
          </w:p>
        </w:tc>
        <w:tc>
          <w:tcPr>
            <w:tcW w:w="1282" w:type="dxa"/>
            <w:tcBorders>
              <w:top w:val="nil"/>
              <w:left w:val="nil"/>
              <w:bottom w:val="single" w:sz="4" w:space="0" w:color="auto"/>
              <w:right w:val="single" w:sz="4" w:space="0" w:color="auto"/>
            </w:tcBorders>
            <w:shd w:val="clear" w:color="auto" w:fill="auto"/>
            <w:noWrap/>
            <w:vAlign w:val="bottom"/>
            <w:hideMark/>
          </w:tcPr>
          <w:p w14:paraId="1247C93A"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92</w:t>
            </w:r>
          </w:p>
        </w:tc>
        <w:tc>
          <w:tcPr>
            <w:tcW w:w="1083" w:type="dxa"/>
            <w:tcBorders>
              <w:top w:val="nil"/>
              <w:left w:val="nil"/>
              <w:bottom w:val="single" w:sz="4" w:space="0" w:color="auto"/>
              <w:right w:val="single" w:sz="4" w:space="0" w:color="auto"/>
            </w:tcBorders>
            <w:shd w:val="clear" w:color="auto" w:fill="auto"/>
            <w:noWrap/>
            <w:vAlign w:val="bottom"/>
            <w:hideMark/>
          </w:tcPr>
          <w:p w14:paraId="66FF802C"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92</w:t>
            </w:r>
          </w:p>
        </w:tc>
        <w:tc>
          <w:tcPr>
            <w:tcW w:w="1132" w:type="dxa"/>
            <w:tcBorders>
              <w:top w:val="nil"/>
              <w:left w:val="nil"/>
              <w:bottom w:val="single" w:sz="4" w:space="0" w:color="auto"/>
              <w:right w:val="single" w:sz="4" w:space="0" w:color="auto"/>
            </w:tcBorders>
            <w:shd w:val="clear" w:color="auto" w:fill="auto"/>
            <w:noWrap/>
            <w:vAlign w:val="bottom"/>
            <w:hideMark/>
          </w:tcPr>
          <w:p w14:paraId="72E50A79"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92</w:t>
            </w:r>
          </w:p>
        </w:tc>
        <w:tc>
          <w:tcPr>
            <w:tcW w:w="1107" w:type="dxa"/>
            <w:tcBorders>
              <w:top w:val="nil"/>
              <w:left w:val="nil"/>
              <w:bottom w:val="single" w:sz="4" w:space="0" w:color="auto"/>
              <w:right w:val="single" w:sz="4" w:space="0" w:color="auto"/>
            </w:tcBorders>
            <w:shd w:val="clear" w:color="auto" w:fill="auto"/>
            <w:noWrap/>
            <w:vAlign w:val="bottom"/>
            <w:hideMark/>
          </w:tcPr>
          <w:p w14:paraId="57CFB2C6"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68</w:t>
            </w:r>
          </w:p>
        </w:tc>
        <w:tc>
          <w:tcPr>
            <w:tcW w:w="1107" w:type="dxa"/>
            <w:tcBorders>
              <w:top w:val="nil"/>
              <w:left w:val="nil"/>
              <w:bottom w:val="single" w:sz="4" w:space="0" w:color="auto"/>
              <w:right w:val="single" w:sz="4" w:space="0" w:color="auto"/>
            </w:tcBorders>
            <w:shd w:val="clear" w:color="auto" w:fill="auto"/>
            <w:noWrap/>
            <w:vAlign w:val="bottom"/>
            <w:hideMark/>
          </w:tcPr>
          <w:p w14:paraId="560A48A5"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92</w:t>
            </w:r>
          </w:p>
        </w:tc>
        <w:tc>
          <w:tcPr>
            <w:tcW w:w="1083" w:type="dxa"/>
            <w:tcBorders>
              <w:top w:val="nil"/>
              <w:left w:val="nil"/>
              <w:bottom w:val="single" w:sz="4" w:space="0" w:color="auto"/>
              <w:right w:val="single" w:sz="4" w:space="0" w:color="auto"/>
            </w:tcBorders>
            <w:shd w:val="clear" w:color="auto" w:fill="auto"/>
            <w:noWrap/>
            <w:vAlign w:val="bottom"/>
            <w:hideMark/>
          </w:tcPr>
          <w:p w14:paraId="6391BF4D" w14:textId="77777777" w:rsidR="00F75098" w:rsidRPr="00DB6F7A" w:rsidRDefault="00F75098" w:rsidP="00096287">
            <w:pPr>
              <w:widowControl/>
              <w:autoSpaceDE/>
              <w:autoSpaceDN/>
              <w:jc w:val="right"/>
              <w:rPr>
                <w:rFonts w:ascii="Calibri" w:eastAsia="Times New Roman" w:hAnsi="Calibri" w:cs="Calibri"/>
                <w:color w:val="000000"/>
                <w:lang w:val="en-GB" w:eastAsia="en-GB"/>
              </w:rPr>
            </w:pPr>
            <w:r w:rsidRPr="00DB6F7A">
              <w:rPr>
                <w:rFonts w:ascii="Calibri" w:eastAsia="Times New Roman" w:hAnsi="Calibri" w:cs="Calibri"/>
                <w:color w:val="000000"/>
                <w:lang w:val="en-GB" w:eastAsia="en-GB"/>
              </w:rPr>
              <w:t>92</w:t>
            </w:r>
          </w:p>
        </w:tc>
      </w:tr>
    </w:tbl>
    <w:p w14:paraId="628A58D5" w14:textId="77777777" w:rsidR="00F75098" w:rsidRDefault="00F75098" w:rsidP="008548AF">
      <w:pPr>
        <w:pStyle w:val="Heading1"/>
        <w:ind w:left="0"/>
        <w:rPr>
          <w:lang w:val="en-GB"/>
        </w:rPr>
      </w:pPr>
    </w:p>
    <w:p w14:paraId="0A3FA121" w14:textId="2E4A7BC0" w:rsidR="00F75098" w:rsidRPr="00A5432D" w:rsidRDefault="00F75098" w:rsidP="00F75098">
      <w:pPr>
        <w:pStyle w:val="Heading1"/>
        <w:ind w:left="0"/>
        <w:jc w:val="center"/>
        <w:rPr>
          <w:b w:val="0"/>
          <w:bCs w:val="0"/>
          <w:sz w:val="24"/>
          <w:szCs w:val="24"/>
          <w:lang w:val="en-GB"/>
        </w:rPr>
      </w:pPr>
      <w:r w:rsidRPr="00A5432D">
        <w:rPr>
          <w:b w:val="0"/>
          <w:bCs w:val="0"/>
          <w:sz w:val="24"/>
          <w:szCs w:val="24"/>
          <w:lang w:val="en-GB"/>
        </w:rPr>
        <w:t xml:space="preserve">Gross Fixed Capital Formation, from OECD – Quarterly National Accounts (including intellectual property </w:t>
      </w:r>
      <w:r w:rsidRPr="00E161EA">
        <w:rPr>
          <w:b w:val="0"/>
          <w:bCs w:val="0"/>
          <w:sz w:val="24"/>
          <w:szCs w:val="24"/>
          <w:lang w:val="en-GB"/>
        </w:rPr>
        <w:t>products</w:t>
      </w:r>
      <w:r w:rsidRPr="00267E6C">
        <w:rPr>
          <w:b w:val="0"/>
          <w:bCs w:val="0"/>
          <w:sz w:val="24"/>
          <w:szCs w:val="24"/>
          <w:lang w:val="en-GB"/>
        </w:rPr>
        <w:t>) (</w:t>
      </w:r>
      <m:oMath>
        <m:sSub>
          <m:sSubPr>
            <m:ctrlPr>
              <w:rPr>
                <w:rFonts w:ascii="Cambria Math" w:hAnsi="Cambria Math"/>
                <w:b w:val="0"/>
                <w:bCs w:val="0"/>
                <w:i/>
                <w:sz w:val="24"/>
                <w:szCs w:val="24"/>
              </w:rPr>
            </m:ctrlPr>
          </m:sSubPr>
          <m:e>
            <m:r>
              <w:rPr>
                <w:rFonts w:ascii="Cambria Math" w:hAnsi="Cambria Math"/>
                <w:sz w:val="24"/>
                <w:szCs w:val="24"/>
              </w:rPr>
              <m:t>I</m:t>
            </m:r>
            <m:r>
              <w:rPr>
                <w:rFonts w:ascii="Cambria Math" w:hAnsi="Cambria Math"/>
                <w:sz w:val="24"/>
                <w:szCs w:val="24"/>
                <w:lang w:val="en-GB"/>
              </w:rPr>
              <m:t>_</m:t>
            </m:r>
            <m:r>
              <w:rPr>
                <w:rFonts w:ascii="Cambria Math" w:hAnsi="Cambria Math"/>
                <w:sz w:val="24"/>
                <w:szCs w:val="24"/>
              </w:rPr>
              <m:t>INT</m:t>
            </m:r>
          </m:e>
          <m:sub>
            <m:r>
              <w:rPr>
                <w:rFonts w:ascii="Cambria Math" w:hAnsi="Cambria Math"/>
                <w:sz w:val="24"/>
                <w:szCs w:val="24"/>
              </w:rPr>
              <m:t>t</m:t>
            </m:r>
          </m:sub>
        </m:sSub>
      </m:oMath>
      <w:r w:rsidRPr="00267E6C">
        <w:rPr>
          <w:b w:val="0"/>
          <w:bCs w:val="0"/>
          <w:sz w:val="24"/>
          <w:szCs w:val="24"/>
          <w:lang w:val="en-GB"/>
        </w:rPr>
        <w:t>)</w:t>
      </w:r>
    </w:p>
    <w:p w14:paraId="4C2A7C9D" w14:textId="77777777" w:rsidR="00F75098" w:rsidRDefault="00F75098" w:rsidP="008548AF">
      <w:pPr>
        <w:pStyle w:val="Heading1"/>
        <w:ind w:left="0"/>
        <w:rPr>
          <w:lang w:val="en-GB"/>
        </w:rPr>
      </w:pPr>
    </w:p>
    <w:tbl>
      <w:tblPr>
        <w:tblW w:w="9376" w:type="dxa"/>
        <w:tblInd w:w="-572" w:type="dxa"/>
        <w:tblLook w:val="04A0" w:firstRow="1" w:lastRow="0" w:firstColumn="1" w:lastColumn="0" w:noHBand="0" w:noVBand="1"/>
      </w:tblPr>
      <w:tblGrid>
        <w:gridCol w:w="1483"/>
        <w:gridCol w:w="1114"/>
        <w:gridCol w:w="1070"/>
        <w:gridCol w:w="1093"/>
        <w:gridCol w:w="1093"/>
        <w:gridCol w:w="1070"/>
        <w:gridCol w:w="1230"/>
        <w:gridCol w:w="1223"/>
      </w:tblGrid>
      <w:tr w:rsidR="00F75098" w:rsidRPr="00600D62" w14:paraId="116FDE66" w14:textId="77777777" w:rsidTr="00096287">
        <w:trPr>
          <w:trHeight w:val="262"/>
        </w:trPr>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2B7ABE"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114" w:type="dxa"/>
            <w:tcBorders>
              <w:top w:val="single" w:sz="4" w:space="0" w:color="auto"/>
              <w:left w:val="nil"/>
              <w:bottom w:val="single" w:sz="4" w:space="0" w:color="auto"/>
              <w:right w:val="single" w:sz="4" w:space="0" w:color="auto"/>
            </w:tcBorders>
            <w:shd w:val="clear" w:color="auto" w:fill="auto"/>
            <w:noWrap/>
            <w:vAlign w:val="bottom"/>
            <w:hideMark/>
          </w:tcPr>
          <w:p w14:paraId="491093EE" w14:textId="77777777" w:rsidR="00F75098" w:rsidRPr="00600D62" w:rsidRDefault="00F75098" w:rsidP="00096287">
            <w:pPr>
              <w:widowControl/>
              <w:autoSpaceDE/>
              <w:autoSpaceDN/>
              <w:rPr>
                <w:rFonts w:ascii="Calibri" w:eastAsia="Times New Roman" w:hAnsi="Calibri" w:cs="Calibri"/>
                <w:color w:val="000000"/>
                <w:lang w:val="en-GB" w:eastAsia="en-GB"/>
              </w:rPr>
            </w:pPr>
            <w:r>
              <w:rPr>
                <w:rFonts w:ascii="Calibri" w:eastAsia="Times New Roman" w:hAnsi="Calibri" w:cs="Calibri"/>
                <w:color w:val="000000"/>
                <w:lang w:val="en-GB" w:eastAsia="en-GB"/>
              </w:rPr>
              <w:t>Canada</w:t>
            </w:r>
          </w:p>
        </w:tc>
        <w:tc>
          <w:tcPr>
            <w:tcW w:w="1070" w:type="dxa"/>
            <w:tcBorders>
              <w:top w:val="single" w:sz="4" w:space="0" w:color="auto"/>
              <w:left w:val="nil"/>
              <w:bottom w:val="single" w:sz="4" w:space="0" w:color="auto"/>
              <w:right w:val="single" w:sz="4" w:space="0" w:color="auto"/>
            </w:tcBorders>
            <w:shd w:val="clear" w:color="auto" w:fill="auto"/>
            <w:noWrap/>
            <w:vAlign w:val="bottom"/>
            <w:hideMark/>
          </w:tcPr>
          <w:p w14:paraId="1C07E130" w14:textId="77777777" w:rsidR="00F75098" w:rsidRPr="00600D62" w:rsidRDefault="00F75098" w:rsidP="00096287">
            <w:pPr>
              <w:widowControl/>
              <w:autoSpaceDE/>
              <w:autoSpaceDN/>
              <w:rPr>
                <w:rFonts w:ascii="Calibri" w:eastAsia="Times New Roman" w:hAnsi="Calibri" w:cs="Calibri"/>
                <w:color w:val="000000"/>
                <w:lang w:val="en-GB" w:eastAsia="en-GB"/>
              </w:rPr>
            </w:pPr>
            <w:r>
              <w:rPr>
                <w:rFonts w:ascii="Calibri" w:eastAsia="Times New Roman" w:hAnsi="Calibri" w:cs="Calibri"/>
                <w:color w:val="000000"/>
                <w:lang w:val="en-GB" w:eastAsia="en-GB"/>
              </w:rPr>
              <w:t>France</w:t>
            </w:r>
          </w:p>
        </w:tc>
        <w:tc>
          <w:tcPr>
            <w:tcW w:w="1093" w:type="dxa"/>
            <w:tcBorders>
              <w:top w:val="single" w:sz="4" w:space="0" w:color="auto"/>
              <w:left w:val="nil"/>
              <w:bottom w:val="single" w:sz="4" w:space="0" w:color="auto"/>
              <w:right w:val="single" w:sz="4" w:space="0" w:color="auto"/>
            </w:tcBorders>
            <w:shd w:val="clear" w:color="auto" w:fill="auto"/>
            <w:noWrap/>
            <w:vAlign w:val="bottom"/>
            <w:hideMark/>
          </w:tcPr>
          <w:p w14:paraId="7556AC1A"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G</w:t>
            </w:r>
            <w:r>
              <w:rPr>
                <w:rFonts w:ascii="Calibri" w:eastAsia="Times New Roman" w:hAnsi="Calibri" w:cs="Calibri"/>
                <w:color w:val="000000"/>
                <w:lang w:val="en-GB" w:eastAsia="en-GB"/>
              </w:rPr>
              <w:t>ermany</w:t>
            </w:r>
          </w:p>
        </w:tc>
        <w:tc>
          <w:tcPr>
            <w:tcW w:w="1093" w:type="dxa"/>
            <w:tcBorders>
              <w:top w:val="single" w:sz="4" w:space="0" w:color="auto"/>
              <w:left w:val="nil"/>
              <w:bottom w:val="single" w:sz="4" w:space="0" w:color="auto"/>
              <w:right w:val="single" w:sz="4" w:space="0" w:color="auto"/>
            </w:tcBorders>
            <w:shd w:val="clear" w:color="auto" w:fill="auto"/>
            <w:noWrap/>
            <w:vAlign w:val="bottom"/>
            <w:hideMark/>
          </w:tcPr>
          <w:p w14:paraId="19154E18"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I</w:t>
            </w:r>
            <w:r>
              <w:rPr>
                <w:rFonts w:ascii="Calibri" w:eastAsia="Times New Roman" w:hAnsi="Calibri" w:cs="Calibri"/>
                <w:color w:val="000000"/>
                <w:lang w:val="en-GB" w:eastAsia="en-GB"/>
              </w:rPr>
              <w:t>taly</w:t>
            </w:r>
          </w:p>
        </w:tc>
        <w:tc>
          <w:tcPr>
            <w:tcW w:w="1070" w:type="dxa"/>
            <w:tcBorders>
              <w:top w:val="single" w:sz="4" w:space="0" w:color="auto"/>
              <w:left w:val="nil"/>
              <w:bottom w:val="single" w:sz="4" w:space="0" w:color="auto"/>
              <w:right w:val="single" w:sz="4" w:space="0" w:color="auto"/>
            </w:tcBorders>
            <w:shd w:val="clear" w:color="auto" w:fill="auto"/>
            <w:noWrap/>
            <w:vAlign w:val="bottom"/>
            <w:hideMark/>
          </w:tcPr>
          <w:p w14:paraId="6161B0E1"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J</w:t>
            </w:r>
            <w:r>
              <w:rPr>
                <w:rFonts w:ascii="Calibri" w:eastAsia="Times New Roman" w:hAnsi="Calibri" w:cs="Calibri"/>
                <w:color w:val="000000"/>
                <w:lang w:val="en-GB" w:eastAsia="en-GB"/>
              </w:rPr>
              <w:t>apan</w:t>
            </w:r>
          </w:p>
        </w:tc>
        <w:tc>
          <w:tcPr>
            <w:tcW w:w="1230" w:type="dxa"/>
            <w:tcBorders>
              <w:top w:val="single" w:sz="4" w:space="0" w:color="auto"/>
              <w:left w:val="nil"/>
              <w:bottom w:val="single" w:sz="4" w:space="0" w:color="auto"/>
              <w:right w:val="single" w:sz="4" w:space="0" w:color="auto"/>
            </w:tcBorders>
            <w:shd w:val="clear" w:color="auto" w:fill="auto"/>
            <w:noWrap/>
            <w:vAlign w:val="bottom"/>
            <w:hideMark/>
          </w:tcPr>
          <w:p w14:paraId="7BCB907C"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UK</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4B72E2B4"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USA</w:t>
            </w:r>
          </w:p>
        </w:tc>
      </w:tr>
      <w:tr w:rsidR="00F75098" w:rsidRPr="00600D62" w14:paraId="19AF763F" w14:textId="77777777" w:rsidTr="00096287">
        <w:trPr>
          <w:trHeight w:val="262"/>
        </w:trPr>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B39BB7" w14:textId="77777777" w:rsidR="00F75098" w:rsidRDefault="00F75098" w:rsidP="00096287">
            <w:pPr>
              <w:widowControl/>
              <w:autoSpaceDE/>
              <w:autoSpaceDN/>
              <w:rPr>
                <w:sz w:val="24"/>
                <w:szCs w:val="24"/>
                <w:lang w:val="en-GB"/>
              </w:rPr>
            </w:pPr>
          </w:p>
        </w:tc>
        <w:tc>
          <w:tcPr>
            <w:tcW w:w="1114" w:type="dxa"/>
            <w:tcBorders>
              <w:top w:val="single" w:sz="4" w:space="0" w:color="auto"/>
              <w:left w:val="nil"/>
              <w:bottom w:val="single" w:sz="4" w:space="0" w:color="auto"/>
              <w:right w:val="single" w:sz="4" w:space="0" w:color="auto"/>
            </w:tcBorders>
            <w:shd w:val="clear" w:color="auto" w:fill="auto"/>
            <w:noWrap/>
            <w:vAlign w:val="bottom"/>
          </w:tcPr>
          <w:p w14:paraId="046978DA"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070" w:type="dxa"/>
            <w:tcBorders>
              <w:top w:val="single" w:sz="4" w:space="0" w:color="auto"/>
              <w:left w:val="nil"/>
              <w:bottom w:val="single" w:sz="4" w:space="0" w:color="auto"/>
              <w:right w:val="single" w:sz="4" w:space="0" w:color="auto"/>
            </w:tcBorders>
            <w:shd w:val="clear" w:color="auto" w:fill="auto"/>
            <w:noWrap/>
            <w:vAlign w:val="bottom"/>
          </w:tcPr>
          <w:p w14:paraId="5D4DED9A"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093" w:type="dxa"/>
            <w:tcBorders>
              <w:top w:val="single" w:sz="4" w:space="0" w:color="auto"/>
              <w:left w:val="nil"/>
              <w:bottom w:val="single" w:sz="4" w:space="0" w:color="auto"/>
              <w:right w:val="single" w:sz="4" w:space="0" w:color="auto"/>
            </w:tcBorders>
            <w:shd w:val="clear" w:color="auto" w:fill="auto"/>
            <w:noWrap/>
            <w:vAlign w:val="bottom"/>
          </w:tcPr>
          <w:p w14:paraId="11A125CF"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093" w:type="dxa"/>
            <w:tcBorders>
              <w:top w:val="single" w:sz="4" w:space="0" w:color="auto"/>
              <w:left w:val="nil"/>
              <w:bottom w:val="single" w:sz="4" w:space="0" w:color="auto"/>
              <w:right w:val="single" w:sz="4" w:space="0" w:color="auto"/>
            </w:tcBorders>
            <w:shd w:val="clear" w:color="auto" w:fill="auto"/>
            <w:noWrap/>
            <w:vAlign w:val="bottom"/>
          </w:tcPr>
          <w:p w14:paraId="6E342926"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070" w:type="dxa"/>
            <w:tcBorders>
              <w:top w:val="single" w:sz="4" w:space="0" w:color="auto"/>
              <w:left w:val="nil"/>
              <w:bottom w:val="single" w:sz="4" w:space="0" w:color="auto"/>
              <w:right w:val="single" w:sz="4" w:space="0" w:color="auto"/>
            </w:tcBorders>
            <w:shd w:val="clear" w:color="auto" w:fill="auto"/>
            <w:noWrap/>
            <w:vAlign w:val="bottom"/>
          </w:tcPr>
          <w:p w14:paraId="621B846C"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230" w:type="dxa"/>
            <w:tcBorders>
              <w:top w:val="single" w:sz="4" w:space="0" w:color="auto"/>
              <w:left w:val="nil"/>
              <w:bottom w:val="single" w:sz="4" w:space="0" w:color="auto"/>
              <w:right w:val="single" w:sz="4" w:space="0" w:color="auto"/>
            </w:tcBorders>
            <w:shd w:val="clear" w:color="auto" w:fill="auto"/>
            <w:noWrap/>
            <w:vAlign w:val="bottom"/>
          </w:tcPr>
          <w:p w14:paraId="54B4198C"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223" w:type="dxa"/>
            <w:tcBorders>
              <w:top w:val="single" w:sz="4" w:space="0" w:color="auto"/>
              <w:left w:val="nil"/>
              <w:bottom w:val="single" w:sz="4" w:space="0" w:color="auto"/>
              <w:right w:val="single" w:sz="4" w:space="0" w:color="auto"/>
            </w:tcBorders>
            <w:shd w:val="clear" w:color="auto" w:fill="auto"/>
            <w:noWrap/>
            <w:vAlign w:val="bottom"/>
          </w:tcPr>
          <w:p w14:paraId="1C44E26F" w14:textId="77777777" w:rsidR="00F75098" w:rsidRPr="00600D62" w:rsidRDefault="00F75098" w:rsidP="00096287">
            <w:pPr>
              <w:widowControl/>
              <w:autoSpaceDE/>
              <w:autoSpaceDN/>
              <w:rPr>
                <w:rFonts w:ascii="Calibri" w:eastAsia="Times New Roman" w:hAnsi="Calibri" w:cs="Calibri"/>
                <w:color w:val="000000"/>
                <w:lang w:val="en-GB" w:eastAsia="en-GB"/>
              </w:rPr>
            </w:pPr>
          </w:p>
        </w:tc>
      </w:tr>
      <w:tr w:rsidR="00F75098" w:rsidRPr="00600D62" w14:paraId="672280DC"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7B581205"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Mean</w:t>
            </w:r>
          </w:p>
        </w:tc>
        <w:tc>
          <w:tcPr>
            <w:tcW w:w="1114" w:type="dxa"/>
            <w:tcBorders>
              <w:top w:val="nil"/>
              <w:left w:val="nil"/>
              <w:bottom w:val="single" w:sz="4" w:space="0" w:color="auto"/>
              <w:right w:val="single" w:sz="4" w:space="0" w:color="auto"/>
            </w:tcBorders>
            <w:shd w:val="clear" w:color="auto" w:fill="auto"/>
            <w:noWrap/>
            <w:vAlign w:val="bottom"/>
            <w:hideMark/>
          </w:tcPr>
          <w:p w14:paraId="7CB8406D"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13395.29</w:t>
            </w:r>
          </w:p>
        </w:tc>
        <w:tc>
          <w:tcPr>
            <w:tcW w:w="1070" w:type="dxa"/>
            <w:tcBorders>
              <w:top w:val="nil"/>
              <w:left w:val="nil"/>
              <w:bottom w:val="single" w:sz="4" w:space="0" w:color="auto"/>
              <w:right w:val="single" w:sz="4" w:space="0" w:color="auto"/>
            </w:tcBorders>
            <w:shd w:val="clear" w:color="auto" w:fill="auto"/>
            <w:noWrap/>
            <w:vAlign w:val="bottom"/>
            <w:hideMark/>
          </w:tcPr>
          <w:p w14:paraId="438C841E"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26465.48</w:t>
            </w:r>
          </w:p>
        </w:tc>
        <w:tc>
          <w:tcPr>
            <w:tcW w:w="1093" w:type="dxa"/>
            <w:tcBorders>
              <w:top w:val="nil"/>
              <w:left w:val="nil"/>
              <w:bottom w:val="single" w:sz="4" w:space="0" w:color="auto"/>
              <w:right w:val="single" w:sz="4" w:space="0" w:color="auto"/>
            </w:tcBorders>
            <w:shd w:val="clear" w:color="auto" w:fill="auto"/>
            <w:noWrap/>
            <w:vAlign w:val="bottom"/>
            <w:hideMark/>
          </w:tcPr>
          <w:p w14:paraId="00B549BF"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24634.6</w:t>
            </w:r>
          </w:p>
        </w:tc>
        <w:tc>
          <w:tcPr>
            <w:tcW w:w="1093" w:type="dxa"/>
            <w:tcBorders>
              <w:top w:val="nil"/>
              <w:left w:val="nil"/>
              <w:bottom w:val="single" w:sz="4" w:space="0" w:color="auto"/>
              <w:right w:val="single" w:sz="4" w:space="0" w:color="auto"/>
            </w:tcBorders>
            <w:shd w:val="clear" w:color="auto" w:fill="auto"/>
            <w:noWrap/>
            <w:vAlign w:val="bottom"/>
            <w:hideMark/>
          </w:tcPr>
          <w:p w14:paraId="45DAC581"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11778.4</w:t>
            </w:r>
          </w:p>
        </w:tc>
        <w:tc>
          <w:tcPr>
            <w:tcW w:w="1070" w:type="dxa"/>
            <w:tcBorders>
              <w:top w:val="nil"/>
              <w:left w:val="nil"/>
              <w:bottom w:val="single" w:sz="4" w:space="0" w:color="auto"/>
              <w:right w:val="single" w:sz="4" w:space="0" w:color="auto"/>
            </w:tcBorders>
            <w:shd w:val="clear" w:color="auto" w:fill="auto"/>
            <w:noWrap/>
            <w:vAlign w:val="bottom"/>
            <w:hideMark/>
          </w:tcPr>
          <w:p w14:paraId="74D7CAA4"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6631297</w:t>
            </w:r>
          </w:p>
        </w:tc>
        <w:tc>
          <w:tcPr>
            <w:tcW w:w="1230" w:type="dxa"/>
            <w:tcBorders>
              <w:top w:val="nil"/>
              <w:left w:val="nil"/>
              <w:bottom w:val="single" w:sz="4" w:space="0" w:color="auto"/>
              <w:right w:val="single" w:sz="4" w:space="0" w:color="auto"/>
            </w:tcBorders>
            <w:shd w:val="clear" w:color="auto" w:fill="auto"/>
            <w:noWrap/>
            <w:vAlign w:val="bottom"/>
            <w:hideMark/>
          </w:tcPr>
          <w:p w14:paraId="1585E6A6"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17056.68</w:t>
            </w:r>
          </w:p>
        </w:tc>
        <w:tc>
          <w:tcPr>
            <w:tcW w:w="1223" w:type="dxa"/>
            <w:tcBorders>
              <w:top w:val="nil"/>
              <w:left w:val="nil"/>
              <w:bottom w:val="single" w:sz="4" w:space="0" w:color="auto"/>
              <w:right w:val="single" w:sz="4" w:space="0" w:color="auto"/>
            </w:tcBorders>
            <w:shd w:val="clear" w:color="auto" w:fill="auto"/>
            <w:noWrap/>
            <w:vAlign w:val="bottom"/>
            <w:hideMark/>
          </w:tcPr>
          <w:p w14:paraId="4CEE2587"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220519.7</w:t>
            </w:r>
          </w:p>
        </w:tc>
      </w:tr>
      <w:tr w:rsidR="00F75098" w:rsidRPr="00600D62" w14:paraId="2327602D"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31B66970"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Median</w:t>
            </w:r>
          </w:p>
        </w:tc>
        <w:tc>
          <w:tcPr>
            <w:tcW w:w="1114" w:type="dxa"/>
            <w:tcBorders>
              <w:top w:val="nil"/>
              <w:left w:val="nil"/>
              <w:bottom w:val="single" w:sz="4" w:space="0" w:color="auto"/>
              <w:right w:val="single" w:sz="4" w:space="0" w:color="auto"/>
            </w:tcBorders>
            <w:shd w:val="clear" w:color="auto" w:fill="auto"/>
            <w:noWrap/>
            <w:vAlign w:val="bottom"/>
            <w:hideMark/>
          </w:tcPr>
          <w:p w14:paraId="3DF7CEA5"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13617.65</w:t>
            </w:r>
          </w:p>
        </w:tc>
        <w:tc>
          <w:tcPr>
            <w:tcW w:w="1070" w:type="dxa"/>
            <w:tcBorders>
              <w:top w:val="nil"/>
              <w:left w:val="nil"/>
              <w:bottom w:val="single" w:sz="4" w:space="0" w:color="auto"/>
              <w:right w:val="single" w:sz="4" w:space="0" w:color="auto"/>
            </w:tcBorders>
            <w:shd w:val="clear" w:color="auto" w:fill="auto"/>
            <w:noWrap/>
            <w:vAlign w:val="bottom"/>
            <w:hideMark/>
          </w:tcPr>
          <w:p w14:paraId="66BF6B6D"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25344.6</w:t>
            </w:r>
          </w:p>
        </w:tc>
        <w:tc>
          <w:tcPr>
            <w:tcW w:w="1093" w:type="dxa"/>
            <w:tcBorders>
              <w:top w:val="nil"/>
              <w:left w:val="nil"/>
              <w:bottom w:val="single" w:sz="4" w:space="0" w:color="auto"/>
              <w:right w:val="single" w:sz="4" w:space="0" w:color="auto"/>
            </w:tcBorders>
            <w:shd w:val="clear" w:color="auto" w:fill="auto"/>
            <w:noWrap/>
            <w:vAlign w:val="bottom"/>
            <w:hideMark/>
          </w:tcPr>
          <w:p w14:paraId="58892C7B"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24008</w:t>
            </w:r>
          </w:p>
        </w:tc>
        <w:tc>
          <w:tcPr>
            <w:tcW w:w="1093" w:type="dxa"/>
            <w:tcBorders>
              <w:top w:val="nil"/>
              <w:left w:val="nil"/>
              <w:bottom w:val="single" w:sz="4" w:space="0" w:color="auto"/>
              <w:right w:val="single" w:sz="4" w:space="0" w:color="auto"/>
            </w:tcBorders>
            <w:shd w:val="clear" w:color="auto" w:fill="auto"/>
            <w:noWrap/>
            <w:vAlign w:val="bottom"/>
            <w:hideMark/>
          </w:tcPr>
          <w:p w14:paraId="217C5C80"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11039.45</w:t>
            </w:r>
          </w:p>
        </w:tc>
        <w:tc>
          <w:tcPr>
            <w:tcW w:w="1070" w:type="dxa"/>
            <w:tcBorders>
              <w:top w:val="nil"/>
              <w:left w:val="nil"/>
              <w:bottom w:val="single" w:sz="4" w:space="0" w:color="auto"/>
              <w:right w:val="single" w:sz="4" w:space="0" w:color="auto"/>
            </w:tcBorders>
            <w:shd w:val="clear" w:color="auto" w:fill="auto"/>
            <w:noWrap/>
            <w:vAlign w:val="bottom"/>
            <w:hideMark/>
          </w:tcPr>
          <w:p w14:paraId="3AF570F8"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6609375</w:t>
            </w:r>
          </w:p>
        </w:tc>
        <w:tc>
          <w:tcPr>
            <w:tcW w:w="1230" w:type="dxa"/>
            <w:tcBorders>
              <w:top w:val="nil"/>
              <w:left w:val="nil"/>
              <w:bottom w:val="single" w:sz="4" w:space="0" w:color="auto"/>
              <w:right w:val="single" w:sz="4" w:space="0" w:color="auto"/>
            </w:tcBorders>
            <w:shd w:val="clear" w:color="auto" w:fill="auto"/>
            <w:noWrap/>
            <w:vAlign w:val="bottom"/>
            <w:hideMark/>
          </w:tcPr>
          <w:p w14:paraId="74FBA518"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17391</w:t>
            </w:r>
          </w:p>
        </w:tc>
        <w:tc>
          <w:tcPr>
            <w:tcW w:w="1223" w:type="dxa"/>
            <w:tcBorders>
              <w:top w:val="nil"/>
              <w:left w:val="nil"/>
              <w:bottom w:val="single" w:sz="4" w:space="0" w:color="auto"/>
              <w:right w:val="single" w:sz="4" w:space="0" w:color="auto"/>
            </w:tcBorders>
            <w:shd w:val="clear" w:color="auto" w:fill="auto"/>
            <w:noWrap/>
            <w:vAlign w:val="bottom"/>
            <w:hideMark/>
          </w:tcPr>
          <w:p w14:paraId="74F9831A"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203518.1</w:t>
            </w:r>
          </w:p>
        </w:tc>
      </w:tr>
      <w:tr w:rsidR="00F75098" w:rsidRPr="00600D62" w14:paraId="762422DF"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38A16F32"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Maximum</w:t>
            </w:r>
          </w:p>
        </w:tc>
        <w:tc>
          <w:tcPr>
            <w:tcW w:w="1114" w:type="dxa"/>
            <w:tcBorders>
              <w:top w:val="nil"/>
              <w:left w:val="nil"/>
              <w:bottom w:val="single" w:sz="4" w:space="0" w:color="auto"/>
              <w:right w:val="single" w:sz="4" w:space="0" w:color="auto"/>
            </w:tcBorders>
            <w:shd w:val="clear" w:color="auto" w:fill="auto"/>
            <w:noWrap/>
            <w:vAlign w:val="bottom"/>
            <w:hideMark/>
          </w:tcPr>
          <w:p w14:paraId="2433AAA1"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16080.8</w:t>
            </w:r>
          </w:p>
        </w:tc>
        <w:tc>
          <w:tcPr>
            <w:tcW w:w="1070" w:type="dxa"/>
            <w:tcBorders>
              <w:top w:val="nil"/>
              <w:left w:val="nil"/>
              <w:bottom w:val="single" w:sz="4" w:space="0" w:color="auto"/>
              <w:right w:val="single" w:sz="4" w:space="0" w:color="auto"/>
            </w:tcBorders>
            <w:shd w:val="clear" w:color="auto" w:fill="auto"/>
            <w:noWrap/>
            <w:vAlign w:val="bottom"/>
            <w:hideMark/>
          </w:tcPr>
          <w:p w14:paraId="6D25B7AE"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41620.5</w:t>
            </w:r>
          </w:p>
        </w:tc>
        <w:tc>
          <w:tcPr>
            <w:tcW w:w="1093" w:type="dxa"/>
            <w:tcBorders>
              <w:top w:val="nil"/>
              <w:left w:val="nil"/>
              <w:bottom w:val="single" w:sz="4" w:space="0" w:color="auto"/>
              <w:right w:val="single" w:sz="4" w:space="0" w:color="auto"/>
            </w:tcBorders>
            <w:shd w:val="clear" w:color="auto" w:fill="auto"/>
            <w:noWrap/>
            <w:vAlign w:val="bottom"/>
            <w:hideMark/>
          </w:tcPr>
          <w:p w14:paraId="5B047C34"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32761.1</w:t>
            </w:r>
          </w:p>
        </w:tc>
        <w:tc>
          <w:tcPr>
            <w:tcW w:w="1093" w:type="dxa"/>
            <w:tcBorders>
              <w:top w:val="nil"/>
              <w:left w:val="nil"/>
              <w:bottom w:val="single" w:sz="4" w:space="0" w:color="auto"/>
              <w:right w:val="single" w:sz="4" w:space="0" w:color="auto"/>
            </w:tcBorders>
            <w:shd w:val="clear" w:color="auto" w:fill="auto"/>
            <w:noWrap/>
            <w:vAlign w:val="bottom"/>
            <w:hideMark/>
          </w:tcPr>
          <w:p w14:paraId="561DC99B"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15171.2</w:t>
            </w:r>
          </w:p>
        </w:tc>
        <w:tc>
          <w:tcPr>
            <w:tcW w:w="1070" w:type="dxa"/>
            <w:tcBorders>
              <w:top w:val="nil"/>
              <w:left w:val="nil"/>
              <w:bottom w:val="single" w:sz="4" w:space="0" w:color="auto"/>
              <w:right w:val="single" w:sz="4" w:space="0" w:color="auto"/>
            </w:tcBorders>
            <w:shd w:val="clear" w:color="auto" w:fill="auto"/>
            <w:noWrap/>
            <w:vAlign w:val="bottom"/>
            <w:hideMark/>
          </w:tcPr>
          <w:p w14:paraId="4FCC1CAB"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7436250</w:t>
            </w:r>
          </w:p>
        </w:tc>
        <w:tc>
          <w:tcPr>
            <w:tcW w:w="1230" w:type="dxa"/>
            <w:tcBorders>
              <w:top w:val="nil"/>
              <w:left w:val="nil"/>
              <w:bottom w:val="single" w:sz="4" w:space="0" w:color="auto"/>
              <w:right w:val="single" w:sz="4" w:space="0" w:color="auto"/>
            </w:tcBorders>
            <w:shd w:val="clear" w:color="auto" w:fill="auto"/>
            <w:noWrap/>
            <w:vAlign w:val="bottom"/>
            <w:hideMark/>
          </w:tcPr>
          <w:p w14:paraId="6474B265"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23636</w:t>
            </w:r>
          </w:p>
        </w:tc>
        <w:tc>
          <w:tcPr>
            <w:tcW w:w="1223" w:type="dxa"/>
            <w:tcBorders>
              <w:top w:val="nil"/>
              <w:left w:val="nil"/>
              <w:bottom w:val="single" w:sz="4" w:space="0" w:color="auto"/>
              <w:right w:val="single" w:sz="4" w:space="0" w:color="auto"/>
            </w:tcBorders>
            <w:shd w:val="clear" w:color="auto" w:fill="auto"/>
            <w:noWrap/>
            <w:vAlign w:val="bottom"/>
            <w:hideMark/>
          </w:tcPr>
          <w:p w14:paraId="6BECCA92"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386315.3</w:t>
            </w:r>
          </w:p>
        </w:tc>
      </w:tr>
      <w:tr w:rsidR="00F75098" w:rsidRPr="00600D62" w14:paraId="666D7F4A"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635AAB23"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Minimum</w:t>
            </w:r>
          </w:p>
        </w:tc>
        <w:tc>
          <w:tcPr>
            <w:tcW w:w="1114" w:type="dxa"/>
            <w:tcBorders>
              <w:top w:val="nil"/>
              <w:left w:val="nil"/>
              <w:bottom w:val="single" w:sz="4" w:space="0" w:color="auto"/>
              <w:right w:val="single" w:sz="4" w:space="0" w:color="auto"/>
            </w:tcBorders>
            <w:shd w:val="clear" w:color="auto" w:fill="auto"/>
            <w:noWrap/>
            <w:vAlign w:val="bottom"/>
            <w:hideMark/>
          </w:tcPr>
          <w:p w14:paraId="28644DBC"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9564.3</w:t>
            </w:r>
          </w:p>
        </w:tc>
        <w:tc>
          <w:tcPr>
            <w:tcW w:w="1070" w:type="dxa"/>
            <w:tcBorders>
              <w:top w:val="nil"/>
              <w:left w:val="nil"/>
              <w:bottom w:val="single" w:sz="4" w:space="0" w:color="auto"/>
              <w:right w:val="single" w:sz="4" w:space="0" w:color="auto"/>
            </w:tcBorders>
            <w:shd w:val="clear" w:color="auto" w:fill="auto"/>
            <w:noWrap/>
            <w:vAlign w:val="bottom"/>
            <w:hideMark/>
          </w:tcPr>
          <w:p w14:paraId="2B06EDFB"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17810.9</w:t>
            </w:r>
          </w:p>
        </w:tc>
        <w:tc>
          <w:tcPr>
            <w:tcW w:w="1093" w:type="dxa"/>
            <w:tcBorders>
              <w:top w:val="nil"/>
              <w:left w:val="nil"/>
              <w:bottom w:val="single" w:sz="4" w:space="0" w:color="auto"/>
              <w:right w:val="single" w:sz="4" w:space="0" w:color="auto"/>
            </w:tcBorders>
            <w:shd w:val="clear" w:color="auto" w:fill="auto"/>
            <w:noWrap/>
            <w:vAlign w:val="bottom"/>
            <w:hideMark/>
          </w:tcPr>
          <w:p w14:paraId="43E47101"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18704.5</w:t>
            </w:r>
          </w:p>
        </w:tc>
        <w:tc>
          <w:tcPr>
            <w:tcW w:w="1093" w:type="dxa"/>
            <w:tcBorders>
              <w:top w:val="nil"/>
              <w:left w:val="nil"/>
              <w:bottom w:val="single" w:sz="4" w:space="0" w:color="auto"/>
              <w:right w:val="single" w:sz="4" w:space="0" w:color="auto"/>
            </w:tcBorders>
            <w:shd w:val="clear" w:color="auto" w:fill="auto"/>
            <w:noWrap/>
            <w:vAlign w:val="bottom"/>
            <w:hideMark/>
          </w:tcPr>
          <w:p w14:paraId="2DCFFD65"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10064.5</w:t>
            </w:r>
          </w:p>
        </w:tc>
        <w:tc>
          <w:tcPr>
            <w:tcW w:w="1070" w:type="dxa"/>
            <w:tcBorders>
              <w:top w:val="nil"/>
              <w:left w:val="nil"/>
              <w:bottom w:val="single" w:sz="4" w:space="0" w:color="auto"/>
              <w:right w:val="single" w:sz="4" w:space="0" w:color="auto"/>
            </w:tcBorders>
            <w:shd w:val="clear" w:color="auto" w:fill="auto"/>
            <w:noWrap/>
            <w:vAlign w:val="bottom"/>
            <w:hideMark/>
          </w:tcPr>
          <w:p w14:paraId="1F38D0DA"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5659925</w:t>
            </w:r>
          </w:p>
        </w:tc>
        <w:tc>
          <w:tcPr>
            <w:tcW w:w="1230" w:type="dxa"/>
            <w:tcBorders>
              <w:top w:val="nil"/>
              <w:left w:val="nil"/>
              <w:bottom w:val="single" w:sz="4" w:space="0" w:color="auto"/>
              <w:right w:val="single" w:sz="4" w:space="0" w:color="auto"/>
            </w:tcBorders>
            <w:shd w:val="clear" w:color="auto" w:fill="auto"/>
            <w:noWrap/>
            <w:vAlign w:val="bottom"/>
            <w:hideMark/>
          </w:tcPr>
          <w:p w14:paraId="61B107C5"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10261</w:t>
            </w:r>
          </w:p>
        </w:tc>
        <w:tc>
          <w:tcPr>
            <w:tcW w:w="1223" w:type="dxa"/>
            <w:tcBorders>
              <w:top w:val="nil"/>
              <w:left w:val="nil"/>
              <w:bottom w:val="single" w:sz="4" w:space="0" w:color="auto"/>
              <w:right w:val="single" w:sz="4" w:space="0" w:color="auto"/>
            </w:tcBorders>
            <w:shd w:val="clear" w:color="auto" w:fill="auto"/>
            <w:noWrap/>
            <w:vAlign w:val="bottom"/>
            <w:hideMark/>
          </w:tcPr>
          <w:p w14:paraId="5F8402D5"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136327.8</w:t>
            </w:r>
          </w:p>
        </w:tc>
      </w:tr>
      <w:tr w:rsidR="00F75098" w:rsidRPr="00600D62" w14:paraId="32627F7F"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11B938E4"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Std. Dev.</w:t>
            </w:r>
          </w:p>
        </w:tc>
        <w:tc>
          <w:tcPr>
            <w:tcW w:w="1114" w:type="dxa"/>
            <w:tcBorders>
              <w:top w:val="nil"/>
              <w:left w:val="nil"/>
              <w:bottom w:val="single" w:sz="4" w:space="0" w:color="auto"/>
              <w:right w:val="single" w:sz="4" w:space="0" w:color="auto"/>
            </w:tcBorders>
            <w:shd w:val="clear" w:color="auto" w:fill="auto"/>
            <w:noWrap/>
            <w:vAlign w:val="bottom"/>
            <w:hideMark/>
          </w:tcPr>
          <w:p w14:paraId="09C831BD"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1496.461</w:t>
            </w:r>
          </w:p>
        </w:tc>
        <w:tc>
          <w:tcPr>
            <w:tcW w:w="1070" w:type="dxa"/>
            <w:tcBorders>
              <w:top w:val="nil"/>
              <w:left w:val="nil"/>
              <w:bottom w:val="single" w:sz="4" w:space="0" w:color="auto"/>
              <w:right w:val="single" w:sz="4" w:space="0" w:color="auto"/>
            </w:tcBorders>
            <w:shd w:val="clear" w:color="auto" w:fill="auto"/>
            <w:noWrap/>
            <w:vAlign w:val="bottom"/>
            <w:hideMark/>
          </w:tcPr>
          <w:p w14:paraId="6028C7E5"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6148.093</w:t>
            </w:r>
          </w:p>
        </w:tc>
        <w:tc>
          <w:tcPr>
            <w:tcW w:w="1093" w:type="dxa"/>
            <w:tcBorders>
              <w:top w:val="nil"/>
              <w:left w:val="nil"/>
              <w:bottom w:val="single" w:sz="4" w:space="0" w:color="auto"/>
              <w:right w:val="single" w:sz="4" w:space="0" w:color="auto"/>
            </w:tcBorders>
            <w:shd w:val="clear" w:color="auto" w:fill="auto"/>
            <w:noWrap/>
            <w:vAlign w:val="bottom"/>
            <w:hideMark/>
          </w:tcPr>
          <w:p w14:paraId="17898ACA"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4679.778</w:t>
            </w:r>
          </w:p>
        </w:tc>
        <w:tc>
          <w:tcPr>
            <w:tcW w:w="1093" w:type="dxa"/>
            <w:tcBorders>
              <w:top w:val="nil"/>
              <w:left w:val="nil"/>
              <w:bottom w:val="single" w:sz="4" w:space="0" w:color="auto"/>
              <w:right w:val="single" w:sz="4" w:space="0" w:color="auto"/>
            </w:tcBorders>
            <w:shd w:val="clear" w:color="auto" w:fill="auto"/>
            <w:noWrap/>
            <w:vAlign w:val="bottom"/>
            <w:hideMark/>
          </w:tcPr>
          <w:p w14:paraId="129E1EC2"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1448.887</w:t>
            </w:r>
          </w:p>
        </w:tc>
        <w:tc>
          <w:tcPr>
            <w:tcW w:w="1070" w:type="dxa"/>
            <w:tcBorders>
              <w:top w:val="nil"/>
              <w:left w:val="nil"/>
              <w:bottom w:val="single" w:sz="4" w:space="0" w:color="auto"/>
              <w:right w:val="single" w:sz="4" w:space="0" w:color="auto"/>
            </w:tcBorders>
            <w:shd w:val="clear" w:color="auto" w:fill="auto"/>
            <w:noWrap/>
            <w:vAlign w:val="bottom"/>
            <w:hideMark/>
          </w:tcPr>
          <w:p w14:paraId="570EB4DE"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403942.2</w:t>
            </w:r>
          </w:p>
        </w:tc>
        <w:tc>
          <w:tcPr>
            <w:tcW w:w="1230" w:type="dxa"/>
            <w:tcBorders>
              <w:top w:val="nil"/>
              <w:left w:val="nil"/>
              <w:bottom w:val="single" w:sz="4" w:space="0" w:color="auto"/>
              <w:right w:val="single" w:sz="4" w:space="0" w:color="auto"/>
            </w:tcBorders>
            <w:shd w:val="clear" w:color="auto" w:fill="auto"/>
            <w:noWrap/>
            <w:vAlign w:val="bottom"/>
            <w:hideMark/>
          </w:tcPr>
          <w:p w14:paraId="6A3D91EC"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4103.822</w:t>
            </w:r>
          </w:p>
        </w:tc>
        <w:tc>
          <w:tcPr>
            <w:tcW w:w="1223" w:type="dxa"/>
            <w:tcBorders>
              <w:top w:val="nil"/>
              <w:left w:val="nil"/>
              <w:bottom w:val="single" w:sz="4" w:space="0" w:color="auto"/>
              <w:right w:val="single" w:sz="4" w:space="0" w:color="auto"/>
            </w:tcBorders>
            <w:shd w:val="clear" w:color="auto" w:fill="auto"/>
            <w:noWrap/>
            <w:vAlign w:val="bottom"/>
            <w:hideMark/>
          </w:tcPr>
          <w:p w14:paraId="5713EC71"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67445.17</w:t>
            </w:r>
          </w:p>
        </w:tc>
      </w:tr>
      <w:tr w:rsidR="00F75098" w:rsidRPr="00600D62" w14:paraId="5CB3B62E"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07C1F9D1"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Skewness</w:t>
            </w:r>
          </w:p>
        </w:tc>
        <w:tc>
          <w:tcPr>
            <w:tcW w:w="1114" w:type="dxa"/>
            <w:tcBorders>
              <w:top w:val="nil"/>
              <w:left w:val="nil"/>
              <w:bottom w:val="single" w:sz="4" w:space="0" w:color="auto"/>
              <w:right w:val="single" w:sz="4" w:space="0" w:color="auto"/>
            </w:tcBorders>
            <w:shd w:val="clear" w:color="auto" w:fill="auto"/>
            <w:noWrap/>
            <w:vAlign w:val="bottom"/>
            <w:hideMark/>
          </w:tcPr>
          <w:p w14:paraId="37996FC3" w14:textId="2BF16159"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-0.453</w:t>
            </w:r>
          </w:p>
        </w:tc>
        <w:tc>
          <w:tcPr>
            <w:tcW w:w="1070" w:type="dxa"/>
            <w:tcBorders>
              <w:top w:val="nil"/>
              <w:left w:val="nil"/>
              <w:bottom w:val="single" w:sz="4" w:space="0" w:color="auto"/>
              <w:right w:val="single" w:sz="4" w:space="0" w:color="auto"/>
            </w:tcBorders>
            <w:shd w:val="clear" w:color="auto" w:fill="auto"/>
            <w:noWrap/>
            <w:vAlign w:val="bottom"/>
            <w:hideMark/>
          </w:tcPr>
          <w:p w14:paraId="14616575" w14:textId="0E3B1800"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0.65</w:t>
            </w:r>
            <w:r w:rsidR="008F396F">
              <w:rPr>
                <w:rFonts w:ascii="Calibri" w:eastAsia="Times New Roman" w:hAnsi="Calibri" w:cs="Calibri"/>
                <w:color w:val="000000"/>
                <w:lang w:val="en-GB" w:eastAsia="en-GB"/>
              </w:rPr>
              <w:t>9</w:t>
            </w:r>
          </w:p>
        </w:tc>
        <w:tc>
          <w:tcPr>
            <w:tcW w:w="1093" w:type="dxa"/>
            <w:tcBorders>
              <w:top w:val="nil"/>
              <w:left w:val="nil"/>
              <w:bottom w:val="single" w:sz="4" w:space="0" w:color="auto"/>
              <w:right w:val="single" w:sz="4" w:space="0" w:color="auto"/>
            </w:tcBorders>
            <w:shd w:val="clear" w:color="auto" w:fill="auto"/>
            <w:noWrap/>
            <w:vAlign w:val="bottom"/>
            <w:hideMark/>
          </w:tcPr>
          <w:p w14:paraId="777DF645" w14:textId="777916B8"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0.398</w:t>
            </w:r>
          </w:p>
        </w:tc>
        <w:tc>
          <w:tcPr>
            <w:tcW w:w="1093" w:type="dxa"/>
            <w:tcBorders>
              <w:top w:val="nil"/>
              <w:left w:val="nil"/>
              <w:bottom w:val="single" w:sz="4" w:space="0" w:color="auto"/>
              <w:right w:val="single" w:sz="4" w:space="0" w:color="auto"/>
            </w:tcBorders>
            <w:shd w:val="clear" w:color="auto" w:fill="auto"/>
            <w:noWrap/>
            <w:vAlign w:val="bottom"/>
            <w:hideMark/>
          </w:tcPr>
          <w:p w14:paraId="365D9AD2" w14:textId="6628E349"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0.7</w:t>
            </w:r>
            <w:r w:rsidR="008F396F">
              <w:rPr>
                <w:rFonts w:ascii="Calibri" w:eastAsia="Times New Roman" w:hAnsi="Calibri" w:cs="Calibri"/>
                <w:color w:val="000000"/>
                <w:lang w:val="en-GB" w:eastAsia="en-GB"/>
              </w:rPr>
              <w:t>20</w:t>
            </w:r>
          </w:p>
        </w:tc>
        <w:tc>
          <w:tcPr>
            <w:tcW w:w="1070" w:type="dxa"/>
            <w:tcBorders>
              <w:top w:val="nil"/>
              <w:left w:val="nil"/>
              <w:bottom w:val="single" w:sz="4" w:space="0" w:color="auto"/>
              <w:right w:val="single" w:sz="4" w:space="0" w:color="auto"/>
            </w:tcBorders>
            <w:shd w:val="clear" w:color="auto" w:fill="auto"/>
            <w:noWrap/>
            <w:vAlign w:val="bottom"/>
            <w:hideMark/>
          </w:tcPr>
          <w:p w14:paraId="4009378A" w14:textId="58564EC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-0.0</w:t>
            </w:r>
            <w:r w:rsidR="008F396F">
              <w:rPr>
                <w:rFonts w:ascii="Calibri" w:eastAsia="Times New Roman" w:hAnsi="Calibri" w:cs="Calibri"/>
                <w:color w:val="000000"/>
                <w:lang w:val="en-GB" w:eastAsia="en-GB"/>
              </w:rPr>
              <w:t>40</w:t>
            </w:r>
          </w:p>
        </w:tc>
        <w:tc>
          <w:tcPr>
            <w:tcW w:w="1230" w:type="dxa"/>
            <w:tcBorders>
              <w:top w:val="nil"/>
              <w:left w:val="nil"/>
              <w:bottom w:val="single" w:sz="4" w:space="0" w:color="auto"/>
              <w:right w:val="single" w:sz="4" w:space="0" w:color="auto"/>
            </w:tcBorders>
            <w:shd w:val="clear" w:color="auto" w:fill="auto"/>
            <w:noWrap/>
            <w:vAlign w:val="bottom"/>
            <w:hideMark/>
          </w:tcPr>
          <w:p w14:paraId="3CA48D63" w14:textId="7211DB35"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-0.153</w:t>
            </w:r>
          </w:p>
        </w:tc>
        <w:tc>
          <w:tcPr>
            <w:tcW w:w="1223" w:type="dxa"/>
            <w:tcBorders>
              <w:top w:val="nil"/>
              <w:left w:val="nil"/>
              <w:bottom w:val="single" w:sz="4" w:space="0" w:color="auto"/>
              <w:right w:val="single" w:sz="4" w:space="0" w:color="auto"/>
            </w:tcBorders>
            <w:shd w:val="clear" w:color="auto" w:fill="auto"/>
            <w:noWrap/>
            <w:vAlign w:val="bottom"/>
            <w:hideMark/>
          </w:tcPr>
          <w:p w14:paraId="0FD0EA28" w14:textId="211CF0AB"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0.766</w:t>
            </w:r>
          </w:p>
        </w:tc>
      </w:tr>
      <w:tr w:rsidR="00F75098" w:rsidRPr="00600D62" w14:paraId="5A6413BF"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7560DEA5"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Kurtosis</w:t>
            </w:r>
          </w:p>
        </w:tc>
        <w:tc>
          <w:tcPr>
            <w:tcW w:w="1114" w:type="dxa"/>
            <w:tcBorders>
              <w:top w:val="nil"/>
              <w:left w:val="nil"/>
              <w:bottom w:val="single" w:sz="4" w:space="0" w:color="auto"/>
              <w:right w:val="single" w:sz="4" w:space="0" w:color="auto"/>
            </w:tcBorders>
            <w:shd w:val="clear" w:color="auto" w:fill="auto"/>
            <w:noWrap/>
            <w:vAlign w:val="bottom"/>
            <w:hideMark/>
          </w:tcPr>
          <w:p w14:paraId="204A5B47" w14:textId="029B26DF"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2.52</w:t>
            </w:r>
            <w:r w:rsidR="008F396F">
              <w:rPr>
                <w:rFonts w:ascii="Calibri" w:eastAsia="Times New Roman" w:hAnsi="Calibri" w:cs="Calibri"/>
                <w:color w:val="000000"/>
                <w:lang w:val="en-GB" w:eastAsia="en-GB"/>
              </w:rPr>
              <w:t>1</w:t>
            </w:r>
          </w:p>
        </w:tc>
        <w:tc>
          <w:tcPr>
            <w:tcW w:w="1070" w:type="dxa"/>
            <w:tcBorders>
              <w:top w:val="nil"/>
              <w:left w:val="nil"/>
              <w:bottom w:val="single" w:sz="4" w:space="0" w:color="auto"/>
              <w:right w:val="single" w:sz="4" w:space="0" w:color="auto"/>
            </w:tcBorders>
            <w:shd w:val="clear" w:color="auto" w:fill="auto"/>
            <w:noWrap/>
            <w:vAlign w:val="bottom"/>
            <w:hideMark/>
          </w:tcPr>
          <w:p w14:paraId="5F9C65AB" w14:textId="0ED610BA"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2.51</w:t>
            </w:r>
            <w:r w:rsidR="008F396F">
              <w:rPr>
                <w:rFonts w:ascii="Calibri" w:eastAsia="Times New Roman" w:hAnsi="Calibri" w:cs="Calibri"/>
                <w:color w:val="000000"/>
                <w:lang w:val="en-GB" w:eastAsia="en-GB"/>
              </w:rPr>
              <w:t>8</w:t>
            </w:r>
          </w:p>
        </w:tc>
        <w:tc>
          <w:tcPr>
            <w:tcW w:w="1093" w:type="dxa"/>
            <w:tcBorders>
              <w:top w:val="nil"/>
              <w:left w:val="nil"/>
              <w:bottom w:val="single" w:sz="4" w:space="0" w:color="auto"/>
              <w:right w:val="single" w:sz="4" w:space="0" w:color="auto"/>
            </w:tcBorders>
            <w:shd w:val="clear" w:color="auto" w:fill="auto"/>
            <w:noWrap/>
            <w:vAlign w:val="bottom"/>
            <w:hideMark/>
          </w:tcPr>
          <w:p w14:paraId="0DF537C7" w14:textId="4112392F"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1.744</w:t>
            </w:r>
          </w:p>
        </w:tc>
        <w:tc>
          <w:tcPr>
            <w:tcW w:w="1093" w:type="dxa"/>
            <w:tcBorders>
              <w:top w:val="nil"/>
              <w:left w:val="nil"/>
              <w:bottom w:val="single" w:sz="4" w:space="0" w:color="auto"/>
              <w:right w:val="single" w:sz="4" w:space="0" w:color="auto"/>
            </w:tcBorders>
            <w:shd w:val="clear" w:color="auto" w:fill="auto"/>
            <w:noWrap/>
            <w:vAlign w:val="bottom"/>
            <w:hideMark/>
          </w:tcPr>
          <w:p w14:paraId="13697AED" w14:textId="09B2D3F3"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2.02</w:t>
            </w:r>
            <w:r w:rsidR="008F396F">
              <w:rPr>
                <w:rFonts w:ascii="Calibri" w:eastAsia="Times New Roman" w:hAnsi="Calibri" w:cs="Calibri"/>
                <w:color w:val="000000"/>
                <w:lang w:val="en-GB" w:eastAsia="en-GB"/>
              </w:rPr>
              <w:t>1</w:t>
            </w:r>
          </w:p>
        </w:tc>
        <w:tc>
          <w:tcPr>
            <w:tcW w:w="1070" w:type="dxa"/>
            <w:tcBorders>
              <w:top w:val="nil"/>
              <w:left w:val="nil"/>
              <w:bottom w:val="single" w:sz="4" w:space="0" w:color="auto"/>
              <w:right w:val="single" w:sz="4" w:space="0" w:color="auto"/>
            </w:tcBorders>
            <w:shd w:val="clear" w:color="auto" w:fill="auto"/>
            <w:noWrap/>
            <w:vAlign w:val="bottom"/>
            <w:hideMark/>
          </w:tcPr>
          <w:p w14:paraId="509DA153" w14:textId="7A6DC91D"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2.879</w:t>
            </w:r>
          </w:p>
        </w:tc>
        <w:tc>
          <w:tcPr>
            <w:tcW w:w="1230" w:type="dxa"/>
            <w:tcBorders>
              <w:top w:val="nil"/>
              <w:left w:val="nil"/>
              <w:bottom w:val="single" w:sz="4" w:space="0" w:color="auto"/>
              <w:right w:val="single" w:sz="4" w:space="0" w:color="auto"/>
            </w:tcBorders>
            <w:shd w:val="clear" w:color="auto" w:fill="auto"/>
            <w:noWrap/>
            <w:vAlign w:val="bottom"/>
            <w:hideMark/>
          </w:tcPr>
          <w:p w14:paraId="4A42D514" w14:textId="31F9945A"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1.67</w:t>
            </w:r>
            <w:r w:rsidR="008F396F">
              <w:rPr>
                <w:rFonts w:ascii="Calibri" w:eastAsia="Times New Roman" w:hAnsi="Calibri" w:cs="Calibri"/>
                <w:color w:val="000000"/>
                <w:lang w:val="en-GB" w:eastAsia="en-GB"/>
              </w:rPr>
              <w:t>9</w:t>
            </w:r>
          </w:p>
        </w:tc>
        <w:tc>
          <w:tcPr>
            <w:tcW w:w="1223" w:type="dxa"/>
            <w:tcBorders>
              <w:top w:val="nil"/>
              <w:left w:val="nil"/>
              <w:bottom w:val="single" w:sz="4" w:space="0" w:color="auto"/>
              <w:right w:val="single" w:sz="4" w:space="0" w:color="auto"/>
            </w:tcBorders>
            <w:shd w:val="clear" w:color="auto" w:fill="auto"/>
            <w:noWrap/>
            <w:vAlign w:val="bottom"/>
            <w:hideMark/>
          </w:tcPr>
          <w:p w14:paraId="00F537A3" w14:textId="6592CD5F"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2.64</w:t>
            </w:r>
            <w:r w:rsidR="008F396F">
              <w:rPr>
                <w:rFonts w:ascii="Calibri" w:eastAsia="Times New Roman" w:hAnsi="Calibri" w:cs="Calibri"/>
                <w:color w:val="000000"/>
                <w:lang w:val="en-GB" w:eastAsia="en-GB"/>
              </w:rPr>
              <w:t>4</w:t>
            </w:r>
          </w:p>
        </w:tc>
      </w:tr>
      <w:tr w:rsidR="00F75098" w:rsidRPr="00600D62" w14:paraId="2327A0F2"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4C5674AF"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114" w:type="dxa"/>
            <w:tcBorders>
              <w:top w:val="nil"/>
              <w:left w:val="nil"/>
              <w:bottom w:val="single" w:sz="4" w:space="0" w:color="auto"/>
              <w:right w:val="single" w:sz="4" w:space="0" w:color="auto"/>
            </w:tcBorders>
            <w:shd w:val="clear" w:color="auto" w:fill="auto"/>
            <w:noWrap/>
            <w:vAlign w:val="bottom"/>
            <w:hideMark/>
          </w:tcPr>
          <w:p w14:paraId="2BC72AE7"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12C5A4C8"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434F3D5C"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51F1CECF"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4497B39D"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30" w:type="dxa"/>
            <w:tcBorders>
              <w:top w:val="nil"/>
              <w:left w:val="nil"/>
              <w:bottom w:val="single" w:sz="4" w:space="0" w:color="auto"/>
              <w:right w:val="single" w:sz="4" w:space="0" w:color="auto"/>
            </w:tcBorders>
            <w:shd w:val="clear" w:color="auto" w:fill="auto"/>
            <w:noWrap/>
            <w:vAlign w:val="bottom"/>
            <w:hideMark/>
          </w:tcPr>
          <w:p w14:paraId="0AD274C4"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23" w:type="dxa"/>
            <w:tcBorders>
              <w:top w:val="nil"/>
              <w:left w:val="nil"/>
              <w:bottom w:val="single" w:sz="4" w:space="0" w:color="auto"/>
              <w:right w:val="single" w:sz="4" w:space="0" w:color="auto"/>
            </w:tcBorders>
            <w:shd w:val="clear" w:color="auto" w:fill="auto"/>
            <w:noWrap/>
            <w:vAlign w:val="bottom"/>
            <w:hideMark/>
          </w:tcPr>
          <w:p w14:paraId="46D637CD"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r>
      <w:tr w:rsidR="00F75098" w:rsidRPr="00600D62" w14:paraId="76859F1B"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425625DA"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Jarque-Bera</w:t>
            </w:r>
          </w:p>
        </w:tc>
        <w:tc>
          <w:tcPr>
            <w:tcW w:w="1114" w:type="dxa"/>
            <w:tcBorders>
              <w:top w:val="nil"/>
              <w:left w:val="nil"/>
              <w:bottom w:val="single" w:sz="4" w:space="0" w:color="auto"/>
              <w:right w:val="single" w:sz="4" w:space="0" w:color="auto"/>
            </w:tcBorders>
            <w:shd w:val="clear" w:color="auto" w:fill="auto"/>
            <w:noWrap/>
            <w:vAlign w:val="bottom"/>
            <w:hideMark/>
          </w:tcPr>
          <w:p w14:paraId="7DF6F009" w14:textId="52DD4D03"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4.031</w:t>
            </w:r>
          </w:p>
        </w:tc>
        <w:tc>
          <w:tcPr>
            <w:tcW w:w="1070" w:type="dxa"/>
            <w:tcBorders>
              <w:top w:val="nil"/>
              <w:left w:val="nil"/>
              <w:bottom w:val="single" w:sz="4" w:space="0" w:color="auto"/>
              <w:right w:val="single" w:sz="4" w:space="0" w:color="auto"/>
            </w:tcBorders>
            <w:shd w:val="clear" w:color="auto" w:fill="auto"/>
            <w:noWrap/>
            <w:vAlign w:val="bottom"/>
            <w:hideMark/>
          </w:tcPr>
          <w:p w14:paraId="0563934B" w14:textId="454C78A0"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7.543</w:t>
            </w:r>
          </w:p>
        </w:tc>
        <w:tc>
          <w:tcPr>
            <w:tcW w:w="1093" w:type="dxa"/>
            <w:tcBorders>
              <w:top w:val="nil"/>
              <w:left w:val="nil"/>
              <w:bottom w:val="single" w:sz="4" w:space="0" w:color="auto"/>
              <w:right w:val="single" w:sz="4" w:space="0" w:color="auto"/>
            </w:tcBorders>
            <w:shd w:val="clear" w:color="auto" w:fill="auto"/>
            <w:noWrap/>
            <w:vAlign w:val="bottom"/>
            <w:hideMark/>
          </w:tcPr>
          <w:p w14:paraId="581647D6" w14:textId="5571402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8.475</w:t>
            </w:r>
          </w:p>
        </w:tc>
        <w:tc>
          <w:tcPr>
            <w:tcW w:w="1093" w:type="dxa"/>
            <w:tcBorders>
              <w:top w:val="nil"/>
              <w:left w:val="nil"/>
              <w:bottom w:val="single" w:sz="4" w:space="0" w:color="auto"/>
              <w:right w:val="single" w:sz="4" w:space="0" w:color="auto"/>
            </w:tcBorders>
            <w:shd w:val="clear" w:color="auto" w:fill="auto"/>
            <w:noWrap/>
            <w:vAlign w:val="bottom"/>
            <w:hideMark/>
          </w:tcPr>
          <w:p w14:paraId="69CEC14B" w14:textId="5B3EF06B"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11.61</w:t>
            </w:r>
            <w:r w:rsidR="008F396F">
              <w:rPr>
                <w:rFonts w:ascii="Calibri" w:eastAsia="Times New Roman" w:hAnsi="Calibri" w:cs="Calibri"/>
                <w:color w:val="000000"/>
                <w:lang w:val="en-GB" w:eastAsia="en-GB"/>
              </w:rPr>
              <w:t>7</w:t>
            </w:r>
          </w:p>
        </w:tc>
        <w:tc>
          <w:tcPr>
            <w:tcW w:w="1070" w:type="dxa"/>
            <w:tcBorders>
              <w:top w:val="nil"/>
              <w:left w:val="nil"/>
              <w:bottom w:val="single" w:sz="4" w:space="0" w:color="auto"/>
              <w:right w:val="single" w:sz="4" w:space="0" w:color="auto"/>
            </w:tcBorders>
            <w:shd w:val="clear" w:color="auto" w:fill="auto"/>
            <w:noWrap/>
            <w:vAlign w:val="bottom"/>
            <w:hideMark/>
          </w:tcPr>
          <w:p w14:paraId="3BDA514F" w14:textId="7C169A1C"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0.059</w:t>
            </w:r>
          </w:p>
        </w:tc>
        <w:tc>
          <w:tcPr>
            <w:tcW w:w="1230" w:type="dxa"/>
            <w:tcBorders>
              <w:top w:val="nil"/>
              <w:left w:val="nil"/>
              <w:bottom w:val="single" w:sz="4" w:space="0" w:color="auto"/>
              <w:right w:val="single" w:sz="4" w:space="0" w:color="auto"/>
            </w:tcBorders>
            <w:shd w:val="clear" w:color="auto" w:fill="auto"/>
            <w:noWrap/>
            <w:vAlign w:val="bottom"/>
            <w:hideMark/>
          </w:tcPr>
          <w:p w14:paraId="416E0F3A" w14:textId="6BCCD69E"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7.051</w:t>
            </w:r>
          </w:p>
        </w:tc>
        <w:tc>
          <w:tcPr>
            <w:tcW w:w="1223" w:type="dxa"/>
            <w:tcBorders>
              <w:top w:val="nil"/>
              <w:left w:val="nil"/>
              <w:bottom w:val="single" w:sz="4" w:space="0" w:color="auto"/>
              <w:right w:val="single" w:sz="4" w:space="0" w:color="auto"/>
            </w:tcBorders>
            <w:shd w:val="clear" w:color="auto" w:fill="auto"/>
            <w:noWrap/>
            <w:vAlign w:val="bottom"/>
            <w:hideMark/>
          </w:tcPr>
          <w:p w14:paraId="364B0182" w14:textId="7873ABEE"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9.492</w:t>
            </w:r>
          </w:p>
        </w:tc>
      </w:tr>
      <w:tr w:rsidR="00F75098" w:rsidRPr="00600D62" w14:paraId="48458046"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7F35C890"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Probability</w:t>
            </w:r>
          </w:p>
        </w:tc>
        <w:tc>
          <w:tcPr>
            <w:tcW w:w="1114" w:type="dxa"/>
            <w:tcBorders>
              <w:top w:val="nil"/>
              <w:left w:val="nil"/>
              <w:bottom w:val="single" w:sz="4" w:space="0" w:color="auto"/>
              <w:right w:val="single" w:sz="4" w:space="0" w:color="auto"/>
            </w:tcBorders>
            <w:shd w:val="clear" w:color="auto" w:fill="auto"/>
            <w:noWrap/>
            <w:vAlign w:val="bottom"/>
            <w:hideMark/>
          </w:tcPr>
          <w:p w14:paraId="4D5C42F5" w14:textId="1F0CB2DC"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0.133</w:t>
            </w:r>
          </w:p>
        </w:tc>
        <w:tc>
          <w:tcPr>
            <w:tcW w:w="1070" w:type="dxa"/>
            <w:tcBorders>
              <w:top w:val="nil"/>
              <w:left w:val="nil"/>
              <w:bottom w:val="single" w:sz="4" w:space="0" w:color="auto"/>
              <w:right w:val="single" w:sz="4" w:space="0" w:color="auto"/>
            </w:tcBorders>
            <w:shd w:val="clear" w:color="auto" w:fill="auto"/>
            <w:noWrap/>
            <w:vAlign w:val="bottom"/>
            <w:hideMark/>
          </w:tcPr>
          <w:p w14:paraId="67819A93" w14:textId="46CAC53B"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0.023</w:t>
            </w:r>
          </w:p>
        </w:tc>
        <w:tc>
          <w:tcPr>
            <w:tcW w:w="1093" w:type="dxa"/>
            <w:tcBorders>
              <w:top w:val="nil"/>
              <w:left w:val="nil"/>
              <w:bottom w:val="single" w:sz="4" w:space="0" w:color="auto"/>
              <w:right w:val="single" w:sz="4" w:space="0" w:color="auto"/>
            </w:tcBorders>
            <w:shd w:val="clear" w:color="auto" w:fill="auto"/>
            <w:noWrap/>
            <w:vAlign w:val="bottom"/>
            <w:hideMark/>
          </w:tcPr>
          <w:p w14:paraId="7213F6FB" w14:textId="7816D98A"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0.014</w:t>
            </w:r>
          </w:p>
        </w:tc>
        <w:tc>
          <w:tcPr>
            <w:tcW w:w="1093" w:type="dxa"/>
            <w:tcBorders>
              <w:top w:val="nil"/>
              <w:left w:val="nil"/>
              <w:bottom w:val="single" w:sz="4" w:space="0" w:color="auto"/>
              <w:right w:val="single" w:sz="4" w:space="0" w:color="auto"/>
            </w:tcBorders>
            <w:shd w:val="clear" w:color="auto" w:fill="auto"/>
            <w:noWrap/>
            <w:vAlign w:val="bottom"/>
            <w:hideMark/>
          </w:tcPr>
          <w:p w14:paraId="02F6E583" w14:textId="5E055A88"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0.003</w:t>
            </w:r>
          </w:p>
        </w:tc>
        <w:tc>
          <w:tcPr>
            <w:tcW w:w="1070" w:type="dxa"/>
            <w:tcBorders>
              <w:top w:val="nil"/>
              <w:left w:val="nil"/>
              <w:bottom w:val="single" w:sz="4" w:space="0" w:color="auto"/>
              <w:right w:val="single" w:sz="4" w:space="0" w:color="auto"/>
            </w:tcBorders>
            <w:shd w:val="clear" w:color="auto" w:fill="auto"/>
            <w:noWrap/>
            <w:vAlign w:val="bottom"/>
            <w:hideMark/>
          </w:tcPr>
          <w:p w14:paraId="54CF7C79" w14:textId="7486A342"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0.97</w:t>
            </w:r>
            <w:r w:rsidR="008F396F">
              <w:rPr>
                <w:rFonts w:ascii="Calibri" w:eastAsia="Times New Roman" w:hAnsi="Calibri" w:cs="Calibri"/>
                <w:color w:val="000000"/>
                <w:lang w:val="en-GB" w:eastAsia="en-GB"/>
              </w:rPr>
              <w:t>1</w:t>
            </w:r>
          </w:p>
        </w:tc>
        <w:tc>
          <w:tcPr>
            <w:tcW w:w="1230" w:type="dxa"/>
            <w:tcBorders>
              <w:top w:val="nil"/>
              <w:left w:val="nil"/>
              <w:bottom w:val="single" w:sz="4" w:space="0" w:color="auto"/>
              <w:right w:val="single" w:sz="4" w:space="0" w:color="auto"/>
            </w:tcBorders>
            <w:shd w:val="clear" w:color="auto" w:fill="auto"/>
            <w:noWrap/>
            <w:vAlign w:val="bottom"/>
            <w:hideMark/>
          </w:tcPr>
          <w:p w14:paraId="36E71C68" w14:textId="7F58B9AB"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0.029</w:t>
            </w:r>
          </w:p>
        </w:tc>
        <w:tc>
          <w:tcPr>
            <w:tcW w:w="1223" w:type="dxa"/>
            <w:tcBorders>
              <w:top w:val="nil"/>
              <w:left w:val="nil"/>
              <w:bottom w:val="single" w:sz="4" w:space="0" w:color="auto"/>
              <w:right w:val="single" w:sz="4" w:space="0" w:color="auto"/>
            </w:tcBorders>
            <w:shd w:val="clear" w:color="auto" w:fill="auto"/>
            <w:noWrap/>
            <w:vAlign w:val="bottom"/>
            <w:hideMark/>
          </w:tcPr>
          <w:p w14:paraId="5B398238" w14:textId="7D968B8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0.00</w:t>
            </w:r>
            <w:r w:rsidR="008F396F">
              <w:rPr>
                <w:rFonts w:ascii="Calibri" w:eastAsia="Times New Roman" w:hAnsi="Calibri" w:cs="Calibri"/>
                <w:color w:val="000000"/>
                <w:lang w:val="en-GB" w:eastAsia="en-GB"/>
              </w:rPr>
              <w:t>9</w:t>
            </w:r>
          </w:p>
        </w:tc>
      </w:tr>
      <w:tr w:rsidR="00F75098" w:rsidRPr="00600D62" w14:paraId="0AAE78BC"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2D56E6C8"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114" w:type="dxa"/>
            <w:tcBorders>
              <w:top w:val="nil"/>
              <w:left w:val="nil"/>
              <w:bottom w:val="single" w:sz="4" w:space="0" w:color="auto"/>
              <w:right w:val="single" w:sz="4" w:space="0" w:color="auto"/>
            </w:tcBorders>
            <w:shd w:val="clear" w:color="auto" w:fill="auto"/>
            <w:noWrap/>
            <w:vAlign w:val="bottom"/>
            <w:hideMark/>
          </w:tcPr>
          <w:p w14:paraId="79E048F7"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2C5C226B"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65A131EB"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7404F669"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7D6E0583"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30" w:type="dxa"/>
            <w:tcBorders>
              <w:top w:val="nil"/>
              <w:left w:val="nil"/>
              <w:bottom w:val="single" w:sz="4" w:space="0" w:color="auto"/>
              <w:right w:val="single" w:sz="4" w:space="0" w:color="auto"/>
            </w:tcBorders>
            <w:shd w:val="clear" w:color="auto" w:fill="auto"/>
            <w:noWrap/>
            <w:vAlign w:val="bottom"/>
            <w:hideMark/>
          </w:tcPr>
          <w:p w14:paraId="00D67E09"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23" w:type="dxa"/>
            <w:tcBorders>
              <w:top w:val="nil"/>
              <w:left w:val="nil"/>
              <w:bottom w:val="single" w:sz="4" w:space="0" w:color="auto"/>
              <w:right w:val="single" w:sz="4" w:space="0" w:color="auto"/>
            </w:tcBorders>
            <w:shd w:val="clear" w:color="auto" w:fill="auto"/>
            <w:noWrap/>
            <w:vAlign w:val="bottom"/>
            <w:hideMark/>
          </w:tcPr>
          <w:p w14:paraId="3FADD418"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r>
      <w:tr w:rsidR="00F75098" w:rsidRPr="00600D62" w14:paraId="63CA0B3E"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625A8555"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Sum</w:t>
            </w:r>
          </w:p>
        </w:tc>
        <w:tc>
          <w:tcPr>
            <w:tcW w:w="1114" w:type="dxa"/>
            <w:tcBorders>
              <w:top w:val="nil"/>
              <w:left w:val="nil"/>
              <w:bottom w:val="single" w:sz="4" w:space="0" w:color="auto"/>
              <w:right w:val="single" w:sz="4" w:space="0" w:color="auto"/>
            </w:tcBorders>
            <w:shd w:val="clear" w:color="auto" w:fill="auto"/>
            <w:noWrap/>
            <w:vAlign w:val="bottom"/>
            <w:hideMark/>
          </w:tcPr>
          <w:p w14:paraId="45BA0132"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1232367</w:t>
            </w:r>
          </w:p>
        </w:tc>
        <w:tc>
          <w:tcPr>
            <w:tcW w:w="1070" w:type="dxa"/>
            <w:tcBorders>
              <w:top w:val="nil"/>
              <w:left w:val="nil"/>
              <w:bottom w:val="single" w:sz="4" w:space="0" w:color="auto"/>
              <w:right w:val="single" w:sz="4" w:space="0" w:color="auto"/>
            </w:tcBorders>
            <w:shd w:val="clear" w:color="auto" w:fill="auto"/>
            <w:noWrap/>
            <w:vAlign w:val="bottom"/>
            <w:hideMark/>
          </w:tcPr>
          <w:p w14:paraId="0BCCA38C"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2434824</w:t>
            </w:r>
          </w:p>
        </w:tc>
        <w:tc>
          <w:tcPr>
            <w:tcW w:w="1093" w:type="dxa"/>
            <w:tcBorders>
              <w:top w:val="nil"/>
              <w:left w:val="nil"/>
              <w:bottom w:val="single" w:sz="4" w:space="0" w:color="auto"/>
              <w:right w:val="single" w:sz="4" w:space="0" w:color="auto"/>
            </w:tcBorders>
            <w:shd w:val="clear" w:color="auto" w:fill="auto"/>
            <w:noWrap/>
            <w:vAlign w:val="bottom"/>
            <w:hideMark/>
          </w:tcPr>
          <w:p w14:paraId="44AAF72B"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2266383</w:t>
            </w:r>
          </w:p>
        </w:tc>
        <w:tc>
          <w:tcPr>
            <w:tcW w:w="1093" w:type="dxa"/>
            <w:tcBorders>
              <w:top w:val="nil"/>
              <w:left w:val="nil"/>
              <w:bottom w:val="single" w:sz="4" w:space="0" w:color="auto"/>
              <w:right w:val="single" w:sz="4" w:space="0" w:color="auto"/>
            </w:tcBorders>
            <w:shd w:val="clear" w:color="auto" w:fill="auto"/>
            <w:noWrap/>
            <w:vAlign w:val="bottom"/>
            <w:hideMark/>
          </w:tcPr>
          <w:p w14:paraId="6DD90722"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1083613</w:t>
            </w:r>
          </w:p>
        </w:tc>
        <w:tc>
          <w:tcPr>
            <w:tcW w:w="1070" w:type="dxa"/>
            <w:tcBorders>
              <w:top w:val="nil"/>
              <w:left w:val="nil"/>
              <w:bottom w:val="single" w:sz="4" w:space="0" w:color="auto"/>
              <w:right w:val="single" w:sz="4" w:space="0" w:color="auto"/>
            </w:tcBorders>
            <w:shd w:val="clear" w:color="auto" w:fill="auto"/>
            <w:noWrap/>
            <w:vAlign w:val="bottom"/>
            <w:hideMark/>
          </w:tcPr>
          <w:p w14:paraId="39F38D60"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4.51E+08</w:t>
            </w:r>
          </w:p>
        </w:tc>
        <w:tc>
          <w:tcPr>
            <w:tcW w:w="1230" w:type="dxa"/>
            <w:tcBorders>
              <w:top w:val="nil"/>
              <w:left w:val="nil"/>
              <w:bottom w:val="single" w:sz="4" w:space="0" w:color="auto"/>
              <w:right w:val="single" w:sz="4" w:space="0" w:color="auto"/>
            </w:tcBorders>
            <w:shd w:val="clear" w:color="auto" w:fill="auto"/>
            <w:noWrap/>
            <w:vAlign w:val="bottom"/>
            <w:hideMark/>
          </w:tcPr>
          <w:p w14:paraId="4F83769D"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1569215</w:t>
            </w:r>
          </w:p>
        </w:tc>
        <w:tc>
          <w:tcPr>
            <w:tcW w:w="1223" w:type="dxa"/>
            <w:tcBorders>
              <w:top w:val="nil"/>
              <w:left w:val="nil"/>
              <w:bottom w:val="single" w:sz="4" w:space="0" w:color="auto"/>
              <w:right w:val="single" w:sz="4" w:space="0" w:color="auto"/>
            </w:tcBorders>
            <w:shd w:val="clear" w:color="auto" w:fill="auto"/>
            <w:noWrap/>
            <w:vAlign w:val="bottom"/>
            <w:hideMark/>
          </w:tcPr>
          <w:p w14:paraId="016A3D9B"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20287809</w:t>
            </w:r>
          </w:p>
        </w:tc>
      </w:tr>
      <w:tr w:rsidR="00F75098" w:rsidRPr="00600D62" w14:paraId="4A4167C0"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591E429C"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Sum Sq. Dev.</w:t>
            </w:r>
          </w:p>
        </w:tc>
        <w:tc>
          <w:tcPr>
            <w:tcW w:w="1114" w:type="dxa"/>
            <w:tcBorders>
              <w:top w:val="nil"/>
              <w:left w:val="nil"/>
              <w:bottom w:val="single" w:sz="4" w:space="0" w:color="auto"/>
              <w:right w:val="single" w:sz="4" w:space="0" w:color="auto"/>
            </w:tcBorders>
            <w:shd w:val="clear" w:color="auto" w:fill="auto"/>
            <w:noWrap/>
            <w:vAlign w:val="bottom"/>
            <w:hideMark/>
          </w:tcPr>
          <w:p w14:paraId="78EE2DFD"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2.04E+08</w:t>
            </w:r>
          </w:p>
        </w:tc>
        <w:tc>
          <w:tcPr>
            <w:tcW w:w="1070" w:type="dxa"/>
            <w:tcBorders>
              <w:top w:val="nil"/>
              <w:left w:val="nil"/>
              <w:bottom w:val="single" w:sz="4" w:space="0" w:color="auto"/>
              <w:right w:val="single" w:sz="4" w:space="0" w:color="auto"/>
            </w:tcBorders>
            <w:shd w:val="clear" w:color="auto" w:fill="auto"/>
            <w:noWrap/>
            <w:vAlign w:val="bottom"/>
            <w:hideMark/>
          </w:tcPr>
          <w:p w14:paraId="64674283"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3.44E+09</w:t>
            </w:r>
          </w:p>
        </w:tc>
        <w:tc>
          <w:tcPr>
            <w:tcW w:w="1093" w:type="dxa"/>
            <w:tcBorders>
              <w:top w:val="nil"/>
              <w:left w:val="nil"/>
              <w:bottom w:val="single" w:sz="4" w:space="0" w:color="auto"/>
              <w:right w:val="single" w:sz="4" w:space="0" w:color="auto"/>
            </w:tcBorders>
            <w:shd w:val="clear" w:color="auto" w:fill="auto"/>
            <w:noWrap/>
            <w:vAlign w:val="bottom"/>
            <w:hideMark/>
          </w:tcPr>
          <w:p w14:paraId="686F8250"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1.99E+09</w:t>
            </w:r>
          </w:p>
        </w:tc>
        <w:tc>
          <w:tcPr>
            <w:tcW w:w="1093" w:type="dxa"/>
            <w:tcBorders>
              <w:top w:val="nil"/>
              <w:left w:val="nil"/>
              <w:bottom w:val="single" w:sz="4" w:space="0" w:color="auto"/>
              <w:right w:val="single" w:sz="4" w:space="0" w:color="auto"/>
            </w:tcBorders>
            <w:shd w:val="clear" w:color="auto" w:fill="auto"/>
            <w:noWrap/>
            <w:vAlign w:val="bottom"/>
            <w:hideMark/>
          </w:tcPr>
          <w:p w14:paraId="18E73864"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1.91E+08</w:t>
            </w:r>
          </w:p>
        </w:tc>
        <w:tc>
          <w:tcPr>
            <w:tcW w:w="1070" w:type="dxa"/>
            <w:tcBorders>
              <w:top w:val="nil"/>
              <w:left w:val="nil"/>
              <w:bottom w:val="single" w:sz="4" w:space="0" w:color="auto"/>
              <w:right w:val="single" w:sz="4" w:space="0" w:color="auto"/>
            </w:tcBorders>
            <w:shd w:val="clear" w:color="auto" w:fill="auto"/>
            <w:noWrap/>
            <w:vAlign w:val="bottom"/>
            <w:hideMark/>
          </w:tcPr>
          <w:p w14:paraId="796B1B6F"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1.09E+13</w:t>
            </w:r>
          </w:p>
        </w:tc>
        <w:tc>
          <w:tcPr>
            <w:tcW w:w="1230" w:type="dxa"/>
            <w:tcBorders>
              <w:top w:val="nil"/>
              <w:left w:val="nil"/>
              <w:bottom w:val="single" w:sz="4" w:space="0" w:color="auto"/>
              <w:right w:val="single" w:sz="4" w:space="0" w:color="auto"/>
            </w:tcBorders>
            <w:shd w:val="clear" w:color="auto" w:fill="auto"/>
            <w:noWrap/>
            <w:vAlign w:val="bottom"/>
            <w:hideMark/>
          </w:tcPr>
          <w:p w14:paraId="1D0859A0"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1.53E+09</w:t>
            </w:r>
          </w:p>
        </w:tc>
        <w:tc>
          <w:tcPr>
            <w:tcW w:w="1223" w:type="dxa"/>
            <w:tcBorders>
              <w:top w:val="nil"/>
              <w:left w:val="nil"/>
              <w:bottom w:val="single" w:sz="4" w:space="0" w:color="auto"/>
              <w:right w:val="single" w:sz="4" w:space="0" w:color="auto"/>
            </w:tcBorders>
            <w:shd w:val="clear" w:color="auto" w:fill="auto"/>
            <w:noWrap/>
            <w:vAlign w:val="bottom"/>
            <w:hideMark/>
          </w:tcPr>
          <w:p w14:paraId="646322F8"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4.14E+11</w:t>
            </w:r>
          </w:p>
        </w:tc>
      </w:tr>
      <w:tr w:rsidR="00F75098" w:rsidRPr="00600D62" w14:paraId="4CCDBCA7"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4A35FA8E"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114" w:type="dxa"/>
            <w:tcBorders>
              <w:top w:val="nil"/>
              <w:left w:val="nil"/>
              <w:bottom w:val="single" w:sz="4" w:space="0" w:color="auto"/>
              <w:right w:val="single" w:sz="4" w:space="0" w:color="auto"/>
            </w:tcBorders>
            <w:shd w:val="clear" w:color="auto" w:fill="auto"/>
            <w:noWrap/>
            <w:vAlign w:val="bottom"/>
            <w:hideMark/>
          </w:tcPr>
          <w:p w14:paraId="13D9F035"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2AE0D3D5"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0E2B5D29"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30A1AC03"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4550B8D2"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30" w:type="dxa"/>
            <w:tcBorders>
              <w:top w:val="nil"/>
              <w:left w:val="nil"/>
              <w:bottom w:val="single" w:sz="4" w:space="0" w:color="auto"/>
              <w:right w:val="single" w:sz="4" w:space="0" w:color="auto"/>
            </w:tcBorders>
            <w:shd w:val="clear" w:color="auto" w:fill="auto"/>
            <w:noWrap/>
            <w:vAlign w:val="bottom"/>
            <w:hideMark/>
          </w:tcPr>
          <w:p w14:paraId="44CF1FF0"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23" w:type="dxa"/>
            <w:tcBorders>
              <w:top w:val="nil"/>
              <w:left w:val="nil"/>
              <w:bottom w:val="single" w:sz="4" w:space="0" w:color="auto"/>
              <w:right w:val="single" w:sz="4" w:space="0" w:color="auto"/>
            </w:tcBorders>
            <w:shd w:val="clear" w:color="auto" w:fill="auto"/>
            <w:noWrap/>
            <w:vAlign w:val="bottom"/>
            <w:hideMark/>
          </w:tcPr>
          <w:p w14:paraId="5909173F"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r>
      <w:tr w:rsidR="00F75098" w:rsidRPr="00600D62" w14:paraId="38981668"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0BCB3AAC"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Observations</w:t>
            </w:r>
          </w:p>
        </w:tc>
        <w:tc>
          <w:tcPr>
            <w:tcW w:w="1114" w:type="dxa"/>
            <w:tcBorders>
              <w:top w:val="nil"/>
              <w:left w:val="nil"/>
              <w:bottom w:val="single" w:sz="4" w:space="0" w:color="auto"/>
              <w:right w:val="single" w:sz="4" w:space="0" w:color="auto"/>
            </w:tcBorders>
            <w:shd w:val="clear" w:color="auto" w:fill="auto"/>
            <w:noWrap/>
            <w:vAlign w:val="bottom"/>
            <w:hideMark/>
          </w:tcPr>
          <w:p w14:paraId="0E969076"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92</w:t>
            </w:r>
          </w:p>
        </w:tc>
        <w:tc>
          <w:tcPr>
            <w:tcW w:w="1070" w:type="dxa"/>
            <w:tcBorders>
              <w:top w:val="nil"/>
              <w:left w:val="nil"/>
              <w:bottom w:val="single" w:sz="4" w:space="0" w:color="auto"/>
              <w:right w:val="single" w:sz="4" w:space="0" w:color="auto"/>
            </w:tcBorders>
            <w:shd w:val="clear" w:color="auto" w:fill="auto"/>
            <w:noWrap/>
            <w:vAlign w:val="bottom"/>
            <w:hideMark/>
          </w:tcPr>
          <w:p w14:paraId="4130A648"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92</w:t>
            </w:r>
          </w:p>
        </w:tc>
        <w:tc>
          <w:tcPr>
            <w:tcW w:w="1093" w:type="dxa"/>
            <w:tcBorders>
              <w:top w:val="nil"/>
              <w:left w:val="nil"/>
              <w:bottom w:val="single" w:sz="4" w:space="0" w:color="auto"/>
              <w:right w:val="single" w:sz="4" w:space="0" w:color="auto"/>
            </w:tcBorders>
            <w:shd w:val="clear" w:color="auto" w:fill="auto"/>
            <w:noWrap/>
            <w:vAlign w:val="bottom"/>
            <w:hideMark/>
          </w:tcPr>
          <w:p w14:paraId="0267E077"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92</w:t>
            </w:r>
          </w:p>
        </w:tc>
        <w:tc>
          <w:tcPr>
            <w:tcW w:w="1093" w:type="dxa"/>
            <w:tcBorders>
              <w:top w:val="nil"/>
              <w:left w:val="nil"/>
              <w:bottom w:val="single" w:sz="4" w:space="0" w:color="auto"/>
              <w:right w:val="single" w:sz="4" w:space="0" w:color="auto"/>
            </w:tcBorders>
            <w:shd w:val="clear" w:color="auto" w:fill="auto"/>
            <w:noWrap/>
            <w:vAlign w:val="bottom"/>
            <w:hideMark/>
          </w:tcPr>
          <w:p w14:paraId="661AF392"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92</w:t>
            </w:r>
          </w:p>
        </w:tc>
        <w:tc>
          <w:tcPr>
            <w:tcW w:w="1070" w:type="dxa"/>
            <w:tcBorders>
              <w:top w:val="nil"/>
              <w:left w:val="nil"/>
              <w:bottom w:val="single" w:sz="4" w:space="0" w:color="auto"/>
              <w:right w:val="single" w:sz="4" w:space="0" w:color="auto"/>
            </w:tcBorders>
            <w:shd w:val="clear" w:color="auto" w:fill="auto"/>
            <w:noWrap/>
            <w:vAlign w:val="bottom"/>
            <w:hideMark/>
          </w:tcPr>
          <w:p w14:paraId="32FF06AD"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68</w:t>
            </w:r>
          </w:p>
        </w:tc>
        <w:tc>
          <w:tcPr>
            <w:tcW w:w="1230" w:type="dxa"/>
            <w:tcBorders>
              <w:top w:val="nil"/>
              <w:left w:val="nil"/>
              <w:bottom w:val="single" w:sz="4" w:space="0" w:color="auto"/>
              <w:right w:val="single" w:sz="4" w:space="0" w:color="auto"/>
            </w:tcBorders>
            <w:shd w:val="clear" w:color="auto" w:fill="auto"/>
            <w:noWrap/>
            <w:vAlign w:val="bottom"/>
            <w:hideMark/>
          </w:tcPr>
          <w:p w14:paraId="7CAFF522"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92</w:t>
            </w:r>
          </w:p>
        </w:tc>
        <w:tc>
          <w:tcPr>
            <w:tcW w:w="1223" w:type="dxa"/>
            <w:tcBorders>
              <w:top w:val="nil"/>
              <w:left w:val="nil"/>
              <w:bottom w:val="single" w:sz="4" w:space="0" w:color="auto"/>
              <w:right w:val="single" w:sz="4" w:space="0" w:color="auto"/>
            </w:tcBorders>
            <w:shd w:val="clear" w:color="auto" w:fill="auto"/>
            <w:noWrap/>
            <w:vAlign w:val="bottom"/>
            <w:hideMark/>
          </w:tcPr>
          <w:p w14:paraId="055C14D6" w14:textId="77777777" w:rsidR="00F75098" w:rsidRPr="00600D62" w:rsidRDefault="00F75098" w:rsidP="00096287">
            <w:pPr>
              <w:widowControl/>
              <w:autoSpaceDE/>
              <w:autoSpaceDN/>
              <w:jc w:val="right"/>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92</w:t>
            </w:r>
          </w:p>
        </w:tc>
      </w:tr>
    </w:tbl>
    <w:p w14:paraId="48D7D60B" w14:textId="69A99904" w:rsidR="00F75098" w:rsidRDefault="00F75098" w:rsidP="00F75098">
      <w:pPr>
        <w:pStyle w:val="Heading1"/>
        <w:ind w:left="0"/>
        <w:jc w:val="center"/>
        <w:rPr>
          <w:b w:val="0"/>
          <w:bCs w:val="0"/>
          <w:sz w:val="24"/>
          <w:szCs w:val="24"/>
          <w:lang w:val="en-GB"/>
        </w:rPr>
      </w:pPr>
      <w:r w:rsidRPr="00984C77">
        <w:rPr>
          <w:b w:val="0"/>
          <w:bCs w:val="0"/>
          <w:sz w:val="24"/>
          <w:szCs w:val="24"/>
          <w:lang w:val="en-GB"/>
        </w:rPr>
        <w:lastRenderedPageBreak/>
        <w:t xml:space="preserve">Capacity Utilization in Manufacturing, from OECD – Business Tendency Surveys for </w:t>
      </w:r>
      <w:r w:rsidRPr="00267E6C">
        <w:rPr>
          <w:b w:val="0"/>
          <w:bCs w:val="0"/>
          <w:sz w:val="24"/>
          <w:szCs w:val="24"/>
          <w:lang w:val="en-GB"/>
        </w:rPr>
        <w:t>Manufacturing (</w:t>
      </w:r>
      <m:oMath>
        <m:sSub>
          <m:sSubPr>
            <m:ctrlPr>
              <w:rPr>
                <w:rFonts w:ascii="Cambria Math" w:hAnsi="Cambria Math"/>
                <w:b w:val="0"/>
                <w:bCs w:val="0"/>
                <w:i/>
                <w:sz w:val="22"/>
                <w:szCs w:val="22"/>
              </w:rPr>
            </m:ctrlPr>
          </m:sSubPr>
          <m:e>
            <m:r>
              <w:rPr>
                <w:rFonts w:ascii="Cambria Math" w:hAnsi="Cambria Math"/>
                <w:sz w:val="22"/>
                <w:szCs w:val="22"/>
              </w:rPr>
              <m:t>x</m:t>
            </m:r>
          </m:e>
          <m:sub>
            <m:r>
              <w:rPr>
                <w:rFonts w:ascii="Cambria Math" w:hAnsi="Cambria Math"/>
                <w:sz w:val="22"/>
                <w:szCs w:val="22"/>
              </w:rPr>
              <m:t>t</m:t>
            </m:r>
          </m:sub>
        </m:sSub>
      </m:oMath>
      <w:r w:rsidRPr="00267E6C">
        <w:rPr>
          <w:b w:val="0"/>
          <w:bCs w:val="0"/>
          <w:sz w:val="24"/>
          <w:szCs w:val="24"/>
          <w:lang w:val="en-GB"/>
        </w:rPr>
        <w:t>)</w:t>
      </w:r>
    </w:p>
    <w:p w14:paraId="33298ED7" w14:textId="77777777" w:rsidR="00F75098" w:rsidRDefault="00F75098" w:rsidP="00F75098">
      <w:pPr>
        <w:pStyle w:val="Heading1"/>
        <w:ind w:left="0"/>
        <w:jc w:val="center"/>
        <w:rPr>
          <w:b w:val="0"/>
          <w:bCs w:val="0"/>
          <w:sz w:val="24"/>
          <w:szCs w:val="24"/>
          <w:lang w:val="en-GB"/>
        </w:rPr>
      </w:pPr>
    </w:p>
    <w:tbl>
      <w:tblPr>
        <w:tblW w:w="9376" w:type="dxa"/>
        <w:tblInd w:w="-572" w:type="dxa"/>
        <w:tblLook w:val="04A0" w:firstRow="1" w:lastRow="0" w:firstColumn="1" w:lastColumn="0" w:noHBand="0" w:noVBand="1"/>
      </w:tblPr>
      <w:tblGrid>
        <w:gridCol w:w="1483"/>
        <w:gridCol w:w="1114"/>
        <w:gridCol w:w="1070"/>
        <w:gridCol w:w="1093"/>
        <w:gridCol w:w="1093"/>
        <w:gridCol w:w="1070"/>
        <w:gridCol w:w="1230"/>
        <w:gridCol w:w="1223"/>
      </w:tblGrid>
      <w:tr w:rsidR="00F75098" w:rsidRPr="00600D62" w14:paraId="12714479" w14:textId="77777777" w:rsidTr="00096287">
        <w:trPr>
          <w:trHeight w:val="262"/>
        </w:trPr>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D85019"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114" w:type="dxa"/>
            <w:tcBorders>
              <w:top w:val="single" w:sz="4" w:space="0" w:color="auto"/>
              <w:left w:val="nil"/>
              <w:bottom w:val="single" w:sz="4" w:space="0" w:color="auto"/>
              <w:right w:val="single" w:sz="4" w:space="0" w:color="auto"/>
            </w:tcBorders>
            <w:shd w:val="clear" w:color="auto" w:fill="auto"/>
            <w:noWrap/>
            <w:vAlign w:val="bottom"/>
            <w:hideMark/>
          </w:tcPr>
          <w:p w14:paraId="1D85D07C" w14:textId="77777777" w:rsidR="00F75098" w:rsidRPr="00600D62" w:rsidRDefault="00F75098" w:rsidP="00096287">
            <w:pPr>
              <w:widowControl/>
              <w:autoSpaceDE/>
              <w:autoSpaceDN/>
              <w:rPr>
                <w:rFonts w:ascii="Calibri" w:eastAsia="Times New Roman" w:hAnsi="Calibri" w:cs="Calibri"/>
                <w:color w:val="000000"/>
                <w:lang w:val="en-GB" w:eastAsia="en-GB"/>
              </w:rPr>
            </w:pPr>
            <w:r>
              <w:rPr>
                <w:rFonts w:ascii="Calibri" w:eastAsia="Times New Roman" w:hAnsi="Calibri" w:cs="Calibri"/>
                <w:color w:val="000000"/>
                <w:lang w:val="en-GB" w:eastAsia="en-GB"/>
              </w:rPr>
              <w:t>Canada</w:t>
            </w:r>
          </w:p>
        </w:tc>
        <w:tc>
          <w:tcPr>
            <w:tcW w:w="1070" w:type="dxa"/>
            <w:tcBorders>
              <w:top w:val="single" w:sz="4" w:space="0" w:color="auto"/>
              <w:left w:val="nil"/>
              <w:bottom w:val="single" w:sz="4" w:space="0" w:color="auto"/>
              <w:right w:val="single" w:sz="4" w:space="0" w:color="auto"/>
            </w:tcBorders>
            <w:shd w:val="clear" w:color="auto" w:fill="auto"/>
            <w:noWrap/>
            <w:vAlign w:val="bottom"/>
            <w:hideMark/>
          </w:tcPr>
          <w:p w14:paraId="319BF333" w14:textId="77777777" w:rsidR="00F75098" w:rsidRPr="00600D62" w:rsidRDefault="00F75098" w:rsidP="00096287">
            <w:pPr>
              <w:widowControl/>
              <w:autoSpaceDE/>
              <w:autoSpaceDN/>
              <w:rPr>
                <w:rFonts w:ascii="Calibri" w:eastAsia="Times New Roman" w:hAnsi="Calibri" w:cs="Calibri"/>
                <w:color w:val="000000"/>
                <w:lang w:val="en-GB" w:eastAsia="en-GB"/>
              </w:rPr>
            </w:pPr>
            <w:r>
              <w:rPr>
                <w:rFonts w:ascii="Calibri" w:eastAsia="Times New Roman" w:hAnsi="Calibri" w:cs="Calibri"/>
                <w:color w:val="000000"/>
                <w:lang w:val="en-GB" w:eastAsia="en-GB"/>
              </w:rPr>
              <w:t>France</w:t>
            </w:r>
          </w:p>
        </w:tc>
        <w:tc>
          <w:tcPr>
            <w:tcW w:w="1093" w:type="dxa"/>
            <w:tcBorders>
              <w:top w:val="single" w:sz="4" w:space="0" w:color="auto"/>
              <w:left w:val="nil"/>
              <w:bottom w:val="single" w:sz="4" w:space="0" w:color="auto"/>
              <w:right w:val="single" w:sz="4" w:space="0" w:color="auto"/>
            </w:tcBorders>
            <w:shd w:val="clear" w:color="auto" w:fill="auto"/>
            <w:noWrap/>
            <w:vAlign w:val="bottom"/>
            <w:hideMark/>
          </w:tcPr>
          <w:p w14:paraId="46CDB050"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G</w:t>
            </w:r>
            <w:r>
              <w:rPr>
                <w:rFonts w:ascii="Calibri" w:eastAsia="Times New Roman" w:hAnsi="Calibri" w:cs="Calibri"/>
                <w:color w:val="000000"/>
                <w:lang w:val="en-GB" w:eastAsia="en-GB"/>
              </w:rPr>
              <w:t>ermany</w:t>
            </w:r>
          </w:p>
        </w:tc>
        <w:tc>
          <w:tcPr>
            <w:tcW w:w="1093" w:type="dxa"/>
            <w:tcBorders>
              <w:top w:val="single" w:sz="4" w:space="0" w:color="auto"/>
              <w:left w:val="nil"/>
              <w:bottom w:val="single" w:sz="4" w:space="0" w:color="auto"/>
              <w:right w:val="single" w:sz="4" w:space="0" w:color="auto"/>
            </w:tcBorders>
            <w:shd w:val="clear" w:color="auto" w:fill="auto"/>
            <w:noWrap/>
            <w:vAlign w:val="bottom"/>
            <w:hideMark/>
          </w:tcPr>
          <w:p w14:paraId="5BF1BD29"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I</w:t>
            </w:r>
            <w:r>
              <w:rPr>
                <w:rFonts w:ascii="Calibri" w:eastAsia="Times New Roman" w:hAnsi="Calibri" w:cs="Calibri"/>
                <w:color w:val="000000"/>
                <w:lang w:val="en-GB" w:eastAsia="en-GB"/>
              </w:rPr>
              <w:t>taly</w:t>
            </w:r>
          </w:p>
        </w:tc>
        <w:tc>
          <w:tcPr>
            <w:tcW w:w="1070" w:type="dxa"/>
            <w:tcBorders>
              <w:top w:val="single" w:sz="4" w:space="0" w:color="auto"/>
              <w:left w:val="nil"/>
              <w:bottom w:val="single" w:sz="4" w:space="0" w:color="auto"/>
              <w:right w:val="single" w:sz="4" w:space="0" w:color="auto"/>
            </w:tcBorders>
            <w:shd w:val="clear" w:color="auto" w:fill="auto"/>
            <w:noWrap/>
            <w:vAlign w:val="bottom"/>
            <w:hideMark/>
          </w:tcPr>
          <w:p w14:paraId="63F2AE66"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J</w:t>
            </w:r>
            <w:r>
              <w:rPr>
                <w:rFonts w:ascii="Calibri" w:eastAsia="Times New Roman" w:hAnsi="Calibri" w:cs="Calibri"/>
                <w:color w:val="000000"/>
                <w:lang w:val="en-GB" w:eastAsia="en-GB"/>
              </w:rPr>
              <w:t>apan</w:t>
            </w:r>
          </w:p>
        </w:tc>
        <w:tc>
          <w:tcPr>
            <w:tcW w:w="1230" w:type="dxa"/>
            <w:tcBorders>
              <w:top w:val="single" w:sz="4" w:space="0" w:color="auto"/>
              <w:left w:val="nil"/>
              <w:bottom w:val="single" w:sz="4" w:space="0" w:color="auto"/>
              <w:right w:val="single" w:sz="4" w:space="0" w:color="auto"/>
            </w:tcBorders>
            <w:shd w:val="clear" w:color="auto" w:fill="auto"/>
            <w:noWrap/>
            <w:vAlign w:val="bottom"/>
            <w:hideMark/>
          </w:tcPr>
          <w:p w14:paraId="70197D75"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UK</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1CEEDBC1"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USA</w:t>
            </w:r>
          </w:p>
        </w:tc>
      </w:tr>
      <w:tr w:rsidR="00F75098" w:rsidRPr="00600D62" w14:paraId="5A7DF73A" w14:textId="77777777" w:rsidTr="00096287">
        <w:trPr>
          <w:trHeight w:val="262"/>
        </w:trPr>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5C82C4" w14:textId="77777777" w:rsidR="00F75098" w:rsidRDefault="00F75098" w:rsidP="00096287">
            <w:pPr>
              <w:widowControl/>
              <w:autoSpaceDE/>
              <w:autoSpaceDN/>
              <w:rPr>
                <w:sz w:val="24"/>
                <w:szCs w:val="24"/>
                <w:lang w:val="en-GB"/>
              </w:rPr>
            </w:pPr>
          </w:p>
        </w:tc>
        <w:tc>
          <w:tcPr>
            <w:tcW w:w="1114" w:type="dxa"/>
            <w:tcBorders>
              <w:top w:val="single" w:sz="4" w:space="0" w:color="auto"/>
              <w:left w:val="nil"/>
              <w:bottom w:val="single" w:sz="4" w:space="0" w:color="auto"/>
              <w:right w:val="single" w:sz="4" w:space="0" w:color="auto"/>
            </w:tcBorders>
            <w:shd w:val="clear" w:color="auto" w:fill="auto"/>
            <w:noWrap/>
            <w:vAlign w:val="bottom"/>
          </w:tcPr>
          <w:p w14:paraId="5E116481"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070" w:type="dxa"/>
            <w:tcBorders>
              <w:top w:val="single" w:sz="4" w:space="0" w:color="auto"/>
              <w:left w:val="nil"/>
              <w:bottom w:val="single" w:sz="4" w:space="0" w:color="auto"/>
              <w:right w:val="single" w:sz="4" w:space="0" w:color="auto"/>
            </w:tcBorders>
            <w:shd w:val="clear" w:color="auto" w:fill="auto"/>
            <w:noWrap/>
            <w:vAlign w:val="bottom"/>
          </w:tcPr>
          <w:p w14:paraId="5C4997C1"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093" w:type="dxa"/>
            <w:tcBorders>
              <w:top w:val="single" w:sz="4" w:space="0" w:color="auto"/>
              <w:left w:val="nil"/>
              <w:bottom w:val="single" w:sz="4" w:space="0" w:color="auto"/>
              <w:right w:val="single" w:sz="4" w:space="0" w:color="auto"/>
            </w:tcBorders>
            <w:shd w:val="clear" w:color="auto" w:fill="auto"/>
            <w:noWrap/>
            <w:vAlign w:val="bottom"/>
          </w:tcPr>
          <w:p w14:paraId="0E4FC0BA"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093" w:type="dxa"/>
            <w:tcBorders>
              <w:top w:val="single" w:sz="4" w:space="0" w:color="auto"/>
              <w:left w:val="nil"/>
              <w:bottom w:val="single" w:sz="4" w:space="0" w:color="auto"/>
              <w:right w:val="single" w:sz="4" w:space="0" w:color="auto"/>
            </w:tcBorders>
            <w:shd w:val="clear" w:color="auto" w:fill="auto"/>
            <w:noWrap/>
            <w:vAlign w:val="bottom"/>
          </w:tcPr>
          <w:p w14:paraId="24A14B7B"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070" w:type="dxa"/>
            <w:tcBorders>
              <w:top w:val="single" w:sz="4" w:space="0" w:color="auto"/>
              <w:left w:val="nil"/>
              <w:bottom w:val="single" w:sz="4" w:space="0" w:color="auto"/>
              <w:right w:val="single" w:sz="4" w:space="0" w:color="auto"/>
            </w:tcBorders>
            <w:shd w:val="clear" w:color="auto" w:fill="auto"/>
            <w:noWrap/>
            <w:vAlign w:val="bottom"/>
          </w:tcPr>
          <w:p w14:paraId="5AD97218"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230" w:type="dxa"/>
            <w:tcBorders>
              <w:top w:val="single" w:sz="4" w:space="0" w:color="auto"/>
              <w:left w:val="nil"/>
              <w:bottom w:val="single" w:sz="4" w:space="0" w:color="auto"/>
              <w:right w:val="single" w:sz="4" w:space="0" w:color="auto"/>
            </w:tcBorders>
            <w:shd w:val="clear" w:color="auto" w:fill="auto"/>
            <w:noWrap/>
            <w:vAlign w:val="bottom"/>
          </w:tcPr>
          <w:p w14:paraId="62FAD656"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223" w:type="dxa"/>
            <w:tcBorders>
              <w:top w:val="single" w:sz="4" w:space="0" w:color="auto"/>
              <w:left w:val="nil"/>
              <w:bottom w:val="single" w:sz="4" w:space="0" w:color="auto"/>
              <w:right w:val="single" w:sz="4" w:space="0" w:color="auto"/>
            </w:tcBorders>
            <w:shd w:val="clear" w:color="auto" w:fill="auto"/>
            <w:noWrap/>
            <w:vAlign w:val="bottom"/>
          </w:tcPr>
          <w:p w14:paraId="4BFD965B" w14:textId="77777777" w:rsidR="00F75098" w:rsidRPr="00600D62" w:rsidRDefault="00F75098" w:rsidP="00096287">
            <w:pPr>
              <w:widowControl/>
              <w:autoSpaceDE/>
              <w:autoSpaceDN/>
              <w:rPr>
                <w:rFonts w:ascii="Calibri" w:eastAsia="Times New Roman" w:hAnsi="Calibri" w:cs="Calibri"/>
                <w:color w:val="000000"/>
                <w:lang w:val="en-GB" w:eastAsia="en-GB"/>
              </w:rPr>
            </w:pPr>
          </w:p>
        </w:tc>
      </w:tr>
      <w:tr w:rsidR="00F75098" w:rsidRPr="00600D62" w14:paraId="46F15DF7"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2D824191"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Mean</w:t>
            </w:r>
          </w:p>
        </w:tc>
        <w:tc>
          <w:tcPr>
            <w:tcW w:w="1114" w:type="dxa"/>
            <w:tcBorders>
              <w:top w:val="nil"/>
              <w:left w:val="nil"/>
              <w:bottom w:val="single" w:sz="4" w:space="0" w:color="auto"/>
              <w:right w:val="single" w:sz="4" w:space="0" w:color="auto"/>
            </w:tcBorders>
            <w:shd w:val="clear" w:color="auto" w:fill="auto"/>
            <w:noWrap/>
            <w:vAlign w:val="bottom"/>
            <w:hideMark/>
          </w:tcPr>
          <w:p w14:paraId="791A14D0" w14:textId="001C7CFB"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80.012</w:t>
            </w:r>
          </w:p>
        </w:tc>
        <w:tc>
          <w:tcPr>
            <w:tcW w:w="1070" w:type="dxa"/>
            <w:tcBorders>
              <w:top w:val="nil"/>
              <w:left w:val="nil"/>
              <w:bottom w:val="single" w:sz="4" w:space="0" w:color="auto"/>
              <w:right w:val="single" w:sz="4" w:space="0" w:color="auto"/>
            </w:tcBorders>
            <w:shd w:val="clear" w:color="auto" w:fill="auto"/>
            <w:noWrap/>
            <w:vAlign w:val="bottom"/>
            <w:hideMark/>
          </w:tcPr>
          <w:p w14:paraId="789D7827" w14:textId="79AD52BC"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82.867</w:t>
            </w:r>
          </w:p>
        </w:tc>
        <w:tc>
          <w:tcPr>
            <w:tcW w:w="1093" w:type="dxa"/>
            <w:tcBorders>
              <w:top w:val="nil"/>
              <w:left w:val="nil"/>
              <w:bottom w:val="single" w:sz="4" w:space="0" w:color="auto"/>
              <w:right w:val="single" w:sz="4" w:space="0" w:color="auto"/>
            </w:tcBorders>
            <w:shd w:val="clear" w:color="auto" w:fill="auto"/>
            <w:noWrap/>
            <w:vAlign w:val="bottom"/>
            <w:hideMark/>
          </w:tcPr>
          <w:p w14:paraId="4C177577" w14:textId="60A9A043"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83.922</w:t>
            </w:r>
          </w:p>
        </w:tc>
        <w:tc>
          <w:tcPr>
            <w:tcW w:w="1093" w:type="dxa"/>
            <w:tcBorders>
              <w:top w:val="nil"/>
              <w:left w:val="nil"/>
              <w:bottom w:val="single" w:sz="4" w:space="0" w:color="auto"/>
              <w:right w:val="single" w:sz="4" w:space="0" w:color="auto"/>
            </w:tcBorders>
            <w:shd w:val="clear" w:color="auto" w:fill="auto"/>
            <w:noWrap/>
            <w:vAlign w:val="bottom"/>
            <w:hideMark/>
          </w:tcPr>
          <w:p w14:paraId="3B023577" w14:textId="50125D66"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75.036</w:t>
            </w:r>
          </w:p>
        </w:tc>
        <w:tc>
          <w:tcPr>
            <w:tcW w:w="1070" w:type="dxa"/>
            <w:tcBorders>
              <w:top w:val="nil"/>
              <w:left w:val="nil"/>
              <w:bottom w:val="single" w:sz="4" w:space="0" w:color="auto"/>
              <w:right w:val="single" w:sz="4" w:space="0" w:color="auto"/>
            </w:tcBorders>
            <w:shd w:val="clear" w:color="auto" w:fill="auto"/>
            <w:noWrap/>
            <w:vAlign w:val="bottom"/>
            <w:hideMark/>
          </w:tcPr>
          <w:p w14:paraId="5EC9EAE6" w14:textId="62966E0D"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91.174</w:t>
            </w:r>
          </w:p>
        </w:tc>
        <w:tc>
          <w:tcPr>
            <w:tcW w:w="1230" w:type="dxa"/>
            <w:tcBorders>
              <w:top w:val="nil"/>
              <w:left w:val="nil"/>
              <w:bottom w:val="single" w:sz="4" w:space="0" w:color="auto"/>
              <w:right w:val="single" w:sz="4" w:space="0" w:color="auto"/>
            </w:tcBorders>
            <w:shd w:val="clear" w:color="auto" w:fill="auto"/>
            <w:noWrap/>
            <w:vAlign w:val="bottom"/>
            <w:hideMark/>
          </w:tcPr>
          <w:p w14:paraId="03455D23" w14:textId="5BBB7B30"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79.324</w:t>
            </w:r>
          </w:p>
        </w:tc>
        <w:tc>
          <w:tcPr>
            <w:tcW w:w="1223" w:type="dxa"/>
            <w:tcBorders>
              <w:top w:val="nil"/>
              <w:left w:val="nil"/>
              <w:bottom w:val="single" w:sz="4" w:space="0" w:color="auto"/>
              <w:right w:val="single" w:sz="4" w:space="0" w:color="auto"/>
            </w:tcBorders>
            <w:shd w:val="clear" w:color="auto" w:fill="auto"/>
            <w:noWrap/>
            <w:vAlign w:val="bottom"/>
            <w:hideMark/>
          </w:tcPr>
          <w:p w14:paraId="1712CA8E" w14:textId="53DDEF0A"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75.436</w:t>
            </w:r>
          </w:p>
        </w:tc>
      </w:tr>
      <w:tr w:rsidR="00F75098" w:rsidRPr="00600D62" w14:paraId="629F6F20"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34AE95F0"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Median</w:t>
            </w:r>
          </w:p>
        </w:tc>
        <w:tc>
          <w:tcPr>
            <w:tcW w:w="1114" w:type="dxa"/>
            <w:tcBorders>
              <w:top w:val="nil"/>
              <w:left w:val="nil"/>
              <w:bottom w:val="single" w:sz="4" w:space="0" w:color="auto"/>
              <w:right w:val="single" w:sz="4" w:space="0" w:color="auto"/>
            </w:tcBorders>
            <w:shd w:val="clear" w:color="auto" w:fill="auto"/>
            <w:noWrap/>
            <w:vAlign w:val="bottom"/>
            <w:hideMark/>
          </w:tcPr>
          <w:p w14:paraId="28BADD6C" w14:textId="78D48CF5"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80.7</w:t>
            </w:r>
          </w:p>
        </w:tc>
        <w:tc>
          <w:tcPr>
            <w:tcW w:w="1070" w:type="dxa"/>
            <w:tcBorders>
              <w:top w:val="nil"/>
              <w:left w:val="nil"/>
              <w:bottom w:val="single" w:sz="4" w:space="0" w:color="auto"/>
              <w:right w:val="single" w:sz="4" w:space="0" w:color="auto"/>
            </w:tcBorders>
            <w:shd w:val="clear" w:color="auto" w:fill="auto"/>
            <w:noWrap/>
            <w:vAlign w:val="bottom"/>
            <w:hideMark/>
          </w:tcPr>
          <w:p w14:paraId="23CD4BC8" w14:textId="287455DC"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83.7</w:t>
            </w:r>
          </w:p>
        </w:tc>
        <w:tc>
          <w:tcPr>
            <w:tcW w:w="1093" w:type="dxa"/>
            <w:tcBorders>
              <w:top w:val="nil"/>
              <w:left w:val="nil"/>
              <w:bottom w:val="single" w:sz="4" w:space="0" w:color="auto"/>
              <w:right w:val="single" w:sz="4" w:space="0" w:color="auto"/>
            </w:tcBorders>
            <w:shd w:val="clear" w:color="auto" w:fill="auto"/>
            <w:noWrap/>
            <w:vAlign w:val="bottom"/>
            <w:hideMark/>
          </w:tcPr>
          <w:p w14:paraId="15E0FF71" w14:textId="79B32C59"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84.4</w:t>
            </w:r>
          </w:p>
        </w:tc>
        <w:tc>
          <w:tcPr>
            <w:tcW w:w="1093" w:type="dxa"/>
            <w:tcBorders>
              <w:top w:val="nil"/>
              <w:left w:val="nil"/>
              <w:bottom w:val="single" w:sz="4" w:space="0" w:color="auto"/>
              <w:right w:val="single" w:sz="4" w:space="0" w:color="auto"/>
            </w:tcBorders>
            <w:shd w:val="clear" w:color="auto" w:fill="auto"/>
            <w:noWrap/>
            <w:vAlign w:val="bottom"/>
            <w:hideMark/>
          </w:tcPr>
          <w:p w14:paraId="73B445F9" w14:textId="5BEE319E"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75.9</w:t>
            </w:r>
          </w:p>
        </w:tc>
        <w:tc>
          <w:tcPr>
            <w:tcW w:w="1070" w:type="dxa"/>
            <w:tcBorders>
              <w:top w:val="nil"/>
              <w:left w:val="nil"/>
              <w:bottom w:val="single" w:sz="4" w:space="0" w:color="auto"/>
              <w:right w:val="single" w:sz="4" w:space="0" w:color="auto"/>
            </w:tcBorders>
            <w:shd w:val="clear" w:color="auto" w:fill="auto"/>
            <w:noWrap/>
            <w:vAlign w:val="bottom"/>
            <w:hideMark/>
          </w:tcPr>
          <w:p w14:paraId="65ED5CF0" w14:textId="71BC3DF1"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95.5</w:t>
            </w:r>
          </w:p>
        </w:tc>
        <w:tc>
          <w:tcPr>
            <w:tcW w:w="1230" w:type="dxa"/>
            <w:tcBorders>
              <w:top w:val="nil"/>
              <w:left w:val="nil"/>
              <w:bottom w:val="single" w:sz="4" w:space="0" w:color="auto"/>
              <w:right w:val="single" w:sz="4" w:space="0" w:color="auto"/>
            </w:tcBorders>
            <w:shd w:val="clear" w:color="auto" w:fill="auto"/>
            <w:noWrap/>
            <w:vAlign w:val="bottom"/>
            <w:hideMark/>
          </w:tcPr>
          <w:p w14:paraId="5E134A36" w14:textId="62574798"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80.2</w:t>
            </w:r>
          </w:p>
        </w:tc>
        <w:tc>
          <w:tcPr>
            <w:tcW w:w="1223" w:type="dxa"/>
            <w:tcBorders>
              <w:top w:val="nil"/>
              <w:left w:val="nil"/>
              <w:bottom w:val="single" w:sz="4" w:space="0" w:color="auto"/>
              <w:right w:val="single" w:sz="4" w:space="0" w:color="auto"/>
            </w:tcBorders>
            <w:shd w:val="clear" w:color="auto" w:fill="auto"/>
            <w:noWrap/>
            <w:vAlign w:val="bottom"/>
            <w:hideMark/>
          </w:tcPr>
          <w:p w14:paraId="2512F075" w14:textId="1AAB1C20"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75.984</w:t>
            </w:r>
          </w:p>
        </w:tc>
      </w:tr>
      <w:tr w:rsidR="00F75098" w:rsidRPr="00600D62" w14:paraId="632BA233"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1977086D"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Maximum</w:t>
            </w:r>
          </w:p>
        </w:tc>
        <w:tc>
          <w:tcPr>
            <w:tcW w:w="1114" w:type="dxa"/>
            <w:tcBorders>
              <w:top w:val="nil"/>
              <w:left w:val="nil"/>
              <w:bottom w:val="single" w:sz="4" w:space="0" w:color="auto"/>
              <w:right w:val="single" w:sz="4" w:space="0" w:color="auto"/>
            </w:tcBorders>
            <w:shd w:val="clear" w:color="auto" w:fill="auto"/>
            <w:noWrap/>
            <w:vAlign w:val="bottom"/>
            <w:hideMark/>
          </w:tcPr>
          <w:p w14:paraId="068B035C" w14:textId="3FB892F4"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86.8</w:t>
            </w:r>
          </w:p>
        </w:tc>
        <w:tc>
          <w:tcPr>
            <w:tcW w:w="1070" w:type="dxa"/>
            <w:tcBorders>
              <w:top w:val="nil"/>
              <w:left w:val="nil"/>
              <w:bottom w:val="single" w:sz="4" w:space="0" w:color="auto"/>
              <w:right w:val="single" w:sz="4" w:space="0" w:color="auto"/>
            </w:tcBorders>
            <w:shd w:val="clear" w:color="auto" w:fill="auto"/>
            <w:noWrap/>
            <w:vAlign w:val="bottom"/>
            <w:hideMark/>
          </w:tcPr>
          <w:p w14:paraId="1E0C9805" w14:textId="54643C57"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87.5</w:t>
            </w:r>
          </w:p>
        </w:tc>
        <w:tc>
          <w:tcPr>
            <w:tcW w:w="1093" w:type="dxa"/>
            <w:tcBorders>
              <w:top w:val="nil"/>
              <w:left w:val="nil"/>
              <w:bottom w:val="single" w:sz="4" w:space="0" w:color="auto"/>
              <w:right w:val="single" w:sz="4" w:space="0" w:color="auto"/>
            </w:tcBorders>
            <w:shd w:val="clear" w:color="auto" w:fill="auto"/>
            <w:noWrap/>
            <w:vAlign w:val="bottom"/>
            <w:hideMark/>
          </w:tcPr>
          <w:p w14:paraId="6430C91D" w14:textId="74A5B558"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88.7</w:t>
            </w:r>
          </w:p>
        </w:tc>
        <w:tc>
          <w:tcPr>
            <w:tcW w:w="1093" w:type="dxa"/>
            <w:tcBorders>
              <w:top w:val="nil"/>
              <w:left w:val="nil"/>
              <w:bottom w:val="single" w:sz="4" w:space="0" w:color="auto"/>
              <w:right w:val="single" w:sz="4" w:space="0" w:color="auto"/>
            </w:tcBorders>
            <w:shd w:val="clear" w:color="auto" w:fill="auto"/>
            <w:noWrap/>
            <w:vAlign w:val="bottom"/>
            <w:hideMark/>
          </w:tcPr>
          <w:p w14:paraId="3EA03A72" w14:textId="210638FC"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78.8</w:t>
            </w:r>
          </w:p>
        </w:tc>
        <w:tc>
          <w:tcPr>
            <w:tcW w:w="1070" w:type="dxa"/>
            <w:tcBorders>
              <w:top w:val="nil"/>
              <w:left w:val="nil"/>
              <w:bottom w:val="single" w:sz="4" w:space="0" w:color="auto"/>
              <w:right w:val="single" w:sz="4" w:space="0" w:color="auto"/>
            </w:tcBorders>
            <w:shd w:val="clear" w:color="auto" w:fill="auto"/>
            <w:noWrap/>
            <w:vAlign w:val="bottom"/>
            <w:hideMark/>
          </w:tcPr>
          <w:p w14:paraId="23EF0A3F" w14:textId="4CFC10F4"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106</w:t>
            </w:r>
          </w:p>
        </w:tc>
        <w:tc>
          <w:tcPr>
            <w:tcW w:w="1230" w:type="dxa"/>
            <w:tcBorders>
              <w:top w:val="nil"/>
              <w:left w:val="nil"/>
              <w:bottom w:val="single" w:sz="4" w:space="0" w:color="auto"/>
              <w:right w:val="single" w:sz="4" w:space="0" w:color="auto"/>
            </w:tcBorders>
            <w:shd w:val="clear" w:color="auto" w:fill="auto"/>
            <w:noWrap/>
            <w:vAlign w:val="bottom"/>
            <w:hideMark/>
          </w:tcPr>
          <w:p w14:paraId="2468DCC5" w14:textId="496F6500"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84.7</w:t>
            </w:r>
          </w:p>
        </w:tc>
        <w:tc>
          <w:tcPr>
            <w:tcW w:w="1223" w:type="dxa"/>
            <w:tcBorders>
              <w:top w:val="nil"/>
              <w:left w:val="nil"/>
              <w:bottom w:val="single" w:sz="4" w:space="0" w:color="auto"/>
              <w:right w:val="single" w:sz="4" w:space="0" w:color="auto"/>
            </w:tcBorders>
            <w:shd w:val="clear" w:color="auto" w:fill="auto"/>
            <w:noWrap/>
            <w:vAlign w:val="bottom"/>
            <w:hideMark/>
          </w:tcPr>
          <w:p w14:paraId="65EA28C9" w14:textId="43DAC03A"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80.386</w:t>
            </w:r>
          </w:p>
        </w:tc>
      </w:tr>
      <w:tr w:rsidR="00F75098" w:rsidRPr="00600D62" w14:paraId="36CB9290"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1BFA700C"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Minimum</w:t>
            </w:r>
          </w:p>
        </w:tc>
        <w:tc>
          <w:tcPr>
            <w:tcW w:w="1114" w:type="dxa"/>
            <w:tcBorders>
              <w:top w:val="nil"/>
              <w:left w:val="nil"/>
              <w:bottom w:val="single" w:sz="4" w:space="0" w:color="auto"/>
              <w:right w:val="single" w:sz="4" w:space="0" w:color="auto"/>
            </w:tcBorders>
            <w:shd w:val="clear" w:color="auto" w:fill="auto"/>
            <w:noWrap/>
            <w:vAlign w:val="bottom"/>
            <w:hideMark/>
          </w:tcPr>
          <w:p w14:paraId="71A936F3" w14:textId="0B07D562"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64</w:t>
            </w:r>
          </w:p>
        </w:tc>
        <w:tc>
          <w:tcPr>
            <w:tcW w:w="1070" w:type="dxa"/>
            <w:tcBorders>
              <w:top w:val="nil"/>
              <w:left w:val="nil"/>
              <w:bottom w:val="single" w:sz="4" w:space="0" w:color="auto"/>
              <w:right w:val="single" w:sz="4" w:space="0" w:color="auto"/>
            </w:tcBorders>
            <w:shd w:val="clear" w:color="auto" w:fill="auto"/>
            <w:noWrap/>
            <w:vAlign w:val="bottom"/>
            <w:hideMark/>
          </w:tcPr>
          <w:p w14:paraId="03AE0A22" w14:textId="51CC1EDF"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60</w:t>
            </w:r>
          </w:p>
        </w:tc>
        <w:tc>
          <w:tcPr>
            <w:tcW w:w="1093" w:type="dxa"/>
            <w:tcBorders>
              <w:top w:val="nil"/>
              <w:left w:val="nil"/>
              <w:bottom w:val="single" w:sz="4" w:space="0" w:color="auto"/>
              <w:right w:val="single" w:sz="4" w:space="0" w:color="auto"/>
            </w:tcBorders>
            <w:shd w:val="clear" w:color="auto" w:fill="auto"/>
            <w:noWrap/>
            <w:vAlign w:val="bottom"/>
            <w:hideMark/>
          </w:tcPr>
          <w:p w14:paraId="46C76596" w14:textId="4AA4827F"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70</w:t>
            </w:r>
          </w:p>
        </w:tc>
        <w:tc>
          <w:tcPr>
            <w:tcW w:w="1093" w:type="dxa"/>
            <w:tcBorders>
              <w:top w:val="nil"/>
              <w:left w:val="nil"/>
              <w:bottom w:val="single" w:sz="4" w:space="0" w:color="auto"/>
              <w:right w:val="single" w:sz="4" w:space="0" w:color="auto"/>
            </w:tcBorders>
            <w:shd w:val="clear" w:color="auto" w:fill="auto"/>
            <w:noWrap/>
            <w:vAlign w:val="bottom"/>
            <w:hideMark/>
          </w:tcPr>
          <w:p w14:paraId="6A90FDE9" w14:textId="6E3C65FB"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63.8</w:t>
            </w:r>
          </w:p>
        </w:tc>
        <w:tc>
          <w:tcPr>
            <w:tcW w:w="1070" w:type="dxa"/>
            <w:tcBorders>
              <w:top w:val="nil"/>
              <w:left w:val="nil"/>
              <w:bottom w:val="single" w:sz="4" w:space="0" w:color="auto"/>
              <w:right w:val="single" w:sz="4" w:space="0" w:color="auto"/>
            </w:tcBorders>
            <w:shd w:val="clear" w:color="auto" w:fill="auto"/>
            <w:noWrap/>
            <w:vAlign w:val="bottom"/>
            <w:hideMark/>
          </w:tcPr>
          <w:p w14:paraId="5769CC5A" w14:textId="4EDFEBD1"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64</w:t>
            </w:r>
          </w:p>
        </w:tc>
        <w:tc>
          <w:tcPr>
            <w:tcW w:w="1230" w:type="dxa"/>
            <w:tcBorders>
              <w:top w:val="nil"/>
              <w:left w:val="nil"/>
              <w:bottom w:val="single" w:sz="4" w:space="0" w:color="auto"/>
              <w:right w:val="single" w:sz="4" w:space="0" w:color="auto"/>
            </w:tcBorders>
            <w:shd w:val="clear" w:color="auto" w:fill="auto"/>
            <w:noWrap/>
            <w:vAlign w:val="bottom"/>
            <w:hideMark/>
          </w:tcPr>
          <w:p w14:paraId="10D18A71" w14:textId="55104890"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57.7</w:t>
            </w:r>
          </w:p>
        </w:tc>
        <w:tc>
          <w:tcPr>
            <w:tcW w:w="1223" w:type="dxa"/>
            <w:tcBorders>
              <w:top w:val="nil"/>
              <w:left w:val="nil"/>
              <w:bottom w:val="single" w:sz="4" w:space="0" w:color="auto"/>
              <w:right w:val="single" w:sz="4" w:space="0" w:color="auto"/>
            </w:tcBorders>
            <w:shd w:val="clear" w:color="auto" w:fill="auto"/>
            <w:noWrap/>
            <w:vAlign w:val="bottom"/>
            <w:hideMark/>
          </w:tcPr>
          <w:p w14:paraId="51B8BA30" w14:textId="0003CA92"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63.544</w:t>
            </w:r>
          </w:p>
        </w:tc>
      </w:tr>
      <w:tr w:rsidR="00F75098" w:rsidRPr="00600D62" w14:paraId="5374F03B"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3AC270F6"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Std. Dev.</w:t>
            </w:r>
          </w:p>
        </w:tc>
        <w:tc>
          <w:tcPr>
            <w:tcW w:w="1114" w:type="dxa"/>
            <w:tcBorders>
              <w:top w:val="nil"/>
              <w:left w:val="nil"/>
              <w:bottom w:val="single" w:sz="4" w:space="0" w:color="auto"/>
              <w:right w:val="single" w:sz="4" w:space="0" w:color="auto"/>
            </w:tcBorders>
            <w:shd w:val="clear" w:color="auto" w:fill="auto"/>
            <w:noWrap/>
            <w:vAlign w:val="bottom"/>
            <w:hideMark/>
          </w:tcPr>
          <w:p w14:paraId="50744E41" w14:textId="17E50E4E"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3.744</w:t>
            </w:r>
          </w:p>
        </w:tc>
        <w:tc>
          <w:tcPr>
            <w:tcW w:w="1070" w:type="dxa"/>
            <w:tcBorders>
              <w:top w:val="nil"/>
              <w:left w:val="nil"/>
              <w:bottom w:val="single" w:sz="4" w:space="0" w:color="auto"/>
              <w:right w:val="single" w:sz="4" w:space="0" w:color="auto"/>
            </w:tcBorders>
            <w:shd w:val="clear" w:color="auto" w:fill="auto"/>
            <w:noWrap/>
            <w:vAlign w:val="bottom"/>
            <w:hideMark/>
          </w:tcPr>
          <w:p w14:paraId="18EAF8FE" w14:textId="6D1E04A9"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3.880</w:t>
            </w:r>
          </w:p>
        </w:tc>
        <w:tc>
          <w:tcPr>
            <w:tcW w:w="1093" w:type="dxa"/>
            <w:tcBorders>
              <w:top w:val="nil"/>
              <w:left w:val="nil"/>
              <w:bottom w:val="single" w:sz="4" w:space="0" w:color="auto"/>
              <w:right w:val="single" w:sz="4" w:space="0" w:color="auto"/>
            </w:tcBorders>
            <w:shd w:val="clear" w:color="auto" w:fill="auto"/>
            <w:noWrap/>
            <w:vAlign w:val="bottom"/>
            <w:hideMark/>
          </w:tcPr>
          <w:p w14:paraId="095EF8E6" w14:textId="3017AD86"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3.813</w:t>
            </w:r>
          </w:p>
        </w:tc>
        <w:tc>
          <w:tcPr>
            <w:tcW w:w="1093" w:type="dxa"/>
            <w:tcBorders>
              <w:top w:val="nil"/>
              <w:left w:val="nil"/>
              <w:bottom w:val="single" w:sz="4" w:space="0" w:color="auto"/>
              <w:right w:val="single" w:sz="4" w:space="0" w:color="auto"/>
            </w:tcBorders>
            <w:shd w:val="clear" w:color="auto" w:fill="auto"/>
            <w:noWrap/>
            <w:vAlign w:val="bottom"/>
            <w:hideMark/>
          </w:tcPr>
          <w:p w14:paraId="1B7F541E" w14:textId="3D2A4A3A"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3.286</w:t>
            </w:r>
          </w:p>
        </w:tc>
        <w:tc>
          <w:tcPr>
            <w:tcW w:w="1070" w:type="dxa"/>
            <w:tcBorders>
              <w:top w:val="nil"/>
              <w:left w:val="nil"/>
              <w:bottom w:val="single" w:sz="4" w:space="0" w:color="auto"/>
              <w:right w:val="single" w:sz="4" w:space="0" w:color="auto"/>
            </w:tcBorders>
            <w:shd w:val="clear" w:color="auto" w:fill="auto"/>
            <w:noWrap/>
            <w:vAlign w:val="bottom"/>
            <w:hideMark/>
          </w:tcPr>
          <w:p w14:paraId="7ECABE17" w14:textId="5437D9FC"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10.432</w:t>
            </w:r>
          </w:p>
        </w:tc>
        <w:tc>
          <w:tcPr>
            <w:tcW w:w="1230" w:type="dxa"/>
            <w:tcBorders>
              <w:top w:val="nil"/>
              <w:left w:val="nil"/>
              <w:bottom w:val="single" w:sz="4" w:space="0" w:color="auto"/>
              <w:right w:val="single" w:sz="4" w:space="0" w:color="auto"/>
            </w:tcBorders>
            <w:shd w:val="clear" w:color="auto" w:fill="auto"/>
            <w:noWrap/>
            <w:vAlign w:val="bottom"/>
            <w:hideMark/>
          </w:tcPr>
          <w:p w14:paraId="42EB653A" w14:textId="40CC5F73"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4.08</w:t>
            </w:r>
          </w:p>
        </w:tc>
        <w:tc>
          <w:tcPr>
            <w:tcW w:w="1223" w:type="dxa"/>
            <w:tcBorders>
              <w:top w:val="nil"/>
              <w:left w:val="nil"/>
              <w:bottom w:val="single" w:sz="4" w:space="0" w:color="auto"/>
              <w:right w:val="single" w:sz="4" w:space="0" w:color="auto"/>
            </w:tcBorders>
            <w:shd w:val="clear" w:color="auto" w:fill="auto"/>
            <w:noWrap/>
            <w:vAlign w:val="bottom"/>
            <w:hideMark/>
          </w:tcPr>
          <w:p w14:paraId="5B973910" w14:textId="3FF276F0"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3.511</w:t>
            </w:r>
          </w:p>
        </w:tc>
      </w:tr>
      <w:tr w:rsidR="00F75098" w:rsidRPr="00600D62" w14:paraId="4B41D22B"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4830E3F8"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Skewness</w:t>
            </w:r>
          </w:p>
        </w:tc>
        <w:tc>
          <w:tcPr>
            <w:tcW w:w="1114" w:type="dxa"/>
            <w:tcBorders>
              <w:top w:val="nil"/>
              <w:left w:val="nil"/>
              <w:bottom w:val="single" w:sz="4" w:space="0" w:color="auto"/>
              <w:right w:val="single" w:sz="4" w:space="0" w:color="auto"/>
            </w:tcBorders>
            <w:shd w:val="clear" w:color="auto" w:fill="auto"/>
            <w:noWrap/>
            <w:vAlign w:val="bottom"/>
            <w:hideMark/>
          </w:tcPr>
          <w:p w14:paraId="16A68773" w14:textId="2056A04B"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-1.259</w:t>
            </w:r>
          </w:p>
        </w:tc>
        <w:tc>
          <w:tcPr>
            <w:tcW w:w="1070" w:type="dxa"/>
            <w:tcBorders>
              <w:top w:val="nil"/>
              <w:left w:val="nil"/>
              <w:bottom w:val="single" w:sz="4" w:space="0" w:color="auto"/>
              <w:right w:val="single" w:sz="4" w:space="0" w:color="auto"/>
            </w:tcBorders>
            <w:shd w:val="clear" w:color="auto" w:fill="auto"/>
            <w:noWrap/>
            <w:vAlign w:val="bottom"/>
            <w:hideMark/>
          </w:tcPr>
          <w:p w14:paraId="0DA6FEE7" w14:textId="32A0DC6F"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-2.775</w:t>
            </w:r>
          </w:p>
        </w:tc>
        <w:tc>
          <w:tcPr>
            <w:tcW w:w="1093" w:type="dxa"/>
            <w:tcBorders>
              <w:top w:val="nil"/>
              <w:left w:val="nil"/>
              <w:bottom w:val="single" w:sz="4" w:space="0" w:color="auto"/>
              <w:right w:val="single" w:sz="4" w:space="0" w:color="auto"/>
            </w:tcBorders>
            <w:shd w:val="clear" w:color="auto" w:fill="auto"/>
            <w:noWrap/>
            <w:vAlign w:val="bottom"/>
            <w:hideMark/>
          </w:tcPr>
          <w:p w14:paraId="5A8D9944" w14:textId="11520BC3"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-2.031</w:t>
            </w:r>
          </w:p>
        </w:tc>
        <w:tc>
          <w:tcPr>
            <w:tcW w:w="1093" w:type="dxa"/>
            <w:tcBorders>
              <w:top w:val="nil"/>
              <w:left w:val="nil"/>
              <w:bottom w:val="single" w:sz="4" w:space="0" w:color="auto"/>
              <w:right w:val="single" w:sz="4" w:space="0" w:color="auto"/>
            </w:tcBorders>
            <w:shd w:val="clear" w:color="auto" w:fill="auto"/>
            <w:noWrap/>
            <w:vAlign w:val="bottom"/>
            <w:hideMark/>
          </w:tcPr>
          <w:p w14:paraId="053DAC22" w14:textId="3C28EAA4"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-1.626</w:t>
            </w:r>
          </w:p>
        </w:tc>
        <w:tc>
          <w:tcPr>
            <w:tcW w:w="1070" w:type="dxa"/>
            <w:tcBorders>
              <w:top w:val="nil"/>
              <w:left w:val="nil"/>
              <w:bottom w:val="single" w:sz="4" w:space="0" w:color="auto"/>
              <w:right w:val="single" w:sz="4" w:space="0" w:color="auto"/>
            </w:tcBorders>
            <w:shd w:val="clear" w:color="auto" w:fill="auto"/>
            <w:noWrap/>
            <w:vAlign w:val="bottom"/>
            <w:hideMark/>
          </w:tcPr>
          <w:p w14:paraId="2A015371" w14:textId="4A2945FA"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-0.870</w:t>
            </w:r>
          </w:p>
        </w:tc>
        <w:tc>
          <w:tcPr>
            <w:tcW w:w="1230" w:type="dxa"/>
            <w:tcBorders>
              <w:top w:val="nil"/>
              <w:left w:val="nil"/>
              <w:bottom w:val="single" w:sz="4" w:space="0" w:color="auto"/>
              <w:right w:val="single" w:sz="4" w:space="0" w:color="auto"/>
            </w:tcBorders>
            <w:shd w:val="clear" w:color="auto" w:fill="auto"/>
            <w:noWrap/>
            <w:vAlign w:val="bottom"/>
            <w:hideMark/>
          </w:tcPr>
          <w:p w14:paraId="0FEAEDA5" w14:textId="0D673924"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-2.727</w:t>
            </w:r>
          </w:p>
        </w:tc>
        <w:tc>
          <w:tcPr>
            <w:tcW w:w="1223" w:type="dxa"/>
            <w:tcBorders>
              <w:top w:val="nil"/>
              <w:left w:val="nil"/>
              <w:bottom w:val="single" w:sz="4" w:space="0" w:color="auto"/>
              <w:right w:val="single" w:sz="4" w:space="0" w:color="auto"/>
            </w:tcBorders>
            <w:shd w:val="clear" w:color="auto" w:fill="auto"/>
            <w:noWrap/>
            <w:vAlign w:val="bottom"/>
            <w:hideMark/>
          </w:tcPr>
          <w:p w14:paraId="42AB9361" w14:textId="6145E99D"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-1.331</w:t>
            </w:r>
          </w:p>
        </w:tc>
      </w:tr>
      <w:tr w:rsidR="00F75098" w:rsidRPr="00600D62" w14:paraId="0E412039"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3728A4F9"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Kurtosis</w:t>
            </w:r>
          </w:p>
        </w:tc>
        <w:tc>
          <w:tcPr>
            <w:tcW w:w="1114" w:type="dxa"/>
            <w:tcBorders>
              <w:top w:val="nil"/>
              <w:left w:val="nil"/>
              <w:bottom w:val="single" w:sz="4" w:space="0" w:color="auto"/>
              <w:right w:val="single" w:sz="4" w:space="0" w:color="auto"/>
            </w:tcBorders>
            <w:shd w:val="clear" w:color="auto" w:fill="auto"/>
            <w:noWrap/>
            <w:vAlign w:val="bottom"/>
            <w:hideMark/>
          </w:tcPr>
          <w:p w14:paraId="2D4DA6C5" w14:textId="4F2CDC5D"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5.883</w:t>
            </w:r>
          </w:p>
        </w:tc>
        <w:tc>
          <w:tcPr>
            <w:tcW w:w="1070" w:type="dxa"/>
            <w:tcBorders>
              <w:top w:val="nil"/>
              <w:left w:val="nil"/>
              <w:bottom w:val="single" w:sz="4" w:space="0" w:color="auto"/>
              <w:right w:val="single" w:sz="4" w:space="0" w:color="auto"/>
            </w:tcBorders>
            <w:shd w:val="clear" w:color="auto" w:fill="auto"/>
            <w:noWrap/>
            <w:vAlign w:val="bottom"/>
            <w:hideMark/>
          </w:tcPr>
          <w:p w14:paraId="1703A3E4" w14:textId="6F0592DD"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15.165</w:t>
            </w:r>
          </w:p>
        </w:tc>
        <w:tc>
          <w:tcPr>
            <w:tcW w:w="1093" w:type="dxa"/>
            <w:tcBorders>
              <w:top w:val="nil"/>
              <w:left w:val="nil"/>
              <w:bottom w:val="single" w:sz="4" w:space="0" w:color="auto"/>
              <w:right w:val="single" w:sz="4" w:space="0" w:color="auto"/>
            </w:tcBorders>
            <w:shd w:val="clear" w:color="auto" w:fill="auto"/>
            <w:noWrap/>
            <w:vAlign w:val="bottom"/>
            <w:hideMark/>
          </w:tcPr>
          <w:p w14:paraId="01B330E2" w14:textId="06544BDE"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7.633</w:t>
            </w:r>
          </w:p>
        </w:tc>
        <w:tc>
          <w:tcPr>
            <w:tcW w:w="1093" w:type="dxa"/>
            <w:tcBorders>
              <w:top w:val="nil"/>
              <w:left w:val="nil"/>
              <w:bottom w:val="single" w:sz="4" w:space="0" w:color="auto"/>
              <w:right w:val="single" w:sz="4" w:space="0" w:color="auto"/>
            </w:tcBorders>
            <w:shd w:val="clear" w:color="auto" w:fill="auto"/>
            <w:noWrap/>
            <w:vAlign w:val="bottom"/>
            <w:hideMark/>
          </w:tcPr>
          <w:p w14:paraId="5266F36A" w14:textId="552BA240"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5.</w:t>
            </w:r>
            <w:r w:rsidR="00044CFF">
              <w:rPr>
                <w:rFonts w:ascii="Calibri" w:eastAsia="Times New Roman" w:hAnsi="Calibri" w:cs="Calibri"/>
                <w:color w:val="000000"/>
                <w:lang w:val="en-GB" w:eastAsia="en-GB"/>
              </w:rPr>
              <w:t>4</w:t>
            </w:r>
            <w:r>
              <w:rPr>
                <w:rFonts w:ascii="Calibri" w:eastAsia="Times New Roman" w:hAnsi="Calibri" w:cs="Calibri"/>
                <w:color w:val="000000"/>
                <w:lang w:val="en-GB" w:eastAsia="en-GB"/>
              </w:rPr>
              <w:t>23</w:t>
            </w:r>
          </w:p>
        </w:tc>
        <w:tc>
          <w:tcPr>
            <w:tcW w:w="1070" w:type="dxa"/>
            <w:tcBorders>
              <w:top w:val="nil"/>
              <w:left w:val="nil"/>
              <w:bottom w:val="single" w:sz="4" w:space="0" w:color="auto"/>
              <w:right w:val="single" w:sz="4" w:space="0" w:color="auto"/>
            </w:tcBorders>
            <w:shd w:val="clear" w:color="auto" w:fill="auto"/>
            <w:noWrap/>
            <w:vAlign w:val="bottom"/>
            <w:hideMark/>
          </w:tcPr>
          <w:p w14:paraId="529514E2" w14:textId="50246325"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2.935</w:t>
            </w:r>
          </w:p>
        </w:tc>
        <w:tc>
          <w:tcPr>
            <w:tcW w:w="1230" w:type="dxa"/>
            <w:tcBorders>
              <w:top w:val="nil"/>
              <w:left w:val="nil"/>
              <w:bottom w:val="single" w:sz="4" w:space="0" w:color="auto"/>
              <w:right w:val="single" w:sz="4" w:space="0" w:color="auto"/>
            </w:tcBorders>
            <w:shd w:val="clear" w:color="auto" w:fill="auto"/>
            <w:noWrap/>
            <w:vAlign w:val="bottom"/>
            <w:hideMark/>
          </w:tcPr>
          <w:p w14:paraId="3C4EF7BF" w14:textId="3347585F"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13.082</w:t>
            </w:r>
          </w:p>
        </w:tc>
        <w:tc>
          <w:tcPr>
            <w:tcW w:w="1223" w:type="dxa"/>
            <w:tcBorders>
              <w:top w:val="nil"/>
              <w:left w:val="nil"/>
              <w:bottom w:val="single" w:sz="4" w:space="0" w:color="auto"/>
              <w:right w:val="single" w:sz="4" w:space="0" w:color="auto"/>
            </w:tcBorders>
            <w:shd w:val="clear" w:color="auto" w:fill="auto"/>
            <w:noWrap/>
            <w:vAlign w:val="bottom"/>
            <w:hideMark/>
          </w:tcPr>
          <w:p w14:paraId="3C832577" w14:textId="507BEE5C"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4.896</w:t>
            </w:r>
          </w:p>
        </w:tc>
      </w:tr>
      <w:tr w:rsidR="00F75098" w:rsidRPr="00600D62" w14:paraId="020AE672"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737DE3F3"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114" w:type="dxa"/>
            <w:tcBorders>
              <w:top w:val="nil"/>
              <w:left w:val="nil"/>
              <w:bottom w:val="single" w:sz="4" w:space="0" w:color="auto"/>
              <w:right w:val="single" w:sz="4" w:space="0" w:color="auto"/>
            </w:tcBorders>
            <w:shd w:val="clear" w:color="auto" w:fill="auto"/>
            <w:noWrap/>
            <w:vAlign w:val="bottom"/>
            <w:hideMark/>
          </w:tcPr>
          <w:p w14:paraId="3F9ED8CA"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4BEF8C6F"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3FEB4A01"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4082CD5F"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750D9A83"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30" w:type="dxa"/>
            <w:tcBorders>
              <w:top w:val="nil"/>
              <w:left w:val="nil"/>
              <w:bottom w:val="single" w:sz="4" w:space="0" w:color="auto"/>
              <w:right w:val="single" w:sz="4" w:space="0" w:color="auto"/>
            </w:tcBorders>
            <w:shd w:val="clear" w:color="auto" w:fill="auto"/>
            <w:noWrap/>
            <w:vAlign w:val="bottom"/>
            <w:hideMark/>
          </w:tcPr>
          <w:p w14:paraId="25ED8E19"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23" w:type="dxa"/>
            <w:tcBorders>
              <w:top w:val="nil"/>
              <w:left w:val="nil"/>
              <w:bottom w:val="single" w:sz="4" w:space="0" w:color="auto"/>
              <w:right w:val="single" w:sz="4" w:space="0" w:color="auto"/>
            </w:tcBorders>
            <w:shd w:val="clear" w:color="auto" w:fill="auto"/>
            <w:noWrap/>
            <w:vAlign w:val="bottom"/>
            <w:hideMark/>
          </w:tcPr>
          <w:p w14:paraId="25712E53"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r>
      <w:tr w:rsidR="00F75098" w:rsidRPr="00600D62" w14:paraId="2057A3E6"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7737510B"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Jarque-Bera</w:t>
            </w:r>
          </w:p>
        </w:tc>
        <w:tc>
          <w:tcPr>
            <w:tcW w:w="1114" w:type="dxa"/>
            <w:tcBorders>
              <w:top w:val="nil"/>
              <w:left w:val="nil"/>
              <w:bottom w:val="single" w:sz="4" w:space="0" w:color="auto"/>
              <w:right w:val="single" w:sz="4" w:space="0" w:color="auto"/>
            </w:tcBorders>
            <w:shd w:val="clear" w:color="auto" w:fill="auto"/>
            <w:noWrap/>
            <w:vAlign w:val="bottom"/>
            <w:hideMark/>
          </w:tcPr>
          <w:p w14:paraId="202D0498" w14:textId="4ADBB3E8"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54.335</w:t>
            </w:r>
          </w:p>
        </w:tc>
        <w:tc>
          <w:tcPr>
            <w:tcW w:w="1070" w:type="dxa"/>
            <w:tcBorders>
              <w:top w:val="nil"/>
              <w:left w:val="nil"/>
              <w:bottom w:val="single" w:sz="4" w:space="0" w:color="auto"/>
              <w:right w:val="single" w:sz="4" w:space="0" w:color="auto"/>
            </w:tcBorders>
            <w:shd w:val="clear" w:color="auto" w:fill="auto"/>
            <w:noWrap/>
            <w:vAlign w:val="bottom"/>
            <w:hideMark/>
          </w:tcPr>
          <w:p w14:paraId="7A15ED7E" w14:textId="31C60C53"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685.323</w:t>
            </w:r>
          </w:p>
        </w:tc>
        <w:tc>
          <w:tcPr>
            <w:tcW w:w="1093" w:type="dxa"/>
            <w:tcBorders>
              <w:top w:val="nil"/>
              <w:left w:val="nil"/>
              <w:bottom w:val="single" w:sz="4" w:space="0" w:color="auto"/>
              <w:right w:val="single" w:sz="4" w:space="0" w:color="auto"/>
            </w:tcBorders>
            <w:shd w:val="clear" w:color="auto" w:fill="auto"/>
            <w:noWrap/>
            <w:vAlign w:val="bottom"/>
            <w:hideMark/>
          </w:tcPr>
          <w:p w14:paraId="3644F668" w14:textId="4BFD746F"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145.524</w:t>
            </w:r>
          </w:p>
        </w:tc>
        <w:tc>
          <w:tcPr>
            <w:tcW w:w="1093" w:type="dxa"/>
            <w:tcBorders>
              <w:top w:val="nil"/>
              <w:left w:val="nil"/>
              <w:bottom w:val="single" w:sz="4" w:space="0" w:color="auto"/>
              <w:right w:val="single" w:sz="4" w:space="0" w:color="auto"/>
            </w:tcBorders>
            <w:shd w:val="clear" w:color="auto" w:fill="auto"/>
            <w:noWrap/>
            <w:vAlign w:val="bottom"/>
            <w:hideMark/>
          </w:tcPr>
          <w:p w14:paraId="0EADC289" w14:textId="378F796C"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63.044</w:t>
            </w:r>
          </w:p>
        </w:tc>
        <w:tc>
          <w:tcPr>
            <w:tcW w:w="1070" w:type="dxa"/>
            <w:tcBorders>
              <w:top w:val="nil"/>
              <w:left w:val="nil"/>
              <w:bottom w:val="single" w:sz="4" w:space="0" w:color="auto"/>
              <w:right w:val="single" w:sz="4" w:space="0" w:color="auto"/>
            </w:tcBorders>
            <w:shd w:val="clear" w:color="auto" w:fill="auto"/>
            <w:noWrap/>
            <w:vAlign w:val="bottom"/>
            <w:hideMark/>
          </w:tcPr>
          <w:p w14:paraId="3B0CB193" w14:textId="441D60D8"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11.618</w:t>
            </w:r>
          </w:p>
        </w:tc>
        <w:tc>
          <w:tcPr>
            <w:tcW w:w="1230" w:type="dxa"/>
            <w:tcBorders>
              <w:top w:val="nil"/>
              <w:left w:val="nil"/>
              <w:bottom w:val="single" w:sz="4" w:space="0" w:color="auto"/>
              <w:right w:val="single" w:sz="4" w:space="0" w:color="auto"/>
            </w:tcBorders>
            <w:shd w:val="clear" w:color="auto" w:fill="auto"/>
            <w:noWrap/>
            <w:vAlign w:val="bottom"/>
            <w:hideMark/>
          </w:tcPr>
          <w:p w14:paraId="710529E5" w14:textId="2FE284AF"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465.293</w:t>
            </w:r>
          </w:p>
        </w:tc>
        <w:tc>
          <w:tcPr>
            <w:tcW w:w="1223" w:type="dxa"/>
            <w:tcBorders>
              <w:top w:val="nil"/>
              <w:left w:val="nil"/>
              <w:bottom w:val="single" w:sz="4" w:space="0" w:color="auto"/>
              <w:right w:val="single" w:sz="4" w:space="0" w:color="auto"/>
            </w:tcBorders>
            <w:shd w:val="clear" w:color="auto" w:fill="auto"/>
            <w:noWrap/>
            <w:vAlign w:val="bottom"/>
            <w:hideMark/>
          </w:tcPr>
          <w:p w14:paraId="6E2519B2" w14:textId="0590C850"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40.960</w:t>
            </w:r>
          </w:p>
        </w:tc>
      </w:tr>
      <w:tr w:rsidR="00F75098" w:rsidRPr="00600D62" w14:paraId="4A93ACD7"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5D376720"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Probability</w:t>
            </w:r>
          </w:p>
        </w:tc>
        <w:tc>
          <w:tcPr>
            <w:tcW w:w="1114" w:type="dxa"/>
            <w:tcBorders>
              <w:top w:val="nil"/>
              <w:left w:val="nil"/>
              <w:bottom w:val="single" w:sz="4" w:space="0" w:color="auto"/>
              <w:right w:val="single" w:sz="4" w:space="0" w:color="auto"/>
            </w:tcBorders>
            <w:shd w:val="clear" w:color="auto" w:fill="auto"/>
            <w:noWrap/>
            <w:vAlign w:val="bottom"/>
            <w:hideMark/>
          </w:tcPr>
          <w:p w14:paraId="317C15C9" w14:textId="6991BA3F"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w:t>
            </w:r>
          </w:p>
        </w:tc>
        <w:tc>
          <w:tcPr>
            <w:tcW w:w="1070" w:type="dxa"/>
            <w:tcBorders>
              <w:top w:val="nil"/>
              <w:left w:val="nil"/>
              <w:bottom w:val="single" w:sz="4" w:space="0" w:color="auto"/>
              <w:right w:val="single" w:sz="4" w:space="0" w:color="auto"/>
            </w:tcBorders>
            <w:shd w:val="clear" w:color="auto" w:fill="auto"/>
            <w:noWrap/>
            <w:vAlign w:val="bottom"/>
            <w:hideMark/>
          </w:tcPr>
          <w:p w14:paraId="005C8DB9" w14:textId="15D3AA31"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w:t>
            </w:r>
          </w:p>
        </w:tc>
        <w:tc>
          <w:tcPr>
            <w:tcW w:w="1093" w:type="dxa"/>
            <w:tcBorders>
              <w:top w:val="nil"/>
              <w:left w:val="nil"/>
              <w:bottom w:val="single" w:sz="4" w:space="0" w:color="auto"/>
              <w:right w:val="single" w:sz="4" w:space="0" w:color="auto"/>
            </w:tcBorders>
            <w:shd w:val="clear" w:color="auto" w:fill="auto"/>
            <w:noWrap/>
            <w:vAlign w:val="bottom"/>
            <w:hideMark/>
          </w:tcPr>
          <w:p w14:paraId="79B5B38B" w14:textId="28758A88"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w:t>
            </w:r>
          </w:p>
        </w:tc>
        <w:tc>
          <w:tcPr>
            <w:tcW w:w="1093" w:type="dxa"/>
            <w:tcBorders>
              <w:top w:val="nil"/>
              <w:left w:val="nil"/>
              <w:bottom w:val="single" w:sz="4" w:space="0" w:color="auto"/>
              <w:right w:val="single" w:sz="4" w:space="0" w:color="auto"/>
            </w:tcBorders>
            <w:shd w:val="clear" w:color="auto" w:fill="auto"/>
            <w:noWrap/>
            <w:vAlign w:val="bottom"/>
            <w:hideMark/>
          </w:tcPr>
          <w:p w14:paraId="4AB5C452" w14:textId="631E9CE3"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w:t>
            </w:r>
          </w:p>
        </w:tc>
        <w:tc>
          <w:tcPr>
            <w:tcW w:w="1070" w:type="dxa"/>
            <w:tcBorders>
              <w:top w:val="nil"/>
              <w:left w:val="nil"/>
              <w:bottom w:val="single" w:sz="4" w:space="0" w:color="auto"/>
              <w:right w:val="single" w:sz="4" w:space="0" w:color="auto"/>
            </w:tcBorders>
            <w:shd w:val="clear" w:color="auto" w:fill="auto"/>
            <w:noWrap/>
            <w:vAlign w:val="bottom"/>
            <w:hideMark/>
          </w:tcPr>
          <w:p w14:paraId="3A396A83" w14:textId="02466F0B"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0.003</w:t>
            </w:r>
          </w:p>
        </w:tc>
        <w:tc>
          <w:tcPr>
            <w:tcW w:w="1230" w:type="dxa"/>
            <w:tcBorders>
              <w:top w:val="nil"/>
              <w:left w:val="nil"/>
              <w:bottom w:val="single" w:sz="4" w:space="0" w:color="auto"/>
              <w:right w:val="single" w:sz="4" w:space="0" w:color="auto"/>
            </w:tcBorders>
            <w:shd w:val="clear" w:color="auto" w:fill="auto"/>
            <w:noWrap/>
            <w:vAlign w:val="bottom"/>
            <w:hideMark/>
          </w:tcPr>
          <w:p w14:paraId="47B7EC92" w14:textId="3333DC06"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w:t>
            </w:r>
          </w:p>
        </w:tc>
        <w:tc>
          <w:tcPr>
            <w:tcW w:w="1223" w:type="dxa"/>
            <w:tcBorders>
              <w:top w:val="nil"/>
              <w:left w:val="nil"/>
              <w:bottom w:val="single" w:sz="4" w:space="0" w:color="auto"/>
              <w:right w:val="single" w:sz="4" w:space="0" w:color="auto"/>
            </w:tcBorders>
            <w:shd w:val="clear" w:color="auto" w:fill="auto"/>
            <w:noWrap/>
            <w:vAlign w:val="bottom"/>
            <w:hideMark/>
          </w:tcPr>
          <w:p w14:paraId="75FB73BA" w14:textId="45C860BC"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w:t>
            </w:r>
          </w:p>
        </w:tc>
      </w:tr>
      <w:tr w:rsidR="00F75098" w:rsidRPr="00600D62" w14:paraId="70CA05DC"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1E5AA121"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114" w:type="dxa"/>
            <w:tcBorders>
              <w:top w:val="nil"/>
              <w:left w:val="nil"/>
              <w:bottom w:val="single" w:sz="4" w:space="0" w:color="auto"/>
              <w:right w:val="single" w:sz="4" w:space="0" w:color="auto"/>
            </w:tcBorders>
            <w:shd w:val="clear" w:color="auto" w:fill="auto"/>
            <w:noWrap/>
            <w:vAlign w:val="bottom"/>
            <w:hideMark/>
          </w:tcPr>
          <w:p w14:paraId="15E42D7B"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6DB18DE4"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4F9D453C"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5F75EDBB"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4A2DFE18"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30" w:type="dxa"/>
            <w:tcBorders>
              <w:top w:val="nil"/>
              <w:left w:val="nil"/>
              <w:bottom w:val="single" w:sz="4" w:space="0" w:color="auto"/>
              <w:right w:val="single" w:sz="4" w:space="0" w:color="auto"/>
            </w:tcBorders>
            <w:shd w:val="clear" w:color="auto" w:fill="auto"/>
            <w:noWrap/>
            <w:vAlign w:val="bottom"/>
            <w:hideMark/>
          </w:tcPr>
          <w:p w14:paraId="6179AC6B"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23" w:type="dxa"/>
            <w:tcBorders>
              <w:top w:val="nil"/>
              <w:left w:val="nil"/>
              <w:bottom w:val="single" w:sz="4" w:space="0" w:color="auto"/>
              <w:right w:val="single" w:sz="4" w:space="0" w:color="auto"/>
            </w:tcBorders>
            <w:shd w:val="clear" w:color="auto" w:fill="auto"/>
            <w:noWrap/>
            <w:vAlign w:val="bottom"/>
            <w:hideMark/>
          </w:tcPr>
          <w:p w14:paraId="13D86C93"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r>
      <w:tr w:rsidR="00F75098" w:rsidRPr="00600D62" w14:paraId="293468D7"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114FCD8C"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Sum</w:t>
            </w:r>
          </w:p>
        </w:tc>
        <w:tc>
          <w:tcPr>
            <w:tcW w:w="1114" w:type="dxa"/>
            <w:tcBorders>
              <w:top w:val="nil"/>
              <w:left w:val="nil"/>
              <w:bottom w:val="single" w:sz="4" w:space="0" w:color="auto"/>
              <w:right w:val="single" w:sz="4" w:space="0" w:color="auto"/>
            </w:tcBorders>
            <w:shd w:val="clear" w:color="auto" w:fill="auto"/>
            <w:noWrap/>
            <w:vAlign w:val="bottom"/>
            <w:hideMark/>
          </w:tcPr>
          <w:p w14:paraId="3D8D3AD1" w14:textId="632C03D4"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7121.1</w:t>
            </w:r>
          </w:p>
        </w:tc>
        <w:tc>
          <w:tcPr>
            <w:tcW w:w="1070" w:type="dxa"/>
            <w:tcBorders>
              <w:top w:val="nil"/>
              <w:left w:val="nil"/>
              <w:bottom w:val="single" w:sz="4" w:space="0" w:color="auto"/>
              <w:right w:val="single" w:sz="4" w:space="0" w:color="auto"/>
            </w:tcBorders>
            <w:shd w:val="clear" w:color="auto" w:fill="auto"/>
            <w:noWrap/>
            <w:vAlign w:val="bottom"/>
            <w:hideMark/>
          </w:tcPr>
          <w:p w14:paraId="6E163E49" w14:textId="5928F6E7"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7623.8</w:t>
            </w:r>
          </w:p>
        </w:tc>
        <w:tc>
          <w:tcPr>
            <w:tcW w:w="1093" w:type="dxa"/>
            <w:tcBorders>
              <w:top w:val="nil"/>
              <w:left w:val="nil"/>
              <w:bottom w:val="single" w:sz="4" w:space="0" w:color="auto"/>
              <w:right w:val="single" w:sz="4" w:space="0" w:color="auto"/>
            </w:tcBorders>
            <w:shd w:val="clear" w:color="auto" w:fill="auto"/>
            <w:noWrap/>
            <w:vAlign w:val="bottom"/>
            <w:hideMark/>
          </w:tcPr>
          <w:p w14:paraId="666078F8" w14:textId="637C08BA"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7720.8</w:t>
            </w:r>
          </w:p>
        </w:tc>
        <w:tc>
          <w:tcPr>
            <w:tcW w:w="1093" w:type="dxa"/>
            <w:tcBorders>
              <w:top w:val="nil"/>
              <w:left w:val="nil"/>
              <w:bottom w:val="single" w:sz="4" w:space="0" w:color="auto"/>
              <w:right w:val="single" w:sz="4" w:space="0" w:color="auto"/>
            </w:tcBorders>
            <w:shd w:val="clear" w:color="auto" w:fill="auto"/>
            <w:noWrap/>
            <w:vAlign w:val="bottom"/>
            <w:hideMark/>
          </w:tcPr>
          <w:p w14:paraId="1E0DA514" w14:textId="6B97CDFD"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6903.35</w:t>
            </w:r>
          </w:p>
        </w:tc>
        <w:tc>
          <w:tcPr>
            <w:tcW w:w="1070" w:type="dxa"/>
            <w:tcBorders>
              <w:top w:val="nil"/>
              <w:left w:val="nil"/>
              <w:bottom w:val="single" w:sz="4" w:space="0" w:color="auto"/>
              <w:right w:val="single" w:sz="4" w:space="0" w:color="auto"/>
            </w:tcBorders>
            <w:shd w:val="clear" w:color="auto" w:fill="auto"/>
            <w:noWrap/>
            <w:vAlign w:val="bottom"/>
            <w:hideMark/>
          </w:tcPr>
          <w:p w14:paraId="0C82A1B9" w14:textId="001E4518"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8388</w:t>
            </w:r>
          </w:p>
        </w:tc>
        <w:tc>
          <w:tcPr>
            <w:tcW w:w="1230" w:type="dxa"/>
            <w:tcBorders>
              <w:top w:val="nil"/>
              <w:left w:val="nil"/>
              <w:bottom w:val="single" w:sz="4" w:space="0" w:color="auto"/>
              <w:right w:val="single" w:sz="4" w:space="0" w:color="auto"/>
            </w:tcBorders>
            <w:shd w:val="clear" w:color="auto" w:fill="auto"/>
            <w:noWrap/>
            <w:vAlign w:val="bottom"/>
            <w:hideMark/>
          </w:tcPr>
          <w:p w14:paraId="0A82E531" w14:textId="5FC4222D"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6742.5</w:t>
            </w:r>
          </w:p>
        </w:tc>
        <w:tc>
          <w:tcPr>
            <w:tcW w:w="1223" w:type="dxa"/>
            <w:tcBorders>
              <w:top w:val="nil"/>
              <w:left w:val="nil"/>
              <w:bottom w:val="single" w:sz="4" w:space="0" w:color="auto"/>
              <w:right w:val="single" w:sz="4" w:space="0" w:color="auto"/>
            </w:tcBorders>
            <w:shd w:val="clear" w:color="auto" w:fill="auto"/>
            <w:noWrap/>
            <w:vAlign w:val="bottom"/>
            <w:hideMark/>
          </w:tcPr>
          <w:p w14:paraId="5A9F3801" w14:textId="59B224E2"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6940.089</w:t>
            </w:r>
          </w:p>
        </w:tc>
      </w:tr>
      <w:tr w:rsidR="00F75098" w:rsidRPr="00600D62" w14:paraId="7EE3979B"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5AA6B7DA"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Sum Sq. Dev.</w:t>
            </w:r>
          </w:p>
        </w:tc>
        <w:tc>
          <w:tcPr>
            <w:tcW w:w="1114" w:type="dxa"/>
            <w:tcBorders>
              <w:top w:val="nil"/>
              <w:left w:val="nil"/>
              <w:bottom w:val="single" w:sz="4" w:space="0" w:color="auto"/>
              <w:right w:val="single" w:sz="4" w:space="0" w:color="auto"/>
            </w:tcBorders>
            <w:shd w:val="clear" w:color="auto" w:fill="auto"/>
            <w:noWrap/>
            <w:vAlign w:val="bottom"/>
            <w:hideMark/>
          </w:tcPr>
          <w:p w14:paraId="48E8056E" w14:textId="1CC07B67"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1233.756</w:t>
            </w:r>
          </w:p>
        </w:tc>
        <w:tc>
          <w:tcPr>
            <w:tcW w:w="1070" w:type="dxa"/>
            <w:tcBorders>
              <w:top w:val="nil"/>
              <w:left w:val="nil"/>
              <w:bottom w:val="single" w:sz="4" w:space="0" w:color="auto"/>
              <w:right w:val="single" w:sz="4" w:space="0" w:color="auto"/>
            </w:tcBorders>
            <w:shd w:val="clear" w:color="auto" w:fill="auto"/>
            <w:noWrap/>
            <w:vAlign w:val="bottom"/>
            <w:hideMark/>
          </w:tcPr>
          <w:p w14:paraId="082521A2" w14:textId="622C26A1"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1370.262</w:t>
            </w:r>
          </w:p>
        </w:tc>
        <w:tc>
          <w:tcPr>
            <w:tcW w:w="1093" w:type="dxa"/>
            <w:tcBorders>
              <w:top w:val="nil"/>
              <w:left w:val="nil"/>
              <w:bottom w:val="single" w:sz="4" w:space="0" w:color="auto"/>
              <w:right w:val="single" w:sz="4" w:space="0" w:color="auto"/>
            </w:tcBorders>
            <w:shd w:val="clear" w:color="auto" w:fill="auto"/>
            <w:noWrap/>
            <w:vAlign w:val="bottom"/>
            <w:hideMark/>
          </w:tcPr>
          <w:p w14:paraId="13880112" w14:textId="651E447C"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1322.797</w:t>
            </w:r>
          </w:p>
        </w:tc>
        <w:tc>
          <w:tcPr>
            <w:tcW w:w="1093" w:type="dxa"/>
            <w:tcBorders>
              <w:top w:val="nil"/>
              <w:left w:val="nil"/>
              <w:bottom w:val="single" w:sz="4" w:space="0" w:color="auto"/>
              <w:right w:val="single" w:sz="4" w:space="0" w:color="auto"/>
            </w:tcBorders>
            <w:shd w:val="clear" w:color="auto" w:fill="auto"/>
            <w:noWrap/>
            <w:vAlign w:val="bottom"/>
            <w:hideMark/>
          </w:tcPr>
          <w:p w14:paraId="639DD260" w14:textId="621E60D3"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982.671</w:t>
            </w:r>
          </w:p>
        </w:tc>
        <w:tc>
          <w:tcPr>
            <w:tcW w:w="1070" w:type="dxa"/>
            <w:tcBorders>
              <w:top w:val="nil"/>
              <w:left w:val="nil"/>
              <w:bottom w:val="single" w:sz="4" w:space="0" w:color="auto"/>
              <w:right w:val="single" w:sz="4" w:space="0" w:color="auto"/>
            </w:tcBorders>
            <w:shd w:val="clear" w:color="auto" w:fill="auto"/>
            <w:noWrap/>
            <w:vAlign w:val="bottom"/>
            <w:hideMark/>
          </w:tcPr>
          <w:p w14:paraId="389C879D" w14:textId="1E9604E5"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9903.217</w:t>
            </w:r>
          </w:p>
        </w:tc>
        <w:tc>
          <w:tcPr>
            <w:tcW w:w="1230" w:type="dxa"/>
            <w:tcBorders>
              <w:top w:val="nil"/>
              <w:left w:val="nil"/>
              <w:bottom w:val="single" w:sz="4" w:space="0" w:color="auto"/>
              <w:right w:val="single" w:sz="4" w:space="0" w:color="auto"/>
            </w:tcBorders>
            <w:shd w:val="clear" w:color="auto" w:fill="auto"/>
            <w:noWrap/>
            <w:vAlign w:val="bottom"/>
            <w:hideMark/>
          </w:tcPr>
          <w:p w14:paraId="680B6A99" w14:textId="0B47FD2F"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1399.313</w:t>
            </w:r>
          </w:p>
        </w:tc>
        <w:tc>
          <w:tcPr>
            <w:tcW w:w="1223" w:type="dxa"/>
            <w:tcBorders>
              <w:top w:val="nil"/>
              <w:left w:val="nil"/>
              <w:bottom w:val="single" w:sz="4" w:space="0" w:color="auto"/>
              <w:right w:val="single" w:sz="4" w:space="0" w:color="auto"/>
            </w:tcBorders>
            <w:shd w:val="clear" w:color="auto" w:fill="auto"/>
            <w:noWrap/>
            <w:vAlign w:val="bottom"/>
            <w:hideMark/>
          </w:tcPr>
          <w:p w14:paraId="19056440" w14:textId="06BAAF38"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1121.547</w:t>
            </w:r>
          </w:p>
        </w:tc>
      </w:tr>
      <w:tr w:rsidR="00F75098" w:rsidRPr="00600D62" w14:paraId="15D48027"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7C3C0386"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114" w:type="dxa"/>
            <w:tcBorders>
              <w:top w:val="nil"/>
              <w:left w:val="nil"/>
              <w:bottom w:val="single" w:sz="4" w:space="0" w:color="auto"/>
              <w:right w:val="single" w:sz="4" w:space="0" w:color="auto"/>
            </w:tcBorders>
            <w:shd w:val="clear" w:color="auto" w:fill="auto"/>
            <w:noWrap/>
            <w:vAlign w:val="bottom"/>
            <w:hideMark/>
          </w:tcPr>
          <w:p w14:paraId="25603360"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769FC1EA"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69DF1841"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2EB26555"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0CE6410E"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30" w:type="dxa"/>
            <w:tcBorders>
              <w:top w:val="nil"/>
              <w:left w:val="nil"/>
              <w:bottom w:val="single" w:sz="4" w:space="0" w:color="auto"/>
              <w:right w:val="single" w:sz="4" w:space="0" w:color="auto"/>
            </w:tcBorders>
            <w:shd w:val="clear" w:color="auto" w:fill="auto"/>
            <w:noWrap/>
            <w:vAlign w:val="bottom"/>
            <w:hideMark/>
          </w:tcPr>
          <w:p w14:paraId="785A5B06"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23" w:type="dxa"/>
            <w:tcBorders>
              <w:top w:val="nil"/>
              <w:left w:val="nil"/>
              <w:bottom w:val="single" w:sz="4" w:space="0" w:color="auto"/>
              <w:right w:val="single" w:sz="4" w:space="0" w:color="auto"/>
            </w:tcBorders>
            <w:shd w:val="clear" w:color="auto" w:fill="auto"/>
            <w:noWrap/>
            <w:vAlign w:val="bottom"/>
            <w:hideMark/>
          </w:tcPr>
          <w:p w14:paraId="3D62E413"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r>
      <w:tr w:rsidR="00F75098" w:rsidRPr="00600D62" w14:paraId="5A00A59D"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14450414"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Observations</w:t>
            </w:r>
          </w:p>
        </w:tc>
        <w:tc>
          <w:tcPr>
            <w:tcW w:w="1114" w:type="dxa"/>
            <w:tcBorders>
              <w:top w:val="nil"/>
              <w:left w:val="nil"/>
              <w:bottom w:val="single" w:sz="4" w:space="0" w:color="auto"/>
              <w:right w:val="single" w:sz="4" w:space="0" w:color="auto"/>
            </w:tcBorders>
            <w:shd w:val="clear" w:color="auto" w:fill="auto"/>
            <w:noWrap/>
            <w:vAlign w:val="bottom"/>
            <w:hideMark/>
          </w:tcPr>
          <w:p w14:paraId="36BA37AD" w14:textId="181D64EE"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89</w:t>
            </w:r>
          </w:p>
        </w:tc>
        <w:tc>
          <w:tcPr>
            <w:tcW w:w="1070" w:type="dxa"/>
            <w:tcBorders>
              <w:top w:val="nil"/>
              <w:left w:val="nil"/>
              <w:bottom w:val="single" w:sz="4" w:space="0" w:color="auto"/>
              <w:right w:val="single" w:sz="4" w:space="0" w:color="auto"/>
            </w:tcBorders>
            <w:shd w:val="clear" w:color="auto" w:fill="auto"/>
            <w:noWrap/>
            <w:vAlign w:val="bottom"/>
            <w:hideMark/>
          </w:tcPr>
          <w:p w14:paraId="20F6BB78" w14:textId="7BF46954"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92</w:t>
            </w:r>
          </w:p>
        </w:tc>
        <w:tc>
          <w:tcPr>
            <w:tcW w:w="1093" w:type="dxa"/>
            <w:tcBorders>
              <w:top w:val="nil"/>
              <w:left w:val="nil"/>
              <w:bottom w:val="single" w:sz="4" w:space="0" w:color="auto"/>
              <w:right w:val="single" w:sz="4" w:space="0" w:color="auto"/>
            </w:tcBorders>
            <w:shd w:val="clear" w:color="auto" w:fill="auto"/>
            <w:noWrap/>
            <w:vAlign w:val="bottom"/>
            <w:hideMark/>
          </w:tcPr>
          <w:p w14:paraId="3482B958" w14:textId="5CD56023"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92</w:t>
            </w:r>
          </w:p>
        </w:tc>
        <w:tc>
          <w:tcPr>
            <w:tcW w:w="1093" w:type="dxa"/>
            <w:tcBorders>
              <w:top w:val="nil"/>
              <w:left w:val="nil"/>
              <w:bottom w:val="single" w:sz="4" w:space="0" w:color="auto"/>
              <w:right w:val="single" w:sz="4" w:space="0" w:color="auto"/>
            </w:tcBorders>
            <w:shd w:val="clear" w:color="auto" w:fill="auto"/>
            <w:noWrap/>
            <w:vAlign w:val="bottom"/>
            <w:hideMark/>
          </w:tcPr>
          <w:p w14:paraId="160D3B24" w14:textId="2C6DC898"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92</w:t>
            </w:r>
          </w:p>
        </w:tc>
        <w:tc>
          <w:tcPr>
            <w:tcW w:w="1070" w:type="dxa"/>
            <w:tcBorders>
              <w:top w:val="nil"/>
              <w:left w:val="nil"/>
              <w:bottom w:val="single" w:sz="4" w:space="0" w:color="auto"/>
              <w:right w:val="single" w:sz="4" w:space="0" w:color="auto"/>
            </w:tcBorders>
            <w:shd w:val="clear" w:color="auto" w:fill="auto"/>
            <w:noWrap/>
            <w:vAlign w:val="bottom"/>
            <w:hideMark/>
          </w:tcPr>
          <w:p w14:paraId="14A28336" w14:textId="668D0F75"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92</w:t>
            </w:r>
          </w:p>
        </w:tc>
        <w:tc>
          <w:tcPr>
            <w:tcW w:w="1230" w:type="dxa"/>
            <w:tcBorders>
              <w:top w:val="nil"/>
              <w:left w:val="nil"/>
              <w:bottom w:val="single" w:sz="4" w:space="0" w:color="auto"/>
              <w:right w:val="single" w:sz="4" w:space="0" w:color="auto"/>
            </w:tcBorders>
            <w:shd w:val="clear" w:color="auto" w:fill="auto"/>
            <w:noWrap/>
            <w:vAlign w:val="bottom"/>
            <w:hideMark/>
          </w:tcPr>
          <w:p w14:paraId="39906BC2" w14:textId="567B5960"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85</w:t>
            </w:r>
          </w:p>
        </w:tc>
        <w:tc>
          <w:tcPr>
            <w:tcW w:w="1223" w:type="dxa"/>
            <w:tcBorders>
              <w:top w:val="nil"/>
              <w:left w:val="nil"/>
              <w:bottom w:val="single" w:sz="4" w:space="0" w:color="auto"/>
              <w:right w:val="single" w:sz="4" w:space="0" w:color="auto"/>
            </w:tcBorders>
            <w:shd w:val="clear" w:color="auto" w:fill="auto"/>
            <w:noWrap/>
            <w:vAlign w:val="bottom"/>
            <w:hideMark/>
          </w:tcPr>
          <w:p w14:paraId="7482D3B4" w14:textId="5F999319" w:rsidR="00F75098" w:rsidRPr="00600D62" w:rsidRDefault="00F75098"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92</w:t>
            </w:r>
          </w:p>
        </w:tc>
      </w:tr>
    </w:tbl>
    <w:p w14:paraId="7398C299" w14:textId="77777777" w:rsidR="00F75098" w:rsidRDefault="00F75098" w:rsidP="00F75098">
      <w:pPr>
        <w:pStyle w:val="Heading1"/>
        <w:ind w:left="-567"/>
        <w:jc w:val="center"/>
        <w:rPr>
          <w:lang w:val="en-GB"/>
        </w:rPr>
      </w:pPr>
    </w:p>
    <w:p w14:paraId="3F7C54A8" w14:textId="5FB0A7A3" w:rsidR="00044CFF" w:rsidRPr="002C68FE" w:rsidRDefault="00044CFF" w:rsidP="00044CFF">
      <w:pPr>
        <w:pStyle w:val="Heading1"/>
        <w:ind w:left="0"/>
        <w:jc w:val="center"/>
        <w:rPr>
          <w:b w:val="0"/>
          <w:bCs w:val="0"/>
          <w:sz w:val="24"/>
          <w:szCs w:val="24"/>
          <w:lang w:val="en-GB"/>
        </w:rPr>
      </w:pPr>
      <w:r w:rsidRPr="005E3620">
        <w:rPr>
          <w:b w:val="0"/>
          <w:bCs w:val="0"/>
          <w:sz w:val="24"/>
          <w:szCs w:val="24"/>
          <w:lang w:val="en-GB"/>
        </w:rPr>
        <w:t xml:space="preserve">Long-Term Government Bond Yields – 10-Year Benchmark Maturity for the Interest Rate Obtained from OECD – Main Economic </w:t>
      </w:r>
      <w:r w:rsidRPr="00267E6C">
        <w:rPr>
          <w:b w:val="0"/>
          <w:bCs w:val="0"/>
          <w:sz w:val="24"/>
          <w:szCs w:val="24"/>
          <w:lang w:val="en-GB"/>
        </w:rPr>
        <w:t>Indicators (</w:t>
      </w:r>
      <m:oMath>
        <m:sSub>
          <m:sSubPr>
            <m:ctrlPr>
              <w:rPr>
                <w:rFonts w:ascii="Cambria Math" w:hAnsi="Cambria Math"/>
                <w:b w:val="0"/>
                <w:bCs w:val="0"/>
                <w:i/>
                <w:sz w:val="24"/>
                <w:szCs w:val="24"/>
              </w:rPr>
            </m:ctrlPr>
          </m:sSubPr>
          <m:e>
            <m:r>
              <w:rPr>
                <w:rFonts w:ascii="Cambria Math" w:hAnsi="Cambria Math"/>
                <w:sz w:val="24"/>
                <w:szCs w:val="24"/>
              </w:rPr>
              <m:t>i</m:t>
            </m:r>
          </m:e>
          <m:sub>
            <m:r>
              <w:rPr>
                <w:rFonts w:ascii="Cambria Math" w:hAnsi="Cambria Math"/>
                <w:sz w:val="24"/>
                <w:szCs w:val="24"/>
              </w:rPr>
              <m:t>t</m:t>
            </m:r>
          </m:sub>
        </m:sSub>
      </m:oMath>
      <w:r w:rsidRPr="00267E6C">
        <w:rPr>
          <w:b w:val="0"/>
          <w:bCs w:val="0"/>
          <w:sz w:val="24"/>
          <w:szCs w:val="24"/>
          <w:lang w:val="en-GB"/>
        </w:rPr>
        <w:t>)</w:t>
      </w:r>
    </w:p>
    <w:p w14:paraId="006861CB" w14:textId="77777777" w:rsidR="00044CFF" w:rsidRDefault="00044CFF" w:rsidP="00F75098">
      <w:pPr>
        <w:pStyle w:val="Heading1"/>
        <w:ind w:left="-567"/>
        <w:jc w:val="center"/>
        <w:rPr>
          <w:lang w:val="en-GB"/>
        </w:rPr>
      </w:pPr>
    </w:p>
    <w:tbl>
      <w:tblPr>
        <w:tblW w:w="9376" w:type="dxa"/>
        <w:tblInd w:w="-572" w:type="dxa"/>
        <w:tblLook w:val="04A0" w:firstRow="1" w:lastRow="0" w:firstColumn="1" w:lastColumn="0" w:noHBand="0" w:noVBand="1"/>
      </w:tblPr>
      <w:tblGrid>
        <w:gridCol w:w="1483"/>
        <w:gridCol w:w="1114"/>
        <w:gridCol w:w="1070"/>
        <w:gridCol w:w="1093"/>
        <w:gridCol w:w="1093"/>
        <w:gridCol w:w="1070"/>
        <w:gridCol w:w="1230"/>
        <w:gridCol w:w="1223"/>
      </w:tblGrid>
      <w:tr w:rsidR="00F75098" w:rsidRPr="00600D62" w14:paraId="3F7A3CF9" w14:textId="77777777" w:rsidTr="00096287">
        <w:trPr>
          <w:trHeight w:val="262"/>
        </w:trPr>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B32E81"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114" w:type="dxa"/>
            <w:tcBorders>
              <w:top w:val="single" w:sz="4" w:space="0" w:color="auto"/>
              <w:left w:val="nil"/>
              <w:bottom w:val="single" w:sz="4" w:space="0" w:color="auto"/>
              <w:right w:val="single" w:sz="4" w:space="0" w:color="auto"/>
            </w:tcBorders>
            <w:shd w:val="clear" w:color="auto" w:fill="auto"/>
            <w:noWrap/>
            <w:vAlign w:val="bottom"/>
            <w:hideMark/>
          </w:tcPr>
          <w:p w14:paraId="0B0BB846" w14:textId="77777777" w:rsidR="00F75098" w:rsidRPr="00600D62" w:rsidRDefault="00F75098" w:rsidP="00096287">
            <w:pPr>
              <w:widowControl/>
              <w:autoSpaceDE/>
              <w:autoSpaceDN/>
              <w:rPr>
                <w:rFonts w:ascii="Calibri" w:eastAsia="Times New Roman" w:hAnsi="Calibri" w:cs="Calibri"/>
                <w:color w:val="000000"/>
                <w:lang w:val="en-GB" w:eastAsia="en-GB"/>
              </w:rPr>
            </w:pPr>
            <w:r>
              <w:rPr>
                <w:rFonts w:ascii="Calibri" w:eastAsia="Times New Roman" w:hAnsi="Calibri" w:cs="Calibri"/>
                <w:color w:val="000000"/>
                <w:lang w:val="en-GB" w:eastAsia="en-GB"/>
              </w:rPr>
              <w:t>Canada</w:t>
            </w:r>
          </w:p>
        </w:tc>
        <w:tc>
          <w:tcPr>
            <w:tcW w:w="1070" w:type="dxa"/>
            <w:tcBorders>
              <w:top w:val="single" w:sz="4" w:space="0" w:color="auto"/>
              <w:left w:val="nil"/>
              <w:bottom w:val="single" w:sz="4" w:space="0" w:color="auto"/>
              <w:right w:val="single" w:sz="4" w:space="0" w:color="auto"/>
            </w:tcBorders>
            <w:shd w:val="clear" w:color="auto" w:fill="auto"/>
            <w:noWrap/>
            <w:vAlign w:val="bottom"/>
            <w:hideMark/>
          </w:tcPr>
          <w:p w14:paraId="5BA90BC0" w14:textId="77777777" w:rsidR="00F75098" w:rsidRPr="00600D62" w:rsidRDefault="00F75098" w:rsidP="00096287">
            <w:pPr>
              <w:widowControl/>
              <w:autoSpaceDE/>
              <w:autoSpaceDN/>
              <w:rPr>
                <w:rFonts w:ascii="Calibri" w:eastAsia="Times New Roman" w:hAnsi="Calibri" w:cs="Calibri"/>
                <w:color w:val="000000"/>
                <w:lang w:val="en-GB" w:eastAsia="en-GB"/>
              </w:rPr>
            </w:pPr>
            <w:r>
              <w:rPr>
                <w:rFonts w:ascii="Calibri" w:eastAsia="Times New Roman" w:hAnsi="Calibri" w:cs="Calibri"/>
                <w:color w:val="000000"/>
                <w:lang w:val="en-GB" w:eastAsia="en-GB"/>
              </w:rPr>
              <w:t>France</w:t>
            </w:r>
          </w:p>
        </w:tc>
        <w:tc>
          <w:tcPr>
            <w:tcW w:w="1093" w:type="dxa"/>
            <w:tcBorders>
              <w:top w:val="single" w:sz="4" w:space="0" w:color="auto"/>
              <w:left w:val="nil"/>
              <w:bottom w:val="single" w:sz="4" w:space="0" w:color="auto"/>
              <w:right w:val="single" w:sz="4" w:space="0" w:color="auto"/>
            </w:tcBorders>
            <w:shd w:val="clear" w:color="auto" w:fill="auto"/>
            <w:noWrap/>
            <w:vAlign w:val="bottom"/>
            <w:hideMark/>
          </w:tcPr>
          <w:p w14:paraId="7F34B909"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G</w:t>
            </w:r>
            <w:r>
              <w:rPr>
                <w:rFonts w:ascii="Calibri" w:eastAsia="Times New Roman" w:hAnsi="Calibri" w:cs="Calibri"/>
                <w:color w:val="000000"/>
                <w:lang w:val="en-GB" w:eastAsia="en-GB"/>
              </w:rPr>
              <w:t>ermany</w:t>
            </w:r>
          </w:p>
        </w:tc>
        <w:tc>
          <w:tcPr>
            <w:tcW w:w="1093" w:type="dxa"/>
            <w:tcBorders>
              <w:top w:val="single" w:sz="4" w:space="0" w:color="auto"/>
              <w:left w:val="nil"/>
              <w:bottom w:val="single" w:sz="4" w:space="0" w:color="auto"/>
              <w:right w:val="single" w:sz="4" w:space="0" w:color="auto"/>
            </w:tcBorders>
            <w:shd w:val="clear" w:color="auto" w:fill="auto"/>
            <w:noWrap/>
            <w:vAlign w:val="bottom"/>
            <w:hideMark/>
          </w:tcPr>
          <w:p w14:paraId="24AB8AE1"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I</w:t>
            </w:r>
            <w:r>
              <w:rPr>
                <w:rFonts w:ascii="Calibri" w:eastAsia="Times New Roman" w:hAnsi="Calibri" w:cs="Calibri"/>
                <w:color w:val="000000"/>
                <w:lang w:val="en-GB" w:eastAsia="en-GB"/>
              </w:rPr>
              <w:t>taly</w:t>
            </w:r>
          </w:p>
        </w:tc>
        <w:tc>
          <w:tcPr>
            <w:tcW w:w="1070" w:type="dxa"/>
            <w:tcBorders>
              <w:top w:val="single" w:sz="4" w:space="0" w:color="auto"/>
              <w:left w:val="nil"/>
              <w:bottom w:val="single" w:sz="4" w:space="0" w:color="auto"/>
              <w:right w:val="single" w:sz="4" w:space="0" w:color="auto"/>
            </w:tcBorders>
            <w:shd w:val="clear" w:color="auto" w:fill="auto"/>
            <w:noWrap/>
            <w:vAlign w:val="bottom"/>
            <w:hideMark/>
          </w:tcPr>
          <w:p w14:paraId="63FB8FE9"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J</w:t>
            </w:r>
            <w:r>
              <w:rPr>
                <w:rFonts w:ascii="Calibri" w:eastAsia="Times New Roman" w:hAnsi="Calibri" w:cs="Calibri"/>
                <w:color w:val="000000"/>
                <w:lang w:val="en-GB" w:eastAsia="en-GB"/>
              </w:rPr>
              <w:t>apan</w:t>
            </w:r>
          </w:p>
        </w:tc>
        <w:tc>
          <w:tcPr>
            <w:tcW w:w="1230" w:type="dxa"/>
            <w:tcBorders>
              <w:top w:val="single" w:sz="4" w:space="0" w:color="auto"/>
              <w:left w:val="nil"/>
              <w:bottom w:val="single" w:sz="4" w:space="0" w:color="auto"/>
              <w:right w:val="single" w:sz="4" w:space="0" w:color="auto"/>
            </w:tcBorders>
            <w:shd w:val="clear" w:color="auto" w:fill="auto"/>
            <w:noWrap/>
            <w:vAlign w:val="bottom"/>
            <w:hideMark/>
          </w:tcPr>
          <w:p w14:paraId="44CCC3FF"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UK</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7E87EC1E"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USA</w:t>
            </w:r>
          </w:p>
        </w:tc>
      </w:tr>
      <w:tr w:rsidR="00F75098" w:rsidRPr="00600D62" w14:paraId="67F99841" w14:textId="77777777" w:rsidTr="00096287">
        <w:trPr>
          <w:trHeight w:val="262"/>
        </w:trPr>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8202E2" w14:textId="77777777" w:rsidR="00F75098" w:rsidRDefault="00F75098" w:rsidP="00096287">
            <w:pPr>
              <w:widowControl/>
              <w:autoSpaceDE/>
              <w:autoSpaceDN/>
              <w:rPr>
                <w:sz w:val="24"/>
                <w:szCs w:val="24"/>
                <w:lang w:val="en-GB"/>
              </w:rPr>
            </w:pPr>
          </w:p>
        </w:tc>
        <w:tc>
          <w:tcPr>
            <w:tcW w:w="1114" w:type="dxa"/>
            <w:tcBorders>
              <w:top w:val="single" w:sz="4" w:space="0" w:color="auto"/>
              <w:left w:val="nil"/>
              <w:bottom w:val="single" w:sz="4" w:space="0" w:color="auto"/>
              <w:right w:val="single" w:sz="4" w:space="0" w:color="auto"/>
            </w:tcBorders>
            <w:shd w:val="clear" w:color="auto" w:fill="auto"/>
            <w:noWrap/>
            <w:vAlign w:val="bottom"/>
          </w:tcPr>
          <w:p w14:paraId="49B57D8E"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070" w:type="dxa"/>
            <w:tcBorders>
              <w:top w:val="single" w:sz="4" w:space="0" w:color="auto"/>
              <w:left w:val="nil"/>
              <w:bottom w:val="single" w:sz="4" w:space="0" w:color="auto"/>
              <w:right w:val="single" w:sz="4" w:space="0" w:color="auto"/>
            </w:tcBorders>
            <w:shd w:val="clear" w:color="auto" w:fill="auto"/>
            <w:noWrap/>
            <w:vAlign w:val="bottom"/>
          </w:tcPr>
          <w:p w14:paraId="529E882D"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093" w:type="dxa"/>
            <w:tcBorders>
              <w:top w:val="single" w:sz="4" w:space="0" w:color="auto"/>
              <w:left w:val="nil"/>
              <w:bottom w:val="single" w:sz="4" w:space="0" w:color="auto"/>
              <w:right w:val="single" w:sz="4" w:space="0" w:color="auto"/>
            </w:tcBorders>
            <w:shd w:val="clear" w:color="auto" w:fill="auto"/>
            <w:noWrap/>
            <w:vAlign w:val="bottom"/>
          </w:tcPr>
          <w:p w14:paraId="26DB0D27"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093" w:type="dxa"/>
            <w:tcBorders>
              <w:top w:val="single" w:sz="4" w:space="0" w:color="auto"/>
              <w:left w:val="nil"/>
              <w:bottom w:val="single" w:sz="4" w:space="0" w:color="auto"/>
              <w:right w:val="single" w:sz="4" w:space="0" w:color="auto"/>
            </w:tcBorders>
            <w:shd w:val="clear" w:color="auto" w:fill="auto"/>
            <w:noWrap/>
            <w:vAlign w:val="bottom"/>
          </w:tcPr>
          <w:p w14:paraId="3C944CBD"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070" w:type="dxa"/>
            <w:tcBorders>
              <w:top w:val="single" w:sz="4" w:space="0" w:color="auto"/>
              <w:left w:val="nil"/>
              <w:bottom w:val="single" w:sz="4" w:space="0" w:color="auto"/>
              <w:right w:val="single" w:sz="4" w:space="0" w:color="auto"/>
            </w:tcBorders>
            <w:shd w:val="clear" w:color="auto" w:fill="auto"/>
            <w:noWrap/>
            <w:vAlign w:val="bottom"/>
          </w:tcPr>
          <w:p w14:paraId="2050B1A6"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230" w:type="dxa"/>
            <w:tcBorders>
              <w:top w:val="single" w:sz="4" w:space="0" w:color="auto"/>
              <w:left w:val="nil"/>
              <w:bottom w:val="single" w:sz="4" w:space="0" w:color="auto"/>
              <w:right w:val="single" w:sz="4" w:space="0" w:color="auto"/>
            </w:tcBorders>
            <w:shd w:val="clear" w:color="auto" w:fill="auto"/>
            <w:noWrap/>
            <w:vAlign w:val="bottom"/>
          </w:tcPr>
          <w:p w14:paraId="52BBEF9E" w14:textId="77777777" w:rsidR="00F75098" w:rsidRPr="00600D62" w:rsidRDefault="00F75098" w:rsidP="00096287">
            <w:pPr>
              <w:widowControl/>
              <w:autoSpaceDE/>
              <w:autoSpaceDN/>
              <w:rPr>
                <w:rFonts w:ascii="Calibri" w:eastAsia="Times New Roman" w:hAnsi="Calibri" w:cs="Calibri"/>
                <w:color w:val="000000"/>
                <w:lang w:val="en-GB" w:eastAsia="en-GB"/>
              </w:rPr>
            </w:pPr>
          </w:p>
        </w:tc>
        <w:tc>
          <w:tcPr>
            <w:tcW w:w="1223" w:type="dxa"/>
            <w:tcBorders>
              <w:top w:val="single" w:sz="4" w:space="0" w:color="auto"/>
              <w:left w:val="nil"/>
              <w:bottom w:val="single" w:sz="4" w:space="0" w:color="auto"/>
              <w:right w:val="single" w:sz="4" w:space="0" w:color="auto"/>
            </w:tcBorders>
            <w:shd w:val="clear" w:color="auto" w:fill="auto"/>
            <w:noWrap/>
            <w:vAlign w:val="bottom"/>
          </w:tcPr>
          <w:p w14:paraId="0EE450BA" w14:textId="77777777" w:rsidR="00F75098" w:rsidRPr="00600D62" w:rsidRDefault="00F75098" w:rsidP="00096287">
            <w:pPr>
              <w:widowControl/>
              <w:autoSpaceDE/>
              <w:autoSpaceDN/>
              <w:rPr>
                <w:rFonts w:ascii="Calibri" w:eastAsia="Times New Roman" w:hAnsi="Calibri" w:cs="Calibri"/>
                <w:color w:val="000000"/>
                <w:lang w:val="en-GB" w:eastAsia="en-GB"/>
              </w:rPr>
            </w:pPr>
          </w:p>
        </w:tc>
      </w:tr>
      <w:tr w:rsidR="00F75098" w:rsidRPr="00600D62" w14:paraId="71C7CD3A"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6D52E7A7"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Mean</w:t>
            </w:r>
          </w:p>
        </w:tc>
        <w:tc>
          <w:tcPr>
            <w:tcW w:w="1114" w:type="dxa"/>
            <w:tcBorders>
              <w:top w:val="nil"/>
              <w:left w:val="nil"/>
              <w:bottom w:val="single" w:sz="4" w:space="0" w:color="auto"/>
              <w:right w:val="single" w:sz="4" w:space="0" w:color="auto"/>
            </w:tcBorders>
            <w:shd w:val="clear" w:color="auto" w:fill="auto"/>
            <w:noWrap/>
            <w:vAlign w:val="bottom"/>
            <w:hideMark/>
          </w:tcPr>
          <w:p w14:paraId="208DDD0B" w14:textId="389CB8C5"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3.094</w:t>
            </w:r>
          </w:p>
        </w:tc>
        <w:tc>
          <w:tcPr>
            <w:tcW w:w="1070" w:type="dxa"/>
            <w:tcBorders>
              <w:top w:val="nil"/>
              <w:left w:val="nil"/>
              <w:bottom w:val="single" w:sz="4" w:space="0" w:color="auto"/>
              <w:right w:val="single" w:sz="4" w:space="0" w:color="auto"/>
            </w:tcBorders>
            <w:shd w:val="clear" w:color="auto" w:fill="auto"/>
            <w:noWrap/>
            <w:vAlign w:val="bottom"/>
            <w:hideMark/>
          </w:tcPr>
          <w:p w14:paraId="7D65ADB5" w14:textId="51CE5A94"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2.620</w:t>
            </w:r>
          </w:p>
        </w:tc>
        <w:tc>
          <w:tcPr>
            <w:tcW w:w="1093" w:type="dxa"/>
            <w:tcBorders>
              <w:top w:val="nil"/>
              <w:left w:val="nil"/>
              <w:bottom w:val="single" w:sz="4" w:space="0" w:color="auto"/>
              <w:right w:val="single" w:sz="4" w:space="0" w:color="auto"/>
            </w:tcBorders>
            <w:shd w:val="clear" w:color="auto" w:fill="auto"/>
            <w:noWrap/>
            <w:vAlign w:val="bottom"/>
            <w:hideMark/>
          </w:tcPr>
          <w:p w14:paraId="40C5FA3B" w14:textId="772544A1"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2.277</w:t>
            </w:r>
          </w:p>
        </w:tc>
        <w:tc>
          <w:tcPr>
            <w:tcW w:w="1093" w:type="dxa"/>
            <w:tcBorders>
              <w:top w:val="nil"/>
              <w:left w:val="nil"/>
              <w:bottom w:val="single" w:sz="4" w:space="0" w:color="auto"/>
              <w:right w:val="single" w:sz="4" w:space="0" w:color="auto"/>
            </w:tcBorders>
            <w:shd w:val="clear" w:color="auto" w:fill="auto"/>
            <w:noWrap/>
            <w:vAlign w:val="bottom"/>
            <w:hideMark/>
          </w:tcPr>
          <w:p w14:paraId="061D7E7B" w14:textId="6FAAFD0A"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3.590</w:t>
            </w:r>
          </w:p>
        </w:tc>
        <w:tc>
          <w:tcPr>
            <w:tcW w:w="1070" w:type="dxa"/>
            <w:tcBorders>
              <w:top w:val="nil"/>
              <w:left w:val="nil"/>
              <w:bottom w:val="single" w:sz="4" w:space="0" w:color="auto"/>
              <w:right w:val="single" w:sz="4" w:space="0" w:color="auto"/>
            </w:tcBorders>
            <w:shd w:val="clear" w:color="auto" w:fill="auto"/>
            <w:noWrap/>
            <w:vAlign w:val="bottom"/>
            <w:hideMark/>
          </w:tcPr>
          <w:p w14:paraId="3489EE61" w14:textId="2637FAEE"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0.838</w:t>
            </w:r>
          </w:p>
        </w:tc>
        <w:tc>
          <w:tcPr>
            <w:tcW w:w="1230" w:type="dxa"/>
            <w:tcBorders>
              <w:top w:val="nil"/>
              <w:left w:val="nil"/>
              <w:bottom w:val="single" w:sz="4" w:space="0" w:color="auto"/>
              <w:right w:val="single" w:sz="4" w:space="0" w:color="auto"/>
            </w:tcBorders>
            <w:shd w:val="clear" w:color="auto" w:fill="auto"/>
            <w:noWrap/>
            <w:vAlign w:val="bottom"/>
            <w:hideMark/>
          </w:tcPr>
          <w:p w14:paraId="2A8AD3D5" w14:textId="5B361E4C"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3.079</w:t>
            </w:r>
          </w:p>
        </w:tc>
        <w:tc>
          <w:tcPr>
            <w:tcW w:w="1223" w:type="dxa"/>
            <w:tcBorders>
              <w:top w:val="nil"/>
              <w:left w:val="nil"/>
              <w:bottom w:val="single" w:sz="4" w:space="0" w:color="auto"/>
              <w:right w:val="single" w:sz="4" w:space="0" w:color="auto"/>
            </w:tcBorders>
            <w:shd w:val="clear" w:color="auto" w:fill="auto"/>
            <w:noWrap/>
            <w:vAlign w:val="bottom"/>
            <w:hideMark/>
          </w:tcPr>
          <w:p w14:paraId="2AED6EFE" w14:textId="312B0E7B"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3.214</w:t>
            </w:r>
          </w:p>
        </w:tc>
      </w:tr>
      <w:tr w:rsidR="00F75098" w:rsidRPr="00600D62" w14:paraId="5E9EDC74"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19192ACD"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Median</w:t>
            </w:r>
          </w:p>
        </w:tc>
        <w:tc>
          <w:tcPr>
            <w:tcW w:w="1114" w:type="dxa"/>
            <w:tcBorders>
              <w:top w:val="nil"/>
              <w:left w:val="nil"/>
              <w:bottom w:val="single" w:sz="4" w:space="0" w:color="auto"/>
              <w:right w:val="single" w:sz="4" w:space="0" w:color="auto"/>
            </w:tcBorders>
            <w:shd w:val="clear" w:color="auto" w:fill="auto"/>
            <w:noWrap/>
            <w:vAlign w:val="bottom"/>
            <w:hideMark/>
          </w:tcPr>
          <w:p w14:paraId="758BB058" w14:textId="67BA0627"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3.002</w:t>
            </w:r>
          </w:p>
        </w:tc>
        <w:tc>
          <w:tcPr>
            <w:tcW w:w="1070" w:type="dxa"/>
            <w:tcBorders>
              <w:top w:val="nil"/>
              <w:left w:val="nil"/>
              <w:bottom w:val="single" w:sz="4" w:space="0" w:color="auto"/>
              <w:right w:val="single" w:sz="4" w:space="0" w:color="auto"/>
            </w:tcBorders>
            <w:shd w:val="clear" w:color="auto" w:fill="auto"/>
            <w:noWrap/>
            <w:vAlign w:val="bottom"/>
            <w:hideMark/>
          </w:tcPr>
          <w:p w14:paraId="0AF910D0" w14:textId="7342F0A7"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3.035</w:t>
            </w:r>
          </w:p>
        </w:tc>
        <w:tc>
          <w:tcPr>
            <w:tcW w:w="1093" w:type="dxa"/>
            <w:tcBorders>
              <w:top w:val="nil"/>
              <w:left w:val="nil"/>
              <w:bottom w:val="single" w:sz="4" w:space="0" w:color="auto"/>
              <w:right w:val="single" w:sz="4" w:space="0" w:color="auto"/>
            </w:tcBorders>
            <w:shd w:val="clear" w:color="auto" w:fill="auto"/>
            <w:noWrap/>
            <w:vAlign w:val="bottom"/>
            <w:hideMark/>
          </w:tcPr>
          <w:p w14:paraId="1006C452" w14:textId="272BFC6A"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2.342</w:t>
            </w:r>
          </w:p>
        </w:tc>
        <w:tc>
          <w:tcPr>
            <w:tcW w:w="1093" w:type="dxa"/>
            <w:tcBorders>
              <w:top w:val="nil"/>
              <w:left w:val="nil"/>
              <w:bottom w:val="single" w:sz="4" w:space="0" w:color="auto"/>
              <w:right w:val="single" w:sz="4" w:space="0" w:color="auto"/>
            </w:tcBorders>
            <w:shd w:val="clear" w:color="auto" w:fill="auto"/>
            <w:noWrap/>
            <w:vAlign w:val="bottom"/>
            <w:hideMark/>
          </w:tcPr>
          <w:p w14:paraId="6EA63F93" w14:textId="1B074692"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4.056</w:t>
            </w:r>
          </w:p>
        </w:tc>
        <w:tc>
          <w:tcPr>
            <w:tcW w:w="1070" w:type="dxa"/>
            <w:tcBorders>
              <w:top w:val="nil"/>
              <w:left w:val="nil"/>
              <w:bottom w:val="single" w:sz="4" w:space="0" w:color="auto"/>
              <w:right w:val="single" w:sz="4" w:space="0" w:color="auto"/>
            </w:tcBorders>
            <w:shd w:val="clear" w:color="auto" w:fill="auto"/>
            <w:noWrap/>
            <w:vAlign w:val="bottom"/>
            <w:hideMark/>
          </w:tcPr>
          <w:p w14:paraId="7AE1D6AC" w14:textId="786AF9AE"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0.981</w:t>
            </w:r>
          </w:p>
        </w:tc>
        <w:tc>
          <w:tcPr>
            <w:tcW w:w="1230" w:type="dxa"/>
            <w:tcBorders>
              <w:top w:val="nil"/>
              <w:left w:val="nil"/>
              <w:bottom w:val="single" w:sz="4" w:space="0" w:color="auto"/>
              <w:right w:val="single" w:sz="4" w:space="0" w:color="auto"/>
            </w:tcBorders>
            <w:shd w:val="clear" w:color="auto" w:fill="auto"/>
            <w:noWrap/>
            <w:vAlign w:val="bottom"/>
            <w:hideMark/>
          </w:tcPr>
          <w:p w14:paraId="44F57075" w14:textId="508AB820"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3.310</w:t>
            </w:r>
          </w:p>
        </w:tc>
        <w:tc>
          <w:tcPr>
            <w:tcW w:w="1223" w:type="dxa"/>
            <w:tcBorders>
              <w:top w:val="nil"/>
              <w:left w:val="nil"/>
              <w:bottom w:val="single" w:sz="4" w:space="0" w:color="auto"/>
              <w:right w:val="single" w:sz="4" w:space="0" w:color="auto"/>
            </w:tcBorders>
            <w:shd w:val="clear" w:color="auto" w:fill="auto"/>
            <w:noWrap/>
            <w:vAlign w:val="bottom"/>
            <w:hideMark/>
          </w:tcPr>
          <w:p w14:paraId="16E8089B" w14:textId="15E63D50"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2.982</w:t>
            </w:r>
          </w:p>
        </w:tc>
      </w:tr>
      <w:tr w:rsidR="00F75098" w:rsidRPr="00600D62" w14:paraId="6F6C0600"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0F7C262F"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Maximum</w:t>
            </w:r>
          </w:p>
        </w:tc>
        <w:tc>
          <w:tcPr>
            <w:tcW w:w="1114" w:type="dxa"/>
            <w:tcBorders>
              <w:top w:val="nil"/>
              <w:left w:val="nil"/>
              <w:bottom w:val="single" w:sz="4" w:space="0" w:color="auto"/>
              <w:right w:val="single" w:sz="4" w:space="0" w:color="auto"/>
            </w:tcBorders>
            <w:shd w:val="clear" w:color="auto" w:fill="auto"/>
            <w:noWrap/>
            <w:vAlign w:val="bottom"/>
            <w:hideMark/>
          </w:tcPr>
          <w:p w14:paraId="28D19CF6" w14:textId="1692E926"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6.286</w:t>
            </w:r>
          </w:p>
        </w:tc>
        <w:tc>
          <w:tcPr>
            <w:tcW w:w="1070" w:type="dxa"/>
            <w:tcBorders>
              <w:top w:val="nil"/>
              <w:left w:val="nil"/>
              <w:bottom w:val="single" w:sz="4" w:space="0" w:color="auto"/>
              <w:right w:val="single" w:sz="4" w:space="0" w:color="auto"/>
            </w:tcBorders>
            <w:shd w:val="clear" w:color="auto" w:fill="auto"/>
            <w:noWrap/>
            <w:vAlign w:val="bottom"/>
            <w:hideMark/>
          </w:tcPr>
          <w:p w14:paraId="0C7F5293" w14:textId="2741934D"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5.571</w:t>
            </w:r>
          </w:p>
        </w:tc>
        <w:tc>
          <w:tcPr>
            <w:tcW w:w="1093" w:type="dxa"/>
            <w:tcBorders>
              <w:top w:val="nil"/>
              <w:left w:val="nil"/>
              <w:bottom w:val="single" w:sz="4" w:space="0" w:color="auto"/>
              <w:right w:val="single" w:sz="4" w:space="0" w:color="auto"/>
            </w:tcBorders>
            <w:shd w:val="clear" w:color="auto" w:fill="auto"/>
            <w:noWrap/>
            <w:vAlign w:val="bottom"/>
            <w:hideMark/>
          </w:tcPr>
          <w:p w14:paraId="0B8F96A4" w14:textId="5C8DB5F2"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5.460</w:t>
            </w:r>
          </w:p>
        </w:tc>
        <w:tc>
          <w:tcPr>
            <w:tcW w:w="1093" w:type="dxa"/>
            <w:tcBorders>
              <w:top w:val="nil"/>
              <w:left w:val="nil"/>
              <w:bottom w:val="single" w:sz="4" w:space="0" w:color="auto"/>
              <w:right w:val="single" w:sz="4" w:space="0" w:color="auto"/>
            </w:tcBorders>
            <w:shd w:val="clear" w:color="auto" w:fill="auto"/>
            <w:noWrap/>
            <w:vAlign w:val="bottom"/>
            <w:hideMark/>
          </w:tcPr>
          <w:p w14:paraId="1E92BEC3" w14:textId="64534CE2"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6.614</w:t>
            </w:r>
          </w:p>
        </w:tc>
        <w:tc>
          <w:tcPr>
            <w:tcW w:w="1070" w:type="dxa"/>
            <w:tcBorders>
              <w:top w:val="nil"/>
              <w:left w:val="nil"/>
              <w:bottom w:val="single" w:sz="4" w:space="0" w:color="auto"/>
              <w:right w:val="single" w:sz="4" w:space="0" w:color="auto"/>
            </w:tcBorders>
            <w:shd w:val="clear" w:color="auto" w:fill="auto"/>
            <w:noWrap/>
            <w:vAlign w:val="bottom"/>
            <w:hideMark/>
          </w:tcPr>
          <w:p w14:paraId="7EAD069E" w14:textId="7ACD8924"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1.902</w:t>
            </w:r>
          </w:p>
        </w:tc>
        <w:tc>
          <w:tcPr>
            <w:tcW w:w="1230" w:type="dxa"/>
            <w:tcBorders>
              <w:top w:val="nil"/>
              <w:left w:val="nil"/>
              <w:bottom w:val="single" w:sz="4" w:space="0" w:color="auto"/>
              <w:right w:val="single" w:sz="4" w:space="0" w:color="auto"/>
            </w:tcBorders>
            <w:shd w:val="clear" w:color="auto" w:fill="auto"/>
            <w:noWrap/>
            <w:vAlign w:val="bottom"/>
            <w:hideMark/>
          </w:tcPr>
          <w:p w14:paraId="4EE3DC0D" w14:textId="3AB8DE97"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5.609</w:t>
            </w:r>
          </w:p>
        </w:tc>
        <w:tc>
          <w:tcPr>
            <w:tcW w:w="1223" w:type="dxa"/>
            <w:tcBorders>
              <w:top w:val="nil"/>
              <w:left w:val="nil"/>
              <w:bottom w:val="single" w:sz="4" w:space="0" w:color="auto"/>
              <w:right w:val="single" w:sz="4" w:space="0" w:color="auto"/>
            </w:tcBorders>
            <w:shd w:val="clear" w:color="auto" w:fill="auto"/>
            <w:noWrap/>
            <w:vAlign w:val="bottom"/>
            <w:hideMark/>
          </w:tcPr>
          <w:p w14:paraId="167DB3EB" w14:textId="6EDB0CB6"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6.480</w:t>
            </w:r>
          </w:p>
        </w:tc>
      </w:tr>
      <w:tr w:rsidR="00F75098" w:rsidRPr="00600D62" w14:paraId="3E84CC71"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1E2F20B8"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Minimum</w:t>
            </w:r>
          </w:p>
        </w:tc>
        <w:tc>
          <w:tcPr>
            <w:tcW w:w="1114" w:type="dxa"/>
            <w:tcBorders>
              <w:top w:val="nil"/>
              <w:left w:val="nil"/>
              <w:bottom w:val="single" w:sz="4" w:space="0" w:color="auto"/>
              <w:right w:val="single" w:sz="4" w:space="0" w:color="auto"/>
            </w:tcBorders>
            <w:shd w:val="clear" w:color="auto" w:fill="auto"/>
            <w:noWrap/>
            <w:vAlign w:val="bottom"/>
            <w:hideMark/>
          </w:tcPr>
          <w:p w14:paraId="1106E9EB" w14:textId="5D980D29"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0.546</w:t>
            </w:r>
          </w:p>
        </w:tc>
        <w:tc>
          <w:tcPr>
            <w:tcW w:w="1070" w:type="dxa"/>
            <w:tcBorders>
              <w:top w:val="nil"/>
              <w:left w:val="nil"/>
              <w:bottom w:val="single" w:sz="4" w:space="0" w:color="auto"/>
              <w:right w:val="single" w:sz="4" w:space="0" w:color="auto"/>
            </w:tcBorders>
            <w:shd w:val="clear" w:color="auto" w:fill="auto"/>
            <w:noWrap/>
            <w:vAlign w:val="bottom"/>
            <w:hideMark/>
          </w:tcPr>
          <w:p w14:paraId="5148A341" w14:textId="58325841"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-0.319</w:t>
            </w:r>
          </w:p>
        </w:tc>
        <w:tc>
          <w:tcPr>
            <w:tcW w:w="1093" w:type="dxa"/>
            <w:tcBorders>
              <w:top w:val="nil"/>
              <w:left w:val="nil"/>
              <w:bottom w:val="single" w:sz="4" w:space="0" w:color="auto"/>
              <w:right w:val="single" w:sz="4" w:space="0" w:color="auto"/>
            </w:tcBorders>
            <w:shd w:val="clear" w:color="auto" w:fill="auto"/>
            <w:noWrap/>
            <w:vAlign w:val="bottom"/>
            <w:hideMark/>
          </w:tcPr>
          <w:p w14:paraId="6AABC802" w14:textId="27A9B006"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-0.614</w:t>
            </w:r>
          </w:p>
        </w:tc>
        <w:tc>
          <w:tcPr>
            <w:tcW w:w="1093" w:type="dxa"/>
            <w:tcBorders>
              <w:top w:val="nil"/>
              <w:left w:val="nil"/>
              <w:bottom w:val="single" w:sz="4" w:space="0" w:color="auto"/>
              <w:right w:val="single" w:sz="4" w:space="0" w:color="auto"/>
            </w:tcBorders>
            <w:shd w:val="clear" w:color="auto" w:fill="auto"/>
            <w:noWrap/>
            <w:vAlign w:val="bottom"/>
            <w:hideMark/>
          </w:tcPr>
          <w:p w14:paraId="5B24D4EF" w14:textId="15F3157E"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0.637</w:t>
            </w:r>
          </w:p>
        </w:tc>
        <w:tc>
          <w:tcPr>
            <w:tcW w:w="1070" w:type="dxa"/>
            <w:tcBorders>
              <w:top w:val="nil"/>
              <w:left w:val="nil"/>
              <w:bottom w:val="single" w:sz="4" w:space="0" w:color="auto"/>
              <w:right w:val="single" w:sz="4" w:space="0" w:color="auto"/>
            </w:tcBorders>
            <w:shd w:val="clear" w:color="auto" w:fill="auto"/>
            <w:noWrap/>
            <w:vAlign w:val="bottom"/>
            <w:hideMark/>
          </w:tcPr>
          <w:p w14:paraId="2F09B75B" w14:textId="6838E808"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-0.218</w:t>
            </w:r>
          </w:p>
        </w:tc>
        <w:tc>
          <w:tcPr>
            <w:tcW w:w="1230" w:type="dxa"/>
            <w:tcBorders>
              <w:top w:val="nil"/>
              <w:left w:val="nil"/>
              <w:bottom w:val="single" w:sz="4" w:space="0" w:color="auto"/>
              <w:right w:val="single" w:sz="4" w:space="0" w:color="auto"/>
            </w:tcBorders>
            <w:shd w:val="clear" w:color="auto" w:fill="auto"/>
            <w:noWrap/>
            <w:vAlign w:val="bottom"/>
            <w:hideMark/>
          </w:tcPr>
          <w:p w14:paraId="22CBF26E" w14:textId="3B2403F7"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0.251</w:t>
            </w:r>
          </w:p>
        </w:tc>
        <w:tc>
          <w:tcPr>
            <w:tcW w:w="1223" w:type="dxa"/>
            <w:tcBorders>
              <w:top w:val="nil"/>
              <w:left w:val="nil"/>
              <w:bottom w:val="single" w:sz="4" w:space="0" w:color="auto"/>
              <w:right w:val="single" w:sz="4" w:space="0" w:color="auto"/>
            </w:tcBorders>
            <w:shd w:val="clear" w:color="auto" w:fill="auto"/>
            <w:noWrap/>
            <w:vAlign w:val="bottom"/>
            <w:hideMark/>
          </w:tcPr>
          <w:p w14:paraId="05202DAC" w14:textId="7F7B2643"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0.650</w:t>
            </w:r>
          </w:p>
        </w:tc>
      </w:tr>
      <w:tr w:rsidR="00F75098" w:rsidRPr="00600D62" w14:paraId="719DC94D"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07A3E44B"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Std. Dev.</w:t>
            </w:r>
          </w:p>
        </w:tc>
        <w:tc>
          <w:tcPr>
            <w:tcW w:w="1114" w:type="dxa"/>
            <w:tcBorders>
              <w:top w:val="nil"/>
              <w:left w:val="nil"/>
              <w:bottom w:val="single" w:sz="4" w:space="0" w:color="auto"/>
              <w:right w:val="single" w:sz="4" w:space="0" w:color="auto"/>
            </w:tcBorders>
            <w:shd w:val="clear" w:color="auto" w:fill="auto"/>
            <w:noWrap/>
            <w:vAlign w:val="bottom"/>
            <w:hideMark/>
          </w:tcPr>
          <w:p w14:paraId="3579D189" w14:textId="144A1368" w:rsidR="00044CFF" w:rsidRPr="00600D62" w:rsidRDefault="00044CFF" w:rsidP="00044CFF">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1.495</w:t>
            </w:r>
          </w:p>
        </w:tc>
        <w:tc>
          <w:tcPr>
            <w:tcW w:w="1070" w:type="dxa"/>
            <w:tcBorders>
              <w:top w:val="nil"/>
              <w:left w:val="nil"/>
              <w:bottom w:val="single" w:sz="4" w:space="0" w:color="auto"/>
              <w:right w:val="single" w:sz="4" w:space="0" w:color="auto"/>
            </w:tcBorders>
            <w:shd w:val="clear" w:color="auto" w:fill="auto"/>
            <w:noWrap/>
            <w:vAlign w:val="bottom"/>
            <w:hideMark/>
          </w:tcPr>
          <w:p w14:paraId="1D6848C4" w14:textId="507060F4"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1.759</w:t>
            </w:r>
          </w:p>
        </w:tc>
        <w:tc>
          <w:tcPr>
            <w:tcW w:w="1093" w:type="dxa"/>
            <w:tcBorders>
              <w:top w:val="nil"/>
              <w:left w:val="nil"/>
              <w:bottom w:val="single" w:sz="4" w:space="0" w:color="auto"/>
              <w:right w:val="single" w:sz="4" w:space="0" w:color="auto"/>
            </w:tcBorders>
            <w:shd w:val="clear" w:color="auto" w:fill="auto"/>
            <w:noWrap/>
            <w:vAlign w:val="bottom"/>
            <w:hideMark/>
          </w:tcPr>
          <w:p w14:paraId="44BC526E" w14:textId="0CB79CB3"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1.885</w:t>
            </w:r>
          </w:p>
        </w:tc>
        <w:tc>
          <w:tcPr>
            <w:tcW w:w="1093" w:type="dxa"/>
            <w:tcBorders>
              <w:top w:val="nil"/>
              <w:left w:val="nil"/>
              <w:bottom w:val="single" w:sz="4" w:space="0" w:color="auto"/>
              <w:right w:val="single" w:sz="4" w:space="0" w:color="auto"/>
            </w:tcBorders>
            <w:shd w:val="clear" w:color="auto" w:fill="auto"/>
            <w:noWrap/>
            <w:vAlign w:val="bottom"/>
            <w:hideMark/>
          </w:tcPr>
          <w:p w14:paraId="07B32DE4" w14:textId="2DBC8AD5"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1.500</w:t>
            </w:r>
          </w:p>
        </w:tc>
        <w:tc>
          <w:tcPr>
            <w:tcW w:w="1070" w:type="dxa"/>
            <w:tcBorders>
              <w:top w:val="nil"/>
              <w:left w:val="nil"/>
              <w:bottom w:val="single" w:sz="4" w:space="0" w:color="auto"/>
              <w:right w:val="single" w:sz="4" w:space="0" w:color="auto"/>
            </w:tcBorders>
            <w:shd w:val="clear" w:color="auto" w:fill="auto"/>
            <w:noWrap/>
            <w:vAlign w:val="bottom"/>
            <w:hideMark/>
          </w:tcPr>
          <w:p w14:paraId="7FF434D4" w14:textId="2D93D396"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0.645</w:t>
            </w:r>
          </w:p>
        </w:tc>
        <w:tc>
          <w:tcPr>
            <w:tcW w:w="1230" w:type="dxa"/>
            <w:tcBorders>
              <w:top w:val="nil"/>
              <w:left w:val="nil"/>
              <w:bottom w:val="single" w:sz="4" w:space="0" w:color="auto"/>
              <w:right w:val="single" w:sz="4" w:space="0" w:color="auto"/>
            </w:tcBorders>
            <w:shd w:val="clear" w:color="auto" w:fill="auto"/>
            <w:noWrap/>
            <w:vAlign w:val="bottom"/>
            <w:hideMark/>
          </w:tcPr>
          <w:p w14:paraId="569BA146" w14:textId="65E9996A"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1.620</w:t>
            </w:r>
          </w:p>
        </w:tc>
        <w:tc>
          <w:tcPr>
            <w:tcW w:w="1223" w:type="dxa"/>
            <w:tcBorders>
              <w:top w:val="nil"/>
              <w:left w:val="nil"/>
              <w:bottom w:val="single" w:sz="4" w:space="0" w:color="auto"/>
              <w:right w:val="single" w:sz="4" w:space="0" w:color="auto"/>
            </w:tcBorders>
            <w:shd w:val="clear" w:color="auto" w:fill="auto"/>
            <w:noWrap/>
            <w:vAlign w:val="bottom"/>
            <w:hideMark/>
          </w:tcPr>
          <w:p w14:paraId="2B86E8CD" w14:textId="7E5D9D85"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1.326</w:t>
            </w:r>
          </w:p>
        </w:tc>
      </w:tr>
      <w:tr w:rsidR="00F75098" w:rsidRPr="00600D62" w14:paraId="3CB134A2"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4D407E17"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Skewness</w:t>
            </w:r>
          </w:p>
        </w:tc>
        <w:tc>
          <w:tcPr>
            <w:tcW w:w="1114" w:type="dxa"/>
            <w:tcBorders>
              <w:top w:val="nil"/>
              <w:left w:val="nil"/>
              <w:bottom w:val="single" w:sz="4" w:space="0" w:color="auto"/>
              <w:right w:val="single" w:sz="4" w:space="0" w:color="auto"/>
            </w:tcBorders>
            <w:shd w:val="clear" w:color="auto" w:fill="auto"/>
            <w:noWrap/>
            <w:vAlign w:val="bottom"/>
            <w:hideMark/>
          </w:tcPr>
          <w:p w14:paraId="3E322095" w14:textId="2B7285EF"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0.281</w:t>
            </w:r>
          </w:p>
        </w:tc>
        <w:tc>
          <w:tcPr>
            <w:tcW w:w="1070" w:type="dxa"/>
            <w:tcBorders>
              <w:top w:val="nil"/>
              <w:left w:val="nil"/>
              <w:bottom w:val="single" w:sz="4" w:space="0" w:color="auto"/>
              <w:right w:val="single" w:sz="4" w:space="0" w:color="auto"/>
            </w:tcBorders>
            <w:shd w:val="clear" w:color="auto" w:fill="auto"/>
            <w:noWrap/>
            <w:vAlign w:val="bottom"/>
            <w:hideMark/>
          </w:tcPr>
          <w:p w14:paraId="2418C102" w14:textId="653E8FB9"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-0.171</w:t>
            </w:r>
          </w:p>
        </w:tc>
        <w:tc>
          <w:tcPr>
            <w:tcW w:w="1093" w:type="dxa"/>
            <w:tcBorders>
              <w:top w:val="nil"/>
              <w:left w:val="nil"/>
              <w:bottom w:val="single" w:sz="4" w:space="0" w:color="auto"/>
              <w:right w:val="single" w:sz="4" w:space="0" w:color="auto"/>
            </w:tcBorders>
            <w:shd w:val="clear" w:color="auto" w:fill="auto"/>
            <w:noWrap/>
            <w:vAlign w:val="bottom"/>
            <w:hideMark/>
          </w:tcPr>
          <w:p w14:paraId="64B12B23" w14:textId="1BCAEEBD"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-0.026</w:t>
            </w:r>
          </w:p>
        </w:tc>
        <w:tc>
          <w:tcPr>
            <w:tcW w:w="1093" w:type="dxa"/>
            <w:tcBorders>
              <w:top w:val="nil"/>
              <w:left w:val="nil"/>
              <w:bottom w:val="single" w:sz="4" w:space="0" w:color="auto"/>
              <w:right w:val="single" w:sz="4" w:space="0" w:color="auto"/>
            </w:tcBorders>
            <w:shd w:val="clear" w:color="auto" w:fill="auto"/>
            <w:noWrap/>
            <w:vAlign w:val="bottom"/>
            <w:hideMark/>
          </w:tcPr>
          <w:p w14:paraId="7BD0CD81" w14:textId="194894B6"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-0.401</w:t>
            </w:r>
          </w:p>
        </w:tc>
        <w:tc>
          <w:tcPr>
            <w:tcW w:w="1070" w:type="dxa"/>
            <w:tcBorders>
              <w:top w:val="nil"/>
              <w:left w:val="nil"/>
              <w:bottom w:val="single" w:sz="4" w:space="0" w:color="auto"/>
              <w:right w:val="single" w:sz="4" w:space="0" w:color="auto"/>
            </w:tcBorders>
            <w:shd w:val="clear" w:color="auto" w:fill="auto"/>
            <w:noWrap/>
            <w:vAlign w:val="bottom"/>
            <w:hideMark/>
          </w:tcPr>
          <w:p w14:paraId="1468CE5E" w14:textId="2D7E092B"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-0.116</w:t>
            </w:r>
          </w:p>
        </w:tc>
        <w:tc>
          <w:tcPr>
            <w:tcW w:w="1230" w:type="dxa"/>
            <w:tcBorders>
              <w:top w:val="nil"/>
              <w:left w:val="nil"/>
              <w:bottom w:val="single" w:sz="4" w:space="0" w:color="auto"/>
              <w:right w:val="single" w:sz="4" w:space="0" w:color="auto"/>
            </w:tcBorders>
            <w:shd w:val="clear" w:color="auto" w:fill="auto"/>
            <w:noWrap/>
            <w:vAlign w:val="bottom"/>
            <w:hideMark/>
          </w:tcPr>
          <w:p w14:paraId="13C1B369" w14:textId="07739461"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-0.140</w:t>
            </w:r>
          </w:p>
        </w:tc>
        <w:tc>
          <w:tcPr>
            <w:tcW w:w="1223" w:type="dxa"/>
            <w:tcBorders>
              <w:top w:val="nil"/>
              <w:left w:val="nil"/>
              <w:bottom w:val="single" w:sz="4" w:space="0" w:color="auto"/>
              <w:right w:val="single" w:sz="4" w:space="0" w:color="auto"/>
            </w:tcBorders>
            <w:shd w:val="clear" w:color="auto" w:fill="auto"/>
            <w:noWrap/>
            <w:vAlign w:val="bottom"/>
            <w:hideMark/>
          </w:tcPr>
          <w:p w14:paraId="090C6CA9" w14:textId="4F93815B"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0.251</w:t>
            </w:r>
          </w:p>
        </w:tc>
      </w:tr>
      <w:tr w:rsidR="00F75098" w:rsidRPr="00600D62" w14:paraId="1C28618B"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753D0F41"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Kurtosis</w:t>
            </w:r>
          </w:p>
        </w:tc>
        <w:tc>
          <w:tcPr>
            <w:tcW w:w="1114" w:type="dxa"/>
            <w:tcBorders>
              <w:top w:val="nil"/>
              <w:left w:val="nil"/>
              <w:bottom w:val="single" w:sz="4" w:space="0" w:color="auto"/>
              <w:right w:val="single" w:sz="4" w:space="0" w:color="auto"/>
            </w:tcBorders>
            <w:shd w:val="clear" w:color="auto" w:fill="auto"/>
            <w:noWrap/>
            <w:vAlign w:val="bottom"/>
            <w:hideMark/>
          </w:tcPr>
          <w:p w14:paraId="427F19BD" w14:textId="1ADFD504"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1.941</w:t>
            </w:r>
          </w:p>
        </w:tc>
        <w:tc>
          <w:tcPr>
            <w:tcW w:w="1070" w:type="dxa"/>
            <w:tcBorders>
              <w:top w:val="nil"/>
              <w:left w:val="nil"/>
              <w:bottom w:val="single" w:sz="4" w:space="0" w:color="auto"/>
              <w:right w:val="single" w:sz="4" w:space="0" w:color="auto"/>
            </w:tcBorders>
            <w:shd w:val="clear" w:color="auto" w:fill="auto"/>
            <w:noWrap/>
            <w:vAlign w:val="bottom"/>
            <w:hideMark/>
          </w:tcPr>
          <w:p w14:paraId="210B3B82" w14:textId="5C6966FB"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1.662</w:t>
            </w:r>
          </w:p>
        </w:tc>
        <w:tc>
          <w:tcPr>
            <w:tcW w:w="1093" w:type="dxa"/>
            <w:tcBorders>
              <w:top w:val="nil"/>
              <w:left w:val="nil"/>
              <w:bottom w:val="single" w:sz="4" w:space="0" w:color="auto"/>
              <w:right w:val="single" w:sz="4" w:space="0" w:color="auto"/>
            </w:tcBorders>
            <w:shd w:val="clear" w:color="auto" w:fill="auto"/>
            <w:noWrap/>
            <w:vAlign w:val="bottom"/>
            <w:hideMark/>
          </w:tcPr>
          <w:p w14:paraId="46F6A785" w14:textId="119D0990"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1.556</w:t>
            </w:r>
          </w:p>
        </w:tc>
        <w:tc>
          <w:tcPr>
            <w:tcW w:w="1093" w:type="dxa"/>
            <w:tcBorders>
              <w:top w:val="nil"/>
              <w:left w:val="nil"/>
              <w:bottom w:val="single" w:sz="4" w:space="0" w:color="auto"/>
              <w:right w:val="single" w:sz="4" w:space="0" w:color="auto"/>
            </w:tcBorders>
            <w:shd w:val="clear" w:color="auto" w:fill="auto"/>
            <w:noWrap/>
            <w:vAlign w:val="bottom"/>
            <w:hideMark/>
          </w:tcPr>
          <w:p w14:paraId="7F85631E" w14:textId="6F6B6970"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2.047</w:t>
            </w:r>
          </w:p>
        </w:tc>
        <w:tc>
          <w:tcPr>
            <w:tcW w:w="1070" w:type="dxa"/>
            <w:tcBorders>
              <w:top w:val="nil"/>
              <w:left w:val="nil"/>
              <w:bottom w:val="single" w:sz="4" w:space="0" w:color="auto"/>
              <w:right w:val="single" w:sz="4" w:space="0" w:color="auto"/>
            </w:tcBorders>
            <w:shd w:val="clear" w:color="auto" w:fill="auto"/>
            <w:noWrap/>
            <w:vAlign w:val="bottom"/>
            <w:hideMark/>
          </w:tcPr>
          <w:p w14:paraId="3B3872E1" w14:textId="1EBCAC55"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1.530</w:t>
            </w:r>
          </w:p>
        </w:tc>
        <w:tc>
          <w:tcPr>
            <w:tcW w:w="1230" w:type="dxa"/>
            <w:tcBorders>
              <w:top w:val="nil"/>
              <w:left w:val="nil"/>
              <w:bottom w:val="single" w:sz="4" w:space="0" w:color="auto"/>
              <w:right w:val="single" w:sz="4" w:space="0" w:color="auto"/>
            </w:tcBorders>
            <w:shd w:val="clear" w:color="auto" w:fill="auto"/>
            <w:noWrap/>
            <w:vAlign w:val="bottom"/>
            <w:hideMark/>
          </w:tcPr>
          <w:p w14:paraId="7F9BFAAD" w14:textId="1FEBB1E9"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1.543</w:t>
            </w:r>
          </w:p>
        </w:tc>
        <w:tc>
          <w:tcPr>
            <w:tcW w:w="1223" w:type="dxa"/>
            <w:tcBorders>
              <w:top w:val="nil"/>
              <w:left w:val="nil"/>
              <w:bottom w:val="single" w:sz="4" w:space="0" w:color="auto"/>
              <w:right w:val="single" w:sz="4" w:space="0" w:color="auto"/>
            </w:tcBorders>
            <w:shd w:val="clear" w:color="auto" w:fill="auto"/>
            <w:noWrap/>
            <w:vAlign w:val="bottom"/>
            <w:hideMark/>
          </w:tcPr>
          <w:p w14:paraId="1DECAFFE" w14:textId="4BD65C93"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2.276</w:t>
            </w:r>
          </w:p>
        </w:tc>
      </w:tr>
      <w:tr w:rsidR="00F75098" w:rsidRPr="00600D62" w14:paraId="057EFEBA"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5432C2CC"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114" w:type="dxa"/>
            <w:tcBorders>
              <w:top w:val="nil"/>
              <w:left w:val="nil"/>
              <w:bottom w:val="single" w:sz="4" w:space="0" w:color="auto"/>
              <w:right w:val="single" w:sz="4" w:space="0" w:color="auto"/>
            </w:tcBorders>
            <w:shd w:val="clear" w:color="auto" w:fill="auto"/>
            <w:noWrap/>
            <w:vAlign w:val="bottom"/>
            <w:hideMark/>
          </w:tcPr>
          <w:p w14:paraId="3A67F9E1"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41EA0A8C"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4AA38695"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7E6EE747"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7FAB973C"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30" w:type="dxa"/>
            <w:tcBorders>
              <w:top w:val="nil"/>
              <w:left w:val="nil"/>
              <w:bottom w:val="single" w:sz="4" w:space="0" w:color="auto"/>
              <w:right w:val="single" w:sz="4" w:space="0" w:color="auto"/>
            </w:tcBorders>
            <w:shd w:val="clear" w:color="auto" w:fill="auto"/>
            <w:noWrap/>
            <w:vAlign w:val="bottom"/>
            <w:hideMark/>
          </w:tcPr>
          <w:p w14:paraId="74D5D028"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23" w:type="dxa"/>
            <w:tcBorders>
              <w:top w:val="nil"/>
              <w:left w:val="nil"/>
              <w:bottom w:val="single" w:sz="4" w:space="0" w:color="auto"/>
              <w:right w:val="single" w:sz="4" w:space="0" w:color="auto"/>
            </w:tcBorders>
            <w:shd w:val="clear" w:color="auto" w:fill="auto"/>
            <w:noWrap/>
            <w:vAlign w:val="bottom"/>
            <w:hideMark/>
          </w:tcPr>
          <w:p w14:paraId="499F7602"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r>
      <w:tr w:rsidR="00F75098" w:rsidRPr="00600D62" w14:paraId="3DF11A8D"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73FECA6F"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Jarque-Bera</w:t>
            </w:r>
          </w:p>
        </w:tc>
        <w:tc>
          <w:tcPr>
            <w:tcW w:w="1114" w:type="dxa"/>
            <w:tcBorders>
              <w:top w:val="nil"/>
              <w:left w:val="nil"/>
              <w:bottom w:val="single" w:sz="4" w:space="0" w:color="auto"/>
              <w:right w:val="single" w:sz="4" w:space="0" w:color="auto"/>
            </w:tcBorders>
            <w:shd w:val="clear" w:color="auto" w:fill="auto"/>
            <w:noWrap/>
            <w:vAlign w:val="bottom"/>
            <w:hideMark/>
          </w:tcPr>
          <w:p w14:paraId="10A8EC41" w14:textId="0436FAC6"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5.511</w:t>
            </w:r>
          </w:p>
        </w:tc>
        <w:tc>
          <w:tcPr>
            <w:tcW w:w="1070" w:type="dxa"/>
            <w:tcBorders>
              <w:top w:val="nil"/>
              <w:left w:val="nil"/>
              <w:bottom w:val="single" w:sz="4" w:space="0" w:color="auto"/>
              <w:right w:val="single" w:sz="4" w:space="0" w:color="auto"/>
            </w:tcBorders>
            <w:shd w:val="clear" w:color="auto" w:fill="auto"/>
            <w:noWrap/>
            <w:vAlign w:val="bottom"/>
            <w:hideMark/>
          </w:tcPr>
          <w:p w14:paraId="3B7C2AB1" w14:textId="719FAE33"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7.313</w:t>
            </w:r>
          </w:p>
        </w:tc>
        <w:tc>
          <w:tcPr>
            <w:tcW w:w="1093" w:type="dxa"/>
            <w:tcBorders>
              <w:top w:val="nil"/>
              <w:left w:val="nil"/>
              <w:bottom w:val="single" w:sz="4" w:space="0" w:color="auto"/>
              <w:right w:val="single" w:sz="4" w:space="0" w:color="auto"/>
            </w:tcBorders>
            <w:shd w:val="clear" w:color="auto" w:fill="auto"/>
            <w:noWrap/>
            <w:vAlign w:val="bottom"/>
            <w:hideMark/>
          </w:tcPr>
          <w:p w14:paraId="257EA12B" w14:textId="438B3384"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8.006</w:t>
            </w:r>
          </w:p>
        </w:tc>
        <w:tc>
          <w:tcPr>
            <w:tcW w:w="1093" w:type="dxa"/>
            <w:tcBorders>
              <w:top w:val="nil"/>
              <w:left w:val="nil"/>
              <w:bottom w:val="single" w:sz="4" w:space="0" w:color="auto"/>
              <w:right w:val="single" w:sz="4" w:space="0" w:color="auto"/>
            </w:tcBorders>
            <w:shd w:val="clear" w:color="auto" w:fill="auto"/>
            <w:noWrap/>
            <w:vAlign w:val="bottom"/>
            <w:hideMark/>
          </w:tcPr>
          <w:p w14:paraId="05F9B26F" w14:textId="1623816E"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5.945</w:t>
            </w:r>
          </w:p>
        </w:tc>
        <w:tc>
          <w:tcPr>
            <w:tcW w:w="1070" w:type="dxa"/>
            <w:tcBorders>
              <w:top w:val="nil"/>
              <w:left w:val="nil"/>
              <w:bottom w:val="single" w:sz="4" w:space="0" w:color="auto"/>
              <w:right w:val="single" w:sz="4" w:space="0" w:color="auto"/>
            </w:tcBorders>
            <w:shd w:val="clear" w:color="auto" w:fill="auto"/>
            <w:noWrap/>
            <w:vAlign w:val="bottom"/>
            <w:hideMark/>
          </w:tcPr>
          <w:p w14:paraId="573F0E8F" w14:textId="2648410B"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8.488</w:t>
            </w:r>
          </w:p>
        </w:tc>
        <w:tc>
          <w:tcPr>
            <w:tcW w:w="1230" w:type="dxa"/>
            <w:tcBorders>
              <w:top w:val="nil"/>
              <w:left w:val="nil"/>
              <w:bottom w:val="single" w:sz="4" w:space="0" w:color="auto"/>
              <w:right w:val="single" w:sz="4" w:space="0" w:color="auto"/>
            </w:tcBorders>
            <w:shd w:val="clear" w:color="auto" w:fill="auto"/>
            <w:noWrap/>
            <w:vAlign w:val="bottom"/>
            <w:hideMark/>
          </w:tcPr>
          <w:p w14:paraId="291E73AB" w14:textId="5D9CA962"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8.436</w:t>
            </w:r>
          </w:p>
        </w:tc>
        <w:tc>
          <w:tcPr>
            <w:tcW w:w="1223" w:type="dxa"/>
            <w:tcBorders>
              <w:top w:val="nil"/>
              <w:left w:val="nil"/>
              <w:bottom w:val="single" w:sz="4" w:space="0" w:color="auto"/>
              <w:right w:val="single" w:sz="4" w:space="0" w:color="auto"/>
            </w:tcBorders>
            <w:shd w:val="clear" w:color="auto" w:fill="auto"/>
            <w:noWrap/>
            <w:vAlign w:val="bottom"/>
            <w:hideMark/>
          </w:tcPr>
          <w:p w14:paraId="10483A4B" w14:textId="61F2C233"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2.976</w:t>
            </w:r>
          </w:p>
        </w:tc>
      </w:tr>
      <w:tr w:rsidR="00F75098" w:rsidRPr="00600D62" w14:paraId="596BEA14"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65945BC0"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Probability</w:t>
            </w:r>
          </w:p>
        </w:tc>
        <w:tc>
          <w:tcPr>
            <w:tcW w:w="1114" w:type="dxa"/>
            <w:tcBorders>
              <w:top w:val="nil"/>
              <w:left w:val="nil"/>
              <w:bottom w:val="single" w:sz="4" w:space="0" w:color="auto"/>
              <w:right w:val="single" w:sz="4" w:space="0" w:color="auto"/>
            </w:tcBorders>
            <w:shd w:val="clear" w:color="auto" w:fill="auto"/>
            <w:noWrap/>
            <w:vAlign w:val="bottom"/>
            <w:hideMark/>
          </w:tcPr>
          <w:p w14:paraId="0790CE5D" w14:textId="601888B4"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0.064</w:t>
            </w:r>
          </w:p>
        </w:tc>
        <w:tc>
          <w:tcPr>
            <w:tcW w:w="1070" w:type="dxa"/>
            <w:tcBorders>
              <w:top w:val="nil"/>
              <w:left w:val="nil"/>
              <w:bottom w:val="single" w:sz="4" w:space="0" w:color="auto"/>
              <w:right w:val="single" w:sz="4" w:space="0" w:color="auto"/>
            </w:tcBorders>
            <w:shd w:val="clear" w:color="auto" w:fill="auto"/>
            <w:noWrap/>
            <w:vAlign w:val="bottom"/>
            <w:hideMark/>
          </w:tcPr>
          <w:p w14:paraId="594971B1" w14:textId="245A59A4"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0.026</w:t>
            </w:r>
          </w:p>
        </w:tc>
        <w:tc>
          <w:tcPr>
            <w:tcW w:w="1093" w:type="dxa"/>
            <w:tcBorders>
              <w:top w:val="nil"/>
              <w:left w:val="nil"/>
              <w:bottom w:val="single" w:sz="4" w:space="0" w:color="auto"/>
              <w:right w:val="single" w:sz="4" w:space="0" w:color="auto"/>
            </w:tcBorders>
            <w:shd w:val="clear" w:color="auto" w:fill="auto"/>
            <w:noWrap/>
            <w:vAlign w:val="bottom"/>
            <w:hideMark/>
          </w:tcPr>
          <w:p w14:paraId="719B7E12" w14:textId="0FAE6913"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0.018</w:t>
            </w:r>
          </w:p>
        </w:tc>
        <w:tc>
          <w:tcPr>
            <w:tcW w:w="1093" w:type="dxa"/>
            <w:tcBorders>
              <w:top w:val="nil"/>
              <w:left w:val="nil"/>
              <w:bottom w:val="single" w:sz="4" w:space="0" w:color="auto"/>
              <w:right w:val="single" w:sz="4" w:space="0" w:color="auto"/>
            </w:tcBorders>
            <w:shd w:val="clear" w:color="auto" w:fill="auto"/>
            <w:noWrap/>
            <w:vAlign w:val="bottom"/>
            <w:hideMark/>
          </w:tcPr>
          <w:p w14:paraId="75407285" w14:textId="32426B43"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0.051</w:t>
            </w:r>
          </w:p>
        </w:tc>
        <w:tc>
          <w:tcPr>
            <w:tcW w:w="1070" w:type="dxa"/>
            <w:tcBorders>
              <w:top w:val="nil"/>
              <w:left w:val="nil"/>
              <w:bottom w:val="single" w:sz="4" w:space="0" w:color="auto"/>
              <w:right w:val="single" w:sz="4" w:space="0" w:color="auto"/>
            </w:tcBorders>
            <w:shd w:val="clear" w:color="auto" w:fill="auto"/>
            <w:noWrap/>
            <w:vAlign w:val="bottom"/>
            <w:hideMark/>
          </w:tcPr>
          <w:p w14:paraId="44764D6E" w14:textId="5ACDBA17"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0.014</w:t>
            </w:r>
          </w:p>
        </w:tc>
        <w:tc>
          <w:tcPr>
            <w:tcW w:w="1230" w:type="dxa"/>
            <w:tcBorders>
              <w:top w:val="nil"/>
              <w:left w:val="nil"/>
              <w:bottom w:val="single" w:sz="4" w:space="0" w:color="auto"/>
              <w:right w:val="single" w:sz="4" w:space="0" w:color="auto"/>
            </w:tcBorders>
            <w:shd w:val="clear" w:color="auto" w:fill="auto"/>
            <w:noWrap/>
            <w:vAlign w:val="bottom"/>
            <w:hideMark/>
          </w:tcPr>
          <w:p w14:paraId="09854B35" w14:textId="2F3E36B6"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0.015</w:t>
            </w:r>
          </w:p>
        </w:tc>
        <w:tc>
          <w:tcPr>
            <w:tcW w:w="1223" w:type="dxa"/>
            <w:tcBorders>
              <w:top w:val="nil"/>
              <w:left w:val="nil"/>
              <w:bottom w:val="single" w:sz="4" w:space="0" w:color="auto"/>
              <w:right w:val="single" w:sz="4" w:space="0" w:color="auto"/>
            </w:tcBorders>
            <w:shd w:val="clear" w:color="auto" w:fill="auto"/>
            <w:noWrap/>
            <w:vAlign w:val="bottom"/>
            <w:hideMark/>
          </w:tcPr>
          <w:p w14:paraId="59A2E65A" w14:textId="436091FA"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0.226</w:t>
            </w:r>
          </w:p>
        </w:tc>
      </w:tr>
      <w:tr w:rsidR="00F75098" w:rsidRPr="00600D62" w14:paraId="6CF0C8A4"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1BFFE3E0"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114" w:type="dxa"/>
            <w:tcBorders>
              <w:top w:val="nil"/>
              <w:left w:val="nil"/>
              <w:bottom w:val="single" w:sz="4" w:space="0" w:color="auto"/>
              <w:right w:val="single" w:sz="4" w:space="0" w:color="auto"/>
            </w:tcBorders>
            <w:shd w:val="clear" w:color="auto" w:fill="auto"/>
            <w:noWrap/>
            <w:vAlign w:val="bottom"/>
            <w:hideMark/>
          </w:tcPr>
          <w:p w14:paraId="42D5BD59"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1CCDE948"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227B42DA"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6DC07AE9"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0C38350F"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30" w:type="dxa"/>
            <w:tcBorders>
              <w:top w:val="nil"/>
              <w:left w:val="nil"/>
              <w:bottom w:val="single" w:sz="4" w:space="0" w:color="auto"/>
              <w:right w:val="single" w:sz="4" w:space="0" w:color="auto"/>
            </w:tcBorders>
            <w:shd w:val="clear" w:color="auto" w:fill="auto"/>
            <w:noWrap/>
            <w:vAlign w:val="bottom"/>
            <w:hideMark/>
          </w:tcPr>
          <w:p w14:paraId="63583007"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23" w:type="dxa"/>
            <w:tcBorders>
              <w:top w:val="nil"/>
              <w:left w:val="nil"/>
              <w:bottom w:val="single" w:sz="4" w:space="0" w:color="auto"/>
              <w:right w:val="single" w:sz="4" w:space="0" w:color="auto"/>
            </w:tcBorders>
            <w:shd w:val="clear" w:color="auto" w:fill="auto"/>
            <w:noWrap/>
            <w:vAlign w:val="bottom"/>
            <w:hideMark/>
          </w:tcPr>
          <w:p w14:paraId="4937637F"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r>
      <w:tr w:rsidR="00F75098" w:rsidRPr="00600D62" w14:paraId="0AB35744"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6C4E1CAF"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Sum</w:t>
            </w:r>
          </w:p>
        </w:tc>
        <w:tc>
          <w:tcPr>
            <w:tcW w:w="1114" w:type="dxa"/>
            <w:tcBorders>
              <w:top w:val="nil"/>
              <w:left w:val="nil"/>
              <w:bottom w:val="single" w:sz="4" w:space="0" w:color="auto"/>
              <w:right w:val="single" w:sz="4" w:space="0" w:color="auto"/>
            </w:tcBorders>
            <w:shd w:val="clear" w:color="auto" w:fill="auto"/>
            <w:noWrap/>
            <w:vAlign w:val="bottom"/>
            <w:hideMark/>
          </w:tcPr>
          <w:p w14:paraId="0BAF4F00" w14:textId="3C9C6370"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284.624</w:t>
            </w:r>
          </w:p>
        </w:tc>
        <w:tc>
          <w:tcPr>
            <w:tcW w:w="1070" w:type="dxa"/>
            <w:tcBorders>
              <w:top w:val="nil"/>
              <w:left w:val="nil"/>
              <w:bottom w:val="single" w:sz="4" w:space="0" w:color="auto"/>
              <w:right w:val="single" w:sz="4" w:space="0" w:color="auto"/>
            </w:tcBorders>
            <w:shd w:val="clear" w:color="auto" w:fill="auto"/>
            <w:noWrap/>
            <w:vAlign w:val="bottom"/>
            <w:hideMark/>
          </w:tcPr>
          <w:p w14:paraId="5F767C5A" w14:textId="37AC9CB3"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241.034</w:t>
            </w:r>
          </w:p>
        </w:tc>
        <w:tc>
          <w:tcPr>
            <w:tcW w:w="1093" w:type="dxa"/>
            <w:tcBorders>
              <w:top w:val="nil"/>
              <w:left w:val="nil"/>
              <w:bottom w:val="single" w:sz="4" w:space="0" w:color="auto"/>
              <w:right w:val="single" w:sz="4" w:space="0" w:color="auto"/>
            </w:tcBorders>
            <w:shd w:val="clear" w:color="auto" w:fill="auto"/>
            <w:noWrap/>
            <w:vAlign w:val="bottom"/>
            <w:hideMark/>
          </w:tcPr>
          <w:p w14:paraId="5F8D823A" w14:textId="2703A118"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209.526</w:t>
            </w:r>
          </w:p>
        </w:tc>
        <w:tc>
          <w:tcPr>
            <w:tcW w:w="1093" w:type="dxa"/>
            <w:tcBorders>
              <w:top w:val="nil"/>
              <w:left w:val="nil"/>
              <w:bottom w:val="single" w:sz="4" w:space="0" w:color="auto"/>
              <w:right w:val="single" w:sz="4" w:space="0" w:color="auto"/>
            </w:tcBorders>
            <w:shd w:val="clear" w:color="auto" w:fill="auto"/>
            <w:noWrap/>
            <w:vAlign w:val="bottom"/>
            <w:hideMark/>
          </w:tcPr>
          <w:p w14:paraId="52C9DCBC" w14:textId="0F84BC50"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330.235</w:t>
            </w:r>
          </w:p>
        </w:tc>
        <w:tc>
          <w:tcPr>
            <w:tcW w:w="1070" w:type="dxa"/>
            <w:tcBorders>
              <w:top w:val="nil"/>
              <w:left w:val="nil"/>
              <w:bottom w:val="single" w:sz="4" w:space="0" w:color="auto"/>
              <w:right w:val="single" w:sz="4" w:space="0" w:color="auto"/>
            </w:tcBorders>
            <w:shd w:val="clear" w:color="auto" w:fill="auto"/>
            <w:noWrap/>
            <w:vAlign w:val="bottom"/>
            <w:hideMark/>
          </w:tcPr>
          <w:p w14:paraId="25260731" w14:textId="2BCB5B3B"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77.074</w:t>
            </w:r>
          </w:p>
        </w:tc>
        <w:tc>
          <w:tcPr>
            <w:tcW w:w="1230" w:type="dxa"/>
            <w:tcBorders>
              <w:top w:val="nil"/>
              <w:left w:val="nil"/>
              <w:bottom w:val="single" w:sz="4" w:space="0" w:color="auto"/>
              <w:right w:val="single" w:sz="4" w:space="0" w:color="auto"/>
            </w:tcBorders>
            <w:shd w:val="clear" w:color="auto" w:fill="auto"/>
            <w:noWrap/>
            <w:vAlign w:val="bottom"/>
            <w:hideMark/>
          </w:tcPr>
          <w:p w14:paraId="3EEEB60C" w14:textId="5B8B916D"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283.247</w:t>
            </w:r>
          </w:p>
        </w:tc>
        <w:tc>
          <w:tcPr>
            <w:tcW w:w="1223" w:type="dxa"/>
            <w:tcBorders>
              <w:top w:val="nil"/>
              <w:left w:val="nil"/>
              <w:bottom w:val="single" w:sz="4" w:space="0" w:color="auto"/>
              <w:right w:val="single" w:sz="4" w:space="0" w:color="auto"/>
            </w:tcBorders>
            <w:shd w:val="clear" w:color="auto" w:fill="auto"/>
            <w:noWrap/>
            <w:vAlign w:val="bottom"/>
            <w:hideMark/>
          </w:tcPr>
          <w:p w14:paraId="66CABCA1" w14:textId="24084E1B"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295.700</w:t>
            </w:r>
          </w:p>
        </w:tc>
      </w:tr>
      <w:tr w:rsidR="00F75098" w:rsidRPr="00600D62" w14:paraId="00B0FD83"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1D2778F6"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Sum Sq. Dev.</w:t>
            </w:r>
          </w:p>
        </w:tc>
        <w:tc>
          <w:tcPr>
            <w:tcW w:w="1114" w:type="dxa"/>
            <w:tcBorders>
              <w:top w:val="nil"/>
              <w:left w:val="nil"/>
              <w:bottom w:val="single" w:sz="4" w:space="0" w:color="auto"/>
              <w:right w:val="single" w:sz="4" w:space="0" w:color="auto"/>
            </w:tcBorders>
            <w:shd w:val="clear" w:color="auto" w:fill="auto"/>
            <w:noWrap/>
            <w:vAlign w:val="bottom"/>
            <w:hideMark/>
          </w:tcPr>
          <w:p w14:paraId="0E58441F" w14:textId="1F2FC607"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203.449</w:t>
            </w:r>
          </w:p>
        </w:tc>
        <w:tc>
          <w:tcPr>
            <w:tcW w:w="1070" w:type="dxa"/>
            <w:tcBorders>
              <w:top w:val="nil"/>
              <w:left w:val="nil"/>
              <w:bottom w:val="single" w:sz="4" w:space="0" w:color="auto"/>
              <w:right w:val="single" w:sz="4" w:space="0" w:color="auto"/>
            </w:tcBorders>
            <w:shd w:val="clear" w:color="auto" w:fill="auto"/>
            <w:noWrap/>
            <w:vAlign w:val="bottom"/>
            <w:hideMark/>
          </w:tcPr>
          <w:p w14:paraId="6B3A0910" w14:textId="3BA859A2"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281.601</w:t>
            </w:r>
          </w:p>
        </w:tc>
        <w:tc>
          <w:tcPr>
            <w:tcW w:w="1093" w:type="dxa"/>
            <w:tcBorders>
              <w:top w:val="nil"/>
              <w:left w:val="nil"/>
              <w:bottom w:val="single" w:sz="4" w:space="0" w:color="auto"/>
              <w:right w:val="single" w:sz="4" w:space="0" w:color="auto"/>
            </w:tcBorders>
            <w:shd w:val="clear" w:color="auto" w:fill="auto"/>
            <w:noWrap/>
            <w:vAlign w:val="bottom"/>
            <w:hideMark/>
          </w:tcPr>
          <w:p w14:paraId="2C7AA6AC" w14:textId="18CF75C0"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323.323</w:t>
            </w:r>
          </w:p>
        </w:tc>
        <w:tc>
          <w:tcPr>
            <w:tcW w:w="1093" w:type="dxa"/>
            <w:tcBorders>
              <w:top w:val="nil"/>
              <w:left w:val="nil"/>
              <w:bottom w:val="single" w:sz="4" w:space="0" w:color="auto"/>
              <w:right w:val="single" w:sz="4" w:space="0" w:color="auto"/>
            </w:tcBorders>
            <w:shd w:val="clear" w:color="auto" w:fill="auto"/>
            <w:noWrap/>
            <w:vAlign w:val="bottom"/>
            <w:hideMark/>
          </w:tcPr>
          <w:p w14:paraId="7858D1B3" w14:textId="57581290"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204.836</w:t>
            </w:r>
          </w:p>
        </w:tc>
        <w:tc>
          <w:tcPr>
            <w:tcW w:w="1070" w:type="dxa"/>
            <w:tcBorders>
              <w:top w:val="nil"/>
              <w:left w:val="nil"/>
              <w:bottom w:val="single" w:sz="4" w:space="0" w:color="auto"/>
              <w:right w:val="single" w:sz="4" w:space="0" w:color="auto"/>
            </w:tcBorders>
            <w:shd w:val="clear" w:color="auto" w:fill="auto"/>
            <w:noWrap/>
            <w:vAlign w:val="bottom"/>
            <w:hideMark/>
          </w:tcPr>
          <w:p w14:paraId="0271A93B" w14:textId="39DDE5B1"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37.868</w:t>
            </w:r>
          </w:p>
        </w:tc>
        <w:tc>
          <w:tcPr>
            <w:tcW w:w="1230" w:type="dxa"/>
            <w:tcBorders>
              <w:top w:val="nil"/>
              <w:left w:val="nil"/>
              <w:bottom w:val="single" w:sz="4" w:space="0" w:color="auto"/>
              <w:right w:val="single" w:sz="4" w:space="0" w:color="auto"/>
            </w:tcBorders>
            <w:shd w:val="clear" w:color="auto" w:fill="auto"/>
            <w:noWrap/>
            <w:vAlign w:val="bottom"/>
            <w:hideMark/>
          </w:tcPr>
          <w:p w14:paraId="5D75F0CF" w14:textId="378CC8F7"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238.944</w:t>
            </w:r>
          </w:p>
        </w:tc>
        <w:tc>
          <w:tcPr>
            <w:tcW w:w="1223" w:type="dxa"/>
            <w:tcBorders>
              <w:top w:val="nil"/>
              <w:left w:val="nil"/>
              <w:bottom w:val="single" w:sz="4" w:space="0" w:color="auto"/>
              <w:right w:val="single" w:sz="4" w:space="0" w:color="auto"/>
            </w:tcBorders>
            <w:shd w:val="clear" w:color="auto" w:fill="auto"/>
            <w:noWrap/>
            <w:vAlign w:val="bottom"/>
            <w:hideMark/>
          </w:tcPr>
          <w:p w14:paraId="10A40DC5" w14:textId="6A3EAEB5"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159.938</w:t>
            </w:r>
          </w:p>
        </w:tc>
      </w:tr>
      <w:tr w:rsidR="00F75098" w:rsidRPr="00600D62" w14:paraId="557599F2"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20FA2DE2"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114" w:type="dxa"/>
            <w:tcBorders>
              <w:top w:val="nil"/>
              <w:left w:val="nil"/>
              <w:bottom w:val="single" w:sz="4" w:space="0" w:color="auto"/>
              <w:right w:val="single" w:sz="4" w:space="0" w:color="auto"/>
            </w:tcBorders>
            <w:shd w:val="clear" w:color="auto" w:fill="auto"/>
            <w:noWrap/>
            <w:vAlign w:val="bottom"/>
            <w:hideMark/>
          </w:tcPr>
          <w:p w14:paraId="38BEFFC9"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12678858"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28E64A53"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25BE0807"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0646BF07"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30" w:type="dxa"/>
            <w:tcBorders>
              <w:top w:val="nil"/>
              <w:left w:val="nil"/>
              <w:bottom w:val="single" w:sz="4" w:space="0" w:color="auto"/>
              <w:right w:val="single" w:sz="4" w:space="0" w:color="auto"/>
            </w:tcBorders>
            <w:shd w:val="clear" w:color="auto" w:fill="auto"/>
            <w:noWrap/>
            <w:vAlign w:val="bottom"/>
            <w:hideMark/>
          </w:tcPr>
          <w:p w14:paraId="631B11C9"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23" w:type="dxa"/>
            <w:tcBorders>
              <w:top w:val="nil"/>
              <w:left w:val="nil"/>
              <w:bottom w:val="single" w:sz="4" w:space="0" w:color="auto"/>
              <w:right w:val="single" w:sz="4" w:space="0" w:color="auto"/>
            </w:tcBorders>
            <w:shd w:val="clear" w:color="auto" w:fill="auto"/>
            <w:noWrap/>
            <w:vAlign w:val="bottom"/>
            <w:hideMark/>
          </w:tcPr>
          <w:p w14:paraId="2086263C"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r>
      <w:tr w:rsidR="00F75098" w:rsidRPr="00600D62" w14:paraId="12D20383"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1B9FC410" w14:textId="77777777" w:rsidR="00F75098" w:rsidRPr="00600D62" w:rsidRDefault="00F75098"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Observations</w:t>
            </w:r>
          </w:p>
        </w:tc>
        <w:tc>
          <w:tcPr>
            <w:tcW w:w="1114" w:type="dxa"/>
            <w:tcBorders>
              <w:top w:val="nil"/>
              <w:left w:val="nil"/>
              <w:bottom w:val="single" w:sz="4" w:space="0" w:color="auto"/>
              <w:right w:val="single" w:sz="4" w:space="0" w:color="auto"/>
            </w:tcBorders>
            <w:shd w:val="clear" w:color="auto" w:fill="auto"/>
            <w:noWrap/>
            <w:vAlign w:val="bottom"/>
            <w:hideMark/>
          </w:tcPr>
          <w:p w14:paraId="5B3169E9" w14:textId="708CEF5D"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92</w:t>
            </w:r>
          </w:p>
        </w:tc>
        <w:tc>
          <w:tcPr>
            <w:tcW w:w="1070" w:type="dxa"/>
            <w:tcBorders>
              <w:top w:val="nil"/>
              <w:left w:val="nil"/>
              <w:bottom w:val="single" w:sz="4" w:space="0" w:color="auto"/>
              <w:right w:val="single" w:sz="4" w:space="0" w:color="auto"/>
            </w:tcBorders>
            <w:shd w:val="clear" w:color="auto" w:fill="auto"/>
            <w:noWrap/>
            <w:vAlign w:val="bottom"/>
            <w:hideMark/>
          </w:tcPr>
          <w:p w14:paraId="11B8F028" w14:textId="2DEC9F78"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92</w:t>
            </w:r>
          </w:p>
        </w:tc>
        <w:tc>
          <w:tcPr>
            <w:tcW w:w="1093" w:type="dxa"/>
            <w:tcBorders>
              <w:top w:val="nil"/>
              <w:left w:val="nil"/>
              <w:bottom w:val="single" w:sz="4" w:space="0" w:color="auto"/>
              <w:right w:val="single" w:sz="4" w:space="0" w:color="auto"/>
            </w:tcBorders>
            <w:shd w:val="clear" w:color="auto" w:fill="auto"/>
            <w:noWrap/>
            <w:vAlign w:val="bottom"/>
            <w:hideMark/>
          </w:tcPr>
          <w:p w14:paraId="7EE1E035" w14:textId="66DBF15F"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92</w:t>
            </w:r>
          </w:p>
        </w:tc>
        <w:tc>
          <w:tcPr>
            <w:tcW w:w="1093" w:type="dxa"/>
            <w:tcBorders>
              <w:top w:val="nil"/>
              <w:left w:val="nil"/>
              <w:bottom w:val="single" w:sz="4" w:space="0" w:color="auto"/>
              <w:right w:val="single" w:sz="4" w:space="0" w:color="auto"/>
            </w:tcBorders>
            <w:shd w:val="clear" w:color="auto" w:fill="auto"/>
            <w:noWrap/>
            <w:vAlign w:val="bottom"/>
            <w:hideMark/>
          </w:tcPr>
          <w:p w14:paraId="3A633B81" w14:textId="6C03632B"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92</w:t>
            </w:r>
          </w:p>
        </w:tc>
        <w:tc>
          <w:tcPr>
            <w:tcW w:w="1070" w:type="dxa"/>
            <w:tcBorders>
              <w:top w:val="nil"/>
              <w:left w:val="nil"/>
              <w:bottom w:val="single" w:sz="4" w:space="0" w:color="auto"/>
              <w:right w:val="single" w:sz="4" w:space="0" w:color="auto"/>
            </w:tcBorders>
            <w:shd w:val="clear" w:color="auto" w:fill="auto"/>
            <w:noWrap/>
            <w:vAlign w:val="bottom"/>
            <w:hideMark/>
          </w:tcPr>
          <w:p w14:paraId="0BEE8D39" w14:textId="7AF10FF4"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92</w:t>
            </w:r>
          </w:p>
        </w:tc>
        <w:tc>
          <w:tcPr>
            <w:tcW w:w="1230" w:type="dxa"/>
            <w:tcBorders>
              <w:top w:val="nil"/>
              <w:left w:val="nil"/>
              <w:bottom w:val="single" w:sz="4" w:space="0" w:color="auto"/>
              <w:right w:val="single" w:sz="4" w:space="0" w:color="auto"/>
            </w:tcBorders>
            <w:shd w:val="clear" w:color="auto" w:fill="auto"/>
            <w:noWrap/>
            <w:vAlign w:val="bottom"/>
            <w:hideMark/>
          </w:tcPr>
          <w:p w14:paraId="59AC7083" w14:textId="04A78CAB" w:rsidR="00F75098" w:rsidRPr="00600D62" w:rsidRDefault="00044CFF"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92</w:t>
            </w:r>
          </w:p>
        </w:tc>
        <w:tc>
          <w:tcPr>
            <w:tcW w:w="1223" w:type="dxa"/>
            <w:tcBorders>
              <w:top w:val="nil"/>
              <w:left w:val="nil"/>
              <w:bottom w:val="single" w:sz="4" w:space="0" w:color="auto"/>
              <w:right w:val="single" w:sz="4" w:space="0" w:color="auto"/>
            </w:tcBorders>
            <w:shd w:val="clear" w:color="auto" w:fill="auto"/>
            <w:noWrap/>
            <w:vAlign w:val="bottom"/>
            <w:hideMark/>
          </w:tcPr>
          <w:p w14:paraId="47654342" w14:textId="5FED5DCC" w:rsidR="00F75098"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92</w:t>
            </w:r>
          </w:p>
        </w:tc>
      </w:tr>
    </w:tbl>
    <w:p w14:paraId="40E1251C" w14:textId="77777777" w:rsidR="000F5894" w:rsidRDefault="000F5894" w:rsidP="008548AF">
      <w:pPr>
        <w:pStyle w:val="Heading1"/>
        <w:ind w:left="0"/>
        <w:rPr>
          <w:lang w:val="en-GB"/>
        </w:rPr>
      </w:pPr>
    </w:p>
    <w:p w14:paraId="6E79E520" w14:textId="53E55CDB" w:rsidR="00F75098" w:rsidRDefault="000E59D1" w:rsidP="000F5894">
      <w:pPr>
        <w:pStyle w:val="Heading1"/>
        <w:ind w:left="0"/>
        <w:jc w:val="center"/>
        <w:rPr>
          <w:b w:val="0"/>
          <w:bCs w:val="0"/>
          <w:sz w:val="24"/>
          <w:szCs w:val="24"/>
          <w:lang w:val="en-GB"/>
        </w:rPr>
      </w:pPr>
      <w:r>
        <w:rPr>
          <w:lang w:val="en-GB"/>
        </w:rPr>
        <w:br w:type="page"/>
      </w:r>
      <w:r w:rsidR="00F75098" w:rsidRPr="005E3620">
        <w:rPr>
          <w:b w:val="0"/>
          <w:bCs w:val="0"/>
          <w:sz w:val="24"/>
          <w:szCs w:val="24"/>
          <w:lang w:val="en-GB"/>
        </w:rPr>
        <w:lastRenderedPageBreak/>
        <w:t xml:space="preserve">Business Confidence Indicator from OECD – Business Tendency Surveys for Manufacturing </w:t>
      </w:r>
      <w:r w:rsidR="00F75098" w:rsidRPr="00267E6C">
        <w:rPr>
          <w:b w:val="0"/>
          <w:bCs w:val="0"/>
          <w:sz w:val="24"/>
          <w:szCs w:val="24"/>
          <w:lang w:val="en-GB"/>
        </w:rPr>
        <w:t>(</w:t>
      </w:r>
      <m:oMath>
        <m:sSub>
          <m:sSubPr>
            <m:ctrlPr>
              <w:rPr>
                <w:rFonts w:ascii="Cambria Math" w:hAnsi="Cambria Math"/>
                <w:b w:val="0"/>
                <w:bCs w:val="0"/>
                <w:i/>
                <w:sz w:val="20"/>
                <w:szCs w:val="20"/>
              </w:rPr>
            </m:ctrlPr>
          </m:sSubPr>
          <m:e>
            <m:r>
              <w:rPr>
                <w:rFonts w:ascii="Cambria Math" w:hAnsi="Cambria Math"/>
                <w:sz w:val="20"/>
                <w:szCs w:val="20"/>
              </w:rPr>
              <m:t>BCI</m:t>
            </m:r>
          </m:e>
          <m:sub>
            <m:r>
              <w:rPr>
                <w:rFonts w:ascii="Cambria Math" w:hAnsi="Cambria Math"/>
                <w:sz w:val="20"/>
                <w:szCs w:val="20"/>
              </w:rPr>
              <m:t>t</m:t>
            </m:r>
          </m:sub>
        </m:sSub>
      </m:oMath>
      <w:r w:rsidR="00F75098" w:rsidRPr="00267E6C">
        <w:rPr>
          <w:b w:val="0"/>
          <w:bCs w:val="0"/>
          <w:sz w:val="24"/>
          <w:szCs w:val="24"/>
          <w:lang w:val="en-GB"/>
        </w:rPr>
        <w:t>)</w:t>
      </w:r>
    </w:p>
    <w:p w14:paraId="494EE3D7" w14:textId="77777777" w:rsidR="000F5894" w:rsidRDefault="000F5894" w:rsidP="000F5894">
      <w:pPr>
        <w:pStyle w:val="Heading1"/>
        <w:ind w:left="0"/>
        <w:jc w:val="center"/>
        <w:rPr>
          <w:b w:val="0"/>
          <w:bCs w:val="0"/>
          <w:sz w:val="24"/>
          <w:szCs w:val="24"/>
          <w:lang w:val="en-GB"/>
        </w:rPr>
      </w:pPr>
    </w:p>
    <w:tbl>
      <w:tblPr>
        <w:tblW w:w="9376" w:type="dxa"/>
        <w:tblInd w:w="-572" w:type="dxa"/>
        <w:tblLook w:val="04A0" w:firstRow="1" w:lastRow="0" w:firstColumn="1" w:lastColumn="0" w:noHBand="0" w:noVBand="1"/>
      </w:tblPr>
      <w:tblGrid>
        <w:gridCol w:w="1483"/>
        <w:gridCol w:w="1114"/>
        <w:gridCol w:w="1070"/>
        <w:gridCol w:w="1093"/>
        <w:gridCol w:w="1093"/>
        <w:gridCol w:w="1070"/>
        <w:gridCol w:w="1230"/>
        <w:gridCol w:w="1223"/>
      </w:tblGrid>
      <w:tr w:rsidR="000F5894" w:rsidRPr="00600D62" w14:paraId="21CC87A5" w14:textId="77777777" w:rsidTr="00096287">
        <w:trPr>
          <w:trHeight w:val="262"/>
        </w:trPr>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9B51F8" w14:textId="77777777" w:rsidR="000F5894" w:rsidRPr="00600D62" w:rsidRDefault="000F5894" w:rsidP="00096287">
            <w:pPr>
              <w:widowControl/>
              <w:autoSpaceDE/>
              <w:autoSpaceDN/>
              <w:rPr>
                <w:rFonts w:ascii="Calibri" w:eastAsia="Times New Roman" w:hAnsi="Calibri" w:cs="Calibri"/>
                <w:color w:val="000000"/>
                <w:lang w:val="en-GB" w:eastAsia="en-GB"/>
              </w:rPr>
            </w:pPr>
          </w:p>
        </w:tc>
        <w:tc>
          <w:tcPr>
            <w:tcW w:w="1114" w:type="dxa"/>
            <w:tcBorders>
              <w:top w:val="single" w:sz="4" w:space="0" w:color="auto"/>
              <w:left w:val="nil"/>
              <w:bottom w:val="single" w:sz="4" w:space="0" w:color="auto"/>
              <w:right w:val="single" w:sz="4" w:space="0" w:color="auto"/>
            </w:tcBorders>
            <w:shd w:val="clear" w:color="auto" w:fill="auto"/>
            <w:noWrap/>
            <w:vAlign w:val="bottom"/>
            <w:hideMark/>
          </w:tcPr>
          <w:p w14:paraId="09A47DC0" w14:textId="77777777" w:rsidR="000F5894" w:rsidRPr="00600D62" w:rsidRDefault="000F5894" w:rsidP="00096287">
            <w:pPr>
              <w:widowControl/>
              <w:autoSpaceDE/>
              <w:autoSpaceDN/>
              <w:rPr>
                <w:rFonts w:ascii="Calibri" w:eastAsia="Times New Roman" w:hAnsi="Calibri" w:cs="Calibri"/>
                <w:color w:val="000000"/>
                <w:lang w:val="en-GB" w:eastAsia="en-GB"/>
              </w:rPr>
            </w:pPr>
            <w:r>
              <w:rPr>
                <w:rFonts w:ascii="Calibri" w:eastAsia="Times New Roman" w:hAnsi="Calibri" w:cs="Calibri"/>
                <w:color w:val="000000"/>
                <w:lang w:val="en-GB" w:eastAsia="en-GB"/>
              </w:rPr>
              <w:t>Canada</w:t>
            </w:r>
          </w:p>
        </w:tc>
        <w:tc>
          <w:tcPr>
            <w:tcW w:w="1070" w:type="dxa"/>
            <w:tcBorders>
              <w:top w:val="single" w:sz="4" w:space="0" w:color="auto"/>
              <w:left w:val="nil"/>
              <w:bottom w:val="single" w:sz="4" w:space="0" w:color="auto"/>
              <w:right w:val="single" w:sz="4" w:space="0" w:color="auto"/>
            </w:tcBorders>
            <w:shd w:val="clear" w:color="auto" w:fill="auto"/>
            <w:noWrap/>
            <w:vAlign w:val="bottom"/>
            <w:hideMark/>
          </w:tcPr>
          <w:p w14:paraId="0678DC63" w14:textId="77777777" w:rsidR="000F5894" w:rsidRPr="00600D62" w:rsidRDefault="000F5894" w:rsidP="00096287">
            <w:pPr>
              <w:widowControl/>
              <w:autoSpaceDE/>
              <w:autoSpaceDN/>
              <w:rPr>
                <w:rFonts w:ascii="Calibri" w:eastAsia="Times New Roman" w:hAnsi="Calibri" w:cs="Calibri"/>
                <w:color w:val="000000"/>
                <w:lang w:val="en-GB" w:eastAsia="en-GB"/>
              </w:rPr>
            </w:pPr>
            <w:r>
              <w:rPr>
                <w:rFonts w:ascii="Calibri" w:eastAsia="Times New Roman" w:hAnsi="Calibri" w:cs="Calibri"/>
                <w:color w:val="000000"/>
                <w:lang w:val="en-GB" w:eastAsia="en-GB"/>
              </w:rPr>
              <w:t>France</w:t>
            </w:r>
          </w:p>
        </w:tc>
        <w:tc>
          <w:tcPr>
            <w:tcW w:w="1093" w:type="dxa"/>
            <w:tcBorders>
              <w:top w:val="single" w:sz="4" w:space="0" w:color="auto"/>
              <w:left w:val="nil"/>
              <w:bottom w:val="single" w:sz="4" w:space="0" w:color="auto"/>
              <w:right w:val="single" w:sz="4" w:space="0" w:color="auto"/>
            </w:tcBorders>
            <w:shd w:val="clear" w:color="auto" w:fill="auto"/>
            <w:noWrap/>
            <w:vAlign w:val="bottom"/>
            <w:hideMark/>
          </w:tcPr>
          <w:p w14:paraId="65AB66D4"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G</w:t>
            </w:r>
            <w:r>
              <w:rPr>
                <w:rFonts w:ascii="Calibri" w:eastAsia="Times New Roman" w:hAnsi="Calibri" w:cs="Calibri"/>
                <w:color w:val="000000"/>
                <w:lang w:val="en-GB" w:eastAsia="en-GB"/>
              </w:rPr>
              <w:t>ermany</w:t>
            </w:r>
          </w:p>
        </w:tc>
        <w:tc>
          <w:tcPr>
            <w:tcW w:w="1093" w:type="dxa"/>
            <w:tcBorders>
              <w:top w:val="single" w:sz="4" w:space="0" w:color="auto"/>
              <w:left w:val="nil"/>
              <w:bottom w:val="single" w:sz="4" w:space="0" w:color="auto"/>
              <w:right w:val="single" w:sz="4" w:space="0" w:color="auto"/>
            </w:tcBorders>
            <w:shd w:val="clear" w:color="auto" w:fill="auto"/>
            <w:noWrap/>
            <w:vAlign w:val="bottom"/>
            <w:hideMark/>
          </w:tcPr>
          <w:p w14:paraId="7B94BAF0"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I</w:t>
            </w:r>
            <w:r>
              <w:rPr>
                <w:rFonts w:ascii="Calibri" w:eastAsia="Times New Roman" w:hAnsi="Calibri" w:cs="Calibri"/>
                <w:color w:val="000000"/>
                <w:lang w:val="en-GB" w:eastAsia="en-GB"/>
              </w:rPr>
              <w:t>taly</w:t>
            </w:r>
          </w:p>
        </w:tc>
        <w:tc>
          <w:tcPr>
            <w:tcW w:w="1070" w:type="dxa"/>
            <w:tcBorders>
              <w:top w:val="single" w:sz="4" w:space="0" w:color="auto"/>
              <w:left w:val="nil"/>
              <w:bottom w:val="single" w:sz="4" w:space="0" w:color="auto"/>
              <w:right w:val="single" w:sz="4" w:space="0" w:color="auto"/>
            </w:tcBorders>
            <w:shd w:val="clear" w:color="auto" w:fill="auto"/>
            <w:noWrap/>
            <w:vAlign w:val="bottom"/>
            <w:hideMark/>
          </w:tcPr>
          <w:p w14:paraId="13D486EC"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J</w:t>
            </w:r>
            <w:r>
              <w:rPr>
                <w:rFonts w:ascii="Calibri" w:eastAsia="Times New Roman" w:hAnsi="Calibri" w:cs="Calibri"/>
                <w:color w:val="000000"/>
                <w:lang w:val="en-GB" w:eastAsia="en-GB"/>
              </w:rPr>
              <w:t>apan</w:t>
            </w:r>
          </w:p>
        </w:tc>
        <w:tc>
          <w:tcPr>
            <w:tcW w:w="1230" w:type="dxa"/>
            <w:tcBorders>
              <w:top w:val="single" w:sz="4" w:space="0" w:color="auto"/>
              <w:left w:val="nil"/>
              <w:bottom w:val="single" w:sz="4" w:space="0" w:color="auto"/>
              <w:right w:val="single" w:sz="4" w:space="0" w:color="auto"/>
            </w:tcBorders>
            <w:shd w:val="clear" w:color="auto" w:fill="auto"/>
            <w:noWrap/>
            <w:vAlign w:val="bottom"/>
            <w:hideMark/>
          </w:tcPr>
          <w:p w14:paraId="5B48B76B"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UK</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0FB159BE"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USA</w:t>
            </w:r>
          </w:p>
        </w:tc>
      </w:tr>
      <w:tr w:rsidR="000F5894" w:rsidRPr="00600D62" w14:paraId="48C50F29" w14:textId="77777777" w:rsidTr="00096287">
        <w:trPr>
          <w:trHeight w:val="262"/>
        </w:trPr>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7C9291" w14:textId="77777777" w:rsidR="000F5894" w:rsidRDefault="000F5894" w:rsidP="00096287">
            <w:pPr>
              <w:widowControl/>
              <w:autoSpaceDE/>
              <w:autoSpaceDN/>
              <w:rPr>
                <w:sz w:val="24"/>
                <w:szCs w:val="24"/>
                <w:lang w:val="en-GB"/>
              </w:rPr>
            </w:pPr>
          </w:p>
        </w:tc>
        <w:tc>
          <w:tcPr>
            <w:tcW w:w="1114" w:type="dxa"/>
            <w:tcBorders>
              <w:top w:val="single" w:sz="4" w:space="0" w:color="auto"/>
              <w:left w:val="nil"/>
              <w:bottom w:val="single" w:sz="4" w:space="0" w:color="auto"/>
              <w:right w:val="single" w:sz="4" w:space="0" w:color="auto"/>
            </w:tcBorders>
            <w:shd w:val="clear" w:color="auto" w:fill="auto"/>
            <w:noWrap/>
            <w:vAlign w:val="bottom"/>
          </w:tcPr>
          <w:p w14:paraId="4C0FA568" w14:textId="77777777" w:rsidR="000F5894" w:rsidRPr="00600D62" w:rsidRDefault="000F5894" w:rsidP="00096287">
            <w:pPr>
              <w:widowControl/>
              <w:autoSpaceDE/>
              <w:autoSpaceDN/>
              <w:rPr>
                <w:rFonts w:ascii="Calibri" w:eastAsia="Times New Roman" w:hAnsi="Calibri" w:cs="Calibri"/>
                <w:color w:val="000000"/>
                <w:lang w:val="en-GB" w:eastAsia="en-GB"/>
              </w:rPr>
            </w:pPr>
          </w:p>
        </w:tc>
        <w:tc>
          <w:tcPr>
            <w:tcW w:w="1070" w:type="dxa"/>
            <w:tcBorders>
              <w:top w:val="single" w:sz="4" w:space="0" w:color="auto"/>
              <w:left w:val="nil"/>
              <w:bottom w:val="single" w:sz="4" w:space="0" w:color="auto"/>
              <w:right w:val="single" w:sz="4" w:space="0" w:color="auto"/>
            </w:tcBorders>
            <w:shd w:val="clear" w:color="auto" w:fill="auto"/>
            <w:noWrap/>
            <w:vAlign w:val="bottom"/>
          </w:tcPr>
          <w:p w14:paraId="0F4973BB" w14:textId="77777777" w:rsidR="000F5894" w:rsidRPr="00600D62" w:rsidRDefault="000F5894" w:rsidP="00096287">
            <w:pPr>
              <w:widowControl/>
              <w:autoSpaceDE/>
              <w:autoSpaceDN/>
              <w:rPr>
                <w:rFonts w:ascii="Calibri" w:eastAsia="Times New Roman" w:hAnsi="Calibri" w:cs="Calibri"/>
                <w:color w:val="000000"/>
                <w:lang w:val="en-GB" w:eastAsia="en-GB"/>
              </w:rPr>
            </w:pPr>
          </w:p>
        </w:tc>
        <w:tc>
          <w:tcPr>
            <w:tcW w:w="1093" w:type="dxa"/>
            <w:tcBorders>
              <w:top w:val="single" w:sz="4" w:space="0" w:color="auto"/>
              <w:left w:val="nil"/>
              <w:bottom w:val="single" w:sz="4" w:space="0" w:color="auto"/>
              <w:right w:val="single" w:sz="4" w:space="0" w:color="auto"/>
            </w:tcBorders>
            <w:shd w:val="clear" w:color="auto" w:fill="auto"/>
            <w:noWrap/>
            <w:vAlign w:val="bottom"/>
          </w:tcPr>
          <w:p w14:paraId="0FE98475" w14:textId="77777777" w:rsidR="000F5894" w:rsidRPr="00600D62" w:rsidRDefault="000F5894" w:rsidP="00096287">
            <w:pPr>
              <w:widowControl/>
              <w:autoSpaceDE/>
              <w:autoSpaceDN/>
              <w:rPr>
                <w:rFonts w:ascii="Calibri" w:eastAsia="Times New Roman" w:hAnsi="Calibri" w:cs="Calibri"/>
                <w:color w:val="000000"/>
                <w:lang w:val="en-GB" w:eastAsia="en-GB"/>
              </w:rPr>
            </w:pPr>
          </w:p>
        </w:tc>
        <w:tc>
          <w:tcPr>
            <w:tcW w:w="1093" w:type="dxa"/>
            <w:tcBorders>
              <w:top w:val="single" w:sz="4" w:space="0" w:color="auto"/>
              <w:left w:val="nil"/>
              <w:bottom w:val="single" w:sz="4" w:space="0" w:color="auto"/>
              <w:right w:val="single" w:sz="4" w:space="0" w:color="auto"/>
            </w:tcBorders>
            <w:shd w:val="clear" w:color="auto" w:fill="auto"/>
            <w:noWrap/>
            <w:vAlign w:val="bottom"/>
          </w:tcPr>
          <w:p w14:paraId="0C8B46D6" w14:textId="77777777" w:rsidR="000F5894" w:rsidRPr="00600D62" w:rsidRDefault="000F5894" w:rsidP="00096287">
            <w:pPr>
              <w:widowControl/>
              <w:autoSpaceDE/>
              <w:autoSpaceDN/>
              <w:rPr>
                <w:rFonts w:ascii="Calibri" w:eastAsia="Times New Roman" w:hAnsi="Calibri" w:cs="Calibri"/>
                <w:color w:val="000000"/>
                <w:lang w:val="en-GB" w:eastAsia="en-GB"/>
              </w:rPr>
            </w:pPr>
          </w:p>
        </w:tc>
        <w:tc>
          <w:tcPr>
            <w:tcW w:w="1070" w:type="dxa"/>
            <w:tcBorders>
              <w:top w:val="single" w:sz="4" w:space="0" w:color="auto"/>
              <w:left w:val="nil"/>
              <w:bottom w:val="single" w:sz="4" w:space="0" w:color="auto"/>
              <w:right w:val="single" w:sz="4" w:space="0" w:color="auto"/>
            </w:tcBorders>
            <w:shd w:val="clear" w:color="auto" w:fill="auto"/>
            <w:noWrap/>
            <w:vAlign w:val="bottom"/>
          </w:tcPr>
          <w:p w14:paraId="56293A69" w14:textId="77777777" w:rsidR="000F5894" w:rsidRPr="00600D62" w:rsidRDefault="000F5894" w:rsidP="00096287">
            <w:pPr>
              <w:widowControl/>
              <w:autoSpaceDE/>
              <w:autoSpaceDN/>
              <w:rPr>
                <w:rFonts w:ascii="Calibri" w:eastAsia="Times New Roman" w:hAnsi="Calibri" w:cs="Calibri"/>
                <w:color w:val="000000"/>
                <w:lang w:val="en-GB" w:eastAsia="en-GB"/>
              </w:rPr>
            </w:pPr>
          </w:p>
        </w:tc>
        <w:tc>
          <w:tcPr>
            <w:tcW w:w="1230" w:type="dxa"/>
            <w:tcBorders>
              <w:top w:val="single" w:sz="4" w:space="0" w:color="auto"/>
              <w:left w:val="nil"/>
              <w:bottom w:val="single" w:sz="4" w:space="0" w:color="auto"/>
              <w:right w:val="single" w:sz="4" w:space="0" w:color="auto"/>
            </w:tcBorders>
            <w:shd w:val="clear" w:color="auto" w:fill="auto"/>
            <w:noWrap/>
            <w:vAlign w:val="bottom"/>
          </w:tcPr>
          <w:p w14:paraId="06B2B09B" w14:textId="77777777" w:rsidR="000F5894" w:rsidRPr="00600D62" w:rsidRDefault="000F5894" w:rsidP="00096287">
            <w:pPr>
              <w:widowControl/>
              <w:autoSpaceDE/>
              <w:autoSpaceDN/>
              <w:rPr>
                <w:rFonts w:ascii="Calibri" w:eastAsia="Times New Roman" w:hAnsi="Calibri" w:cs="Calibri"/>
                <w:color w:val="000000"/>
                <w:lang w:val="en-GB" w:eastAsia="en-GB"/>
              </w:rPr>
            </w:pPr>
          </w:p>
        </w:tc>
        <w:tc>
          <w:tcPr>
            <w:tcW w:w="1223" w:type="dxa"/>
            <w:tcBorders>
              <w:top w:val="single" w:sz="4" w:space="0" w:color="auto"/>
              <w:left w:val="nil"/>
              <w:bottom w:val="single" w:sz="4" w:space="0" w:color="auto"/>
              <w:right w:val="single" w:sz="4" w:space="0" w:color="auto"/>
            </w:tcBorders>
            <w:shd w:val="clear" w:color="auto" w:fill="auto"/>
            <w:noWrap/>
            <w:vAlign w:val="bottom"/>
          </w:tcPr>
          <w:p w14:paraId="102DD159" w14:textId="77777777" w:rsidR="000F5894" w:rsidRPr="00600D62" w:rsidRDefault="000F5894" w:rsidP="00096287">
            <w:pPr>
              <w:widowControl/>
              <w:autoSpaceDE/>
              <w:autoSpaceDN/>
              <w:rPr>
                <w:rFonts w:ascii="Calibri" w:eastAsia="Times New Roman" w:hAnsi="Calibri" w:cs="Calibri"/>
                <w:color w:val="000000"/>
                <w:lang w:val="en-GB" w:eastAsia="en-GB"/>
              </w:rPr>
            </w:pPr>
          </w:p>
        </w:tc>
      </w:tr>
      <w:tr w:rsidR="000F5894" w:rsidRPr="00600D62" w14:paraId="7C055641"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4AE36AD7"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Mean</w:t>
            </w:r>
          </w:p>
        </w:tc>
        <w:tc>
          <w:tcPr>
            <w:tcW w:w="1114" w:type="dxa"/>
            <w:tcBorders>
              <w:top w:val="nil"/>
              <w:left w:val="nil"/>
              <w:bottom w:val="single" w:sz="4" w:space="0" w:color="auto"/>
              <w:right w:val="single" w:sz="4" w:space="0" w:color="auto"/>
            </w:tcBorders>
            <w:shd w:val="clear" w:color="auto" w:fill="auto"/>
            <w:noWrap/>
            <w:vAlign w:val="bottom"/>
            <w:hideMark/>
          </w:tcPr>
          <w:p w14:paraId="118696DF" w14:textId="55AB65E1"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99.998</w:t>
            </w:r>
          </w:p>
        </w:tc>
        <w:tc>
          <w:tcPr>
            <w:tcW w:w="1070" w:type="dxa"/>
            <w:tcBorders>
              <w:top w:val="nil"/>
              <w:left w:val="nil"/>
              <w:bottom w:val="single" w:sz="4" w:space="0" w:color="auto"/>
              <w:right w:val="single" w:sz="4" w:space="0" w:color="auto"/>
            </w:tcBorders>
            <w:shd w:val="clear" w:color="auto" w:fill="auto"/>
            <w:noWrap/>
            <w:vAlign w:val="bottom"/>
            <w:hideMark/>
          </w:tcPr>
          <w:p w14:paraId="7356978A" w14:textId="6916C3E8"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100.377</w:t>
            </w:r>
          </w:p>
        </w:tc>
        <w:tc>
          <w:tcPr>
            <w:tcW w:w="1093" w:type="dxa"/>
            <w:tcBorders>
              <w:top w:val="nil"/>
              <w:left w:val="nil"/>
              <w:bottom w:val="single" w:sz="4" w:space="0" w:color="auto"/>
              <w:right w:val="single" w:sz="4" w:space="0" w:color="auto"/>
            </w:tcBorders>
            <w:shd w:val="clear" w:color="auto" w:fill="auto"/>
            <w:noWrap/>
            <w:vAlign w:val="bottom"/>
            <w:hideMark/>
          </w:tcPr>
          <w:p w14:paraId="5C00819E" w14:textId="358B3012"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100.471</w:t>
            </w:r>
          </w:p>
        </w:tc>
        <w:tc>
          <w:tcPr>
            <w:tcW w:w="1093" w:type="dxa"/>
            <w:tcBorders>
              <w:top w:val="nil"/>
              <w:left w:val="nil"/>
              <w:bottom w:val="single" w:sz="4" w:space="0" w:color="auto"/>
              <w:right w:val="single" w:sz="4" w:space="0" w:color="auto"/>
            </w:tcBorders>
            <w:shd w:val="clear" w:color="auto" w:fill="auto"/>
            <w:noWrap/>
            <w:vAlign w:val="bottom"/>
            <w:hideMark/>
          </w:tcPr>
          <w:p w14:paraId="1A79673D" w14:textId="7AFFD349"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100.459</w:t>
            </w:r>
          </w:p>
        </w:tc>
        <w:tc>
          <w:tcPr>
            <w:tcW w:w="1070" w:type="dxa"/>
            <w:tcBorders>
              <w:top w:val="nil"/>
              <w:left w:val="nil"/>
              <w:bottom w:val="single" w:sz="4" w:space="0" w:color="auto"/>
              <w:right w:val="single" w:sz="4" w:space="0" w:color="auto"/>
            </w:tcBorders>
            <w:shd w:val="clear" w:color="auto" w:fill="auto"/>
            <w:noWrap/>
            <w:vAlign w:val="bottom"/>
            <w:hideMark/>
          </w:tcPr>
          <w:p w14:paraId="3E7A44A9" w14:textId="482F52BF"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100.141</w:t>
            </w:r>
          </w:p>
        </w:tc>
        <w:tc>
          <w:tcPr>
            <w:tcW w:w="1230" w:type="dxa"/>
            <w:tcBorders>
              <w:top w:val="nil"/>
              <w:left w:val="nil"/>
              <w:bottom w:val="single" w:sz="4" w:space="0" w:color="auto"/>
              <w:right w:val="single" w:sz="4" w:space="0" w:color="auto"/>
            </w:tcBorders>
            <w:shd w:val="clear" w:color="auto" w:fill="auto"/>
            <w:noWrap/>
            <w:vAlign w:val="bottom"/>
            <w:hideMark/>
          </w:tcPr>
          <w:p w14:paraId="73A8D564" w14:textId="1882D084"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100.324</w:t>
            </w:r>
          </w:p>
        </w:tc>
        <w:tc>
          <w:tcPr>
            <w:tcW w:w="1223" w:type="dxa"/>
            <w:tcBorders>
              <w:top w:val="nil"/>
              <w:left w:val="nil"/>
              <w:bottom w:val="single" w:sz="4" w:space="0" w:color="auto"/>
              <w:right w:val="single" w:sz="4" w:space="0" w:color="auto"/>
            </w:tcBorders>
            <w:shd w:val="clear" w:color="auto" w:fill="auto"/>
            <w:noWrap/>
            <w:vAlign w:val="bottom"/>
            <w:hideMark/>
          </w:tcPr>
          <w:p w14:paraId="2F0F60E7" w14:textId="4D4C18D5"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99.989</w:t>
            </w:r>
          </w:p>
        </w:tc>
      </w:tr>
      <w:tr w:rsidR="000F5894" w:rsidRPr="00600D62" w14:paraId="75B37EE4"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73CB01BB"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Median</w:t>
            </w:r>
          </w:p>
        </w:tc>
        <w:tc>
          <w:tcPr>
            <w:tcW w:w="1114" w:type="dxa"/>
            <w:tcBorders>
              <w:top w:val="nil"/>
              <w:left w:val="nil"/>
              <w:bottom w:val="single" w:sz="4" w:space="0" w:color="auto"/>
              <w:right w:val="single" w:sz="4" w:space="0" w:color="auto"/>
            </w:tcBorders>
            <w:shd w:val="clear" w:color="auto" w:fill="auto"/>
            <w:noWrap/>
            <w:vAlign w:val="bottom"/>
            <w:hideMark/>
          </w:tcPr>
          <w:p w14:paraId="4E0E6888" w14:textId="65625C07"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100.209</w:t>
            </w:r>
          </w:p>
        </w:tc>
        <w:tc>
          <w:tcPr>
            <w:tcW w:w="1070" w:type="dxa"/>
            <w:tcBorders>
              <w:top w:val="nil"/>
              <w:left w:val="nil"/>
              <w:bottom w:val="single" w:sz="4" w:space="0" w:color="auto"/>
              <w:right w:val="single" w:sz="4" w:space="0" w:color="auto"/>
            </w:tcBorders>
            <w:shd w:val="clear" w:color="auto" w:fill="auto"/>
            <w:noWrap/>
            <w:vAlign w:val="bottom"/>
            <w:hideMark/>
          </w:tcPr>
          <w:p w14:paraId="19CCFE27" w14:textId="6EC03741"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100.309</w:t>
            </w:r>
          </w:p>
        </w:tc>
        <w:tc>
          <w:tcPr>
            <w:tcW w:w="1093" w:type="dxa"/>
            <w:tcBorders>
              <w:top w:val="nil"/>
              <w:left w:val="nil"/>
              <w:bottom w:val="single" w:sz="4" w:space="0" w:color="auto"/>
              <w:right w:val="single" w:sz="4" w:space="0" w:color="auto"/>
            </w:tcBorders>
            <w:shd w:val="clear" w:color="auto" w:fill="auto"/>
            <w:noWrap/>
            <w:vAlign w:val="bottom"/>
            <w:hideMark/>
          </w:tcPr>
          <w:p w14:paraId="683EE25A" w14:textId="7C7D54A2"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100.570</w:t>
            </w:r>
          </w:p>
        </w:tc>
        <w:tc>
          <w:tcPr>
            <w:tcW w:w="1093" w:type="dxa"/>
            <w:tcBorders>
              <w:top w:val="nil"/>
              <w:left w:val="nil"/>
              <w:bottom w:val="single" w:sz="4" w:space="0" w:color="auto"/>
              <w:right w:val="single" w:sz="4" w:space="0" w:color="auto"/>
            </w:tcBorders>
            <w:shd w:val="clear" w:color="auto" w:fill="auto"/>
            <w:noWrap/>
            <w:vAlign w:val="bottom"/>
            <w:hideMark/>
          </w:tcPr>
          <w:p w14:paraId="4F7E7BC6" w14:textId="7666435D"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100.605</w:t>
            </w:r>
          </w:p>
        </w:tc>
        <w:tc>
          <w:tcPr>
            <w:tcW w:w="1070" w:type="dxa"/>
            <w:tcBorders>
              <w:top w:val="nil"/>
              <w:left w:val="nil"/>
              <w:bottom w:val="single" w:sz="4" w:space="0" w:color="auto"/>
              <w:right w:val="single" w:sz="4" w:space="0" w:color="auto"/>
            </w:tcBorders>
            <w:shd w:val="clear" w:color="auto" w:fill="auto"/>
            <w:noWrap/>
            <w:vAlign w:val="bottom"/>
            <w:hideMark/>
          </w:tcPr>
          <w:p w14:paraId="425F360B" w14:textId="35D9DFE5"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100.511</w:t>
            </w:r>
          </w:p>
        </w:tc>
        <w:tc>
          <w:tcPr>
            <w:tcW w:w="1230" w:type="dxa"/>
            <w:tcBorders>
              <w:top w:val="nil"/>
              <w:left w:val="nil"/>
              <w:bottom w:val="single" w:sz="4" w:space="0" w:color="auto"/>
              <w:right w:val="single" w:sz="4" w:space="0" w:color="auto"/>
            </w:tcBorders>
            <w:shd w:val="clear" w:color="auto" w:fill="auto"/>
            <w:noWrap/>
            <w:vAlign w:val="bottom"/>
            <w:hideMark/>
          </w:tcPr>
          <w:p w14:paraId="59A9190A" w14:textId="76FA8A39"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100.432</w:t>
            </w:r>
          </w:p>
        </w:tc>
        <w:tc>
          <w:tcPr>
            <w:tcW w:w="1223" w:type="dxa"/>
            <w:tcBorders>
              <w:top w:val="nil"/>
              <w:left w:val="nil"/>
              <w:bottom w:val="single" w:sz="4" w:space="0" w:color="auto"/>
              <w:right w:val="single" w:sz="4" w:space="0" w:color="auto"/>
            </w:tcBorders>
            <w:shd w:val="clear" w:color="auto" w:fill="auto"/>
            <w:noWrap/>
            <w:vAlign w:val="bottom"/>
            <w:hideMark/>
          </w:tcPr>
          <w:p w14:paraId="473274B1" w14:textId="7B618010"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100.012</w:t>
            </w:r>
          </w:p>
        </w:tc>
      </w:tr>
      <w:tr w:rsidR="000F5894" w:rsidRPr="00600D62" w14:paraId="56B5D028"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0217F3CF"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Maximum</w:t>
            </w:r>
          </w:p>
        </w:tc>
        <w:tc>
          <w:tcPr>
            <w:tcW w:w="1114" w:type="dxa"/>
            <w:tcBorders>
              <w:top w:val="nil"/>
              <w:left w:val="nil"/>
              <w:bottom w:val="single" w:sz="4" w:space="0" w:color="auto"/>
              <w:right w:val="single" w:sz="4" w:space="0" w:color="auto"/>
            </w:tcBorders>
            <w:shd w:val="clear" w:color="auto" w:fill="auto"/>
            <w:noWrap/>
            <w:vAlign w:val="bottom"/>
            <w:hideMark/>
          </w:tcPr>
          <w:p w14:paraId="6BF0ECCA" w14:textId="57F3546A"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104.015</w:t>
            </w:r>
          </w:p>
        </w:tc>
        <w:tc>
          <w:tcPr>
            <w:tcW w:w="1070" w:type="dxa"/>
            <w:tcBorders>
              <w:top w:val="nil"/>
              <w:left w:val="nil"/>
              <w:bottom w:val="single" w:sz="4" w:space="0" w:color="auto"/>
              <w:right w:val="single" w:sz="4" w:space="0" w:color="auto"/>
            </w:tcBorders>
            <w:shd w:val="clear" w:color="auto" w:fill="auto"/>
            <w:noWrap/>
            <w:vAlign w:val="bottom"/>
            <w:hideMark/>
          </w:tcPr>
          <w:p w14:paraId="14B9021D" w14:textId="4E7EED2D"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103.885</w:t>
            </w:r>
          </w:p>
        </w:tc>
        <w:tc>
          <w:tcPr>
            <w:tcW w:w="1093" w:type="dxa"/>
            <w:tcBorders>
              <w:top w:val="nil"/>
              <w:left w:val="nil"/>
              <w:bottom w:val="single" w:sz="4" w:space="0" w:color="auto"/>
              <w:right w:val="single" w:sz="4" w:space="0" w:color="auto"/>
            </w:tcBorders>
            <w:shd w:val="clear" w:color="auto" w:fill="auto"/>
            <w:noWrap/>
            <w:vAlign w:val="bottom"/>
            <w:hideMark/>
          </w:tcPr>
          <w:p w14:paraId="1892DF57" w14:textId="2CF0C6A9"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103.466</w:t>
            </w:r>
          </w:p>
        </w:tc>
        <w:tc>
          <w:tcPr>
            <w:tcW w:w="1093" w:type="dxa"/>
            <w:tcBorders>
              <w:top w:val="nil"/>
              <w:left w:val="nil"/>
              <w:bottom w:val="single" w:sz="4" w:space="0" w:color="auto"/>
              <w:right w:val="single" w:sz="4" w:space="0" w:color="auto"/>
            </w:tcBorders>
            <w:shd w:val="clear" w:color="auto" w:fill="auto"/>
            <w:noWrap/>
            <w:vAlign w:val="bottom"/>
            <w:hideMark/>
          </w:tcPr>
          <w:p w14:paraId="558EC70C" w14:textId="61A917E7"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102.639</w:t>
            </w:r>
          </w:p>
        </w:tc>
        <w:tc>
          <w:tcPr>
            <w:tcW w:w="1070" w:type="dxa"/>
            <w:tcBorders>
              <w:top w:val="nil"/>
              <w:left w:val="nil"/>
              <w:bottom w:val="single" w:sz="4" w:space="0" w:color="auto"/>
              <w:right w:val="single" w:sz="4" w:space="0" w:color="auto"/>
            </w:tcBorders>
            <w:shd w:val="clear" w:color="auto" w:fill="auto"/>
            <w:noWrap/>
            <w:vAlign w:val="bottom"/>
            <w:hideMark/>
          </w:tcPr>
          <w:p w14:paraId="61770B46" w14:textId="3BDE41F7"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101.692</w:t>
            </w:r>
          </w:p>
        </w:tc>
        <w:tc>
          <w:tcPr>
            <w:tcW w:w="1230" w:type="dxa"/>
            <w:tcBorders>
              <w:top w:val="nil"/>
              <w:left w:val="nil"/>
              <w:bottom w:val="single" w:sz="4" w:space="0" w:color="auto"/>
              <w:right w:val="single" w:sz="4" w:space="0" w:color="auto"/>
            </w:tcBorders>
            <w:shd w:val="clear" w:color="auto" w:fill="auto"/>
            <w:noWrap/>
            <w:vAlign w:val="bottom"/>
            <w:hideMark/>
          </w:tcPr>
          <w:p w14:paraId="2EF85632" w14:textId="6CB63822"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105.503</w:t>
            </w:r>
          </w:p>
        </w:tc>
        <w:tc>
          <w:tcPr>
            <w:tcW w:w="1223" w:type="dxa"/>
            <w:tcBorders>
              <w:top w:val="nil"/>
              <w:left w:val="nil"/>
              <w:bottom w:val="single" w:sz="4" w:space="0" w:color="auto"/>
              <w:right w:val="single" w:sz="4" w:space="0" w:color="auto"/>
            </w:tcBorders>
            <w:shd w:val="clear" w:color="auto" w:fill="auto"/>
            <w:noWrap/>
            <w:vAlign w:val="bottom"/>
            <w:hideMark/>
          </w:tcPr>
          <w:p w14:paraId="080F86DF" w14:textId="667ADA19"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102.017</w:t>
            </w:r>
          </w:p>
        </w:tc>
      </w:tr>
      <w:tr w:rsidR="000F5894" w:rsidRPr="00600D62" w14:paraId="4F7E8901"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17FF82BF"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Minimum</w:t>
            </w:r>
          </w:p>
        </w:tc>
        <w:tc>
          <w:tcPr>
            <w:tcW w:w="1114" w:type="dxa"/>
            <w:tcBorders>
              <w:top w:val="nil"/>
              <w:left w:val="nil"/>
              <w:bottom w:val="single" w:sz="4" w:space="0" w:color="auto"/>
              <w:right w:val="single" w:sz="4" w:space="0" w:color="auto"/>
            </w:tcBorders>
            <w:shd w:val="clear" w:color="auto" w:fill="auto"/>
            <w:noWrap/>
            <w:vAlign w:val="bottom"/>
            <w:hideMark/>
          </w:tcPr>
          <w:p w14:paraId="4047A8A9" w14:textId="19EB13B2"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95.245</w:t>
            </w:r>
          </w:p>
        </w:tc>
        <w:tc>
          <w:tcPr>
            <w:tcW w:w="1070" w:type="dxa"/>
            <w:tcBorders>
              <w:top w:val="nil"/>
              <w:left w:val="nil"/>
              <w:bottom w:val="single" w:sz="4" w:space="0" w:color="auto"/>
              <w:right w:val="single" w:sz="4" w:space="0" w:color="auto"/>
            </w:tcBorders>
            <w:shd w:val="clear" w:color="auto" w:fill="auto"/>
            <w:noWrap/>
            <w:vAlign w:val="bottom"/>
            <w:hideMark/>
          </w:tcPr>
          <w:p w14:paraId="181E3BFB" w14:textId="53C55404"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94.877</w:t>
            </w:r>
          </w:p>
        </w:tc>
        <w:tc>
          <w:tcPr>
            <w:tcW w:w="1093" w:type="dxa"/>
            <w:tcBorders>
              <w:top w:val="nil"/>
              <w:left w:val="nil"/>
              <w:bottom w:val="single" w:sz="4" w:space="0" w:color="auto"/>
              <w:right w:val="single" w:sz="4" w:space="0" w:color="auto"/>
            </w:tcBorders>
            <w:shd w:val="clear" w:color="auto" w:fill="auto"/>
            <w:noWrap/>
            <w:vAlign w:val="bottom"/>
            <w:hideMark/>
          </w:tcPr>
          <w:p w14:paraId="5AEFC4D4" w14:textId="15D86438"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96.102</w:t>
            </w:r>
          </w:p>
        </w:tc>
        <w:tc>
          <w:tcPr>
            <w:tcW w:w="1093" w:type="dxa"/>
            <w:tcBorders>
              <w:top w:val="nil"/>
              <w:left w:val="nil"/>
              <w:bottom w:val="single" w:sz="4" w:space="0" w:color="auto"/>
              <w:right w:val="single" w:sz="4" w:space="0" w:color="auto"/>
            </w:tcBorders>
            <w:shd w:val="clear" w:color="auto" w:fill="auto"/>
            <w:noWrap/>
            <w:vAlign w:val="bottom"/>
            <w:hideMark/>
          </w:tcPr>
          <w:p w14:paraId="3B5EDF25" w14:textId="53500CC3"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96.440</w:t>
            </w:r>
          </w:p>
        </w:tc>
        <w:tc>
          <w:tcPr>
            <w:tcW w:w="1070" w:type="dxa"/>
            <w:tcBorders>
              <w:top w:val="nil"/>
              <w:left w:val="nil"/>
              <w:bottom w:val="single" w:sz="4" w:space="0" w:color="auto"/>
              <w:right w:val="single" w:sz="4" w:space="0" w:color="auto"/>
            </w:tcBorders>
            <w:shd w:val="clear" w:color="auto" w:fill="auto"/>
            <w:noWrap/>
            <w:vAlign w:val="bottom"/>
            <w:hideMark/>
          </w:tcPr>
          <w:p w14:paraId="41A35805" w14:textId="72426B1F"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96.837</w:t>
            </w:r>
          </w:p>
        </w:tc>
        <w:tc>
          <w:tcPr>
            <w:tcW w:w="1230" w:type="dxa"/>
            <w:tcBorders>
              <w:top w:val="nil"/>
              <w:left w:val="nil"/>
              <w:bottom w:val="single" w:sz="4" w:space="0" w:color="auto"/>
              <w:right w:val="single" w:sz="4" w:space="0" w:color="auto"/>
            </w:tcBorders>
            <w:shd w:val="clear" w:color="auto" w:fill="auto"/>
            <w:noWrap/>
            <w:vAlign w:val="bottom"/>
            <w:hideMark/>
          </w:tcPr>
          <w:p w14:paraId="32749FE5" w14:textId="43EF8452"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93.754</w:t>
            </w:r>
          </w:p>
        </w:tc>
        <w:tc>
          <w:tcPr>
            <w:tcW w:w="1223" w:type="dxa"/>
            <w:tcBorders>
              <w:top w:val="nil"/>
              <w:left w:val="nil"/>
              <w:bottom w:val="single" w:sz="4" w:space="0" w:color="auto"/>
              <w:right w:val="single" w:sz="4" w:space="0" w:color="auto"/>
            </w:tcBorders>
            <w:shd w:val="clear" w:color="auto" w:fill="auto"/>
            <w:noWrap/>
            <w:vAlign w:val="bottom"/>
            <w:hideMark/>
          </w:tcPr>
          <w:p w14:paraId="3F26D322" w14:textId="36894EAC"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96.055</w:t>
            </w:r>
          </w:p>
        </w:tc>
      </w:tr>
      <w:tr w:rsidR="000F5894" w:rsidRPr="00600D62" w14:paraId="4B4AB2EA"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445ADA68"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Std. Dev.</w:t>
            </w:r>
          </w:p>
        </w:tc>
        <w:tc>
          <w:tcPr>
            <w:tcW w:w="1114" w:type="dxa"/>
            <w:tcBorders>
              <w:top w:val="nil"/>
              <w:left w:val="nil"/>
              <w:bottom w:val="single" w:sz="4" w:space="0" w:color="auto"/>
              <w:right w:val="single" w:sz="4" w:space="0" w:color="auto"/>
            </w:tcBorders>
            <w:shd w:val="clear" w:color="auto" w:fill="auto"/>
            <w:noWrap/>
            <w:vAlign w:val="bottom"/>
            <w:hideMark/>
          </w:tcPr>
          <w:p w14:paraId="6C79A8F6" w14:textId="6AF58020"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1.793</w:t>
            </w:r>
          </w:p>
        </w:tc>
        <w:tc>
          <w:tcPr>
            <w:tcW w:w="1070" w:type="dxa"/>
            <w:tcBorders>
              <w:top w:val="nil"/>
              <w:left w:val="nil"/>
              <w:bottom w:val="single" w:sz="4" w:space="0" w:color="auto"/>
              <w:right w:val="single" w:sz="4" w:space="0" w:color="auto"/>
            </w:tcBorders>
            <w:shd w:val="clear" w:color="auto" w:fill="auto"/>
            <w:noWrap/>
            <w:vAlign w:val="bottom"/>
            <w:hideMark/>
          </w:tcPr>
          <w:p w14:paraId="1253D5C3" w14:textId="07FE3818"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1.529</w:t>
            </w:r>
          </w:p>
        </w:tc>
        <w:tc>
          <w:tcPr>
            <w:tcW w:w="1093" w:type="dxa"/>
            <w:tcBorders>
              <w:top w:val="nil"/>
              <w:left w:val="nil"/>
              <w:bottom w:val="single" w:sz="4" w:space="0" w:color="auto"/>
              <w:right w:val="single" w:sz="4" w:space="0" w:color="auto"/>
            </w:tcBorders>
            <w:shd w:val="clear" w:color="auto" w:fill="auto"/>
            <w:noWrap/>
            <w:vAlign w:val="bottom"/>
            <w:hideMark/>
          </w:tcPr>
          <w:p w14:paraId="353C5F00" w14:textId="08F9010A"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1.431</w:t>
            </w:r>
          </w:p>
        </w:tc>
        <w:tc>
          <w:tcPr>
            <w:tcW w:w="1093" w:type="dxa"/>
            <w:tcBorders>
              <w:top w:val="nil"/>
              <w:left w:val="nil"/>
              <w:bottom w:val="single" w:sz="4" w:space="0" w:color="auto"/>
              <w:right w:val="single" w:sz="4" w:space="0" w:color="auto"/>
            </w:tcBorders>
            <w:shd w:val="clear" w:color="auto" w:fill="auto"/>
            <w:noWrap/>
            <w:vAlign w:val="bottom"/>
            <w:hideMark/>
          </w:tcPr>
          <w:p w14:paraId="68154F93" w14:textId="33A2796D"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1.196</w:t>
            </w:r>
          </w:p>
        </w:tc>
        <w:tc>
          <w:tcPr>
            <w:tcW w:w="1070" w:type="dxa"/>
            <w:tcBorders>
              <w:top w:val="nil"/>
              <w:left w:val="nil"/>
              <w:bottom w:val="single" w:sz="4" w:space="0" w:color="auto"/>
              <w:right w:val="single" w:sz="4" w:space="0" w:color="auto"/>
            </w:tcBorders>
            <w:shd w:val="clear" w:color="auto" w:fill="auto"/>
            <w:noWrap/>
            <w:vAlign w:val="bottom"/>
            <w:hideMark/>
          </w:tcPr>
          <w:p w14:paraId="149AACAC" w14:textId="528193AC"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1.140</w:t>
            </w:r>
          </w:p>
        </w:tc>
        <w:tc>
          <w:tcPr>
            <w:tcW w:w="1230" w:type="dxa"/>
            <w:tcBorders>
              <w:top w:val="nil"/>
              <w:left w:val="nil"/>
              <w:bottom w:val="single" w:sz="4" w:space="0" w:color="auto"/>
              <w:right w:val="single" w:sz="4" w:space="0" w:color="auto"/>
            </w:tcBorders>
            <w:shd w:val="clear" w:color="auto" w:fill="auto"/>
            <w:noWrap/>
            <w:vAlign w:val="bottom"/>
            <w:hideMark/>
          </w:tcPr>
          <w:p w14:paraId="0CDEF60A" w14:textId="103F6065"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2.168</w:t>
            </w:r>
          </w:p>
        </w:tc>
        <w:tc>
          <w:tcPr>
            <w:tcW w:w="1223" w:type="dxa"/>
            <w:tcBorders>
              <w:top w:val="nil"/>
              <w:left w:val="nil"/>
              <w:bottom w:val="single" w:sz="4" w:space="0" w:color="auto"/>
              <w:right w:val="single" w:sz="4" w:space="0" w:color="auto"/>
            </w:tcBorders>
            <w:shd w:val="clear" w:color="auto" w:fill="auto"/>
            <w:noWrap/>
            <w:vAlign w:val="bottom"/>
            <w:hideMark/>
          </w:tcPr>
          <w:p w14:paraId="60918FE8" w14:textId="1D3E9F8A"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1.148</w:t>
            </w:r>
          </w:p>
        </w:tc>
      </w:tr>
      <w:tr w:rsidR="000F5894" w:rsidRPr="00600D62" w14:paraId="6BC181F5"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0BBE899C"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Skewness</w:t>
            </w:r>
          </w:p>
        </w:tc>
        <w:tc>
          <w:tcPr>
            <w:tcW w:w="1114" w:type="dxa"/>
            <w:tcBorders>
              <w:top w:val="nil"/>
              <w:left w:val="nil"/>
              <w:bottom w:val="single" w:sz="4" w:space="0" w:color="auto"/>
              <w:right w:val="single" w:sz="4" w:space="0" w:color="auto"/>
            </w:tcBorders>
            <w:shd w:val="clear" w:color="auto" w:fill="auto"/>
            <w:noWrap/>
            <w:vAlign w:val="bottom"/>
            <w:hideMark/>
          </w:tcPr>
          <w:p w14:paraId="27B1EDE8" w14:textId="75413454"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-0.673</w:t>
            </w:r>
          </w:p>
        </w:tc>
        <w:tc>
          <w:tcPr>
            <w:tcW w:w="1070" w:type="dxa"/>
            <w:tcBorders>
              <w:top w:val="nil"/>
              <w:left w:val="nil"/>
              <w:bottom w:val="single" w:sz="4" w:space="0" w:color="auto"/>
              <w:right w:val="single" w:sz="4" w:space="0" w:color="auto"/>
            </w:tcBorders>
            <w:shd w:val="clear" w:color="auto" w:fill="auto"/>
            <w:noWrap/>
            <w:vAlign w:val="bottom"/>
            <w:hideMark/>
          </w:tcPr>
          <w:p w14:paraId="700094A7" w14:textId="77C044C9"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-0.690</w:t>
            </w:r>
          </w:p>
        </w:tc>
        <w:tc>
          <w:tcPr>
            <w:tcW w:w="1093" w:type="dxa"/>
            <w:tcBorders>
              <w:top w:val="nil"/>
              <w:left w:val="nil"/>
              <w:bottom w:val="single" w:sz="4" w:space="0" w:color="auto"/>
              <w:right w:val="single" w:sz="4" w:space="0" w:color="auto"/>
            </w:tcBorders>
            <w:shd w:val="clear" w:color="auto" w:fill="auto"/>
            <w:noWrap/>
            <w:vAlign w:val="bottom"/>
            <w:hideMark/>
          </w:tcPr>
          <w:p w14:paraId="6153AD6C" w14:textId="4BAA4D8C"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-0.444</w:t>
            </w:r>
          </w:p>
        </w:tc>
        <w:tc>
          <w:tcPr>
            <w:tcW w:w="1093" w:type="dxa"/>
            <w:tcBorders>
              <w:top w:val="nil"/>
              <w:left w:val="nil"/>
              <w:bottom w:val="single" w:sz="4" w:space="0" w:color="auto"/>
              <w:right w:val="single" w:sz="4" w:space="0" w:color="auto"/>
            </w:tcBorders>
            <w:shd w:val="clear" w:color="auto" w:fill="auto"/>
            <w:noWrap/>
            <w:vAlign w:val="bottom"/>
            <w:hideMark/>
          </w:tcPr>
          <w:p w14:paraId="6230F1A8" w14:textId="20A7CF2D"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-0.911</w:t>
            </w:r>
          </w:p>
        </w:tc>
        <w:tc>
          <w:tcPr>
            <w:tcW w:w="1070" w:type="dxa"/>
            <w:tcBorders>
              <w:top w:val="nil"/>
              <w:left w:val="nil"/>
              <w:bottom w:val="single" w:sz="4" w:space="0" w:color="auto"/>
              <w:right w:val="single" w:sz="4" w:space="0" w:color="auto"/>
            </w:tcBorders>
            <w:shd w:val="clear" w:color="auto" w:fill="auto"/>
            <w:noWrap/>
            <w:vAlign w:val="bottom"/>
            <w:hideMark/>
          </w:tcPr>
          <w:p w14:paraId="0AB3A9AE" w14:textId="3625FDE6"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-0.968</w:t>
            </w:r>
          </w:p>
        </w:tc>
        <w:tc>
          <w:tcPr>
            <w:tcW w:w="1230" w:type="dxa"/>
            <w:tcBorders>
              <w:top w:val="nil"/>
              <w:left w:val="nil"/>
              <w:bottom w:val="single" w:sz="4" w:space="0" w:color="auto"/>
              <w:right w:val="single" w:sz="4" w:space="0" w:color="auto"/>
            </w:tcBorders>
            <w:shd w:val="clear" w:color="auto" w:fill="auto"/>
            <w:noWrap/>
            <w:vAlign w:val="bottom"/>
            <w:hideMark/>
          </w:tcPr>
          <w:p w14:paraId="29811E0D" w14:textId="49AE7105"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-0.427</w:t>
            </w:r>
          </w:p>
        </w:tc>
        <w:tc>
          <w:tcPr>
            <w:tcW w:w="1223" w:type="dxa"/>
            <w:tcBorders>
              <w:top w:val="nil"/>
              <w:left w:val="nil"/>
              <w:bottom w:val="single" w:sz="4" w:space="0" w:color="auto"/>
              <w:right w:val="single" w:sz="4" w:space="0" w:color="auto"/>
            </w:tcBorders>
            <w:shd w:val="clear" w:color="auto" w:fill="auto"/>
            <w:noWrap/>
            <w:vAlign w:val="bottom"/>
            <w:hideMark/>
          </w:tcPr>
          <w:p w14:paraId="596AA825" w14:textId="365F3486"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-0.830</w:t>
            </w:r>
          </w:p>
        </w:tc>
      </w:tr>
      <w:tr w:rsidR="000F5894" w:rsidRPr="00600D62" w14:paraId="12044E40"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79A39122"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Kurtosis</w:t>
            </w:r>
          </w:p>
        </w:tc>
        <w:tc>
          <w:tcPr>
            <w:tcW w:w="1114" w:type="dxa"/>
            <w:tcBorders>
              <w:top w:val="nil"/>
              <w:left w:val="nil"/>
              <w:bottom w:val="single" w:sz="4" w:space="0" w:color="auto"/>
              <w:right w:val="single" w:sz="4" w:space="0" w:color="auto"/>
            </w:tcBorders>
            <w:shd w:val="clear" w:color="auto" w:fill="auto"/>
            <w:noWrap/>
            <w:vAlign w:val="bottom"/>
            <w:hideMark/>
          </w:tcPr>
          <w:p w14:paraId="1303AC62" w14:textId="7871B38C"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3.573</w:t>
            </w:r>
          </w:p>
        </w:tc>
        <w:tc>
          <w:tcPr>
            <w:tcW w:w="1070" w:type="dxa"/>
            <w:tcBorders>
              <w:top w:val="nil"/>
              <w:left w:val="nil"/>
              <w:bottom w:val="single" w:sz="4" w:space="0" w:color="auto"/>
              <w:right w:val="single" w:sz="4" w:space="0" w:color="auto"/>
            </w:tcBorders>
            <w:shd w:val="clear" w:color="auto" w:fill="auto"/>
            <w:noWrap/>
            <w:vAlign w:val="bottom"/>
            <w:hideMark/>
          </w:tcPr>
          <w:p w14:paraId="0EF8D5CA" w14:textId="6B1E3874"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4.802</w:t>
            </w:r>
          </w:p>
        </w:tc>
        <w:tc>
          <w:tcPr>
            <w:tcW w:w="1093" w:type="dxa"/>
            <w:tcBorders>
              <w:top w:val="nil"/>
              <w:left w:val="nil"/>
              <w:bottom w:val="single" w:sz="4" w:space="0" w:color="auto"/>
              <w:right w:val="single" w:sz="4" w:space="0" w:color="auto"/>
            </w:tcBorders>
            <w:shd w:val="clear" w:color="auto" w:fill="auto"/>
            <w:noWrap/>
            <w:vAlign w:val="bottom"/>
            <w:hideMark/>
          </w:tcPr>
          <w:p w14:paraId="7B2E63F8" w14:textId="563EE579"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3.438</w:t>
            </w:r>
          </w:p>
        </w:tc>
        <w:tc>
          <w:tcPr>
            <w:tcW w:w="1093" w:type="dxa"/>
            <w:tcBorders>
              <w:top w:val="nil"/>
              <w:left w:val="nil"/>
              <w:bottom w:val="single" w:sz="4" w:space="0" w:color="auto"/>
              <w:right w:val="single" w:sz="4" w:space="0" w:color="auto"/>
            </w:tcBorders>
            <w:shd w:val="clear" w:color="auto" w:fill="auto"/>
            <w:noWrap/>
            <w:vAlign w:val="bottom"/>
            <w:hideMark/>
          </w:tcPr>
          <w:p w14:paraId="3DBE2D23" w14:textId="76EB7CB7"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4.237</w:t>
            </w:r>
          </w:p>
        </w:tc>
        <w:tc>
          <w:tcPr>
            <w:tcW w:w="1070" w:type="dxa"/>
            <w:tcBorders>
              <w:top w:val="nil"/>
              <w:left w:val="nil"/>
              <w:bottom w:val="single" w:sz="4" w:space="0" w:color="auto"/>
              <w:right w:val="single" w:sz="4" w:space="0" w:color="auto"/>
            </w:tcBorders>
            <w:shd w:val="clear" w:color="auto" w:fill="auto"/>
            <w:noWrap/>
            <w:vAlign w:val="bottom"/>
            <w:hideMark/>
          </w:tcPr>
          <w:p w14:paraId="43D65DEC" w14:textId="6D64C573"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3.242</w:t>
            </w:r>
          </w:p>
        </w:tc>
        <w:tc>
          <w:tcPr>
            <w:tcW w:w="1230" w:type="dxa"/>
            <w:tcBorders>
              <w:top w:val="nil"/>
              <w:left w:val="nil"/>
              <w:bottom w:val="single" w:sz="4" w:space="0" w:color="auto"/>
              <w:right w:val="single" w:sz="4" w:space="0" w:color="auto"/>
            </w:tcBorders>
            <w:shd w:val="clear" w:color="auto" w:fill="auto"/>
            <w:noWrap/>
            <w:vAlign w:val="bottom"/>
            <w:hideMark/>
          </w:tcPr>
          <w:p w14:paraId="11DE0825" w14:textId="1E17A49F"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3.866</w:t>
            </w:r>
          </w:p>
        </w:tc>
        <w:tc>
          <w:tcPr>
            <w:tcW w:w="1223" w:type="dxa"/>
            <w:tcBorders>
              <w:top w:val="nil"/>
              <w:left w:val="nil"/>
              <w:bottom w:val="single" w:sz="4" w:space="0" w:color="auto"/>
              <w:right w:val="single" w:sz="4" w:space="0" w:color="auto"/>
            </w:tcBorders>
            <w:shd w:val="clear" w:color="auto" w:fill="auto"/>
            <w:noWrap/>
            <w:vAlign w:val="bottom"/>
            <w:hideMark/>
          </w:tcPr>
          <w:p w14:paraId="0DEB2C04" w14:textId="0BFCA65E"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4.364</w:t>
            </w:r>
          </w:p>
        </w:tc>
      </w:tr>
      <w:tr w:rsidR="000F5894" w:rsidRPr="00600D62" w14:paraId="4A32F6A4"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4A3ABAF3"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114" w:type="dxa"/>
            <w:tcBorders>
              <w:top w:val="nil"/>
              <w:left w:val="nil"/>
              <w:bottom w:val="single" w:sz="4" w:space="0" w:color="auto"/>
              <w:right w:val="single" w:sz="4" w:space="0" w:color="auto"/>
            </w:tcBorders>
            <w:shd w:val="clear" w:color="auto" w:fill="auto"/>
            <w:noWrap/>
            <w:vAlign w:val="bottom"/>
            <w:hideMark/>
          </w:tcPr>
          <w:p w14:paraId="4A22E3FA"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3790D6A5"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4A875633"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4502CFB3"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17E6D275"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30" w:type="dxa"/>
            <w:tcBorders>
              <w:top w:val="nil"/>
              <w:left w:val="nil"/>
              <w:bottom w:val="single" w:sz="4" w:space="0" w:color="auto"/>
              <w:right w:val="single" w:sz="4" w:space="0" w:color="auto"/>
            </w:tcBorders>
            <w:shd w:val="clear" w:color="auto" w:fill="auto"/>
            <w:noWrap/>
            <w:vAlign w:val="bottom"/>
            <w:hideMark/>
          </w:tcPr>
          <w:p w14:paraId="0D249079"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23" w:type="dxa"/>
            <w:tcBorders>
              <w:top w:val="nil"/>
              <w:left w:val="nil"/>
              <w:bottom w:val="single" w:sz="4" w:space="0" w:color="auto"/>
              <w:right w:val="single" w:sz="4" w:space="0" w:color="auto"/>
            </w:tcBorders>
            <w:shd w:val="clear" w:color="auto" w:fill="auto"/>
            <w:noWrap/>
            <w:vAlign w:val="bottom"/>
            <w:hideMark/>
          </w:tcPr>
          <w:p w14:paraId="4EC72DC0"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r>
      <w:tr w:rsidR="000F5894" w:rsidRPr="00600D62" w14:paraId="461889C0"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202CCDE4"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Jarque-Bera</w:t>
            </w:r>
          </w:p>
        </w:tc>
        <w:tc>
          <w:tcPr>
            <w:tcW w:w="1114" w:type="dxa"/>
            <w:tcBorders>
              <w:top w:val="nil"/>
              <w:left w:val="nil"/>
              <w:bottom w:val="single" w:sz="4" w:space="0" w:color="auto"/>
              <w:right w:val="single" w:sz="4" w:space="0" w:color="auto"/>
            </w:tcBorders>
            <w:shd w:val="clear" w:color="auto" w:fill="auto"/>
            <w:noWrap/>
            <w:vAlign w:val="bottom"/>
            <w:hideMark/>
          </w:tcPr>
          <w:p w14:paraId="71E37546" w14:textId="1BD8A332"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8.122</w:t>
            </w:r>
          </w:p>
        </w:tc>
        <w:tc>
          <w:tcPr>
            <w:tcW w:w="1070" w:type="dxa"/>
            <w:tcBorders>
              <w:top w:val="nil"/>
              <w:left w:val="nil"/>
              <w:bottom w:val="single" w:sz="4" w:space="0" w:color="auto"/>
              <w:right w:val="single" w:sz="4" w:space="0" w:color="auto"/>
            </w:tcBorders>
            <w:shd w:val="clear" w:color="auto" w:fill="auto"/>
            <w:noWrap/>
            <w:vAlign w:val="bottom"/>
            <w:hideMark/>
          </w:tcPr>
          <w:p w14:paraId="3E16E947" w14:textId="29213C26"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19.526</w:t>
            </w:r>
          </w:p>
        </w:tc>
        <w:tc>
          <w:tcPr>
            <w:tcW w:w="1093" w:type="dxa"/>
            <w:tcBorders>
              <w:top w:val="nil"/>
              <w:left w:val="nil"/>
              <w:bottom w:val="single" w:sz="4" w:space="0" w:color="auto"/>
              <w:right w:val="single" w:sz="4" w:space="0" w:color="auto"/>
            </w:tcBorders>
            <w:shd w:val="clear" w:color="auto" w:fill="auto"/>
            <w:noWrap/>
            <w:vAlign w:val="bottom"/>
            <w:hideMark/>
          </w:tcPr>
          <w:p w14:paraId="10002389" w14:textId="26FA52AA"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3.717</w:t>
            </w:r>
          </w:p>
        </w:tc>
        <w:tc>
          <w:tcPr>
            <w:tcW w:w="1093" w:type="dxa"/>
            <w:tcBorders>
              <w:top w:val="nil"/>
              <w:left w:val="nil"/>
              <w:bottom w:val="single" w:sz="4" w:space="0" w:color="auto"/>
              <w:right w:val="single" w:sz="4" w:space="0" w:color="auto"/>
            </w:tcBorders>
            <w:shd w:val="clear" w:color="auto" w:fill="auto"/>
            <w:noWrap/>
            <w:vAlign w:val="bottom"/>
            <w:hideMark/>
          </w:tcPr>
          <w:p w14:paraId="705FF0F8" w14:textId="43AB55A0"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18.390</w:t>
            </w:r>
          </w:p>
        </w:tc>
        <w:tc>
          <w:tcPr>
            <w:tcW w:w="1070" w:type="dxa"/>
            <w:tcBorders>
              <w:top w:val="nil"/>
              <w:left w:val="nil"/>
              <w:bottom w:val="single" w:sz="4" w:space="0" w:color="auto"/>
              <w:right w:val="single" w:sz="4" w:space="0" w:color="auto"/>
            </w:tcBorders>
            <w:shd w:val="clear" w:color="auto" w:fill="auto"/>
            <w:noWrap/>
            <w:vAlign w:val="bottom"/>
            <w:hideMark/>
          </w:tcPr>
          <w:p w14:paraId="2BAC4EC2" w14:textId="0F4B4D70"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14.420</w:t>
            </w:r>
          </w:p>
        </w:tc>
        <w:tc>
          <w:tcPr>
            <w:tcW w:w="1230" w:type="dxa"/>
            <w:tcBorders>
              <w:top w:val="nil"/>
              <w:left w:val="nil"/>
              <w:bottom w:val="single" w:sz="4" w:space="0" w:color="auto"/>
              <w:right w:val="single" w:sz="4" w:space="0" w:color="auto"/>
            </w:tcBorders>
            <w:shd w:val="clear" w:color="auto" w:fill="auto"/>
            <w:noWrap/>
            <w:vAlign w:val="bottom"/>
            <w:hideMark/>
          </w:tcPr>
          <w:p w14:paraId="0C563B47" w14:textId="1999C377"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5.602</w:t>
            </w:r>
          </w:p>
        </w:tc>
        <w:tc>
          <w:tcPr>
            <w:tcW w:w="1223" w:type="dxa"/>
            <w:tcBorders>
              <w:top w:val="nil"/>
              <w:left w:val="nil"/>
              <w:bottom w:val="single" w:sz="4" w:space="0" w:color="auto"/>
              <w:right w:val="single" w:sz="4" w:space="0" w:color="auto"/>
            </w:tcBorders>
            <w:shd w:val="clear" w:color="auto" w:fill="auto"/>
            <w:noWrap/>
            <w:vAlign w:val="bottom"/>
            <w:hideMark/>
          </w:tcPr>
          <w:p w14:paraId="632CBB41" w14:textId="5C091A44"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17.500</w:t>
            </w:r>
          </w:p>
        </w:tc>
      </w:tr>
      <w:tr w:rsidR="000F5894" w:rsidRPr="00600D62" w14:paraId="06924685"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36695C1F"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Probability</w:t>
            </w:r>
          </w:p>
        </w:tc>
        <w:tc>
          <w:tcPr>
            <w:tcW w:w="1114" w:type="dxa"/>
            <w:tcBorders>
              <w:top w:val="nil"/>
              <w:left w:val="nil"/>
              <w:bottom w:val="single" w:sz="4" w:space="0" w:color="auto"/>
              <w:right w:val="single" w:sz="4" w:space="0" w:color="auto"/>
            </w:tcBorders>
            <w:shd w:val="clear" w:color="auto" w:fill="auto"/>
            <w:noWrap/>
            <w:vAlign w:val="bottom"/>
            <w:hideMark/>
          </w:tcPr>
          <w:p w14:paraId="02FFF525" w14:textId="345EF838"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0.017</w:t>
            </w:r>
          </w:p>
        </w:tc>
        <w:tc>
          <w:tcPr>
            <w:tcW w:w="1070" w:type="dxa"/>
            <w:tcBorders>
              <w:top w:val="nil"/>
              <w:left w:val="nil"/>
              <w:bottom w:val="single" w:sz="4" w:space="0" w:color="auto"/>
              <w:right w:val="single" w:sz="4" w:space="0" w:color="auto"/>
            </w:tcBorders>
            <w:shd w:val="clear" w:color="auto" w:fill="auto"/>
            <w:noWrap/>
            <w:vAlign w:val="bottom"/>
            <w:hideMark/>
          </w:tcPr>
          <w:p w14:paraId="306C44CA" w14:textId="4862DEFF"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0.000</w:t>
            </w:r>
          </w:p>
        </w:tc>
        <w:tc>
          <w:tcPr>
            <w:tcW w:w="1093" w:type="dxa"/>
            <w:tcBorders>
              <w:top w:val="nil"/>
              <w:left w:val="nil"/>
              <w:bottom w:val="single" w:sz="4" w:space="0" w:color="auto"/>
              <w:right w:val="single" w:sz="4" w:space="0" w:color="auto"/>
            </w:tcBorders>
            <w:shd w:val="clear" w:color="auto" w:fill="auto"/>
            <w:noWrap/>
            <w:vAlign w:val="bottom"/>
            <w:hideMark/>
          </w:tcPr>
          <w:p w14:paraId="4497C3A4" w14:textId="0EA34A79"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0.156</w:t>
            </w:r>
          </w:p>
        </w:tc>
        <w:tc>
          <w:tcPr>
            <w:tcW w:w="1093" w:type="dxa"/>
            <w:tcBorders>
              <w:top w:val="nil"/>
              <w:left w:val="nil"/>
              <w:bottom w:val="single" w:sz="4" w:space="0" w:color="auto"/>
              <w:right w:val="single" w:sz="4" w:space="0" w:color="auto"/>
            </w:tcBorders>
            <w:shd w:val="clear" w:color="auto" w:fill="auto"/>
            <w:noWrap/>
            <w:vAlign w:val="bottom"/>
            <w:hideMark/>
          </w:tcPr>
          <w:p w14:paraId="0D393549" w14:textId="33F13AA0"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0.000</w:t>
            </w:r>
          </w:p>
        </w:tc>
        <w:tc>
          <w:tcPr>
            <w:tcW w:w="1070" w:type="dxa"/>
            <w:tcBorders>
              <w:top w:val="nil"/>
              <w:left w:val="nil"/>
              <w:bottom w:val="single" w:sz="4" w:space="0" w:color="auto"/>
              <w:right w:val="single" w:sz="4" w:space="0" w:color="auto"/>
            </w:tcBorders>
            <w:shd w:val="clear" w:color="auto" w:fill="auto"/>
            <w:noWrap/>
            <w:vAlign w:val="bottom"/>
            <w:hideMark/>
          </w:tcPr>
          <w:p w14:paraId="66BDE8AA" w14:textId="6CC1308F"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0.001</w:t>
            </w:r>
          </w:p>
        </w:tc>
        <w:tc>
          <w:tcPr>
            <w:tcW w:w="1230" w:type="dxa"/>
            <w:tcBorders>
              <w:top w:val="nil"/>
              <w:left w:val="nil"/>
              <w:bottom w:val="single" w:sz="4" w:space="0" w:color="auto"/>
              <w:right w:val="single" w:sz="4" w:space="0" w:color="auto"/>
            </w:tcBorders>
            <w:shd w:val="clear" w:color="auto" w:fill="auto"/>
            <w:noWrap/>
            <w:vAlign w:val="bottom"/>
            <w:hideMark/>
          </w:tcPr>
          <w:p w14:paraId="1E93B5F9" w14:textId="464A1DB6"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0.061</w:t>
            </w:r>
          </w:p>
        </w:tc>
        <w:tc>
          <w:tcPr>
            <w:tcW w:w="1223" w:type="dxa"/>
            <w:tcBorders>
              <w:top w:val="nil"/>
              <w:left w:val="nil"/>
              <w:bottom w:val="single" w:sz="4" w:space="0" w:color="auto"/>
              <w:right w:val="single" w:sz="4" w:space="0" w:color="auto"/>
            </w:tcBorders>
            <w:shd w:val="clear" w:color="auto" w:fill="auto"/>
            <w:noWrap/>
            <w:vAlign w:val="bottom"/>
            <w:hideMark/>
          </w:tcPr>
          <w:p w14:paraId="23B8E0BC" w14:textId="6821E447"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0.000</w:t>
            </w:r>
          </w:p>
        </w:tc>
      </w:tr>
      <w:tr w:rsidR="000F5894" w:rsidRPr="00600D62" w14:paraId="6AF35508"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34A814F7"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114" w:type="dxa"/>
            <w:tcBorders>
              <w:top w:val="nil"/>
              <w:left w:val="nil"/>
              <w:bottom w:val="single" w:sz="4" w:space="0" w:color="auto"/>
              <w:right w:val="single" w:sz="4" w:space="0" w:color="auto"/>
            </w:tcBorders>
            <w:shd w:val="clear" w:color="auto" w:fill="auto"/>
            <w:noWrap/>
            <w:vAlign w:val="bottom"/>
            <w:hideMark/>
          </w:tcPr>
          <w:p w14:paraId="2F39077F"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39E15CB8"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15AEC08F"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6C1DECE3"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5315B07B"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30" w:type="dxa"/>
            <w:tcBorders>
              <w:top w:val="nil"/>
              <w:left w:val="nil"/>
              <w:bottom w:val="single" w:sz="4" w:space="0" w:color="auto"/>
              <w:right w:val="single" w:sz="4" w:space="0" w:color="auto"/>
            </w:tcBorders>
            <w:shd w:val="clear" w:color="auto" w:fill="auto"/>
            <w:noWrap/>
            <w:vAlign w:val="bottom"/>
            <w:hideMark/>
          </w:tcPr>
          <w:p w14:paraId="02204DCE"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23" w:type="dxa"/>
            <w:tcBorders>
              <w:top w:val="nil"/>
              <w:left w:val="nil"/>
              <w:bottom w:val="single" w:sz="4" w:space="0" w:color="auto"/>
              <w:right w:val="single" w:sz="4" w:space="0" w:color="auto"/>
            </w:tcBorders>
            <w:shd w:val="clear" w:color="auto" w:fill="auto"/>
            <w:noWrap/>
            <w:vAlign w:val="bottom"/>
            <w:hideMark/>
          </w:tcPr>
          <w:p w14:paraId="2C5599A0"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r>
      <w:tr w:rsidR="000F5894" w:rsidRPr="00600D62" w14:paraId="6EDDDF0C"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141216CF"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Sum</w:t>
            </w:r>
          </w:p>
        </w:tc>
        <w:tc>
          <w:tcPr>
            <w:tcW w:w="1114" w:type="dxa"/>
            <w:tcBorders>
              <w:top w:val="nil"/>
              <w:left w:val="nil"/>
              <w:bottom w:val="single" w:sz="4" w:space="0" w:color="auto"/>
              <w:right w:val="single" w:sz="4" w:space="0" w:color="auto"/>
            </w:tcBorders>
            <w:shd w:val="clear" w:color="auto" w:fill="auto"/>
            <w:noWrap/>
            <w:vAlign w:val="bottom"/>
            <w:hideMark/>
          </w:tcPr>
          <w:p w14:paraId="1501C344" w14:textId="5AD26E02"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9099.791</w:t>
            </w:r>
          </w:p>
        </w:tc>
        <w:tc>
          <w:tcPr>
            <w:tcW w:w="1070" w:type="dxa"/>
            <w:tcBorders>
              <w:top w:val="nil"/>
              <w:left w:val="nil"/>
              <w:bottom w:val="single" w:sz="4" w:space="0" w:color="auto"/>
              <w:right w:val="single" w:sz="4" w:space="0" w:color="auto"/>
            </w:tcBorders>
            <w:shd w:val="clear" w:color="auto" w:fill="auto"/>
            <w:noWrap/>
            <w:vAlign w:val="bottom"/>
            <w:hideMark/>
          </w:tcPr>
          <w:p w14:paraId="7FACC6CA" w14:textId="11DDC724"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9134.289</w:t>
            </w:r>
          </w:p>
        </w:tc>
        <w:tc>
          <w:tcPr>
            <w:tcW w:w="1093" w:type="dxa"/>
            <w:tcBorders>
              <w:top w:val="nil"/>
              <w:left w:val="nil"/>
              <w:bottom w:val="single" w:sz="4" w:space="0" w:color="auto"/>
              <w:right w:val="single" w:sz="4" w:space="0" w:color="auto"/>
            </w:tcBorders>
            <w:shd w:val="clear" w:color="auto" w:fill="auto"/>
            <w:noWrap/>
            <w:vAlign w:val="bottom"/>
            <w:hideMark/>
          </w:tcPr>
          <w:p w14:paraId="22533157" w14:textId="5CD49726"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9142.879</w:t>
            </w:r>
          </w:p>
        </w:tc>
        <w:tc>
          <w:tcPr>
            <w:tcW w:w="1093" w:type="dxa"/>
            <w:tcBorders>
              <w:top w:val="nil"/>
              <w:left w:val="nil"/>
              <w:bottom w:val="single" w:sz="4" w:space="0" w:color="auto"/>
              <w:right w:val="single" w:sz="4" w:space="0" w:color="auto"/>
            </w:tcBorders>
            <w:shd w:val="clear" w:color="auto" w:fill="auto"/>
            <w:noWrap/>
            <w:vAlign w:val="bottom"/>
            <w:hideMark/>
          </w:tcPr>
          <w:p w14:paraId="6C98971E" w14:textId="675E25AC"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9141.793</w:t>
            </w:r>
          </w:p>
        </w:tc>
        <w:tc>
          <w:tcPr>
            <w:tcW w:w="1070" w:type="dxa"/>
            <w:tcBorders>
              <w:top w:val="nil"/>
              <w:left w:val="nil"/>
              <w:bottom w:val="single" w:sz="4" w:space="0" w:color="auto"/>
              <w:right w:val="single" w:sz="4" w:space="0" w:color="auto"/>
            </w:tcBorders>
            <w:shd w:val="clear" w:color="auto" w:fill="auto"/>
            <w:noWrap/>
            <w:vAlign w:val="bottom"/>
            <w:hideMark/>
          </w:tcPr>
          <w:p w14:paraId="34EA42CD" w14:textId="078A9E3A"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9112.828</w:t>
            </w:r>
          </w:p>
        </w:tc>
        <w:tc>
          <w:tcPr>
            <w:tcW w:w="1230" w:type="dxa"/>
            <w:tcBorders>
              <w:top w:val="nil"/>
              <w:left w:val="nil"/>
              <w:bottom w:val="single" w:sz="4" w:space="0" w:color="auto"/>
              <w:right w:val="single" w:sz="4" w:space="0" w:color="auto"/>
            </w:tcBorders>
            <w:shd w:val="clear" w:color="auto" w:fill="auto"/>
            <w:noWrap/>
            <w:vAlign w:val="bottom"/>
            <w:hideMark/>
          </w:tcPr>
          <w:p w14:paraId="1A117157" w14:textId="4000FE7B"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9129.444</w:t>
            </w:r>
          </w:p>
        </w:tc>
        <w:tc>
          <w:tcPr>
            <w:tcW w:w="1223" w:type="dxa"/>
            <w:tcBorders>
              <w:top w:val="nil"/>
              <w:left w:val="nil"/>
              <w:bottom w:val="single" w:sz="4" w:space="0" w:color="auto"/>
              <w:right w:val="single" w:sz="4" w:space="0" w:color="auto"/>
            </w:tcBorders>
            <w:shd w:val="clear" w:color="auto" w:fill="auto"/>
            <w:noWrap/>
            <w:vAlign w:val="bottom"/>
            <w:hideMark/>
          </w:tcPr>
          <w:p w14:paraId="2A35D94B" w14:textId="3C8A5B43"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9098.997</w:t>
            </w:r>
          </w:p>
        </w:tc>
      </w:tr>
      <w:tr w:rsidR="000F5894" w:rsidRPr="00600D62" w14:paraId="50B4B0C5"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50C2B02B"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Sum Sq. Dev.</w:t>
            </w:r>
          </w:p>
        </w:tc>
        <w:tc>
          <w:tcPr>
            <w:tcW w:w="1114" w:type="dxa"/>
            <w:tcBorders>
              <w:top w:val="nil"/>
              <w:left w:val="nil"/>
              <w:bottom w:val="single" w:sz="4" w:space="0" w:color="auto"/>
              <w:right w:val="single" w:sz="4" w:space="0" w:color="auto"/>
            </w:tcBorders>
            <w:shd w:val="clear" w:color="auto" w:fill="auto"/>
            <w:noWrap/>
            <w:vAlign w:val="bottom"/>
            <w:hideMark/>
          </w:tcPr>
          <w:p w14:paraId="57ED2F2C" w14:textId="11DD9A2D"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289.3</w:t>
            </w:r>
          </w:p>
        </w:tc>
        <w:tc>
          <w:tcPr>
            <w:tcW w:w="1070" w:type="dxa"/>
            <w:tcBorders>
              <w:top w:val="nil"/>
              <w:left w:val="nil"/>
              <w:bottom w:val="single" w:sz="4" w:space="0" w:color="auto"/>
              <w:right w:val="single" w:sz="4" w:space="0" w:color="auto"/>
            </w:tcBorders>
            <w:shd w:val="clear" w:color="auto" w:fill="auto"/>
            <w:noWrap/>
            <w:vAlign w:val="bottom"/>
            <w:hideMark/>
          </w:tcPr>
          <w:p w14:paraId="413784C0" w14:textId="29090D0D"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210.431</w:t>
            </w:r>
          </w:p>
        </w:tc>
        <w:tc>
          <w:tcPr>
            <w:tcW w:w="1093" w:type="dxa"/>
            <w:tcBorders>
              <w:top w:val="nil"/>
              <w:left w:val="nil"/>
              <w:bottom w:val="single" w:sz="4" w:space="0" w:color="auto"/>
              <w:right w:val="single" w:sz="4" w:space="0" w:color="auto"/>
            </w:tcBorders>
            <w:shd w:val="clear" w:color="auto" w:fill="auto"/>
            <w:noWrap/>
            <w:vAlign w:val="bottom"/>
            <w:hideMark/>
          </w:tcPr>
          <w:p w14:paraId="09EC8475" w14:textId="54604BC5"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184.179</w:t>
            </w:r>
          </w:p>
        </w:tc>
        <w:tc>
          <w:tcPr>
            <w:tcW w:w="1093" w:type="dxa"/>
            <w:tcBorders>
              <w:top w:val="nil"/>
              <w:left w:val="nil"/>
              <w:bottom w:val="single" w:sz="4" w:space="0" w:color="auto"/>
              <w:right w:val="single" w:sz="4" w:space="0" w:color="auto"/>
            </w:tcBorders>
            <w:shd w:val="clear" w:color="auto" w:fill="auto"/>
            <w:noWrap/>
            <w:vAlign w:val="bottom"/>
            <w:hideMark/>
          </w:tcPr>
          <w:p w14:paraId="51A233A6" w14:textId="695C87A2"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128.655</w:t>
            </w:r>
          </w:p>
        </w:tc>
        <w:tc>
          <w:tcPr>
            <w:tcW w:w="1070" w:type="dxa"/>
            <w:tcBorders>
              <w:top w:val="nil"/>
              <w:left w:val="nil"/>
              <w:bottom w:val="single" w:sz="4" w:space="0" w:color="auto"/>
              <w:right w:val="single" w:sz="4" w:space="0" w:color="auto"/>
            </w:tcBorders>
            <w:shd w:val="clear" w:color="auto" w:fill="auto"/>
            <w:noWrap/>
            <w:vAlign w:val="bottom"/>
            <w:hideMark/>
          </w:tcPr>
          <w:p w14:paraId="56A45B84" w14:textId="3A8C55C1"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116.910</w:t>
            </w:r>
          </w:p>
        </w:tc>
        <w:tc>
          <w:tcPr>
            <w:tcW w:w="1230" w:type="dxa"/>
            <w:tcBorders>
              <w:top w:val="nil"/>
              <w:left w:val="nil"/>
              <w:bottom w:val="single" w:sz="4" w:space="0" w:color="auto"/>
              <w:right w:val="single" w:sz="4" w:space="0" w:color="auto"/>
            </w:tcBorders>
            <w:shd w:val="clear" w:color="auto" w:fill="auto"/>
            <w:noWrap/>
            <w:vAlign w:val="bottom"/>
            <w:hideMark/>
          </w:tcPr>
          <w:p w14:paraId="7A57CC96" w14:textId="11BFD42B"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423.208</w:t>
            </w:r>
          </w:p>
        </w:tc>
        <w:tc>
          <w:tcPr>
            <w:tcW w:w="1223" w:type="dxa"/>
            <w:tcBorders>
              <w:top w:val="nil"/>
              <w:left w:val="nil"/>
              <w:bottom w:val="single" w:sz="4" w:space="0" w:color="auto"/>
              <w:right w:val="single" w:sz="4" w:space="0" w:color="auto"/>
            </w:tcBorders>
            <w:shd w:val="clear" w:color="auto" w:fill="auto"/>
            <w:noWrap/>
            <w:vAlign w:val="bottom"/>
            <w:hideMark/>
          </w:tcPr>
          <w:p w14:paraId="15509D71" w14:textId="4CC8D35C"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118.627</w:t>
            </w:r>
          </w:p>
        </w:tc>
      </w:tr>
      <w:tr w:rsidR="000F5894" w:rsidRPr="00600D62" w14:paraId="2B9B90C4"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3EEE62AA"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114" w:type="dxa"/>
            <w:tcBorders>
              <w:top w:val="nil"/>
              <w:left w:val="nil"/>
              <w:bottom w:val="single" w:sz="4" w:space="0" w:color="auto"/>
              <w:right w:val="single" w:sz="4" w:space="0" w:color="auto"/>
            </w:tcBorders>
            <w:shd w:val="clear" w:color="auto" w:fill="auto"/>
            <w:noWrap/>
            <w:vAlign w:val="bottom"/>
            <w:hideMark/>
          </w:tcPr>
          <w:p w14:paraId="5A4BD937"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2AD8FB6F"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61328CBE"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6B4E306F"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070" w:type="dxa"/>
            <w:tcBorders>
              <w:top w:val="nil"/>
              <w:left w:val="nil"/>
              <w:bottom w:val="single" w:sz="4" w:space="0" w:color="auto"/>
              <w:right w:val="single" w:sz="4" w:space="0" w:color="auto"/>
            </w:tcBorders>
            <w:shd w:val="clear" w:color="auto" w:fill="auto"/>
            <w:noWrap/>
            <w:vAlign w:val="bottom"/>
            <w:hideMark/>
          </w:tcPr>
          <w:p w14:paraId="31A5033E"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30" w:type="dxa"/>
            <w:tcBorders>
              <w:top w:val="nil"/>
              <w:left w:val="nil"/>
              <w:bottom w:val="single" w:sz="4" w:space="0" w:color="auto"/>
              <w:right w:val="single" w:sz="4" w:space="0" w:color="auto"/>
            </w:tcBorders>
            <w:shd w:val="clear" w:color="auto" w:fill="auto"/>
            <w:noWrap/>
            <w:vAlign w:val="bottom"/>
            <w:hideMark/>
          </w:tcPr>
          <w:p w14:paraId="227A312D"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c>
          <w:tcPr>
            <w:tcW w:w="1223" w:type="dxa"/>
            <w:tcBorders>
              <w:top w:val="nil"/>
              <w:left w:val="nil"/>
              <w:bottom w:val="single" w:sz="4" w:space="0" w:color="auto"/>
              <w:right w:val="single" w:sz="4" w:space="0" w:color="auto"/>
            </w:tcBorders>
            <w:shd w:val="clear" w:color="auto" w:fill="auto"/>
            <w:noWrap/>
            <w:vAlign w:val="bottom"/>
            <w:hideMark/>
          </w:tcPr>
          <w:p w14:paraId="44BD420C"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w:t>
            </w:r>
          </w:p>
        </w:tc>
      </w:tr>
      <w:tr w:rsidR="000F5894" w:rsidRPr="00600D62" w14:paraId="68CC4BA4" w14:textId="77777777" w:rsidTr="00096287">
        <w:trPr>
          <w:trHeight w:val="262"/>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14:paraId="0A0D70D8" w14:textId="77777777" w:rsidR="000F5894" w:rsidRPr="00600D62" w:rsidRDefault="000F5894" w:rsidP="00096287">
            <w:pPr>
              <w:widowControl/>
              <w:autoSpaceDE/>
              <w:autoSpaceDN/>
              <w:rPr>
                <w:rFonts w:ascii="Calibri" w:eastAsia="Times New Roman" w:hAnsi="Calibri" w:cs="Calibri"/>
                <w:color w:val="000000"/>
                <w:lang w:val="en-GB" w:eastAsia="en-GB"/>
              </w:rPr>
            </w:pPr>
            <w:r w:rsidRPr="00600D62">
              <w:rPr>
                <w:rFonts w:ascii="Calibri" w:eastAsia="Times New Roman" w:hAnsi="Calibri" w:cs="Calibri"/>
                <w:color w:val="000000"/>
                <w:lang w:val="en-GB" w:eastAsia="en-GB"/>
              </w:rPr>
              <w:t xml:space="preserve"> Observations</w:t>
            </w:r>
          </w:p>
        </w:tc>
        <w:tc>
          <w:tcPr>
            <w:tcW w:w="1114" w:type="dxa"/>
            <w:tcBorders>
              <w:top w:val="nil"/>
              <w:left w:val="nil"/>
              <w:bottom w:val="single" w:sz="4" w:space="0" w:color="auto"/>
              <w:right w:val="single" w:sz="4" w:space="0" w:color="auto"/>
            </w:tcBorders>
            <w:shd w:val="clear" w:color="auto" w:fill="auto"/>
            <w:noWrap/>
            <w:vAlign w:val="bottom"/>
            <w:hideMark/>
          </w:tcPr>
          <w:p w14:paraId="40AEC671" w14:textId="3A694994"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91</w:t>
            </w:r>
          </w:p>
        </w:tc>
        <w:tc>
          <w:tcPr>
            <w:tcW w:w="1070" w:type="dxa"/>
            <w:tcBorders>
              <w:top w:val="nil"/>
              <w:left w:val="nil"/>
              <w:bottom w:val="single" w:sz="4" w:space="0" w:color="auto"/>
              <w:right w:val="single" w:sz="4" w:space="0" w:color="auto"/>
            </w:tcBorders>
            <w:shd w:val="clear" w:color="auto" w:fill="auto"/>
            <w:noWrap/>
            <w:vAlign w:val="bottom"/>
            <w:hideMark/>
          </w:tcPr>
          <w:p w14:paraId="0BFFAAD4" w14:textId="357D2A41"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91</w:t>
            </w:r>
          </w:p>
        </w:tc>
        <w:tc>
          <w:tcPr>
            <w:tcW w:w="1093" w:type="dxa"/>
            <w:tcBorders>
              <w:top w:val="nil"/>
              <w:left w:val="nil"/>
              <w:bottom w:val="single" w:sz="4" w:space="0" w:color="auto"/>
              <w:right w:val="single" w:sz="4" w:space="0" w:color="auto"/>
            </w:tcBorders>
            <w:shd w:val="clear" w:color="auto" w:fill="auto"/>
            <w:noWrap/>
            <w:vAlign w:val="bottom"/>
            <w:hideMark/>
          </w:tcPr>
          <w:p w14:paraId="6A494F52" w14:textId="06E5ECC5"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91</w:t>
            </w:r>
          </w:p>
        </w:tc>
        <w:tc>
          <w:tcPr>
            <w:tcW w:w="1093" w:type="dxa"/>
            <w:tcBorders>
              <w:top w:val="nil"/>
              <w:left w:val="nil"/>
              <w:bottom w:val="single" w:sz="4" w:space="0" w:color="auto"/>
              <w:right w:val="single" w:sz="4" w:space="0" w:color="auto"/>
            </w:tcBorders>
            <w:shd w:val="clear" w:color="auto" w:fill="auto"/>
            <w:noWrap/>
            <w:vAlign w:val="bottom"/>
            <w:hideMark/>
          </w:tcPr>
          <w:p w14:paraId="1974E17F" w14:textId="7AC3027E"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91</w:t>
            </w:r>
          </w:p>
        </w:tc>
        <w:tc>
          <w:tcPr>
            <w:tcW w:w="1070" w:type="dxa"/>
            <w:tcBorders>
              <w:top w:val="nil"/>
              <w:left w:val="nil"/>
              <w:bottom w:val="single" w:sz="4" w:space="0" w:color="auto"/>
              <w:right w:val="single" w:sz="4" w:space="0" w:color="auto"/>
            </w:tcBorders>
            <w:shd w:val="clear" w:color="auto" w:fill="auto"/>
            <w:noWrap/>
            <w:vAlign w:val="bottom"/>
            <w:hideMark/>
          </w:tcPr>
          <w:p w14:paraId="33FB7D69" w14:textId="1DEF7131"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91</w:t>
            </w:r>
          </w:p>
        </w:tc>
        <w:tc>
          <w:tcPr>
            <w:tcW w:w="1230" w:type="dxa"/>
            <w:tcBorders>
              <w:top w:val="nil"/>
              <w:left w:val="nil"/>
              <w:bottom w:val="single" w:sz="4" w:space="0" w:color="auto"/>
              <w:right w:val="single" w:sz="4" w:space="0" w:color="auto"/>
            </w:tcBorders>
            <w:shd w:val="clear" w:color="auto" w:fill="auto"/>
            <w:noWrap/>
            <w:vAlign w:val="bottom"/>
            <w:hideMark/>
          </w:tcPr>
          <w:p w14:paraId="5206E86E" w14:textId="04342D86"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91</w:t>
            </w:r>
          </w:p>
        </w:tc>
        <w:tc>
          <w:tcPr>
            <w:tcW w:w="1223" w:type="dxa"/>
            <w:tcBorders>
              <w:top w:val="nil"/>
              <w:left w:val="nil"/>
              <w:bottom w:val="single" w:sz="4" w:space="0" w:color="auto"/>
              <w:right w:val="single" w:sz="4" w:space="0" w:color="auto"/>
            </w:tcBorders>
            <w:shd w:val="clear" w:color="auto" w:fill="auto"/>
            <w:noWrap/>
            <w:vAlign w:val="bottom"/>
            <w:hideMark/>
          </w:tcPr>
          <w:p w14:paraId="6E0FA225" w14:textId="3B798F12" w:rsidR="000F5894" w:rsidRPr="00600D62" w:rsidRDefault="000F5894" w:rsidP="00096287">
            <w:pPr>
              <w:widowControl/>
              <w:autoSpaceDE/>
              <w:autoSpaceDN/>
              <w:jc w:val="right"/>
              <w:rPr>
                <w:rFonts w:ascii="Calibri" w:eastAsia="Times New Roman" w:hAnsi="Calibri" w:cs="Calibri"/>
                <w:color w:val="000000"/>
                <w:lang w:val="en-GB" w:eastAsia="en-GB"/>
              </w:rPr>
            </w:pPr>
            <w:r>
              <w:rPr>
                <w:rFonts w:ascii="Calibri" w:eastAsia="Times New Roman" w:hAnsi="Calibri" w:cs="Calibri"/>
                <w:color w:val="000000"/>
                <w:lang w:val="en-GB" w:eastAsia="en-GB"/>
              </w:rPr>
              <w:t>91</w:t>
            </w:r>
          </w:p>
        </w:tc>
      </w:tr>
    </w:tbl>
    <w:p w14:paraId="4E45E5DA" w14:textId="77777777" w:rsidR="00600D62" w:rsidRDefault="00600D62">
      <w:pPr>
        <w:rPr>
          <w:sz w:val="24"/>
          <w:szCs w:val="24"/>
          <w:lang w:val="en-GB"/>
        </w:rPr>
        <w:sectPr w:rsidR="00600D62" w:rsidSect="009909BC">
          <w:footerReference w:type="default" r:id="rId45"/>
          <w:pgSz w:w="11910" w:h="16840"/>
          <w:pgMar w:top="1701" w:right="1418" w:bottom="1701" w:left="1985" w:header="0" w:footer="567" w:gutter="0"/>
          <w:cols w:space="720"/>
          <w:docGrid w:linePitch="299"/>
        </w:sectPr>
      </w:pPr>
    </w:p>
    <w:p w14:paraId="1BB4A951" w14:textId="4AB92DB7" w:rsidR="00B52CDE" w:rsidRPr="00CA2195" w:rsidRDefault="00B52CDE" w:rsidP="00800185">
      <w:pPr>
        <w:pStyle w:val="Heading1"/>
        <w:ind w:left="0" w:hanging="142"/>
        <w:jc w:val="center"/>
        <w:rPr>
          <w:b w:val="0"/>
          <w:bCs w:val="0"/>
          <w:sz w:val="24"/>
          <w:szCs w:val="24"/>
          <w:lang w:val="en-GB"/>
        </w:rPr>
      </w:pPr>
      <w:r w:rsidRPr="00CA2195">
        <w:rPr>
          <w:sz w:val="24"/>
          <w:szCs w:val="24"/>
          <w:lang w:val="en-GB"/>
        </w:rPr>
        <w:lastRenderedPageBreak/>
        <w:t xml:space="preserve">Appendix. 2. </w:t>
      </w:r>
      <w:r w:rsidR="00800185" w:rsidRPr="00CA2195">
        <w:rPr>
          <w:b w:val="0"/>
          <w:bCs w:val="0"/>
          <w:sz w:val="24"/>
          <w:szCs w:val="24"/>
          <w:lang w:val="en-GB"/>
        </w:rPr>
        <w:t>Hysteresis algorithm</w:t>
      </w:r>
    </w:p>
    <w:p w14:paraId="1C3E6F92" w14:textId="77777777" w:rsidR="005110E0" w:rsidRDefault="005110E0" w:rsidP="005110E0">
      <w:pPr>
        <w:spacing w:line="480" w:lineRule="auto"/>
        <w:jc w:val="center"/>
        <w:rPr>
          <w:sz w:val="20"/>
          <w:szCs w:val="20"/>
          <w:lang w:val="en-GB"/>
        </w:rPr>
      </w:pPr>
    </w:p>
    <w:p w14:paraId="2EBA6376" w14:textId="77777777" w:rsidR="005110E0" w:rsidRDefault="005110E0" w:rsidP="005110E0">
      <w:pPr>
        <w:spacing w:line="480" w:lineRule="auto"/>
        <w:jc w:val="center"/>
        <w:rPr>
          <w:sz w:val="20"/>
          <w:szCs w:val="20"/>
          <w:lang w:val="en-GB"/>
        </w:rPr>
      </w:pPr>
    </w:p>
    <w:p w14:paraId="661EBBC7" w14:textId="77777777" w:rsidR="005110E0" w:rsidRPr="005110E0" w:rsidRDefault="005110E0" w:rsidP="005110E0">
      <w:pPr>
        <w:pBdr>
          <w:bottom w:val="single" w:sz="12" w:space="1" w:color="auto"/>
        </w:pBdr>
        <w:adjustRightInd w:val="0"/>
        <w:jc w:val="both"/>
        <w:rPr>
          <w:sz w:val="24"/>
          <w:szCs w:val="24"/>
          <w:lang w:val="en-GB"/>
        </w:rPr>
      </w:pPr>
    </w:p>
    <w:p w14:paraId="44169D88" w14:textId="2E88F87E" w:rsidR="005110E0" w:rsidRPr="005110E0" w:rsidRDefault="005110E0" w:rsidP="005110E0">
      <w:pPr>
        <w:pBdr>
          <w:bottom w:val="single" w:sz="6" w:space="1" w:color="auto"/>
        </w:pBdr>
        <w:adjustRightInd w:val="0"/>
        <w:ind w:left="1134" w:hanging="1134"/>
        <w:rPr>
          <w:sz w:val="24"/>
          <w:szCs w:val="24"/>
          <w:lang w:val="en-GB"/>
        </w:rPr>
      </w:pPr>
      <w:r w:rsidRPr="005110E0">
        <w:rPr>
          <w:sz w:val="24"/>
          <w:szCs w:val="24"/>
          <w:lang w:val="en-GB"/>
        </w:rPr>
        <w:t>Algorithm: Linear switching investment equation estimation with breaks in the switching parameter (based in Mota and Vasconcelos, 2021)</w:t>
      </w:r>
    </w:p>
    <w:p w14:paraId="32A634E3" w14:textId="77777777" w:rsidR="005110E0" w:rsidRPr="005110E0" w:rsidRDefault="005110E0" w:rsidP="005110E0">
      <w:pPr>
        <w:adjustRightInd w:val="0"/>
        <w:jc w:val="both"/>
        <w:rPr>
          <w:sz w:val="24"/>
          <w:szCs w:val="24"/>
          <w:lang w:val="en-GB"/>
        </w:rPr>
      </w:pPr>
    </w:p>
    <w:p w14:paraId="2D47B112" w14:textId="24B6D292" w:rsidR="005110E0" w:rsidRPr="00AA57A9" w:rsidRDefault="005110E0" w:rsidP="005110E0">
      <w:pPr>
        <w:adjustRightInd w:val="0"/>
        <w:rPr>
          <w:sz w:val="24"/>
          <w:szCs w:val="24"/>
          <w:lang w:val="en-GB"/>
        </w:rPr>
      </w:pPr>
      <w:r w:rsidRPr="005110E0">
        <w:rPr>
          <w:bCs/>
          <w:sz w:val="24"/>
          <w:szCs w:val="24"/>
          <w:lang w:val="en-GB"/>
        </w:rPr>
        <w:t>Input data:</w:t>
      </w:r>
      <w:r w:rsidRPr="005110E0">
        <w:rPr>
          <w:sz w:val="24"/>
          <w:szCs w:val="24"/>
          <w:lang w:val="en-GB"/>
        </w:rPr>
        <w:t xml:space="preserve"> </w:t>
      </w:r>
      <m:oMath>
        <m:sSub>
          <m:sSubPr>
            <m:ctrlPr>
              <w:rPr>
                <w:rFonts w:ascii="Cambria Math" w:hAnsi="Cambria Math"/>
                <w:i/>
                <w:sz w:val="24"/>
                <w:szCs w:val="24"/>
              </w:rPr>
            </m:ctrlPr>
          </m:sSubPr>
          <m:e>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tangibles</m:t>
                </m:r>
              </m:sub>
            </m:sSub>
          </m:e>
          <m:sub>
            <m:r>
              <w:rPr>
                <w:rFonts w:ascii="Cambria Math" w:hAnsi="Cambria Math"/>
                <w:sz w:val="24"/>
                <w:szCs w:val="24"/>
              </w:rPr>
              <m:t>t</m:t>
            </m:r>
          </m:sub>
        </m:sSub>
      </m:oMath>
      <w:r w:rsidRPr="005110E0">
        <w:rPr>
          <w:rFonts w:eastAsiaTheme="minorEastAsia"/>
          <w:sz w:val="24"/>
          <w:szCs w:val="24"/>
          <w:lang w:val="en-GB"/>
        </w:rPr>
        <w:t xml:space="preserve">, </w:t>
      </w:r>
      <m:oMath>
        <m:sSub>
          <m:sSubPr>
            <m:ctrlPr>
              <w:rPr>
                <w:rFonts w:ascii="Cambria Math" w:hAnsi="Cambria Math"/>
                <w:i/>
                <w:sz w:val="24"/>
                <w:szCs w:val="24"/>
              </w:rPr>
            </m:ctrlPr>
          </m:sSubPr>
          <m:e>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intangibles</m:t>
                </m:r>
              </m:sub>
            </m:sSub>
          </m:e>
          <m:sub>
            <m:r>
              <w:rPr>
                <w:rFonts w:ascii="Cambria Math" w:hAnsi="Cambria Math"/>
                <w:sz w:val="24"/>
                <w:szCs w:val="24"/>
              </w:rPr>
              <m:t>t</m:t>
            </m:r>
          </m:sub>
        </m:sSub>
      </m:oMath>
      <w:r w:rsidRPr="005110E0">
        <w:rPr>
          <w:rFonts w:eastAsiaTheme="minorEastAsia"/>
          <w:sz w:val="24"/>
          <w:szCs w:val="24"/>
          <w:lang w:val="en-GB"/>
        </w:rPr>
        <w:t xml:space="preserve">, </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t</m:t>
            </m:r>
          </m:sub>
        </m:sSub>
      </m:oMath>
      <w:r w:rsidRPr="005110E0">
        <w:rPr>
          <w:rFonts w:eastAsiaTheme="minorEastAsia"/>
          <w:sz w:val="24"/>
          <w:szCs w:val="24"/>
          <w:lang w:val="en-GB"/>
        </w:rPr>
        <w:t xml:space="preserve">, </w:t>
      </w: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t</m:t>
            </m:r>
          </m:sub>
        </m:sSub>
      </m:oMath>
      <w:r w:rsidRPr="005110E0">
        <w:rPr>
          <w:rFonts w:eastAsiaTheme="minorEastAsia"/>
          <w:sz w:val="24"/>
          <w:szCs w:val="24"/>
          <w:lang w:val="en-GB"/>
        </w:rPr>
        <w:t xml:space="preserve">, </w:t>
      </w:r>
      <m:oMath>
        <m:sSub>
          <m:sSubPr>
            <m:ctrlPr>
              <w:rPr>
                <w:rFonts w:ascii="Cambria Math" w:hAnsi="Cambria Math"/>
                <w:i/>
                <w:sz w:val="24"/>
                <w:szCs w:val="24"/>
              </w:rPr>
            </m:ctrlPr>
          </m:sSubPr>
          <m:e>
            <m:r>
              <w:rPr>
                <w:rFonts w:ascii="Cambria Math" w:hAnsi="Cambria Math"/>
                <w:sz w:val="24"/>
                <w:szCs w:val="24"/>
              </w:rPr>
              <m:t>BCI</m:t>
            </m:r>
          </m:e>
          <m:sub>
            <m:r>
              <w:rPr>
                <w:rFonts w:ascii="Cambria Math" w:hAnsi="Cambria Math"/>
                <w:sz w:val="24"/>
                <w:szCs w:val="24"/>
              </w:rPr>
              <m:t>t</m:t>
            </m:r>
          </m:sub>
        </m:sSub>
      </m:oMath>
      <w:r w:rsidR="00AA57A9" w:rsidRPr="00AA57A9">
        <w:rPr>
          <w:rFonts w:eastAsiaTheme="minorEastAsia"/>
          <w:sz w:val="24"/>
          <w:szCs w:val="24"/>
          <w:lang w:val="en-GB"/>
        </w:rPr>
        <w:t>.</w:t>
      </w:r>
    </w:p>
    <w:p w14:paraId="3260D9C1" w14:textId="4C204160" w:rsidR="005110E0" w:rsidRDefault="005110E0" w:rsidP="005110E0">
      <w:pPr>
        <w:adjustRightInd w:val="0"/>
        <w:rPr>
          <w:sz w:val="24"/>
          <w:szCs w:val="24"/>
          <w:lang w:val="en-GB"/>
        </w:rPr>
      </w:pPr>
      <w:r w:rsidRPr="005110E0">
        <w:rPr>
          <w:bCs/>
          <w:sz w:val="24"/>
          <w:szCs w:val="24"/>
          <w:lang w:val="en-GB"/>
        </w:rPr>
        <w:t>Output:</w:t>
      </w:r>
      <w:r w:rsidRPr="005110E0">
        <w:rPr>
          <w:sz w:val="24"/>
          <w:szCs w:val="24"/>
          <w:lang w:val="en-GB"/>
        </w:rPr>
        <w:t xml:space="preserve"> </w:t>
      </w:r>
      <m:oMath>
        <m:sSub>
          <m:sSubPr>
            <m:ctrlPr>
              <w:rPr>
                <w:rFonts w:ascii="Cambria Math" w:hAnsi="Cambria Math"/>
                <w:i/>
                <w:sz w:val="24"/>
                <w:szCs w:val="24"/>
              </w:rPr>
            </m:ctrlPr>
          </m:sSubPr>
          <m:e>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t</m:t>
                </m:r>
              </m:sub>
            </m:sSub>
          </m:e>
          <m:sub>
            <m:r>
              <w:rPr>
                <w:rFonts w:ascii="Cambria Math" w:hAnsi="Cambria Math"/>
                <w:sz w:val="24"/>
                <w:szCs w:val="24"/>
                <w:lang w:val="en-GB"/>
              </w:rPr>
              <m:t xml:space="preserve"> </m:t>
            </m:r>
          </m:sub>
        </m:sSub>
        <m:r>
          <w:rPr>
            <w:rFonts w:ascii="Cambria Math" w:hAnsi="Cambria Math"/>
            <w:sz w:val="24"/>
            <w:szCs w:val="24"/>
            <w:lang w:val="en-GB"/>
          </w:rPr>
          <m:t xml:space="preserve">, </m:t>
        </m:r>
        <m:sSub>
          <m:sSubPr>
            <m:ctrlPr>
              <w:rPr>
                <w:rFonts w:ascii="Cambria Math" w:hAnsi="Cambria Math"/>
                <w:i/>
                <w:sz w:val="24"/>
                <w:szCs w:val="24"/>
              </w:rPr>
            </m:ctrlPr>
          </m:sSubPr>
          <m:e>
            <m:r>
              <w:rPr>
                <w:rFonts w:ascii="Cambria Math" w:hAnsi="Cambria Math"/>
                <w:sz w:val="24"/>
                <w:szCs w:val="24"/>
              </w:rPr>
              <m:t>SPURT</m:t>
            </m:r>
          </m:e>
          <m:sub>
            <m:r>
              <w:rPr>
                <w:rFonts w:ascii="Cambria Math" w:hAnsi="Cambria Math"/>
                <w:sz w:val="24"/>
                <w:szCs w:val="24"/>
              </w:rPr>
              <m:t>t</m:t>
            </m:r>
          </m:sub>
        </m:sSub>
      </m:oMath>
      <w:r w:rsidRPr="005110E0">
        <w:rPr>
          <w:rFonts w:eastAsiaTheme="minorEastAsia"/>
          <w:bCs/>
          <w:iCs/>
          <w:sz w:val="24"/>
          <w:szCs w:val="24"/>
          <w:lang w:val="en-GB"/>
        </w:rPr>
        <w:t>,</w:t>
      </w:r>
      <w:r w:rsidRPr="005110E0">
        <w:rPr>
          <w:sz w:val="24"/>
          <w:szCs w:val="24"/>
          <w:lang w:val="en-GB"/>
        </w:rPr>
        <w:t xml:space="preserve"> parameter estimates </w:t>
      </w:r>
      <w:r w:rsidR="0036450D">
        <w:rPr>
          <w:sz w:val="24"/>
          <w:szCs w:val="24"/>
          <w:lang w:val="en-GB"/>
        </w:rPr>
        <w:t>and</w:t>
      </w:r>
      <w:r w:rsidRPr="005110E0">
        <w:rPr>
          <w:sz w:val="24"/>
          <w:szCs w:val="24"/>
          <w:lang w:val="en-GB"/>
        </w:rPr>
        <w:t xml:space="preserve"> stat</w:t>
      </w:r>
      <w:r w:rsidR="0036450D">
        <w:rPr>
          <w:sz w:val="24"/>
          <w:szCs w:val="24"/>
          <w:lang w:val="en-GB"/>
        </w:rPr>
        <w:t>istic</w:t>
      </w:r>
      <w:r w:rsidRPr="005110E0">
        <w:rPr>
          <w:sz w:val="24"/>
          <w:szCs w:val="24"/>
          <w:lang w:val="en-GB"/>
        </w:rPr>
        <w:t>s</w:t>
      </w:r>
      <w:r w:rsidR="0036450D">
        <w:rPr>
          <w:sz w:val="24"/>
          <w:szCs w:val="24"/>
          <w:lang w:val="en-GB"/>
        </w:rPr>
        <w:t>.</w:t>
      </w:r>
    </w:p>
    <w:p w14:paraId="55A012E9" w14:textId="77777777" w:rsidR="00D169C6" w:rsidRPr="005110E0" w:rsidRDefault="00D169C6" w:rsidP="005110E0">
      <w:pPr>
        <w:adjustRightInd w:val="0"/>
        <w:rPr>
          <w:sz w:val="24"/>
          <w:szCs w:val="24"/>
          <w:lang w:val="en-GB"/>
        </w:rPr>
      </w:pPr>
    </w:p>
    <w:p w14:paraId="488E8F43" w14:textId="77777777" w:rsidR="005110E0" w:rsidRDefault="005110E0" w:rsidP="005110E0">
      <w:pPr>
        <w:pStyle w:val="ListParagraph"/>
        <w:widowControl/>
        <w:numPr>
          <w:ilvl w:val="0"/>
          <w:numId w:val="15"/>
        </w:numPr>
        <w:adjustRightInd w:val="0"/>
        <w:ind w:left="567" w:hanging="207"/>
        <w:contextualSpacing/>
        <w:jc w:val="both"/>
        <w:rPr>
          <w:rFonts w:cs="Times New Roman"/>
          <w:sz w:val="24"/>
          <w:szCs w:val="24"/>
        </w:rPr>
      </w:pPr>
      <w:r w:rsidRPr="005110E0">
        <w:rPr>
          <w:rFonts w:cs="Times New Roman"/>
          <w:sz w:val="24"/>
          <w:szCs w:val="24"/>
        </w:rPr>
        <w:t>Options</w:t>
      </w:r>
    </w:p>
    <w:p w14:paraId="62F0D780" w14:textId="77777777" w:rsidR="00FB2AF8" w:rsidRPr="005110E0" w:rsidRDefault="00FB2AF8" w:rsidP="00FB2AF8">
      <w:pPr>
        <w:pStyle w:val="ListParagraph"/>
        <w:widowControl/>
        <w:adjustRightInd w:val="0"/>
        <w:ind w:left="567" w:firstLine="0"/>
        <w:contextualSpacing/>
        <w:jc w:val="both"/>
        <w:rPr>
          <w:rFonts w:cs="Times New Roman"/>
          <w:sz w:val="24"/>
          <w:szCs w:val="24"/>
        </w:rPr>
      </w:pPr>
    </w:p>
    <w:p w14:paraId="201AE87D" w14:textId="77777777" w:rsidR="005110E0" w:rsidRPr="005110E0" w:rsidRDefault="005110E0" w:rsidP="005110E0">
      <w:pPr>
        <w:adjustRightInd w:val="0"/>
        <w:ind w:left="720"/>
        <w:jc w:val="both"/>
        <w:rPr>
          <w:sz w:val="24"/>
          <w:szCs w:val="24"/>
        </w:rPr>
      </w:pPr>
      <w:r w:rsidRPr="005110E0">
        <w:rPr>
          <w:sz w:val="24"/>
          <w:szCs w:val="24"/>
        </w:rPr>
        <w:t>Choose:</w:t>
      </w:r>
    </w:p>
    <w:p w14:paraId="4355D382" w14:textId="77777777" w:rsidR="005110E0" w:rsidRPr="005110E0" w:rsidRDefault="005110E0" w:rsidP="005110E0">
      <w:pPr>
        <w:pStyle w:val="ListParagraph"/>
        <w:widowControl/>
        <w:numPr>
          <w:ilvl w:val="0"/>
          <w:numId w:val="16"/>
        </w:numPr>
        <w:adjustRightInd w:val="0"/>
        <w:ind w:hanging="229"/>
        <w:contextualSpacing/>
        <w:jc w:val="both"/>
        <w:rPr>
          <w:rFonts w:cs="Times New Roman"/>
          <w:sz w:val="24"/>
          <w:szCs w:val="24"/>
          <w:lang w:val="en-GB"/>
        </w:rPr>
      </w:pPr>
      <w:r w:rsidRPr="005110E0">
        <w:rPr>
          <w:rFonts w:cs="Times New Roman"/>
          <w:sz w:val="24"/>
          <w:szCs w:val="24"/>
          <w:lang w:val="en-GB"/>
        </w:rPr>
        <w:t xml:space="preserve">Constant play interval, </w:t>
      </w:r>
      <m:oMath>
        <m:r>
          <w:rPr>
            <w:rFonts w:ascii="Cambria Math" w:hAnsi="Cambria Math" w:cs="Times New Roman"/>
            <w:sz w:val="24"/>
            <w:szCs w:val="24"/>
          </w:rPr>
          <m:t>γ</m:t>
        </m:r>
      </m:oMath>
      <w:r w:rsidRPr="005110E0">
        <w:rPr>
          <w:rFonts w:eastAsiaTheme="minorEastAsia" w:cs="Times New Roman"/>
          <w:sz w:val="24"/>
          <w:szCs w:val="24"/>
          <w:lang w:val="en-GB"/>
        </w:rPr>
        <w:t>,</w:t>
      </w:r>
      <w:r w:rsidRPr="005110E0">
        <w:rPr>
          <w:rFonts w:cs="Times New Roman"/>
          <w:sz w:val="24"/>
          <w:szCs w:val="24"/>
          <w:lang w:val="en-GB"/>
        </w:rPr>
        <w:t xml:space="preserve"> over the entire sample.</w:t>
      </w:r>
    </w:p>
    <w:p w14:paraId="4EA002BC" w14:textId="77777777" w:rsidR="005110E0" w:rsidRPr="005110E0" w:rsidRDefault="005110E0" w:rsidP="005110E0">
      <w:pPr>
        <w:pStyle w:val="ListParagraph"/>
        <w:widowControl/>
        <w:numPr>
          <w:ilvl w:val="0"/>
          <w:numId w:val="16"/>
        </w:numPr>
        <w:adjustRightInd w:val="0"/>
        <w:ind w:hanging="229"/>
        <w:contextualSpacing/>
        <w:jc w:val="both"/>
        <w:rPr>
          <w:rFonts w:cs="Times New Roman"/>
          <w:sz w:val="24"/>
          <w:szCs w:val="24"/>
          <w:lang w:val="en-GB"/>
        </w:rPr>
      </w:pPr>
      <w:r w:rsidRPr="005110E0">
        <w:rPr>
          <w:rFonts w:cs="Times New Roman"/>
          <w:sz w:val="24"/>
          <w:szCs w:val="24"/>
          <w:lang w:val="en-GB"/>
        </w:rPr>
        <w:t xml:space="preserve">Estimates with breaks in the play interval,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t</m:t>
            </m:r>
          </m:sub>
        </m:sSub>
      </m:oMath>
      <w:r w:rsidRPr="005110E0">
        <w:rPr>
          <w:rFonts w:eastAsiaTheme="minorEastAsia" w:cs="Times New Roman"/>
          <w:sz w:val="24"/>
          <w:szCs w:val="24"/>
          <w:lang w:val="en-GB"/>
        </w:rPr>
        <w:t xml:space="preserve">, </w:t>
      </w:r>
      <w:r w:rsidRPr="005110E0">
        <w:rPr>
          <w:rFonts w:cs="Times New Roman"/>
          <w:sz w:val="24"/>
          <w:szCs w:val="24"/>
          <w:lang w:val="en-GB"/>
        </w:rPr>
        <w:t>manually introduced (up to three).</w:t>
      </w:r>
    </w:p>
    <w:p w14:paraId="6B95BE56" w14:textId="77777777" w:rsidR="005110E0" w:rsidRPr="005110E0" w:rsidRDefault="005110E0" w:rsidP="005110E0">
      <w:pPr>
        <w:pStyle w:val="ListParagraph"/>
        <w:adjustRightInd w:val="0"/>
        <w:ind w:left="1080"/>
        <w:jc w:val="both"/>
        <w:rPr>
          <w:rFonts w:cs="Times New Roman"/>
          <w:sz w:val="24"/>
          <w:szCs w:val="24"/>
          <w:lang w:val="en-GB"/>
        </w:rPr>
      </w:pPr>
    </w:p>
    <w:p w14:paraId="6AB3D37D" w14:textId="77777777" w:rsidR="005110E0" w:rsidRPr="00FB2AF8" w:rsidRDefault="005110E0" w:rsidP="005110E0">
      <w:pPr>
        <w:pStyle w:val="ListParagraph"/>
        <w:widowControl/>
        <w:numPr>
          <w:ilvl w:val="0"/>
          <w:numId w:val="15"/>
        </w:numPr>
        <w:adjustRightInd w:val="0"/>
        <w:ind w:left="567" w:hanging="207"/>
        <w:contextualSpacing/>
        <w:jc w:val="both"/>
        <w:rPr>
          <w:rFonts w:cs="Times New Roman"/>
          <w:bCs/>
          <w:sz w:val="24"/>
          <w:szCs w:val="24"/>
        </w:rPr>
      </w:pPr>
      <w:r w:rsidRPr="005110E0">
        <w:rPr>
          <w:rFonts w:cs="Times New Roman"/>
          <w:sz w:val="24"/>
          <w:szCs w:val="24"/>
        </w:rPr>
        <w:t>Generation</w:t>
      </w:r>
    </w:p>
    <w:p w14:paraId="1F2DA1DB" w14:textId="77777777" w:rsidR="00FB2AF8" w:rsidRPr="005110E0" w:rsidRDefault="00FB2AF8" w:rsidP="00FB2AF8">
      <w:pPr>
        <w:pStyle w:val="ListParagraph"/>
        <w:widowControl/>
        <w:adjustRightInd w:val="0"/>
        <w:ind w:left="567" w:firstLine="0"/>
        <w:contextualSpacing/>
        <w:jc w:val="both"/>
        <w:rPr>
          <w:rFonts w:cs="Times New Roman"/>
          <w:bCs/>
          <w:sz w:val="24"/>
          <w:szCs w:val="24"/>
        </w:rPr>
      </w:pPr>
    </w:p>
    <w:p w14:paraId="0FC55222" w14:textId="5ABEEC31" w:rsidR="005110E0" w:rsidRPr="005110E0" w:rsidRDefault="005110E0" w:rsidP="005110E0">
      <w:pPr>
        <w:ind w:firstLine="709"/>
        <w:rPr>
          <w:rFonts w:eastAsiaTheme="minorEastAsia"/>
          <w:bCs/>
          <w:sz w:val="24"/>
          <w:szCs w:val="24"/>
          <w:lang w:val="en-GB"/>
        </w:rPr>
      </w:pPr>
      <w:r w:rsidRPr="005110E0">
        <w:rPr>
          <w:sz w:val="24"/>
          <w:szCs w:val="24"/>
          <w:lang w:val="en-GB"/>
        </w:rPr>
        <w:t xml:space="preserve">Generate grid of admissible values of the play interval, </w:t>
      </w:r>
      <m:oMath>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t</m:t>
            </m:r>
          </m:sub>
        </m:sSub>
      </m:oMath>
      <w:r w:rsidR="003A4F4F">
        <w:rPr>
          <w:rFonts w:eastAsiaTheme="minorEastAsia"/>
          <w:sz w:val="24"/>
          <w:szCs w:val="24"/>
          <w:lang w:val="en-GB"/>
        </w:rPr>
        <w:t>.</w:t>
      </w:r>
      <w:r w:rsidRPr="005110E0">
        <w:rPr>
          <w:rFonts w:eastAsiaTheme="minorEastAsia"/>
          <w:sz w:val="24"/>
          <w:szCs w:val="24"/>
          <w:lang w:val="en-GB"/>
        </w:rPr>
        <w:t xml:space="preserve"> </w:t>
      </w:r>
    </w:p>
    <w:p w14:paraId="1FEC8F29" w14:textId="77777777" w:rsidR="005110E0" w:rsidRPr="005110E0" w:rsidRDefault="005110E0" w:rsidP="005110E0">
      <w:pPr>
        <w:pStyle w:val="ListParagraph"/>
        <w:adjustRightInd w:val="0"/>
        <w:jc w:val="both"/>
        <w:rPr>
          <w:rFonts w:cs="Times New Roman"/>
          <w:sz w:val="24"/>
          <w:szCs w:val="24"/>
          <w:lang w:val="en-GB"/>
        </w:rPr>
      </w:pPr>
    </w:p>
    <w:p w14:paraId="513CE332" w14:textId="77777777" w:rsidR="005110E0" w:rsidRDefault="005110E0" w:rsidP="005110E0">
      <w:pPr>
        <w:pStyle w:val="ListParagraph"/>
        <w:widowControl/>
        <w:numPr>
          <w:ilvl w:val="0"/>
          <w:numId w:val="15"/>
        </w:numPr>
        <w:adjustRightInd w:val="0"/>
        <w:ind w:left="567" w:hanging="207"/>
        <w:contextualSpacing/>
        <w:jc w:val="both"/>
        <w:rPr>
          <w:rFonts w:cs="Times New Roman"/>
          <w:bCs/>
          <w:sz w:val="24"/>
          <w:szCs w:val="24"/>
        </w:rPr>
      </w:pPr>
      <w:r w:rsidRPr="005110E0">
        <w:rPr>
          <w:rFonts w:cs="Times New Roman"/>
          <w:bCs/>
          <w:sz w:val="24"/>
          <w:szCs w:val="24"/>
        </w:rPr>
        <w:t>Building</w:t>
      </w:r>
    </w:p>
    <w:p w14:paraId="0802AE0E" w14:textId="77777777" w:rsidR="00FB2AF8" w:rsidRPr="005110E0" w:rsidRDefault="00FB2AF8" w:rsidP="00FB2AF8">
      <w:pPr>
        <w:pStyle w:val="ListParagraph"/>
        <w:widowControl/>
        <w:adjustRightInd w:val="0"/>
        <w:ind w:left="567" w:firstLine="0"/>
        <w:contextualSpacing/>
        <w:jc w:val="both"/>
        <w:rPr>
          <w:rFonts w:cs="Times New Roman"/>
          <w:bCs/>
          <w:sz w:val="24"/>
          <w:szCs w:val="24"/>
        </w:rPr>
      </w:pPr>
    </w:p>
    <w:p w14:paraId="27E4E40F" w14:textId="77777777" w:rsidR="005110E0" w:rsidRPr="005110E0" w:rsidRDefault="005110E0" w:rsidP="005110E0">
      <w:pPr>
        <w:pStyle w:val="ListParagraph"/>
        <w:widowControl/>
        <w:numPr>
          <w:ilvl w:val="0"/>
          <w:numId w:val="18"/>
        </w:numPr>
        <w:tabs>
          <w:tab w:val="left" w:pos="993"/>
        </w:tabs>
        <w:autoSpaceDE/>
        <w:autoSpaceDN/>
        <w:ind w:left="284" w:firstLine="425"/>
        <w:rPr>
          <w:rFonts w:eastAsiaTheme="minorEastAsia" w:cs="Times New Roman"/>
          <w:bCs/>
          <w:sz w:val="24"/>
          <w:szCs w:val="24"/>
          <w:lang w:val="en-GB"/>
        </w:rPr>
      </w:pPr>
      <w:r w:rsidRPr="005110E0">
        <w:rPr>
          <w:rFonts w:cs="Times New Roman"/>
          <w:sz w:val="24"/>
          <w:szCs w:val="24"/>
          <w:lang w:val="en-GB"/>
        </w:rPr>
        <w:t xml:space="preserve">Execute a grid search over a set of admissible values of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t</m:t>
            </m:r>
          </m:sub>
        </m:sSub>
      </m:oMath>
      <w:r w:rsidRPr="005110E0">
        <w:rPr>
          <w:rFonts w:eastAsiaTheme="minorEastAsia" w:cs="Times New Roman"/>
          <w:sz w:val="24"/>
          <w:szCs w:val="24"/>
          <w:lang w:val="en-GB"/>
        </w:rPr>
        <w:t xml:space="preserve">, </w:t>
      </w:r>
    </w:p>
    <w:p w14:paraId="130DE6B3" w14:textId="1821784A" w:rsidR="005110E0" w:rsidRDefault="005110E0" w:rsidP="005110E0">
      <w:pPr>
        <w:pStyle w:val="ListParagraph"/>
        <w:widowControl/>
        <w:numPr>
          <w:ilvl w:val="0"/>
          <w:numId w:val="18"/>
        </w:numPr>
        <w:tabs>
          <w:tab w:val="left" w:pos="993"/>
        </w:tabs>
        <w:autoSpaceDE/>
        <w:autoSpaceDN/>
        <w:ind w:left="284" w:firstLine="425"/>
        <w:rPr>
          <w:rFonts w:eastAsiaTheme="minorEastAsia" w:cs="Times New Roman"/>
          <w:sz w:val="24"/>
          <w:szCs w:val="24"/>
          <w:lang w:val="en-GB"/>
        </w:rPr>
      </w:pPr>
      <w:r w:rsidRPr="005110E0">
        <w:rPr>
          <w:rFonts w:cs="Times New Roman"/>
          <w:sz w:val="24"/>
          <w:szCs w:val="24"/>
          <w:lang w:val="en-GB"/>
        </w:rPr>
        <w:t>Buil</w:t>
      </w:r>
      <w:r w:rsidR="00EE2298">
        <w:rPr>
          <w:rFonts w:cs="Times New Roman"/>
          <w:sz w:val="24"/>
          <w:szCs w:val="24"/>
          <w:lang w:val="en-GB"/>
        </w:rPr>
        <w:t>d</w:t>
      </w:r>
      <w:r w:rsidRPr="005110E0">
        <w:rPr>
          <w:rFonts w:cs="Times New Roman"/>
          <w:sz w:val="24"/>
          <w:szCs w:val="24"/>
          <w:lang w:val="en-GB"/>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SPURT</m:t>
            </m:r>
          </m:e>
          <m:sub>
            <m:r>
              <w:rPr>
                <w:rFonts w:ascii="Cambria Math" w:hAnsi="Cambria Math" w:cs="Times New Roman"/>
                <w:sz w:val="24"/>
                <w:szCs w:val="24"/>
              </w:rPr>
              <m:t>t</m:t>
            </m:r>
          </m:sub>
        </m:sSub>
        <m:r>
          <w:rPr>
            <w:rFonts w:ascii="Cambria Math" w:hAnsi="Cambria Math" w:cs="Times New Roman"/>
            <w:sz w:val="24"/>
            <w:szCs w:val="24"/>
            <w:lang w:val="en-GB"/>
          </w:rPr>
          <m:t>=</m:t>
        </m:r>
        <m:r>
          <w:rPr>
            <w:rFonts w:ascii="Cambria Math" w:hAnsi="Cambria Math" w:cs="Times New Roman"/>
            <w:sz w:val="24"/>
            <w:szCs w:val="24"/>
          </w:rPr>
          <m:t>f</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t</m:t>
                </m:r>
              </m:sub>
            </m:sSub>
            <m:r>
              <w:rPr>
                <w:rFonts w:ascii="Cambria Math" w:eastAsiaTheme="minorEastAsia" w:hAnsi="Cambria Math" w:cs="Times New Roman"/>
                <w:sz w:val="24"/>
                <w:szCs w:val="24"/>
                <w:lang w:val="en-GB"/>
              </w:rPr>
              <m:t xml:space="preserve">, </m:t>
            </m:r>
          </m:e>
        </m:d>
      </m:oMath>
      <w:r w:rsidRPr="005110E0">
        <w:rPr>
          <w:rFonts w:cs="Times New Roman"/>
          <w:sz w:val="24"/>
          <w:szCs w:val="24"/>
          <w:lang w:val="en-GB"/>
        </w:rPr>
        <w:t xml:space="preserve"> </w:t>
      </w:r>
      <w:r w:rsidRPr="005110E0">
        <w:rPr>
          <w:rFonts w:eastAsiaTheme="minorEastAsia" w:cs="Times New Roman"/>
          <w:bCs/>
          <w:iCs/>
          <w:sz w:val="24"/>
          <w:szCs w:val="24"/>
          <w:lang w:val="en-GB"/>
        </w:rPr>
        <w:t xml:space="preserve">for each </w:t>
      </w:r>
      <w:r w:rsidRPr="005110E0">
        <w:rPr>
          <w:rFonts w:cs="Times New Roman"/>
          <w:sz w:val="24"/>
          <w:szCs w:val="24"/>
          <w:lang w:val="en-GB"/>
        </w:rPr>
        <w:t xml:space="preserve">admissible value of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t</m:t>
            </m:r>
          </m:sub>
        </m:sSub>
      </m:oMath>
      <w:r w:rsidRPr="005110E0">
        <w:rPr>
          <w:rFonts w:eastAsiaTheme="minorEastAsia" w:cs="Times New Roman"/>
          <w:sz w:val="24"/>
          <w:szCs w:val="24"/>
          <w:lang w:val="en-GB"/>
        </w:rPr>
        <w:t>, from the grid</w:t>
      </w:r>
      <w:r w:rsidR="00880986">
        <w:rPr>
          <w:rFonts w:eastAsiaTheme="minorEastAsia" w:cs="Times New Roman"/>
          <w:sz w:val="24"/>
          <w:szCs w:val="24"/>
          <w:lang w:val="en-GB"/>
        </w:rPr>
        <w:t>.</w:t>
      </w:r>
    </w:p>
    <w:p w14:paraId="12C0257D" w14:textId="77777777" w:rsidR="00A07329" w:rsidRPr="005110E0" w:rsidRDefault="00A07329" w:rsidP="00A07329">
      <w:pPr>
        <w:pStyle w:val="ListParagraph"/>
        <w:widowControl/>
        <w:tabs>
          <w:tab w:val="left" w:pos="993"/>
        </w:tabs>
        <w:autoSpaceDE/>
        <w:autoSpaceDN/>
        <w:ind w:left="709" w:firstLine="0"/>
        <w:rPr>
          <w:rFonts w:eastAsiaTheme="minorEastAsia" w:cs="Times New Roman"/>
          <w:sz w:val="24"/>
          <w:szCs w:val="24"/>
          <w:lang w:val="en-GB"/>
        </w:rPr>
      </w:pPr>
    </w:p>
    <w:p w14:paraId="17580CF0" w14:textId="4EF0BB13" w:rsidR="005110E0" w:rsidRPr="005110E0" w:rsidRDefault="005110E0" w:rsidP="005110E0">
      <w:pPr>
        <w:pStyle w:val="ListParagraph"/>
        <w:tabs>
          <w:tab w:val="left" w:pos="993"/>
        </w:tabs>
        <w:ind w:left="709"/>
        <w:rPr>
          <w:rFonts w:eastAsiaTheme="minorEastAsia" w:cs="Times New Roman"/>
          <w:sz w:val="24"/>
          <w:szCs w:val="24"/>
          <w:lang w:val="en-GB"/>
        </w:rPr>
      </w:pPr>
      <w:r w:rsidRPr="005110E0">
        <w:rPr>
          <w:rFonts w:eastAsiaTheme="minorEastAsia" w:cs="Times New Roman"/>
          <w:sz w:val="24"/>
          <w:szCs w:val="24"/>
          <w:lang w:val="en-GB"/>
        </w:rPr>
        <w:tab/>
      </w:r>
      <w:r w:rsidRPr="005110E0">
        <w:rPr>
          <w:rFonts w:eastAsiaTheme="minorEastAsia" w:cs="Times New Roman"/>
          <w:bCs/>
          <w:iCs/>
          <w:sz w:val="24"/>
          <w:szCs w:val="24"/>
          <w:lang w:val="en-GB"/>
        </w:rPr>
        <w:t>(Belke and Göcke, 2001</w:t>
      </w:r>
      <w:r w:rsidR="00A07329">
        <w:rPr>
          <w:rFonts w:eastAsiaTheme="minorEastAsia" w:cs="Times New Roman"/>
          <w:bCs/>
          <w:iCs/>
          <w:sz w:val="24"/>
          <w:szCs w:val="24"/>
          <w:lang w:val="en-GB"/>
        </w:rPr>
        <w:t>b</w:t>
      </w:r>
      <w:r w:rsidRPr="005110E0">
        <w:rPr>
          <w:rFonts w:eastAsiaTheme="minorEastAsia" w:cs="Times New Roman"/>
          <w:bCs/>
          <w:iCs/>
          <w:sz w:val="24"/>
          <w:szCs w:val="24"/>
          <w:lang w:val="en-GB"/>
        </w:rPr>
        <w:t xml:space="preserve">, algorithm implemented in MATLAB by Mota </w:t>
      </w:r>
      <w:r w:rsidRPr="005110E0">
        <w:rPr>
          <w:rFonts w:eastAsiaTheme="minorEastAsia" w:cs="Times New Roman"/>
          <w:bCs/>
          <w:i/>
          <w:iCs/>
          <w:sz w:val="24"/>
          <w:szCs w:val="24"/>
          <w:lang w:val="en-GB"/>
        </w:rPr>
        <w:t>et al.</w:t>
      </w:r>
      <w:r w:rsidRPr="005110E0">
        <w:rPr>
          <w:rFonts w:eastAsiaTheme="minorEastAsia" w:cs="Times New Roman"/>
          <w:bCs/>
          <w:iCs/>
          <w:sz w:val="24"/>
          <w:szCs w:val="24"/>
          <w:lang w:val="en-GB"/>
        </w:rPr>
        <w:t xml:space="preserve"> 2012; 2015)</w:t>
      </w:r>
    </w:p>
    <w:p w14:paraId="27F51799" w14:textId="77777777" w:rsidR="005110E0" w:rsidRPr="005110E0" w:rsidRDefault="005110E0" w:rsidP="005110E0">
      <w:pPr>
        <w:pStyle w:val="ListParagraph"/>
        <w:adjustRightInd w:val="0"/>
        <w:jc w:val="both"/>
        <w:rPr>
          <w:rFonts w:cs="Times New Roman"/>
          <w:sz w:val="24"/>
          <w:szCs w:val="24"/>
          <w:lang w:val="en-GB"/>
        </w:rPr>
      </w:pPr>
    </w:p>
    <w:p w14:paraId="00971C35" w14:textId="77777777" w:rsidR="005110E0" w:rsidRDefault="005110E0" w:rsidP="005110E0">
      <w:pPr>
        <w:pStyle w:val="ListParagraph"/>
        <w:widowControl/>
        <w:numPr>
          <w:ilvl w:val="0"/>
          <w:numId w:val="15"/>
        </w:numPr>
        <w:adjustRightInd w:val="0"/>
        <w:ind w:left="567" w:hanging="207"/>
        <w:contextualSpacing/>
        <w:jc w:val="both"/>
        <w:rPr>
          <w:rFonts w:cs="Times New Roman"/>
          <w:bCs/>
          <w:sz w:val="24"/>
          <w:szCs w:val="24"/>
        </w:rPr>
      </w:pPr>
      <w:r w:rsidRPr="005110E0">
        <w:rPr>
          <w:rFonts w:cs="Times New Roman"/>
          <w:bCs/>
          <w:sz w:val="24"/>
          <w:szCs w:val="24"/>
        </w:rPr>
        <w:t>Estimation</w:t>
      </w:r>
    </w:p>
    <w:p w14:paraId="3835C1AB" w14:textId="77777777" w:rsidR="00FB2AF8" w:rsidRPr="005110E0" w:rsidRDefault="00FB2AF8" w:rsidP="00FB2AF8">
      <w:pPr>
        <w:pStyle w:val="ListParagraph"/>
        <w:widowControl/>
        <w:adjustRightInd w:val="0"/>
        <w:ind w:left="567" w:firstLine="0"/>
        <w:contextualSpacing/>
        <w:jc w:val="both"/>
        <w:rPr>
          <w:rFonts w:cs="Times New Roman"/>
          <w:bCs/>
          <w:sz w:val="24"/>
          <w:szCs w:val="24"/>
        </w:rPr>
      </w:pPr>
    </w:p>
    <w:p w14:paraId="4021C5A4" w14:textId="1A69D1FB" w:rsidR="005110E0" w:rsidRPr="00882AA9" w:rsidRDefault="005110E0" w:rsidP="005110E0">
      <w:pPr>
        <w:pStyle w:val="ListParagraph"/>
        <w:widowControl/>
        <w:numPr>
          <w:ilvl w:val="0"/>
          <w:numId w:val="17"/>
        </w:numPr>
        <w:tabs>
          <w:tab w:val="left" w:pos="993"/>
        </w:tabs>
        <w:autoSpaceDE/>
        <w:autoSpaceDN/>
        <w:ind w:firstLine="349"/>
        <w:rPr>
          <w:rFonts w:cs="Times New Roman"/>
          <w:bCs/>
          <w:iCs/>
          <w:sz w:val="24"/>
          <w:szCs w:val="24"/>
          <w:lang w:val="en-GB"/>
        </w:rPr>
      </w:pPr>
      <w:r w:rsidRPr="00882AA9">
        <w:rPr>
          <w:rFonts w:cs="Times New Roman"/>
          <w:sz w:val="24"/>
          <w:szCs w:val="24"/>
          <w:lang w:val="en-GB"/>
        </w:rPr>
        <w:t>Estimate Equation (</w:t>
      </w:r>
      <w:r w:rsidR="00267E6C">
        <w:rPr>
          <w:rFonts w:cs="Times New Roman"/>
          <w:sz w:val="24"/>
          <w:szCs w:val="24"/>
          <w:lang w:val="en-GB"/>
        </w:rPr>
        <w:t>3</w:t>
      </w:r>
      <w:r w:rsidR="000057A5" w:rsidRPr="00882AA9">
        <w:rPr>
          <w:rFonts w:cs="Times New Roman"/>
          <w:sz w:val="24"/>
          <w:szCs w:val="24"/>
          <w:lang w:val="en-GB"/>
        </w:rPr>
        <w:t>.1</w:t>
      </w:r>
      <w:r w:rsidRPr="00882AA9">
        <w:rPr>
          <w:rFonts w:cs="Times New Roman"/>
          <w:sz w:val="24"/>
          <w:szCs w:val="24"/>
          <w:lang w:val="en-GB"/>
        </w:rPr>
        <w:t>) by FM-OLS</w:t>
      </w:r>
    </w:p>
    <w:p w14:paraId="6AA7FABF" w14:textId="389B261B" w:rsidR="005110E0" w:rsidRPr="005110E0" w:rsidRDefault="005110E0" w:rsidP="005110E0">
      <w:pPr>
        <w:pStyle w:val="ListParagraph"/>
        <w:widowControl/>
        <w:numPr>
          <w:ilvl w:val="0"/>
          <w:numId w:val="17"/>
        </w:numPr>
        <w:tabs>
          <w:tab w:val="left" w:pos="993"/>
        </w:tabs>
        <w:autoSpaceDE/>
        <w:autoSpaceDN/>
        <w:ind w:firstLine="349"/>
        <w:rPr>
          <w:rFonts w:cs="Times New Roman"/>
          <w:sz w:val="24"/>
          <w:szCs w:val="24"/>
        </w:rPr>
      </w:pPr>
      <w:r w:rsidRPr="005110E0">
        <w:rPr>
          <w:rFonts w:cs="Times New Roman"/>
          <w:bCs/>
          <w:iCs/>
          <w:sz w:val="24"/>
          <w:szCs w:val="24"/>
        </w:rPr>
        <w:t xml:space="preserve">Compute the </w:t>
      </w:r>
      <m:oMath>
        <m:sSup>
          <m:sSupPr>
            <m:ctrlPr>
              <w:rPr>
                <w:rFonts w:ascii="Cambria Math" w:hAnsi="Cambria Math" w:cs="Times New Roman"/>
                <w:bCs/>
                <w:i/>
                <w:iCs/>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oMath>
      <w:r w:rsidRPr="005110E0">
        <w:rPr>
          <w:rFonts w:cs="Times New Roman"/>
          <w:bCs/>
          <w:iCs/>
          <w:sz w:val="24"/>
          <w:szCs w:val="24"/>
        </w:rPr>
        <w:t xml:space="preserve"> </w:t>
      </w:r>
    </w:p>
    <w:p w14:paraId="494B5258" w14:textId="77777777" w:rsidR="005110E0" w:rsidRPr="005110E0" w:rsidRDefault="005110E0" w:rsidP="005110E0">
      <w:pPr>
        <w:adjustRightInd w:val="0"/>
        <w:jc w:val="both"/>
        <w:rPr>
          <w:sz w:val="24"/>
          <w:szCs w:val="24"/>
        </w:rPr>
      </w:pPr>
    </w:p>
    <w:p w14:paraId="69A2D574" w14:textId="77777777" w:rsidR="005110E0" w:rsidRDefault="005110E0" w:rsidP="005110E0">
      <w:pPr>
        <w:pStyle w:val="ListParagraph"/>
        <w:widowControl/>
        <w:numPr>
          <w:ilvl w:val="0"/>
          <w:numId w:val="15"/>
        </w:numPr>
        <w:adjustRightInd w:val="0"/>
        <w:ind w:left="567" w:hanging="207"/>
        <w:contextualSpacing/>
        <w:jc w:val="both"/>
        <w:rPr>
          <w:rFonts w:cs="Times New Roman"/>
          <w:bCs/>
          <w:sz w:val="24"/>
          <w:szCs w:val="24"/>
        </w:rPr>
      </w:pPr>
      <w:r w:rsidRPr="005110E0">
        <w:rPr>
          <w:rFonts w:cs="Times New Roman"/>
          <w:bCs/>
          <w:sz w:val="24"/>
          <w:szCs w:val="24"/>
        </w:rPr>
        <w:t>Conclusion</w:t>
      </w:r>
    </w:p>
    <w:p w14:paraId="7B49B5C6" w14:textId="77777777" w:rsidR="00FB2AF8" w:rsidRPr="005110E0" w:rsidRDefault="00FB2AF8" w:rsidP="00FB2AF8">
      <w:pPr>
        <w:pStyle w:val="ListParagraph"/>
        <w:widowControl/>
        <w:adjustRightInd w:val="0"/>
        <w:ind w:left="567" w:firstLine="0"/>
        <w:contextualSpacing/>
        <w:jc w:val="both"/>
        <w:rPr>
          <w:rFonts w:cs="Times New Roman"/>
          <w:bCs/>
          <w:sz w:val="24"/>
          <w:szCs w:val="24"/>
        </w:rPr>
      </w:pPr>
    </w:p>
    <w:p w14:paraId="26E3BB07" w14:textId="7FD1B26A" w:rsidR="005110E0" w:rsidRPr="005110E0" w:rsidRDefault="005110E0" w:rsidP="005110E0">
      <w:pPr>
        <w:pStyle w:val="ListParagraph"/>
        <w:widowControl/>
        <w:numPr>
          <w:ilvl w:val="0"/>
          <w:numId w:val="19"/>
        </w:numPr>
        <w:tabs>
          <w:tab w:val="left" w:pos="993"/>
        </w:tabs>
        <w:autoSpaceDE/>
        <w:autoSpaceDN/>
        <w:ind w:firstLine="349"/>
        <w:rPr>
          <w:rFonts w:cs="Times New Roman"/>
          <w:sz w:val="24"/>
          <w:szCs w:val="24"/>
          <w:lang w:val="en-GB"/>
        </w:rPr>
      </w:pPr>
      <w:r w:rsidRPr="005110E0">
        <w:rPr>
          <w:rFonts w:cs="Times New Roman"/>
          <w:sz w:val="24"/>
          <w:szCs w:val="24"/>
          <w:lang w:val="en-GB"/>
        </w:rPr>
        <w:t xml:space="preserve">Chose </w:t>
      </w:r>
      <m:oMath>
        <m:sSub>
          <m:sSubPr>
            <m:ctrlPr>
              <w:rPr>
                <w:rFonts w:ascii="Cambria Math" w:hAnsi="Cambria Math" w:cs="Times New Roman"/>
                <w:i/>
                <w:sz w:val="24"/>
                <w:szCs w:val="24"/>
              </w:rPr>
            </m:ctrlPr>
          </m:sSubPr>
          <m:e>
            <m:r>
              <w:rPr>
                <w:rFonts w:ascii="Cambria Math" w:hAnsi="Cambria Math" w:cs="Times New Roman"/>
                <w:sz w:val="24"/>
                <w:szCs w:val="24"/>
              </w:rPr>
              <m:t>SPURT</m:t>
            </m:r>
          </m:e>
          <m:sub>
            <m:r>
              <w:rPr>
                <w:rFonts w:ascii="Cambria Math" w:hAnsi="Cambria Math" w:cs="Times New Roman"/>
                <w:sz w:val="24"/>
                <w:szCs w:val="24"/>
              </w:rPr>
              <m:t>t</m:t>
            </m:r>
          </m:sub>
        </m:sSub>
        <m:r>
          <w:rPr>
            <w:rFonts w:ascii="Cambria Math" w:hAnsi="Cambria Math" w:cs="Times New Roman"/>
            <w:sz w:val="24"/>
            <w:szCs w:val="24"/>
            <w:lang w:val="en-GB"/>
          </w:rPr>
          <m:t>=</m:t>
        </m:r>
        <m:r>
          <w:rPr>
            <w:rFonts w:ascii="Cambria Math" w:hAnsi="Cambria Math" w:cs="Times New Roman"/>
            <w:sz w:val="24"/>
            <w:szCs w:val="24"/>
          </w:rPr>
          <m:t>f</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t</m:t>
                </m:r>
              </m:sub>
            </m:sSub>
          </m:e>
        </m:d>
      </m:oMath>
      <w:r w:rsidRPr="005110E0">
        <w:rPr>
          <w:rFonts w:cs="Times New Roman"/>
          <w:sz w:val="24"/>
          <w:szCs w:val="24"/>
          <w:lang w:val="en-GB"/>
        </w:rPr>
        <w:t xml:space="preserve"> </w:t>
      </w:r>
      <w:r w:rsidRPr="005110E0">
        <w:rPr>
          <w:rFonts w:eastAsiaTheme="minorEastAsia" w:cs="Times New Roman"/>
          <w:bCs/>
          <w:iCs/>
          <w:sz w:val="24"/>
          <w:szCs w:val="24"/>
          <w:lang w:val="en-GB"/>
        </w:rPr>
        <w:t xml:space="preserve">that maximizes </w:t>
      </w:r>
      <w:r w:rsidRPr="005110E0">
        <w:rPr>
          <w:rFonts w:cs="Times New Roman"/>
          <w:bCs/>
          <w:iCs/>
          <w:sz w:val="24"/>
          <w:szCs w:val="24"/>
          <w:lang w:val="en-GB"/>
        </w:rPr>
        <w:t xml:space="preserve">the </w:t>
      </w:r>
      <m:oMath>
        <m:sSup>
          <m:sSupPr>
            <m:ctrlPr>
              <w:rPr>
                <w:rFonts w:ascii="Cambria Math" w:hAnsi="Cambria Math" w:cs="Times New Roman"/>
                <w:bCs/>
                <w:i/>
                <w:iCs/>
                <w:sz w:val="24"/>
                <w:szCs w:val="24"/>
              </w:rPr>
            </m:ctrlPr>
          </m:sSupPr>
          <m:e>
            <m:r>
              <w:rPr>
                <w:rFonts w:ascii="Cambria Math" w:hAnsi="Cambria Math" w:cs="Times New Roman"/>
                <w:sz w:val="24"/>
                <w:szCs w:val="24"/>
              </w:rPr>
              <m:t>R</m:t>
            </m:r>
          </m:e>
          <m:sup>
            <m:r>
              <w:rPr>
                <w:rFonts w:ascii="Cambria Math" w:hAnsi="Cambria Math" w:cs="Times New Roman"/>
                <w:sz w:val="24"/>
                <w:szCs w:val="24"/>
                <w:lang w:val="en-GB"/>
              </w:rPr>
              <m:t>2</m:t>
            </m:r>
          </m:sup>
        </m:sSup>
      </m:oMath>
      <w:r w:rsidRPr="005110E0">
        <w:rPr>
          <w:rFonts w:cs="Times New Roman"/>
          <w:bCs/>
          <w:iCs/>
          <w:sz w:val="24"/>
          <w:szCs w:val="24"/>
          <w:lang w:val="en-GB"/>
        </w:rPr>
        <w:t xml:space="preserve"> of Equation (</w:t>
      </w:r>
      <w:r w:rsidR="00F62D43">
        <w:rPr>
          <w:rFonts w:cs="Times New Roman"/>
          <w:bCs/>
          <w:iCs/>
          <w:sz w:val="24"/>
          <w:szCs w:val="24"/>
          <w:lang w:val="en-GB"/>
        </w:rPr>
        <w:t>3</w:t>
      </w:r>
      <w:r w:rsidR="00882AA9">
        <w:rPr>
          <w:rFonts w:cs="Times New Roman"/>
          <w:bCs/>
          <w:iCs/>
          <w:sz w:val="24"/>
          <w:szCs w:val="24"/>
          <w:lang w:val="en-GB"/>
        </w:rPr>
        <w:t>.1</w:t>
      </w:r>
      <w:r w:rsidRPr="005110E0">
        <w:rPr>
          <w:rFonts w:cs="Times New Roman"/>
          <w:bCs/>
          <w:iCs/>
          <w:sz w:val="24"/>
          <w:szCs w:val="24"/>
          <w:lang w:val="en-GB"/>
        </w:rPr>
        <w:t>)</w:t>
      </w:r>
    </w:p>
    <w:p w14:paraId="098AC700" w14:textId="52768443" w:rsidR="005110E0" w:rsidRPr="005110E0" w:rsidRDefault="005110E0" w:rsidP="005110E0">
      <w:pPr>
        <w:pStyle w:val="ListParagraph"/>
        <w:widowControl/>
        <w:numPr>
          <w:ilvl w:val="0"/>
          <w:numId w:val="19"/>
        </w:numPr>
        <w:tabs>
          <w:tab w:val="left" w:pos="993"/>
        </w:tabs>
        <w:autoSpaceDE/>
        <w:autoSpaceDN/>
        <w:ind w:firstLine="349"/>
        <w:rPr>
          <w:rFonts w:cs="Times New Roman"/>
          <w:sz w:val="24"/>
          <w:szCs w:val="24"/>
          <w:lang w:val="en-GB"/>
        </w:rPr>
      </w:pPr>
      <w:r w:rsidRPr="005110E0">
        <w:rPr>
          <w:rFonts w:eastAsiaTheme="minorEastAsia" w:cs="Times New Roman"/>
          <w:sz w:val="24"/>
          <w:szCs w:val="24"/>
          <w:lang w:val="en-GB"/>
        </w:rPr>
        <w:t xml:space="preserve">Get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t</m:t>
            </m:r>
          </m:sub>
        </m:sSub>
        <m:r>
          <w:rPr>
            <w:rFonts w:ascii="Cambria Math" w:hAnsi="Cambria Math" w:cs="Times New Roman"/>
            <w:sz w:val="24"/>
            <w:szCs w:val="24"/>
            <w:lang w:val="en-GB"/>
          </w:rPr>
          <m:t xml:space="preserve">, </m:t>
        </m:r>
        <m:sSub>
          <m:sSubPr>
            <m:ctrlPr>
              <w:rPr>
                <w:rFonts w:ascii="Cambria Math" w:hAnsi="Cambria Math" w:cs="Times New Roman"/>
                <w:i/>
                <w:sz w:val="24"/>
                <w:szCs w:val="24"/>
              </w:rPr>
            </m:ctrlPr>
          </m:sSubPr>
          <m:e>
            <m:r>
              <w:rPr>
                <w:rFonts w:ascii="Cambria Math" w:hAnsi="Cambria Math" w:cs="Times New Roman"/>
                <w:sz w:val="24"/>
                <w:szCs w:val="24"/>
              </w:rPr>
              <m:t>SPURT</m:t>
            </m:r>
          </m:e>
          <m:sub>
            <m:r>
              <w:rPr>
                <w:rFonts w:ascii="Cambria Math" w:hAnsi="Cambria Math" w:cs="Times New Roman"/>
                <w:sz w:val="24"/>
                <w:szCs w:val="24"/>
              </w:rPr>
              <m:t>t</m:t>
            </m:r>
          </m:sub>
        </m:sSub>
      </m:oMath>
      <w:r w:rsidRPr="005110E0">
        <w:rPr>
          <w:rFonts w:eastAsiaTheme="minorEastAsia" w:cs="Times New Roman"/>
          <w:bCs/>
          <w:iCs/>
          <w:sz w:val="24"/>
          <w:szCs w:val="24"/>
          <w:lang w:val="en-GB"/>
        </w:rPr>
        <w:t>,</w:t>
      </w:r>
      <w:r w:rsidRPr="005110E0">
        <w:rPr>
          <w:rFonts w:cs="Times New Roman"/>
          <w:sz w:val="24"/>
          <w:szCs w:val="24"/>
          <w:lang w:val="en-GB"/>
        </w:rPr>
        <w:t xml:space="preserve"> parameter estimates </w:t>
      </w:r>
      <w:r w:rsidR="00882AA9">
        <w:rPr>
          <w:rFonts w:cs="Times New Roman"/>
          <w:sz w:val="24"/>
          <w:szCs w:val="24"/>
          <w:lang w:val="en-GB"/>
        </w:rPr>
        <w:t>and</w:t>
      </w:r>
      <w:r w:rsidRPr="005110E0">
        <w:rPr>
          <w:rFonts w:cs="Times New Roman"/>
          <w:sz w:val="24"/>
          <w:szCs w:val="24"/>
          <w:lang w:val="en-GB"/>
        </w:rPr>
        <w:t xml:space="preserve"> stat</w:t>
      </w:r>
      <w:r w:rsidR="00882AA9">
        <w:rPr>
          <w:rFonts w:cs="Times New Roman"/>
          <w:sz w:val="24"/>
          <w:szCs w:val="24"/>
          <w:lang w:val="en-GB"/>
        </w:rPr>
        <w:t>i</w:t>
      </w:r>
      <w:r w:rsidRPr="005110E0">
        <w:rPr>
          <w:rFonts w:cs="Times New Roman"/>
          <w:sz w:val="24"/>
          <w:szCs w:val="24"/>
          <w:lang w:val="en-GB"/>
        </w:rPr>
        <w:t>s</w:t>
      </w:r>
      <w:r w:rsidR="00882AA9">
        <w:rPr>
          <w:rFonts w:cs="Times New Roman"/>
          <w:sz w:val="24"/>
          <w:szCs w:val="24"/>
          <w:lang w:val="en-GB"/>
        </w:rPr>
        <w:t>tics</w:t>
      </w:r>
      <w:r w:rsidR="009C1DE3">
        <w:rPr>
          <w:rFonts w:cs="Times New Roman"/>
          <w:sz w:val="24"/>
          <w:szCs w:val="24"/>
          <w:lang w:val="en-GB"/>
        </w:rPr>
        <w:t>.</w:t>
      </w:r>
    </w:p>
    <w:p w14:paraId="2C00FB1B" w14:textId="77777777" w:rsidR="005110E0" w:rsidRPr="005110E0" w:rsidRDefault="005110E0" w:rsidP="005110E0">
      <w:pPr>
        <w:pStyle w:val="ListParagraph"/>
        <w:pBdr>
          <w:bottom w:val="single" w:sz="12" w:space="1" w:color="auto"/>
        </w:pBdr>
        <w:adjustRightInd w:val="0"/>
        <w:ind w:left="993" w:hanging="993"/>
        <w:jc w:val="both"/>
        <w:rPr>
          <w:rFonts w:cs="Times New Roman"/>
          <w:sz w:val="24"/>
          <w:szCs w:val="24"/>
          <w:lang w:val="en-GB"/>
        </w:rPr>
      </w:pPr>
      <w:r w:rsidRPr="005110E0">
        <w:rPr>
          <w:rFonts w:cs="Times New Roman"/>
          <w:sz w:val="24"/>
          <w:szCs w:val="24"/>
          <w:lang w:val="en-GB"/>
        </w:rPr>
        <w:t xml:space="preserve"> </w:t>
      </w:r>
    </w:p>
    <w:p w14:paraId="3B7B748D" w14:textId="25860704" w:rsidR="005110E0" w:rsidRPr="005110E0" w:rsidRDefault="005110E0">
      <w:pPr>
        <w:rPr>
          <w:sz w:val="24"/>
          <w:szCs w:val="24"/>
          <w:lang w:val="en-GB"/>
        </w:rPr>
      </w:pPr>
      <w:r w:rsidRPr="005110E0">
        <w:rPr>
          <w:sz w:val="24"/>
          <w:szCs w:val="24"/>
          <w:lang w:val="en-GB"/>
        </w:rPr>
        <w:br w:type="page"/>
      </w:r>
    </w:p>
    <w:p w14:paraId="403F48DB" w14:textId="2E21C894" w:rsidR="00F92E1C" w:rsidRPr="0063438A" w:rsidRDefault="00851FAA" w:rsidP="007F36CD">
      <w:pPr>
        <w:pStyle w:val="Heading1"/>
        <w:spacing w:line="360" w:lineRule="auto"/>
        <w:ind w:left="0"/>
        <w:rPr>
          <w:b w:val="0"/>
          <w:bCs w:val="0"/>
          <w:sz w:val="24"/>
          <w:szCs w:val="24"/>
          <w:lang w:val="en-GB"/>
        </w:rPr>
      </w:pPr>
      <w:r w:rsidRPr="00877C70">
        <w:rPr>
          <w:lang w:val="en-GB"/>
        </w:rPr>
        <w:lastRenderedPageBreak/>
        <w:t>References</w:t>
      </w:r>
    </w:p>
    <w:p w14:paraId="11897588" w14:textId="77777777" w:rsidR="00877C70" w:rsidRPr="0063438A" w:rsidRDefault="00877C70" w:rsidP="007F36CD">
      <w:pPr>
        <w:pStyle w:val="BodyText"/>
        <w:spacing w:line="360" w:lineRule="auto"/>
        <w:rPr>
          <w:sz w:val="22"/>
          <w:szCs w:val="22"/>
          <w:lang w:val="en-GB"/>
        </w:rPr>
      </w:pPr>
    </w:p>
    <w:p w14:paraId="100B3E32" w14:textId="77F20C68" w:rsidR="001A2917" w:rsidRPr="00B50902" w:rsidRDefault="001A2917" w:rsidP="00B50902">
      <w:pPr>
        <w:pStyle w:val="BodyText"/>
        <w:spacing w:line="360" w:lineRule="auto"/>
        <w:jc w:val="both"/>
        <w:rPr>
          <w:rStyle w:val="Hyperlink"/>
          <w:rFonts w:eastAsia="SimSun"/>
          <w:kern w:val="1"/>
          <w:lang w:val="en-GB" w:eastAsia="pt-PT"/>
        </w:rPr>
      </w:pPr>
      <w:r w:rsidRPr="00B50902">
        <w:rPr>
          <w:rStyle w:val="doi"/>
          <w:lang w:val="en-GB"/>
        </w:rPr>
        <w:t>Adamonis, J.,</w:t>
      </w:r>
      <w:r w:rsidR="00D25A63" w:rsidRPr="00B50902">
        <w:rPr>
          <w:rStyle w:val="doi"/>
          <w:lang w:val="en-GB"/>
        </w:rPr>
        <w:t xml:space="preserve"> &amp; </w:t>
      </w:r>
      <w:r w:rsidR="00D25A63" w:rsidRPr="00B50902">
        <w:rPr>
          <w:rFonts w:eastAsia="SimSun"/>
          <w:kern w:val="1"/>
          <w:lang w:val="en-GB" w:eastAsia="pt-PT"/>
        </w:rPr>
        <w:t>Göcke, M. (2019). Modelling economic hysteresis losses caused by sunk adjustment costs</w:t>
      </w:r>
      <w:r w:rsidR="00BF1E25" w:rsidRPr="00B50902">
        <w:rPr>
          <w:rFonts w:eastAsia="SimSun"/>
          <w:kern w:val="1"/>
          <w:lang w:val="en-GB" w:eastAsia="pt-PT"/>
        </w:rPr>
        <w:t xml:space="preserve">. </w:t>
      </w:r>
      <w:r w:rsidR="00BF1E25" w:rsidRPr="00B50902">
        <w:rPr>
          <w:rFonts w:eastAsia="SimSun"/>
          <w:i/>
          <w:iCs/>
          <w:kern w:val="1"/>
          <w:lang w:val="en-GB" w:eastAsia="pt-PT"/>
        </w:rPr>
        <w:t>Journal of Post Keynesian Economics</w:t>
      </w:r>
      <w:r w:rsidR="00BF1E25" w:rsidRPr="00B50902">
        <w:rPr>
          <w:rFonts w:eastAsia="SimSun"/>
          <w:kern w:val="1"/>
          <w:lang w:val="en-GB" w:eastAsia="pt-PT"/>
        </w:rPr>
        <w:t>, 42(2)</w:t>
      </w:r>
      <w:r w:rsidR="00995D72" w:rsidRPr="00B50902">
        <w:rPr>
          <w:rFonts w:eastAsia="SimSun"/>
          <w:kern w:val="1"/>
          <w:lang w:val="en-GB" w:eastAsia="pt-PT"/>
        </w:rPr>
        <w:t xml:space="preserve">, 299-318. </w:t>
      </w:r>
      <w:hyperlink r:id="rId46" w:history="1">
        <w:r w:rsidR="00995D72" w:rsidRPr="00B50902">
          <w:rPr>
            <w:rStyle w:val="Hyperlink"/>
            <w:rFonts w:eastAsia="SimSun"/>
            <w:kern w:val="1"/>
            <w:lang w:val="en-GB" w:eastAsia="pt-PT"/>
          </w:rPr>
          <w:t>https://doi.org/10.1080/01603477.2017.1401902</w:t>
        </w:r>
      </w:hyperlink>
    </w:p>
    <w:p w14:paraId="654BA1A7" w14:textId="77777777" w:rsidR="00A85F1A" w:rsidRPr="00B50902" w:rsidRDefault="00A85F1A" w:rsidP="00B50902">
      <w:pPr>
        <w:pStyle w:val="BodyText"/>
        <w:spacing w:line="360" w:lineRule="auto"/>
        <w:jc w:val="both"/>
        <w:rPr>
          <w:rStyle w:val="Hyperlink"/>
          <w:rFonts w:eastAsia="SimSun"/>
          <w:kern w:val="1"/>
          <w:lang w:val="en-GB" w:eastAsia="pt-PT"/>
        </w:rPr>
      </w:pPr>
    </w:p>
    <w:p w14:paraId="0B3EF454" w14:textId="4A7EE07A" w:rsidR="00A85F1A" w:rsidRPr="00B50902" w:rsidRDefault="00A85F1A" w:rsidP="00B50902">
      <w:pPr>
        <w:pStyle w:val="BodyText"/>
        <w:spacing w:line="360" w:lineRule="auto"/>
        <w:jc w:val="both"/>
        <w:rPr>
          <w:rStyle w:val="doi"/>
          <w:lang w:val="en-GB"/>
        </w:rPr>
      </w:pPr>
      <w:r w:rsidRPr="00B50902">
        <w:rPr>
          <w:rStyle w:val="doi"/>
          <w:lang w:val="en-GB"/>
        </w:rPr>
        <w:t>Amable, B., Henry, J., Lordon, F. &amp; Topol, R. (199</w:t>
      </w:r>
      <w:r w:rsidR="00542EEF" w:rsidRPr="00B50902">
        <w:rPr>
          <w:rStyle w:val="doi"/>
          <w:lang w:val="en-GB"/>
        </w:rPr>
        <w:t>4</w:t>
      </w:r>
      <w:r w:rsidRPr="00B50902">
        <w:rPr>
          <w:rStyle w:val="doi"/>
          <w:lang w:val="en-GB"/>
        </w:rPr>
        <w:t xml:space="preserve">). Strong Hysteresis Versus Zero- Root Dynamics. </w:t>
      </w:r>
      <w:r w:rsidRPr="00B50902">
        <w:rPr>
          <w:rStyle w:val="doi"/>
          <w:i/>
          <w:iCs/>
          <w:lang w:val="en-GB"/>
        </w:rPr>
        <w:t xml:space="preserve">Economic Letters, </w:t>
      </w:r>
      <w:r w:rsidRPr="00B50902">
        <w:rPr>
          <w:rStyle w:val="doi"/>
          <w:lang w:val="en-GB"/>
        </w:rPr>
        <w:t xml:space="preserve">44(2), 43-47. </w:t>
      </w:r>
      <w:hyperlink r:id="rId47" w:tgtFrame="_blank" w:tooltip="Persistent link using digital object identifier" w:history="1">
        <w:r w:rsidRPr="00B50902">
          <w:rPr>
            <w:rStyle w:val="Hyperlink"/>
            <w:lang w:val="en-GB"/>
          </w:rPr>
          <w:t>https://doi.org/10.1016/0165-1765(93)00300-D</w:t>
        </w:r>
      </w:hyperlink>
    </w:p>
    <w:p w14:paraId="52861281" w14:textId="77777777" w:rsidR="00995D72" w:rsidRPr="00B50902" w:rsidRDefault="00995D72" w:rsidP="00B50902">
      <w:pPr>
        <w:pStyle w:val="BodyText"/>
        <w:spacing w:line="360" w:lineRule="auto"/>
        <w:jc w:val="both"/>
        <w:rPr>
          <w:rStyle w:val="doi"/>
          <w:lang w:val="en-GB"/>
        </w:rPr>
      </w:pPr>
    </w:p>
    <w:p w14:paraId="0DE62BB2" w14:textId="27B1007D" w:rsidR="00877C70" w:rsidRPr="00B50902" w:rsidRDefault="008142B6" w:rsidP="00B50902">
      <w:pPr>
        <w:pStyle w:val="BodyText"/>
        <w:spacing w:line="360" w:lineRule="auto"/>
        <w:jc w:val="both"/>
        <w:rPr>
          <w:rStyle w:val="doi"/>
          <w:lang w:val="en-GB"/>
        </w:rPr>
      </w:pPr>
      <w:r w:rsidRPr="00B50902">
        <w:rPr>
          <w:rStyle w:val="doi"/>
          <w:lang w:val="en-GB"/>
        </w:rPr>
        <w:t>Amable, B., Henry, J.</w:t>
      </w:r>
      <w:r w:rsidR="009A6C2C" w:rsidRPr="00B50902">
        <w:rPr>
          <w:rStyle w:val="doi"/>
          <w:lang w:val="en-GB"/>
        </w:rPr>
        <w:t>, Lordon, F. &amp; Topol, R. (199</w:t>
      </w:r>
      <w:r w:rsidR="00A66F0D" w:rsidRPr="00B50902">
        <w:rPr>
          <w:rStyle w:val="doi"/>
          <w:lang w:val="en-GB"/>
        </w:rPr>
        <w:t>5</w:t>
      </w:r>
      <w:r w:rsidR="009A6C2C" w:rsidRPr="00B50902">
        <w:rPr>
          <w:rStyle w:val="doi"/>
          <w:lang w:val="en-GB"/>
        </w:rPr>
        <w:t>).</w:t>
      </w:r>
      <w:r w:rsidR="00A66F0D" w:rsidRPr="00B50902">
        <w:rPr>
          <w:rStyle w:val="doi"/>
          <w:lang w:val="en-GB"/>
        </w:rPr>
        <w:t xml:space="preserve"> </w:t>
      </w:r>
      <w:r w:rsidR="00A66F0D" w:rsidRPr="00B50902">
        <w:rPr>
          <w:rStyle w:val="doi"/>
          <w:i/>
          <w:iCs/>
          <w:lang w:val="en-GB"/>
        </w:rPr>
        <w:t>Hysteresis Revisited: A Methodo</w:t>
      </w:r>
      <w:r w:rsidR="00C6065C" w:rsidRPr="00B50902">
        <w:rPr>
          <w:rStyle w:val="doi"/>
          <w:i/>
          <w:iCs/>
          <w:lang w:val="en-GB"/>
        </w:rPr>
        <w:t>logical Approach</w:t>
      </w:r>
      <w:r w:rsidR="00C6065C" w:rsidRPr="00B50902">
        <w:rPr>
          <w:rStyle w:val="doi"/>
          <w:lang w:val="en-GB"/>
        </w:rPr>
        <w:t>. Cambridge University Press</w:t>
      </w:r>
      <w:r w:rsidR="00481E40" w:rsidRPr="00B50902">
        <w:rPr>
          <w:rStyle w:val="doi"/>
          <w:lang w:val="en-GB"/>
        </w:rPr>
        <w:t>.</w:t>
      </w:r>
    </w:p>
    <w:p w14:paraId="63790A1A" w14:textId="77777777" w:rsidR="00895CB5" w:rsidRPr="00B50902" w:rsidRDefault="00895CB5" w:rsidP="00B50902">
      <w:pPr>
        <w:pStyle w:val="BodyText"/>
        <w:spacing w:line="360" w:lineRule="auto"/>
        <w:jc w:val="both"/>
        <w:rPr>
          <w:rStyle w:val="doi"/>
          <w:lang w:val="en-GB"/>
        </w:rPr>
      </w:pPr>
    </w:p>
    <w:p w14:paraId="03FD866E" w14:textId="1AE70708" w:rsidR="00895CB5" w:rsidRPr="00B50902" w:rsidRDefault="00895CB5" w:rsidP="00B50902">
      <w:pPr>
        <w:pStyle w:val="BodyText"/>
        <w:spacing w:line="360" w:lineRule="auto"/>
        <w:jc w:val="both"/>
        <w:rPr>
          <w:lang w:val="en-GB"/>
        </w:rPr>
      </w:pPr>
      <w:r w:rsidRPr="00B50902">
        <w:rPr>
          <w:lang w:val="en-GB"/>
        </w:rPr>
        <w:t xml:space="preserve">Baldwin, R. (1988). Hysteresis in Import Prices: The Beachhead Effect. </w:t>
      </w:r>
      <w:r w:rsidRPr="00B50902">
        <w:rPr>
          <w:i/>
          <w:iCs/>
          <w:lang w:val="en-GB"/>
        </w:rPr>
        <w:t xml:space="preserve">The American Economic Review, </w:t>
      </w:r>
      <w:r w:rsidRPr="00B50902">
        <w:rPr>
          <w:lang w:val="en-GB"/>
        </w:rPr>
        <w:t xml:space="preserve">78(4), 773-785. </w:t>
      </w:r>
      <w:hyperlink r:id="rId48" w:history="1">
        <w:r w:rsidRPr="00B50902">
          <w:rPr>
            <w:rStyle w:val="Hyperlink"/>
            <w:lang w:val="en-GB"/>
          </w:rPr>
          <w:t>https://www.jstor.org/stable/1811174</w:t>
        </w:r>
      </w:hyperlink>
    </w:p>
    <w:p w14:paraId="558954E2" w14:textId="77777777" w:rsidR="00895CB5" w:rsidRPr="00B50902" w:rsidRDefault="00895CB5" w:rsidP="00B50902">
      <w:pPr>
        <w:pStyle w:val="BodyText"/>
        <w:spacing w:line="360" w:lineRule="auto"/>
        <w:jc w:val="both"/>
        <w:rPr>
          <w:rStyle w:val="doi"/>
          <w:lang w:val="en-GB"/>
        </w:rPr>
      </w:pPr>
    </w:p>
    <w:p w14:paraId="23DC6AB2" w14:textId="4D5AFDED" w:rsidR="00895CB5" w:rsidRPr="00B50902" w:rsidRDefault="00895CB5" w:rsidP="00B50902">
      <w:pPr>
        <w:pStyle w:val="BodyText"/>
        <w:spacing w:line="360" w:lineRule="auto"/>
        <w:jc w:val="both"/>
        <w:rPr>
          <w:rStyle w:val="doi"/>
          <w:lang w:val="en-GB"/>
        </w:rPr>
      </w:pPr>
      <w:r w:rsidRPr="00B50902">
        <w:rPr>
          <w:lang w:val="en-GB"/>
        </w:rPr>
        <w:t xml:space="preserve">Baldwin, R., &amp; Krugman, P. (1989). Persistent Trade effects of Large Exchange Rate Shocks. </w:t>
      </w:r>
      <w:r w:rsidRPr="00B50902">
        <w:rPr>
          <w:i/>
          <w:iCs/>
          <w:lang w:val="en-GB"/>
        </w:rPr>
        <w:t xml:space="preserve">The Quarterly Journal of Economics, </w:t>
      </w:r>
      <w:r w:rsidRPr="00B50902">
        <w:rPr>
          <w:lang w:val="en-GB"/>
        </w:rPr>
        <w:t xml:space="preserve">104(4), 635-654. </w:t>
      </w:r>
      <w:hyperlink r:id="rId49" w:history="1">
        <w:r w:rsidRPr="00B50902">
          <w:rPr>
            <w:rStyle w:val="Hyperlink"/>
            <w:lang w:val="en-GB"/>
          </w:rPr>
          <w:t>https://doi.org/10.2307/2937860</w:t>
        </w:r>
      </w:hyperlink>
    </w:p>
    <w:p w14:paraId="575600AB" w14:textId="77777777" w:rsidR="008142B6" w:rsidRPr="00B50902" w:rsidRDefault="008142B6" w:rsidP="00B50902">
      <w:pPr>
        <w:pStyle w:val="BodyText"/>
        <w:spacing w:line="360" w:lineRule="auto"/>
        <w:jc w:val="both"/>
        <w:rPr>
          <w:lang w:val="en-GB"/>
        </w:rPr>
      </w:pPr>
    </w:p>
    <w:p w14:paraId="0774ED85" w14:textId="3311AA95" w:rsidR="00895CB5" w:rsidRPr="00B50902" w:rsidRDefault="00895CB5" w:rsidP="00B50902">
      <w:pPr>
        <w:pStyle w:val="BodyText"/>
        <w:spacing w:line="360" w:lineRule="auto"/>
        <w:jc w:val="both"/>
        <w:rPr>
          <w:color w:val="0000FF"/>
          <w:lang w:val="en-GB"/>
        </w:rPr>
      </w:pPr>
      <w:r w:rsidRPr="00B50902">
        <w:rPr>
          <w:lang w:val="en-GB"/>
        </w:rPr>
        <w:t xml:space="preserve">Bassi, F., &amp; Lang, D. (2016). Investment hysteresis and potential output: A post-Keynesian-Kaleckian agent-based approach. </w:t>
      </w:r>
      <w:r w:rsidRPr="00B50902">
        <w:rPr>
          <w:i/>
          <w:iCs/>
          <w:lang w:val="en-GB"/>
        </w:rPr>
        <w:t>Economic Modelling</w:t>
      </w:r>
      <w:r w:rsidRPr="00B50902">
        <w:rPr>
          <w:lang w:val="en-GB"/>
        </w:rPr>
        <w:t xml:space="preserve">, 52(A), 35-49. </w:t>
      </w:r>
      <w:hyperlink r:id="rId50" w:tgtFrame="_blank" w:tooltip="Persistent link using digital object identifier" w:history="1">
        <w:r w:rsidRPr="00B50902">
          <w:rPr>
            <w:rStyle w:val="anchor-text"/>
            <w:color w:val="0000FF"/>
            <w:lang w:val="en-GB"/>
          </w:rPr>
          <w:t>https://doi.org/10.1016/j.econmod.2015.06.022</w:t>
        </w:r>
      </w:hyperlink>
    </w:p>
    <w:p w14:paraId="51679040" w14:textId="77777777" w:rsidR="00895CB5" w:rsidRPr="00B50902" w:rsidRDefault="00895CB5" w:rsidP="00B50902">
      <w:pPr>
        <w:pStyle w:val="BodyText"/>
        <w:spacing w:line="360" w:lineRule="auto"/>
        <w:jc w:val="both"/>
        <w:rPr>
          <w:lang w:val="en-GB"/>
        </w:rPr>
      </w:pPr>
    </w:p>
    <w:p w14:paraId="5A8448A7" w14:textId="54197796" w:rsidR="00E43532" w:rsidRPr="00B50902" w:rsidRDefault="00E43532" w:rsidP="00B50902">
      <w:pPr>
        <w:pStyle w:val="BodyText"/>
        <w:spacing w:line="360" w:lineRule="auto"/>
        <w:jc w:val="both"/>
        <w:rPr>
          <w:lang w:val="en-GB"/>
        </w:rPr>
      </w:pPr>
      <w:r w:rsidRPr="00B50902">
        <w:rPr>
          <w:lang w:val="en-GB"/>
        </w:rPr>
        <w:t xml:space="preserve">Bats, J., &amp; Houben, A. (2020). Bank-based versus market-based financing: Implications for systemic risk. </w:t>
      </w:r>
      <w:r w:rsidRPr="00B50902">
        <w:rPr>
          <w:i/>
          <w:iCs/>
          <w:lang w:val="en-GB"/>
        </w:rPr>
        <w:t xml:space="preserve">Journal of Banking &amp; Finance, </w:t>
      </w:r>
      <w:r w:rsidRPr="00B50902">
        <w:rPr>
          <w:lang w:val="en-GB"/>
        </w:rPr>
        <w:t xml:space="preserve">114, 1-13. </w:t>
      </w:r>
      <w:hyperlink r:id="rId51" w:tgtFrame="_blank" w:tooltip="Persistent link using digital object identifier" w:history="1">
        <w:r w:rsidRPr="00B50902">
          <w:rPr>
            <w:rStyle w:val="anchor-text"/>
            <w:color w:val="0000FF"/>
            <w:u w:val="single"/>
            <w:lang w:val="en-GB"/>
          </w:rPr>
          <w:t>https://doi.org/10.1016/j.jbankfin.2020.105776</w:t>
        </w:r>
      </w:hyperlink>
    </w:p>
    <w:p w14:paraId="027841E3" w14:textId="77777777" w:rsidR="00E43532" w:rsidRPr="00B50902" w:rsidRDefault="00E43532" w:rsidP="00B50902">
      <w:pPr>
        <w:pStyle w:val="BodyText"/>
        <w:spacing w:line="360" w:lineRule="auto"/>
        <w:jc w:val="both"/>
        <w:rPr>
          <w:lang w:val="en-GB"/>
        </w:rPr>
      </w:pPr>
    </w:p>
    <w:p w14:paraId="676BF0BC" w14:textId="27444E30" w:rsidR="00115378" w:rsidRPr="00B50902" w:rsidRDefault="00115378" w:rsidP="00B50902">
      <w:pPr>
        <w:pStyle w:val="BodyText"/>
        <w:spacing w:line="360" w:lineRule="auto"/>
        <w:jc w:val="both"/>
        <w:rPr>
          <w:lang w:val="en-GB"/>
        </w:rPr>
      </w:pPr>
      <w:r w:rsidRPr="00B50902">
        <w:rPr>
          <w:lang w:val="en-GB"/>
        </w:rPr>
        <w:t>Becker, G. (1964)</w:t>
      </w:r>
      <w:r w:rsidR="002B0A79" w:rsidRPr="00B50902">
        <w:rPr>
          <w:lang w:val="en-GB"/>
        </w:rPr>
        <w:t>.</w:t>
      </w:r>
      <w:r w:rsidRPr="00B50902">
        <w:rPr>
          <w:lang w:val="en-GB"/>
        </w:rPr>
        <w:t xml:space="preserve"> </w:t>
      </w:r>
      <w:r w:rsidR="00312AFE" w:rsidRPr="00B50902">
        <w:rPr>
          <w:i/>
          <w:lang w:val="en-GB"/>
        </w:rPr>
        <w:t>Human Capital: A Theoretical and Empirical Analysis, with Special Reference to Education</w:t>
      </w:r>
      <w:r w:rsidRPr="00B50902">
        <w:rPr>
          <w:lang w:val="en-GB"/>
        </w:rPr>
        <w:t xml:space="preserve">. </w:t>
      </w:r>
      <w:r w:rsidR="00312AFE" w:rsidRPr="00B50902">
        <w:rPr>
          <w:lang w:val="en-GB"/>
        </w:rPr>
        <w:t>Columbia University Press</w:t>
      </w:r>
      <w:r w:rsidRPr="00B50902">
        <w:rPr>
          <w:lang w:val="en-GB"/>
        </w:rPr>
        <w:t>.</w:t>
      </w:r>
    </w:p>
    <w:p w14:paraId="15B653DF" w14:textId="77777777" w:rsidR="00353E6F" w:rsidRPr="00B50902" w:rsidRDefault="00353E6F" w:rsidP="00B50902">
      <w:pPr>
        <w:pStyle w:val="BodyText"/>
        <w:spacing w:line="360" w:lineRule="auto"/>
        <w:jc w:val="both"/>
        <w:rPr>
          <w:lang w:val="en-GB"/>
        </w:rPr>
      </w:pPr>
    </w:p>
    <w:p w14:paraId="4FBEB7B7" w14:textId="47C9E8A0" w:rsidR="00353E6F" w:rsidRPr="00B50902" w:rsidRDefault="00353E6F" w:rsidP="00B50902">
      <w:pPr>
        <w:pStyle w:val="BodyText"/>
        <w:spacing w:line="360" w:lineRule="auto"/>
        <w:jc w:val="both"/>
        <w:rPr>
          <w:rStyle w:val="Hyperlink"/>
          <w:lang w:val="en-GB"/>
        </w:rPr>
      </w:pPr>
      <w:r w:rsidRPr="00B50902">
        <w:rPr>
          <w:lang w:val="en-GB"/>
        </w:rPr>
        <w:t>Belke, A., &amp; Göcke, M. (1999). A Simple Model of Hysteresis in Employment under Exchange Rate Uncertainty.</w:t>
      </w:r>
      <w:r w:rsidRPr="00B50902">
        <w:rPr>
          <w:i/>
          <w:iCs/>
          <w:lang w:val="en-GB"/>
        </w:rPr>
        <w:t xml:space="preserve"> Scottish Journal of Political Economy</w:t>
      </w:r>
      <w:r w:rsidRPr="00B50902">
        <w:rPr>
          <w:lang w:val="en-GB"/>
        </w:rPr>
        <w:t xml:space="preserve">, 46(3), 260-286. </w:t>
      </w:r>
      <w:hyperlink r:id="rId52" w:history="1">
        <w:r w:rsidRPr="00B50902">
          <w:rPr>
            <w:rStyle w:val="Hyperlink"/>
            <w:lang w:val="en-GB"/>
          </w:rPr>
          <w:t>https://doi.org/10.1111/1467-9485.00132</w:t>
        </w:r>
      </w:hyperlink>
    </w:p>
    <w:p w14:paraId="6855386B" w14:textId="77777777" w:rsidR="00EB0F48" w:rsidRPr="00B50902" w:rsidRDefault="00EB0F48" w:rsidP="00B50902">
      <w:pPr>
        <w:pStyle w:val="BodyText"/>
        <w:spacing w:line="360" w:lineRule="auto"/>
        <w:jc w:val="both"/>
        <w:rPr>
          <w:rStyle w:val="Hyperlink"/>
          <w:lang w:val="en-GB"/>
        </w:rPr>
      </w:pPr>
    </w:p>
    <w:p w14:paraId="4BB6F10A" w14:textId="75B5411C" w:rsidR="00EB0F48" w:rsidRPr="00B50902" w:rsidRDefault="00EB0F48" w:rsidP="00B50902">
      <w:pPr>
        <w:pStyle w:val="BodyText"/>
        <w:spacing w:line="360" w:lineRule="auto"/>
        <w:jc w:val="both"/>
        <w:rPr>
          <w:rStyle w:val="Hyperlink"/>
          <w:lang w:val="en-GB"/>
        </w:rPr>
      </w:pPr>
      <w:r w:rsidRPr="00B50902">
        <w:rPr>
          <w:lang w:val="en-GB"/>
        </w:rPr>
        <w:lastRenderedPageBreak/>
        <w:t>Belke, A., &amp; Göcke, M. (2001</w:t>
      </w:r>
      <w:r w:rsidR="008A3B38" w:rsidRPr="00B50902">
        <w:rPr>
          <w:lang w:val="en-GB"/>
        </w:rPr>
        <w:t>a</w:t>
      </w:r>
      <w:r w:rsidRPr="00B50902">
        <w:rPr>
          <w:lang w:val="en-GB"/>
        </w:rPr>
        <w:t>). Exchange Rate Uncertainty and play nonlinearity in aggregate employment.</w:t>
      </w:r>
      <w:r w:rsidRPr="00B50902">
        <w:rPr>
          <w:i/>
          <w:iCs/>
          <w:lang w:val="en-GB"/>
        </w:rPr>
        <w:t xml:space="preserve"> International Advances in Economic Research</w:t>
      </w:r>
      <w:r w:rsidRPr="00B50902">
        <w:rPr>
          <w:lang w:val="en-GB"/>
        </w:rPr>
        <w:t xml:space="preserve">, 7(1), 38-50. </w:t>
      </w:r>
      <w:hyperlink r:id="rId53" w:history="1">
        <w:r w:rsidRPr="00B50902">
          <w:rPr>
            <w:rStyle w:val="Hyperlink"/>
            <w:lang w:val="en-GB"/>
          </w:rPr>
          <w:t>https://doi.org/10.1007/BF02296590</w:t>
        </w:r>
      </w:hyperlink>
    </w:p>
    <w:p w14:paraId="51B774F0" w14:textId="77777777" w:rsidR="008A3B38" w:rsidRPr="00B50902" w:rsidRDefault="008A3B38" w:rsidP="00B50902">
      <w:pPr>
        <w:pStyle w:val="BodyText"/>
        <w:spacing w:line="360" w:lineRule="auto"/>
        <w:jc w:val="both"/>
        <w:rPr>
          <w:rStyle w:val="Hyperlink"/>
          <w:lang w:val="en-GB"/>
        </w:rPr>
      </w:pPr>
    </w:p>
    <w:p w14:paraId="6404769B" w14:textId="023BCD75" w:rsidR="008A3B38" w:rsidRPr="00B50902" w:rsidRDefault="008A3B38" w:rsidP="00B50902">
      <w:pPr>
        <w:pStyle w:val="BodyText"/>
        <w:spacing w:line="360" w:lineRule="auto"/>
        <w:jc w:val="both"/>
        <w:rPr>
          <w:lang w:val="en-GB"/>
        </w:rPr>
      </w:pPr>
      <w:r w:rsidRPr="00B50902">
        <w:rPr>
          <w:lang w:val="en-GB"/>
        </w:rPr>
        <w:t>Belke, A., &amp; Göcke, M. (2001b). Exchange rate uncertainty and employment: an algorithm describing ‘play’.</w:t>
      </w:r>
      <w:r w:rsidRPr="00B50902">
        <w:rPr>
          <w:i/>
          <w:iCs/>
          <w:lang w:val="en-GB"/>
        </w:rPr>
        <w:t xml:space="preserve"> Applied Stochastic Models in Business and Industry</w:t>
      </w:r>
      <w:r w:rsidRPr="00B50902">
        <w:rPr>
          <w:lang w:val="en-GB"/>
        </w:rPr>
        <w:t xml:space="preserve">, 17(2), 181-204. </w:t>
      </w:r>
      <w:hyperlink r:id="rId54" w:history="1">
        <w:r w:rsidRPr="00B50902">
          <w:rPr>
            <w:rStyle w:val="Hyperlink"/>
            <w:lang w:val="en-GB"/>
          </w:rPr>
          <w:t>https://doi.org/10.1002/asmb.436</w:t>
        </w:r>
      </w:hyperlink>
    </w:p>
    <w:p w14:paraId="192ABEA8" w14:textId="77777777" w:rsidR="009B4D07" w:rsidRPr="00B50902" w:rsidRDefault="009B4D07" w:rsidP="00B50902">
      <w:pPr>
        <w:pStyle w:val="BodyText"/>
        <w:spacing w:line="360" w:lineRule="auto"/>
        <w:jc w:val="both"/>
        <w:rPr>
          <w:rFonts w:eastAsiaTheme="minorHAnsi" w:cs="ArialMT"/>
          <w:lang w:val="en-GB"/>
        </w:rPr>
      </w:pPr>
    </w:p>
    <w:p w14:paraId="02E5B445" w14:textId="77777777" w:rsidR="00353E6F" w:rsidRPr="00834306" w:rsidRDefault="00353E6F" w:rsidP="00B50902">
      <w:pPr>
        <w:pStyle w:val="BodyText"/>
        <w:spacing w:line="360" w:lineRule="auto"/>
        <w:jc w:val="both"/>
        <w:rPr>
          <w:lang w:val="en-GB"/>
        </w:rPr>
      </w:pPr>
      <w:r w:rsidRPr="00B50902">
        <w:rPr>
          <w:lang w:val="en-GB"/>
        </w:rPr>
        <w:t>Belke, A., Göcke, M., &amp; Günther, M. (2013). Exchange rates of inaction and play-hysteresis in German exports- Sectoral evidence for some OECD destinations.</w:t>
      </w:r>
      <w:r w:rsidRPr="00B50902">
        <w:rPr>
          <w:i/>
          <w:iCs/>
          <w:lang w:val="en-GB"/>
        </w:rPr>
        <w:t xml:space="preserve"> </w:t>
      </w:r>
      <w:r w:rsidRPr="00834306">
        <w:rPr>
          <w:i/>
          <w:iCs/>
          <w:lang w:val="en-GB"/>
        </w:rPr>
        <w:t xml:space="preserve">Metroeconomica, </w:t>
      </w:r>
      <w:r w:rsidRPr="00834306">
        <w:rPr>
          <w:lang w:val="en-GB"/>
        </w:rPr>
        <w:t xml:space="preserve">64(1), 152-179. </w:t>
      </w:r>
      <w:hyperlink r:id="rId55" w:history="1">
        <w:r w:rsidRPr="00834306">
          <w:rPr>
            <w:rStyle w:val="Hyperlink"/>
            <w:lang w:val="en-GB"/>
          </w:rPr>
          <w:t>https://doi.org/10.1111/meca.12000</w:t>
        </w:r>
      </w:hyperlink>
    </w:p>
    <w:p w14:paraId="36735DE4" w14:textId="77777777" w:rsidR="00353E6F" w:rsidRPr="00B50902" w:rsidRDefault="00353E6F" w:rsidP="00B50902">
      <w:pPr>
        <w:pStyle w:val="BodyText"/>
        <w:spacing w:line="360" w:lineRule="auto"/>
        <w:jc w:val="both"/>
        <w:rPr>
          <w:rFonts w:eastAsiaTheme="minorHAnsi" w:cs="ArialMT"/>
          <w:lang w:val="en-GB"/>
        </w:rPr>
      </w:pPr>
    </w:p>
    <w:p w14:paraId="589F2BBE" w14:textId="6C5E2FB8" w:rsidR="009909E7" w:rsidRPr="00B50902" w:rsidRDefault="009909E7" w:rsidP="00B50902">
      <w:pPr>
        <w:pStyle w:val="BodyText"/>
        <w:spacing w:line="360" w:lineRule="auto"/>
        <w:jc w:val="both"/>
        <w:rPr>
          <w:rStyle w:val="Hyperlink"/>
          <w:u w:val="none"/>
          <w:lang w:val="en-GB"/>
        </w:rPr>
      </w:pPr>
      <w:r w:rsidRPr="00B50902">
        <w:rPr>
          <w:lang w:val="en-GB"/>
        </w:rPr>
        <w:t>Belke, A., &amp; G</w:t>
      </w:r>
      <w:bookmarkStart w:id="25" w:name="_Hlk129613285"/>
      <w:r w:rsidRPr="00B50902">
        <w:rPr>
          <w:lang w:val="en-GB"/>
        </w:rPr>
        <w:t>ö</w:t>
      </w:r>
      <w:bookmarkEnd w:id="25"/>
      <w:r w:rsidRPr="00B50902">
        <w:rPr>
          <w:lang w:val="en-GB"/>
        </w:rPr>
        <w:t>cke, M. (2019). Interest Rate Hysteresis in Macroeconomic Investment under Uncertainty.</w:t>
      </w:r>
      <w:r w:rsidRPr="00B50902">
        <w:rPr>
          <w:i/>
          <w:iCs/>
          <w:lang w:val="en-GB"/>
        </w:rPr>
        <w:t xml:space="preserve"> Institute of Labor Economics</w:t>
      </w:r>
      <w:r w:rsidRPr="00B50902">
        <w:rPr>
          <w:lang w:val="en-GB"/>
        </w:rPr>
        <w:t>.</w:t>
      </w:r>
      <w:r w:rsidR="005A5B9B" w:rsidRPr="00B50902">
        <w:rPr>
          <w:lang w:val="en-GB"/>
        </w:rPr>
        <w:t xml:space="preserve"> No. 12566.</w:t>
      </w:r>
      <w:r w:rsidRPr="00B50902">
        <w:rPr>
          <w:lang w:val="en-GB"/>
        </w:rPr>
        <w:t xml:space="preserve"> </w:t>
      </w:r>
      <w:hyperlink r:id="rId56" w:tgtFrame="_blank" w:history="1">
        <w:r w:rsidRPr="00B50902">
          <w:rPr>
            <w:rStyle w:val="Hyperlink"/>
            <w:u w:val="none"/>
            <w:lang w:val="en-GB"/>
          </w:rPr>
          <w:t xml:space="preserve">http://dx.doi.org/10.2139/ssrn.3445832 </w:t>
        </w:r>
      </w:hyperlink>
    </w:p>
    <w:p w14:paraId="357D89C9" w14:textId="77777777" w:rsidR="004843E2" w:rsidRPr="00834306" w:rsidRDefault="004843E2" w:rsidP="00B50902">
      <w:pPr>
        <w:pStyle w:val="BodyText"/>
        <w:spacing w:line="360" w:lineRule="auto"/>
        <w:jc w:val="both"/>
        <w:rPr>
          <w:lang w:val="en-GB"/>
        </w:rPr>
      </w:pPr>
    </w:p>
    <w:p w14:paraId="0A69AF8B" w14:textId="62148D94" w:rsidR="004843E2" w:rsidRPr="00B50902" w:rsidRDefault="004843E2" w:rsidP="00B50902">
      <w:pPr>
        <w:pStyle w:val="BodyText"/>
        <w:spacing w:line="360" w:lineRule="auto"/>
        <w:jc w:val="both"/>
        <w:rPr>
          <w:rStyle w:val="Hyperlink"/>
          <w:rFonts w:eastAsiaTheme="minorHAnsi" w:cs="ArialMT"/>
          <w:u w:val="none"/>
          <w:lang w:val="en-GB"/>
        </w:rPr>
      </w:pPr>
      <w:r w:rsidRPr="00834306">
        <w:rPr>
          <w:lang w:val="en-GB"/>
        </w:rPr>
        <w:t xml:space="preserve">Belke, A., Frenzel Baudish, C., &amp; Göcke, M. (2019). </w:t>
      </w:r>
      <w:r w:rsidRPr="00B50902">
        <w:rPr>
          <w:lang w:val="en-GB"/>
        </w:rPr>
        <w:t>Interest Rate Bands of Inaction and Play-Hysteresis in Domestic Investment: Evidence for the Euro Area.</w:t>
      </w:r>
      <w:r w:rsidRPr="00B50902">
        <w:rPr>
          <w:i/>
          <w:iCs/>
          <w:lang w:val="en-GB"/>
        </w:rPr>
        <w:t xml:space="preserve"> </w:t>
      </w:r>
      <w:r w:rsidR="0063547D" w:rsidRPr="00B50902">
        <w:rPr>
          <w:i/>
          <w:iCs/>
          <w:lang w:val="en-GB"/>
        </w:rPr>
        <w:t>Journal of Economic Behavior &amp; Organization</w:t>
      </w:r>
      <w:r w:rsidR="0063547D" w:rsidRPr="00B50902">
        <w:rPr>
          <w:lang w:val="en-GB"/>
        </w:rPr>
        <w:t>, 175(2020), 19-39.</w:t>
      </w:r>
      <w:r w:rsidRPr="00B50902">
        <w:rPr>
          <w:lang w:val="en-GB"/>
        </w:rPr>
        <w:t xml:space="preserve"> </w:t>
      </w:r>
      <w:hyperlink r:id="rId57" w:tgtFrame="_blank" w:tooltip="Persistent link using digital object identifier" w:history="1">
        <w:r w:rsidR="009B05A3" w:rsidRPr="00834306">
          <w:rPr>
            <w:rStyle w:val="anchor-text"/>
            <w:color w:val="0000FF"/>
            <w:u w:val="single"/>
            <w:lang w:val="en-GB"/>
          </w:rPr>
          <w:t>https://doi.org/10.1016/j.jebo.2020.03.030</w:t>
        </w:r>
      </w:hyperlink>
    </w:p>
    <w:p w14:paraId="0578F079" w14:textId="77777777" w:rsidR="00F643C5" w:rsidRPr="00B50902" w:rsidRDefault="00F643C5" w:rsidP="00B50902">
      <w:pPr>
        <w:pStyle w:val="BodyText"/>
        <w:spacing w:line="360" w:lineRule="auto"/>
        <w:jc w:val="both"/>
        <w:rPr>
          <w:rStyle w:val="Hyperlink"/>
          <w:rFonts w:eastAsiaTheme="minorHAnsi" w:cs="ArialMT"/>
          <w:u w:val="none"/>
          <w:lang w:val="en-GB"/>
        </w:rPr>
      </w:pPr>
    </w:p>
    <w:p w14:paraId="049473AE" w14:textId="41584A84" w:rsidR="00F643C5" w:rsidRPr="00834306" w:rsidRDefault="00F643C5" w:rsidP="00B50902">
      <w:pPr>
        <w:pStyle w:val="BodyText"/>
        <w:spacing w:line="360" w:lineRule="auto"/>
        <w:jc w:val="both"/>
        <w:rPr>
          <w:lang w:val="en-GB"/>
        </w:rPr>
      </w:pPr>
      <w:r w:rsidRPr="00B50902">
        <w:rPr>
          <w:lang w:val="en-GB"/>
        </w:rPr>
        <w:t xml:space="preserve">Belke, A., &amp; Göcke, M. (2021). Interest Rate and Macroeconomic Investment under Uncertainty. </w:t>
      </w:r>
      <w:r w:rsidRPr="00B50902">
        <w:rPr>
          <w:i/>
          <w:iCs/>
          <w:lang w:val="en-GB"/>
        </w:rPr>
        <w:t>Credit and Capital Markets</w:t>
      </w:r>
      <w:r w:rsidRPr="00B50902">
        <w:rPr>
          <w:lang w:val="en-GB"/>
        </w:rPr>
        <w:t xml:space="preserve">, 54(3), 319-345. </w:t>
      </w:r>
      <w:hyperlink r:id="rId58" w:history="1">
        <w:r w:rsidRPr="00B50902">
          <w:rPr>
            <w:rStyle w:val="Hyperlink"/>
            <w:lang w:val="en-GB"/>
          </w:rPr>
          <w:t>https://doi.org/</w:t>
        </w:r>
        <w:r w:rsidRPr="00834306">
          <w:rPr>
            <w:rStyle w:val="Hyperlink"/>
            <w:lang w:val="en-GB"/>
          </w:rPr>
          <w:t>10.3790/ccm.54.3.319</w:t>
        </w:r>
      </w:hyperlink>
    </w:p>
    <w:p w14:paraId="5BE4DF81" w14:textId="0A2E1B50" w:rsidR="00FB31C7" w:rsidRPr="00B50902" w:rsidRDefault="00FB31C7" w:rsidP="00B50902">
      <w:pPr>
        <w:pStyle w:val="BodyText"/>
        <w:spacing w:line="360" w:lineRule="auto"/>
        <w:jc w:val="both"/>
        <w:rPr>
          <w:lang w:val="en-GB"/>
        </w:rPr>
      </w:pPr>
    </w:p>
    <w:p w14:paraId="473883AC" w14:textId="133C541F" w:rsidR="00895CB5" w:rsidRPr="00B50902" w:rsidRDefault="00895CB5" w:rsidP="00B50902">
      <w:pPr>
        <w:pStyle w:val="BodyText"/>
        <w:spacing w:line="360" w:lineRule="auto"/>
        <w:jc w:val="both"/>
        <w:rPr>
          <w:lang w:val="en-GB"/>
        </w:rPr>
      </w:pPr>
      <w:r w:rsidRPr="00B50902">
        <w:rPr>
          <w:lang w:val="en-GB"/>
        </w:rPr>
        <w:t xml:space="preserve">Blanchard, O.J., &amp; Summers, L. H. (1986). Hysteresis and The European Unemployment Problem. </w:t>
      </w:r>
      <w:r w:rsidRPr="00B50902">
        <w:rPr>
          <w:i/>
          <w:iCs/>
          <w:lang w:val="en-GB"/>
        </w:rPr>
        <w:t xml:space="preserve">NBER Macroeconomics Annual, </w:t>
      </w:r>
      <w:r w:rsidRPr="00B50902">
        <w:rPr>
          <w:lang w:val="en-GB"/>
        </w:rPr>
        <w:t xml:space="preserve">15-78. </w:t>
      </w:r>
      <w:hyperlink r:id="rId59" w:history="1">
        <w:r w:rsidRPr="00B50902">
          <w:rPr>
            <w:rStyle w:val="Hyperlink"/>
            <w:lang w:val="en-GB"/>
          </w:rPr>
          <w:t>https://doi.org/10.2307/3585159</w:t>
        </w:r>
      </w:hyperlink>
    </w:p>
    <w:p w14:paraId="147022E8" w14:textId="77777777" w:rsidR="00895CB5" w:rsidRPr="00B50902" w:rsidRDefault="00895CB5" w:rsidP="00B50902">
      <w:pPr>
        <w:pStyle w:val="BodyText"/>
        <w:spacing w:line="360" w:lineRule="auto"/>
        <w:jc w:val="both"/>
        <w:rPr>
          <w:lang w:val="en-GB"/>
        </w:rPr>
      </w:pPr>
    </w:p>
    <w:p w14:paraId="2E96AFCD" w14:textId="27EE1B71" w:rsidR="000B6FC0" w:rsidRPr="00B50902" w:rsidRDefault="000B6FC0" w:rsidP="00B50902">
      <w:pPr>
        <w:pStyle w:val="BodyText"/>
        <w:spacing w:line="360" w:lineRule="auto"/>
        <w:jc w:val="both"/>
        <w:rPr>
          <w:lang w:val="en-GB"/>
        </w:rPr>
      </w:pPr>
      <w:r w:rsidRPr="00B50902">
        <w:rPr>
          <w:lang w:val="en-GB"/>
        </w:rPr>
        <w:t xml:space="preserve">Bloom, N., &amp; </w:t>
      </w:r>
      <w:r w:rsidR="006A386C" w:rsidRPr="00B50902">
        <w:rPr>
          <w:lang w:val="en-GB"/>
        </w:rPr>
        <w:t xml:space="preserve">Van Reenen, J. (2002). Patents, real options and firm performance. </w:t>
      </w:r>
      <w:r w:rsidR="006A386C" w:rsidRPr="00B50902">
        <w:rPr>
          <w:i/>
          <w:iCs/>
          <w:lang w:val="en-GB"/>
        </w:rPr>
        <w:t>The Economic Journal</w:t>
      </w:r>
      <w:r w:rsidR="00E50950" w:rsidRPr="00B50902">
        <w:rPr>
          <w:i/>
          <w:iCs/>
          <w:lang w:val="en-GB"/>
        </w:rPr>
        <w:t xml:space="preserve">, </w:t>
      </w:r>
      <w:r w:rsidR="00AB0F39" w:rsidRPr="00B50902">
        <w:rPr>
          <w:lang w:val="en-GB"/>
        </w:rPr>
        <w:t>112(478), C97-C116</w:t>
      </w:r>
      <w:r w:rsidR="004B5734" w:rsidRPr="00B50902">
        <w:rPr>
          <w:lang w:val="en-GB"/>
        </w:rPr>
        <w:t xml:space="preserve"> </w:t>
      </w:r>
      <w:hyperlink r:id="rId60" w:history="1">
        <w:r w:rsidR="0067601D" w:rsidRPr="00B50902">
          <w:rPr>
            <w:rStyle w:val="Hyperlink"/>
            <w:lang w:val="en-GB"/>
          </w:rPr>
          <w:t>https://doi.org/10.1111/1468-0297.00022</w:t>
        </w:r>
      </w:hyperlink>
    </w:p>
    <w:p w14:paraId="520D8E6C" w14:textId="77777777" w:rsidR="000B6FC0" w:rsidRPr="00B50902" w:rsidRDefault="000B6FC0" w:rsidP="00B50902">
      <w:pPr>
        <w:pStyle w:val="BodyText"/>
        <w:spacing w:line="360" w:lineRule="auto"/>
        <w:jc w:val="both"/>
        <w:rPr>
          <w:lang w:val="en-GB"/>
        </w:rPr>
      </w:pPr>
    </w:p>
    <w:p w14:paraId="25DA9019" w14:textId="5B9A2AB5" w:rsidR="00AC1A3A" w:rsidRPr="00B50902" w:rsidRDefault="00AC1A3A" w:rsidP="00B50902">
      <w:pPr>
        <w:pStyle w:val="BodyText"/>
        <w:spacing w:line="360" w:lineRule="auto"/>
        <w:jc w:val="both"/>
        <w:rPr>
          <w:rStyle w:val="Hyperlink"/>
          <w:u w:val="none"/>
          <w:lang w:val="en-GB"/>
        </w:rPr>
      </w:pPr>
      <w:r w:rsidRPr="00B50902">
        <w:rPr>
          <w:lang w:val="en-GB"/>
        </w:rPr>
        <w:t xml:space="preserve">Bontempi, M. (2016). Investment–uncertainty relationship: differences between intangible and physical capital. </w:t>
      </w:r>
      <w:r w:rsidRPr="00B50902">
        <w:rPr>
          <w:i/>
          <w:iCs/>
          <w:lang w:val="en-GB"/>
        </w:rPr>
        <w:t>Economics of Innovation and New Technology</w:t>
      </w:r>
      <w:r w:rsidR="00D21572" w:rsidRPr="00B50902">
        <w:rPr>
          <w:lang w:val="en-GB"/>
        </w:rPr>
        <w:t>,</w:t>
      </w:r>
      <w:r w:rsidRPr="00B50902">
        <w:rPr>
          <w:lang w:val="en-GB"/>
        </w:rPr>
        <w:t xml:space="preserve"> 25(3), 240-268. </w:t>
      </w:r>
      <w:hyperlink r:id="rId61" w:history="1">
        <w:r w:rsidRPr="00B50902">
          <w:rPr>
            <w:rStyle w:val="Hyperlink"/>
            <w:u w:val="none"/>
            <w:lang w:val="en-GB"/>
          </w:rPr>
          <w:t>http://dx.doi.org/10.1080/10438599.2015.1076197</w:t>
        </w:r>
      </w:hyperlink>
    </w:p>
    <w:p w14:paraId="0E0847B1" w14:textId="77777777" w:rsidR="00F3483A" w:rsidRPr="00B50902" w:rsidRDefault="00F3483A" w:rsidP="00B50902">
      <w:pPr>
        <w:pStyle w:val="BodyText"/>
        <w:spacing w:line="360" w:lineRule="auto"/>
        <w:jc w:val="both"/>
        <w:rPr>
          <w:rStyle w:val="Hyperlink"/>
          <w:u w:val="none"/>
          <w:lang w:val="en-GB"/>
        </w:rPr>
      </w:pPr>
    </w:p>
    <w:p w14:paraId="5599A643" w14:textId="66316851" w:rsidR="00387C13" w:rsidRPr="00834306" w:rsidRDefault="00387C13" w:rsidP="00B50902">
      <w:pPr>
        <w:spacing w:line="360" w:lineRule="auto"/>
        <w:jc w:val="both"/>
        <w:rPr>
          <w:sz w:val="24"/>
          <w:szCs w:val="24"/>
          <w:lang w:val="en-GB"/>
        </w:rPr>
      </w:pPr>
      <w:r w:rsidRPr="00834306">
        <w:rPr>
          <w:sz w:val="24"/>
          <w:szCs w:val="24"/>
          <w:lang w:val="en-GB"/>
        </w:rPr>
        <w:lastRenderedPageBreak/>
        <w:t>Campbell</w:t>
      </w:r>
      <w:r w:rsidR="00417183" w:rsidRPr="00834306">
        <w:rPr>
          <w:sz w:val="24"/>
          <w:szCs w:val="24"/>
          <w:lang w:val="en-GB"/>
        </w:rPr>
        <w:t xml:space="preserve">, D. (2020). Relative Prices and Hysteresis: Evidence from US Manufacturing. </w:t>
      </w:r>
      <w:r w:rsidR="00417183" w:rsidRPr="00834306">
        <w:rPr>
          <w:i/>
          <w:iCs/>
          <w:sz w:val="24"/>
          <w:szCs w:val="24"/>
          <w:lang w:val="en-GB"/>
        </w:rPr>
        <w:t>European Economic</w:t>
      </w:r>
      <w:r w:rsidR="00824FC4" w:rsidRPr="00834306">
        <w:rPr>
          <w:i/>
          <w:iCs/>
          <w:sz w:val="24"/>
          <w:szCs w:val="24"/>
          <w:lang w:val="en-GB"/>
        </w:rPr>
        <w:t xml:space="preserve"> </w:t>
      </w:r>
      <w:r w:rsidR="00417183" w:rsidRPr="00834306">
        <w:rPr>
          <w:i/>
          <w:iCs/>
          <w:sz w:val="24"/>
          <w:szCs w:val="24"/>
          <w:lang w:val="en-GB"/>
        </w:rPr>
        <w:t>Review</w:t>
      </w:r>
      <w:r w:rsidR="00417183" w:rsidRPr="00834306">
        <w:rPr>
          <w:sz w:val="24"/>
          <w:szCs w:val="24"/>
          <w:lang w:val="en-GB"/>
        </w:rPr>
        <w:t xml:space="preserve">, 129(2020), 1-19. </w:t>
      </w:r>
      <w:hyperlink r:id="rId62" w:tgtFrame="_blank" w:tooltip="Persistent link using digital object identifier" w:history="1">
        <w:r w:rsidR="00417183" w:rsidRPr="00834306">
          <w:rPr>
            <w:rStyle w:val="anchor-text"/>
            <w:color w:val="0000FF"/>
            <w:sz w:val="24"/>
            <w:szCs w:val="24"/>
            <w:u w:val="single"/>
            <w:lang w:val="en-GB"/>
          </w:rPr>
          <w:t>https://doi.org/10.1016/j.euroecorev.2020.103474</w:t>
        </w:r>
      </w:hyperlink>
    </w:p>
    <w:p w14:paraId="583CD712" w14:textId="77777777" w:rsidR="00387C13" w:rsidRPr="00834306" w:rsidRDefault="00387C13" w:rsidP="00B50902">
      <w:pPr>
        <w:spacing w:line="360" w:lineRule="auto"/>
        <w:jc w:val="both"/>
        <w:rPr>
          <w:sz w:val="24"/>
          <w:szCs w:val="24"/>
          <w:lang w:val="en-GB"/>
        </w:rPr>
      </w:pPr>
    </w:p>
    <w:p w14:paraId="6AF6F466" w14:textId="0F4CA4DB" w:rsidR="00AC1A3A" w:rsidRPr="00834306" w:rsidRDefault="00AC1A3A" w:rsidP="00B50902">
      <w:pPr>
        <w:spacing w:line="360" w:lineRule="auto"/>
        <w:jc w:val="both"/>
        <w:rPr>
          <w:sz w:val="24"/>
          <w:szCs w:val="24"/>
          <w:lang w:val="en-GB"/>
        </w:rPr>
      </w:pPr>
      <w:r w:rsidRPr="00834306">
        <w:rPr>
          <w:sz w:val="24"/>
          <w:szCs w:val="24"/>
          <w:lang w:val="en-GB"/>
        </w:rPr>
        <w:t>Cincera, M., Delanote, J., Mohnen, P., Santos, A. &amp; Weiss, C. (2020)</w:t>
      </w:r>
      <w:r w:rsidR="002B0A79" w:rsidRPr="00834306">
        <w:rPr>
          <w:sz w:val="24"/>
          <w:szCs w:val="24"/>
          <w:lang w:val="en-GB"/>
        </w:rPr>
        <w:t>.</w:t>
      </w:r>
      <w:r w:rsidRPr="00834306">
        <w:rPr>
          <w:sz w:val="24"/>
          <w:szCs w:val="24"/>
          <w:lang w:val="en-GB"/>
        </w:rPr>
        <w:t xml:space="preserve"> </w:t>
      </w:r>
      <w:r w:rsidRPr="00B50902">
        <w:rPr>
          <w:sz w:val="24"/>
          <w:szCs w:val="24"/>
        </w:rPr>
        <w:t xml:space="preserve">Intangible investments and productivity performance. </w:t>
      </w:r>
      <w:r w:rsidRPr="00B50902">
        <w:rPr>
          <w:i/>
          <w:iCs/>
          <w:sz w:val="24"/>
          <w:szCs w:val="24"/>
        </w:rPr>
        <w:t>Gabinete de Estratégia e Estudos do Ministério da Economia</w:t>
      </w:r>
      <w:r w:rsidRPr="00B50902">
        <w:rPr>
          <w:sz w:val="24"/>
          <w:szCs w:val="24"/>
        </w:rPr>
        <w:t>, 145</w:t>
      </w:r>
      <w:r w:rsidR="00F73562" w:rsidRPr="00B50902">
        <w:rPr>
          <w:sz w:val="24"/>
          <w:szCs w:val="24"/>
        </w:rPr>
        <w:t>(2020)</w:t>
      </w:r>
      <w:r w:rsidRPr="00B50902">
        <w:rPr>
          <w:sz w:val="24"/>
          <w:szCs w:val="24"/>
        </w:rPr>
        <w:t>,1-34.</w:t>
      </w:r>
      <w:r w:rsidR="00CA1689" w:rsidRPr="00B50902">
        <w:rPr>
          <w:sz w:val="24"/>
          <w:szCs w:val="24"/>
        </w:rPr>
        <w:t xml:space="preserve"> </w:t>
      </w:r>
      <w:hyperlink r:id="rId63" w:history="1">
        <w:r w:rsidR="00CA1689" w:rsidRPr="00834306">
          <w:rPr>
            <w:rStyle w:val="Hyperlink"/>
            <w:sz w:val="24"/>
            <w:szCs w:val="24"/>
            <w:lang w:val="en-GB"/>
          </w:rPr>
          <w:t>https://www.gee.gov.pt/RePEc/WorkingPapers/GEE_PAPERS_145.pdf</w:t>
        </w:r>
      </w:hyperlink>
    </w:p>
    <w:p w14:paraId="1F0AD56F" w14:textId="77777777" w:rsidR="00AC1A3A" w:rsidRPr="00834306" w:rsidRDefault="00AC1A3A" w:rsidP="00B50902">
      <w:pPr>
        <w:spacing w:line="360" w:lineRule="auto"/>
        <w:jc w:val="both"/>
        <w:rPr>
          <w:sz w:val="24"/>
          <w:szCs w:val="24"/>
          <w:lang w:val="en-GB"/>
        </w:rPr>
      </w:pPr>
    </w:p>
    <w:p w14:paraId="3BDC341E" w14:textId="7E406141" w:rsidR="003D3A32" w:rsidRPr="00B50902" w:rsidRDefault="003D3A32" w:rsidP="00B50902">
      <w:pPr>
        <w:spacing w:line="360" w:lineRule="auto"/>
        <w:jc w:val="both"/>
        <w:rPr>
          <w:sz w:val="24"/>
          <w:szCs w:val="24"/>
          <w:lang w:val="en-GB"/>
        </w:rPr>
      </w:pPr>
      <w:r w:rsidRPr="00B50902">
        <w:rPr>
          <w:sz w:val="24"/>
          <w:szCs w:val="24"/>
          <w:lang w:val="en-GB"/>
        </w:rPr>
        <w:t xml:space="preserve">Cooper, </w:t>
      </w:r>
      <w:r w:rsidR="00B81D0D" w:rsidRPr="00B50902">
        <w:rPr>
          <w:sz w:val="24"/>
          <w:szCs w:val="24"/>
          <w:lang w:val="en-GB"/>
        </w:rPr>
        <w:t xml:space="preserve">R. &amp; Haltiwanger, J. (2006). </w:t>
      </w:r>
      <w:r w:rsidR="002B0A79" w:rsidRPr="00B50902">
        <w:rPr>
          <w:sz w:val="24"/>
          <w:szCs w:val="24"/>
          <w:lang w:val="en-GB"/>
        </w:rPr>
        <w:t>On the Nature of Capital Adjustment Costs</w:t>
      </w:r>
      <w:r w:rsidR="00C05227" w:rsidRPr="00B50902">
        <w:rPr>
          <w:sz w:val="24"/>
          <w:szCs w:val="24"/>
          <w:lang w:val="en-GB"/>
        </w:rPr>
        <w:t xml:space="preserve">. </w:t>
      </w:r>
      <w:r w:rsidR="009377CD" w:rsidRPr="00B50902">
        <w:rPr>
          <w:i/>
          <w:iCs/>
          <w:sz w:val="24"/>
          <w:szCs w:val="24"/>
          <w:lang w:val="en-GB"/>
        </w:rPr>
        <w:t>The</w:t>
      </w:r>
      <w:r w:rsidR="009377CD" w:rsidRPr="00B50902">
        <w:rPr>
          <w:sz w:val="24"/>
          <w:szCs w:val="24"/>
          <w:lang w:val="en-GB"/>
        </w:rPr>
        <w:t xml:space="preserve"> </w:t>
      </w:r>
      <w:r w:rsidR="00AD4D8D" w:rsidRPr="00B50902">
        <w:rPr>
          <w:i/>
          <w:iCs/>
          <w:sz w:val="24"/>
          <w:szCs w:val="24"/>
          <w:lang w:val="en-GB"/>
        </w:rPr>
        <w:t>Review of Economic Studies</w:t>
      </w:r>
      <w:r w:rsidR="00D21572" w:rsidRPr="00B50902">
        <w:rPr>
          <w:sz w:val="24"/>
          <w:szCs w:val="24"/>
          <w:lang w:val="en-GB"/>
        </w:rPr>
        <w:t>,</w:t>
      </w:r>
      <w:r w:rsidR="00AD4D8D" w:rsidRPr="00B50902">
        <w:rPr>
          <w:sz w:val="24"/>
          <w:szCs w:val="24"/>
          <w:lang w:val="en-GB"/>
        </w:rPr>
        <w:t xml:space="preserve"> </w:t>
      </w:r>
      <w:r w:rsidR="008B3D71" w:rsidRPr="00B50902">
        <w:rPr>
          <w:sz w:val="24"/>
          <w:szCs w:val="24"/>
          <w:lang w:val="en-GB"/>
        </w:rPr>
        <w:t>73</w:t>
      </w:r>
      <w:r w:rsidR="009377CD" w:rsidRPr="00B50902">
        <w:rPr>
          <w:sz w:val="24"/>
          <w:szCs w:val="24"/>
          <w:lang w:val="en-GB"/>
        </w:rPr>
        <w:t>(</w:t>
      </w:r>
      <w:r w:rsidR="00BF6710" w:rsidRPr="00B50902">
        <w:rPr>
          <w:sz w:val="24"/>
          <w:szCs w:val="24"/>
          <w:lang w:val="en-GB"/>
        </w:rPr>
        <w:t>3</w:t>
      </w:r>
      <w:r w:rsidR="009377CD" w:rsidRPr="00B50902">
        <w:rPr>
          <w:sz w:val="24"/>
          <w:szCs w:val="24"/>
          <w:lang w:val="en-GB"/>
        </w:rPr>
        <w:t>)</w:t>
      </w:r>
      <w:r w:rsidR="008B3D71" w:rsidRPr="00B50902">
        <w:rPr>
          <w:sz w:val="24"/>
          <w:szCs w:val="24"/>
          <w:lang w:val="en-GB"/>
        </w:rPr>
        <w:t>, 611-633.</w:t>
      </w:r>
      <w:r w:rsidR="008B3D71" w:rsidRPr="00834306">
        <w:rPr>
          <w:sz w:val="24"/>
          <w:szCs w:val="24"/>
          <w:lang w:val="en-GB"/>
        </w:rPr>
        <w:t xml:space="preserve"> </w:t>
      </w:r>
      <w:hyperlink r:id="rId64" w:history="1">
        <w:r w:rsidR="009377CD" w:rsidRPr="00834306">
          <w:rPr>
            <w:rStyle w:val="Hyperlink"/>
            <w:sz w:val="24"/>
            <w:szCs w:val="24"/>
            <w:lang w:val="en-GB"/>
          </w:rPr>
          <w:t>https://doi.org/10.1111/j.1467-937X.2006.00389.x</w:t>
        </w:r>
      </w:hyperlink>
    </w:p>
    <w:p w14:paraId="3D7070DE" w14:textId="77777777" w:rsidR="00387C13" w:rsidRPr="00B50902" w:rsidRDefault="00387C13" w:rsidP="00B50902">
      <w:pPr>
        <w:spacing w:line="360" w:lineRule="auto"/>
        <w:jc w:val="both"/>
        <w:rPr>
          <w:sz w:val="24"/>
          <w:szCs w:val="24"/>
          <w:lang w:val="en-GB"/>
        </w:rPr>
      </w:pPr>
    </w:p>
    <w:p w14:paraId="75A0374C" w14:textId="77777777" w:rsidR="00AC1A3A" w:rsidRPr="00B50902" w:rsidRDefault="00AC1A3A" w:rsidP="00B50902">
      <w:pPr>
        <w:spacing w:line="360" w:lineRule="auto"/>
        <w:jc w:val="both"/>
        <w:rPr>
          <w:rStyle w:val="Hyperlink"/>
          <w:sz w:val="24"/>
          <w:szCs w:val="24"/>
          <w:u w:val="none"/>
          <w:lang w:val="en-GB"/>
        </w:rPr>
      </w:pPr>
      <w:r w:rsidRPr="00B50902">
        <w:rPr>
          <w:sz w:val="24"/>
          <w:szCs w:val="24"/>
          <w:lang w:val="en-GB"/>
        </w:rPr>
        <w:t xml:space="preserve">Cross, R. (1993). On the Foundations of Hysteresis in Economic Systems. </w:t>
      </w:r>
      <w:r w:rsidRPr="00B50902">
        <w:rPr>
          <w:i/>
          <w:iCs/>
          <w:sz w:val="24"/>
          <w:szCs w:val="24"/>
          <w:lang w:val="en-GB"/>
        </w:rPr>
        <w:t>Economics and Philosophy</w:t>
      </w:r>
      <w:r w:rsidRPr="00B50902">
        <w:rPr>
          <w:sz w:val="24"/>
          <w:szCs w:val="24"/>
          <w:lang w:val="en-GB"/>
        </w:rPr>
        <w:t xml:space="preserve">, 9(1), 53-74. </w:t>
      </w:r>
      <w:hyperlink r:id="rId65" w:history="1">
        <w:r w:rsidRPr="00834306">
          <w:rPr>
            <w:rStyle w:val="Hyperlink"/>
            <w:sz w:val="24"/>
            <w:szCs w:val="24"/>
            <w:u w:val="none"/>
            <w:lang w:val="en-GB"/>
          </w:rPr>
          <w:t>https://doi:10.1017/S0266267100005113</w:t>
        </w:r>
      </w:hyperlink>
    </w:p>
    <w:p w14:paraId="151921C6" w14:textId="12440AE5" w:rsidR="00730A5B" w:rsidRPr="00B50902" w:rsidRDefault="00730A5B" w:rsidP="00B50902">
      <w:pPr>
        <w:spacing w:line="360" w:lineRule="auto"/>
        <w:jc w:val="both"/>
        <w:rPr>
          <w:rStyle w:val="Hyperlink"/>
          <w:color w:val="000000" w:themeColor="text1"/>
          <w:sz w:val="24"/>
          <w:szCs w:val="24"/>
          <w:u w:val="none"/>
          <w:lang w:val="en-GB"/>
        </w:rPr>
      </w:pPr>
    </w:p>
    <w:p w14:paraId="3D2BCE61" w14:textId="77777777" w:rsidR="00AC1A3A" w:rsidRPr="00B50902" w:rsidRDefault="00AC1A3A" w:rsidP="00B50902">
      <w:pPr>
        <w:spacing w:line="360" w:lineRule="auto"/>
        <w:jc w:val="both"/>
        <w:rPr>
          <w:rStyle w:val="Hyperlink"/>
          <w:color w:val="000000" w:themeColor="text1"/>
          <w:sz w:val="24"/>
          <w:szCs w:val="24"/>
          <w:u w:val="none"/>
          <w:lang w:val="en-GB"/>
        </w:rPr>
      </w:pPr>
      <w:r w:rsidRPr="00B50902">
        <w:rPr>
          <w:rStyle w:val="Hyperlink"/>
          <w:color w:val="000000" w:themeColor="text1"/>
          <w:sz w:val="24"/>
          <w:szCs w:val="24"/>
          <w:u w:val="none"/>
          <w:lang w:val="en-GB"/>
        </w:rPr>
        <w:t xml:space="preserve">Cross, R. (1995). </w:t>
      </w:r>
      <w:r w:rsidRPr="00B50902">
        <w:rPr>
          <w:rStyle w:val="Hyperlink"/>
          <w:i/>
          <w:iCs/>
          <w:color w:val="000000" w:themeColor="text1"/>
          <w:sz w:val="24"/>
          <w:szCs w:val="24"/>
          <w:u w:val="none"/>
          <w:lang w:val="en-GB"/>
        </w:rPr>
        <w:t>The Natural Rate of Unemployment: Reflections on 25 Years of the Hypothesis</w:t>
      </w:r>
      <w:r w:rsidRPr="00B50902">
        <w:rPr>
          <w:rStyle w:val="Hyperlink"/>
          <w:color w:val="000000" w:themeColor="text1"/>
          <w:sz w:val="24"/>
          <w:szCs w:val="24"/>
          <w:u w:val="none"/>
          <w:lang w:val="en-GB"/>
        </w:rPr>
        <w:t>. Cambridge University Press</w:t>
      </w:r>
    </w:p>
    <w:p w14:paraId="5D78ACD5" w14:textId="77777777" w:rsidR="00C94FDA" w:rsidRPr="00B50902" w:rsidRDefault="00C94FDA" w:rsidP="00B50902">
      <w:pPr>
        <w:spacing w:line="360" w:lineRule="auto"/>
        <w:jc w:val="both"/>
        <w:rPr>
          <w:rStyle w:val="Hyperlink"/>
          <w:sz w:val="24"/>
          <w:szCs w:val="24"/>
          <w:u w:val="none"/>
          <w:lang w:val="en-GB"/>
        </w:rPr>
      </w:pPr>
    </w:p>
    <w:p w14:paraId="1235C836" w14:textId="44654CE7" w:rsidR="00AC1A3A" w:rsidRPr="00B50902" w:rsidRDefault="00AC1A3A" w:rsidP="00B50902">
      <w:pPr>
        <w:spacing w:line="360" w:lineRule="auto"/>
        <w:jc w:val="both"/>
        <w:rPr>
          <w:rStyle w:val="Hyperlink"/>
          <w:sz w:val="24"/>
          <w:szCs w:val="24"/>
          <w:u w:val="none"/>
          <w:lang w:val="en-GB"/>
        </w:rPr>
      </w:pPr>
      <w:r w:rsidRPr="00B50902">
        <w:rPr>
          <w:rStyle w:val="Hyperlink"/>
          <w:color w:val="000000" w:themeColor="text1"/>
          <w:sz w:val="24"/>
          <w:szCs w:val="24"/>
          <w:u w:val="none"/>
          <w:lang w:val="en-GB"/>
        </w:rPr>
        <w:t xml:space="preserve">Crouzet, N., Eberly, J., Eisfeldt, A. &amp; Papanikolaou, D. (2022). The Economics of Intangible Capital. </w:t>
      </w:r>
      <w:r w:rsidRPr="00B50902">
        <w:rPr>
          <w:rStyle w:val="Hyperlink"/>
          <w:i/>
          <w:iCs/>
          <w:color w:val="000000" w:themeColor="text1"/>
          <w:sz w:val="24"/>
          <w:szCs w:val="24"/>
          <w:u w:val="none"/>
          <w:lang w:val="en-GB"/>
        </w:rPr>
        <w:t>Journal of Economic Perspectives</w:t>
      </w:r>
      <w:r w:rsidRPr="00B50902">
        <w:rPr>
          <w:rStyle w:val="Hyperlink"/>
          <w:color w:val="000000" w:themeColor="text1"/>
          <w:sz w:val="24"/>
          <w:szCs w:val="24"/>
          <w:u w:val="none"/>
          <w:lang w:val="en-GB"/>
        </w:rPr>
        <w:t>, 36(3), 29-52</w:t>
      </w:r>
      <w:r w:rsidR="00D21572" w:rsidRPr="00834306">
        <w:rPr>
          <w:rStyle w:val="Hyperlink"/>
          <w:color w:val="000000" w:themeColor="text1"/>
          <w:sz w:val="24"/>
          <w:szCs w:val="24"/>
          <w:u w:val="none"/>
          <w:lang w:val="en-GB"/>
        </w:rPr>
        <w:t>.</w:t>
      </w:r>
      <w:r w:rsidRPr="00834306">
        <w:rPr>
          <w:rStyle w:val="Hyperlink"/>
          <w:color w:val="000000" w:themeColor="text1"/>
          <w:sz w:val="24"/>
          <w:szCs w:val="24"/>
          <w:u w:val="none"/>
          <w:lang w:val="en-GB"/>
        </w:rPr>
        <w:t xml:space="preserve"> </w:t>
      </w:r>
      <w:hyperlink r:id="rId66" w:history="1">
        <w:r w:rsidRPr="00834306">
          <w:rPr>
            <w:rStyle w:val="Hyperlink"/>
            <w:sz w:val="24"/>
            <w:szCs w:val="24"/>
            <w:u w:val="none"/>
            <w:lang w:val="en-GB"/>
          </w:rPr>
          <w:t>https://doi.org/10.1257/jep.36.3.29</w:t>
        </w:r>
      </w:hyperlink>
    </w:p>
    <w:p w14:paraId="1180570F" w14:textId="77777777" w:rsidR="0044308A" w:rsidRPr="00B50902" w:rsidRDefault="0044308A" w:rsidP="00B50902">
      <w:pPr>
        <w:spacing w:line="360" w:lineRule="auto"/>
        <w:jc w:val="both"/>
        <w:rPr>
          <w:rStyle w:val="Hyperlink"/>
          <w:sz w:val="24"/>
          <w:szCs w:val="24"/>
          <w:u w:val="none"/>
          <w:lang w:val="en-GB"/>
        </w:rPr>
      </w:pPr>
    </w:p>
    <w:p w14:paraId="100ABD71" w14:textId="7E65E711" w:rsidR="0044308A" w:rsidRPr="00B50902" w:rsidRDefault="0044308A" w:rsidP="00B50902">
      <w:pPr>
        <w:spacing w:line="360" w:lineRule="auto"/>
        <w:jc w:val="both"/>
        <w:rPr>
          <w:rStyle w:val="Hyperlink"/>
          <w:rFonts w:eastAsiaTheme="minorHAnsi" w:cs="AdvPTimes"/>
          <w:sz w:val="24"/>
          <w:szCs w:val="24"/>
          <w:lang w:val="en-GB"/>
        </w:rPr>
      </w:pPr>
      <w:r w:rsidRPr="00B50902">
        <w:rPr>
          <w:sz w:val="24"/>
          <w:szCs w:val="24"/>
          <w:lang w:val="en-GB"/>
        </w:rPr>
        <w:t xml:space="preserve">Cucculelli, M., &amp; Bettinelli, C. (2015). Business models, intangibles and firm performance: evidence on corporate entrepreneurship from Italian SMEs. </w:t>
      </w:r>
      <w:r w:rsidRPr="00B50902">
        <w:rPr>
          <w:i/>
          <w:iCs/>
          <w:sz w:val="24"/>
          <w:szCs w:val="24"/>
          <w:lang w:val="en-GB"/>
        </w:rPr>
        <w:t>Small business economics</w:t>
      </w:r>
      <w:r w:rsidRPr="00B50902">
        <w:rPr>
          <w:sz w:val="24"/>
          <w:szCs w:val="24"/>
          <w:lang w:val="en-GB"/>
        </w:rPr>
        <w:t>, 45 (2), 32</w:t>
      </w:r>
      <w:r w:rsidRPr="00834306">
        <w:rPr>
          <w:sz w:val="24"/>
          <w:szCs w:val="24"/>
          <w:lang w:val="en-GB"/>
        </w:rPr>
        <w:t xml:space="preserve">9-350. </w:t>
      </w:r>
      <w:hyperlink r:id="rId67" w:history="1">
        <w:r w:rsidRPr="00834306">
          <w:rPr>
            <w:rStyle w:val="Hyperlink"/>
            <w:sz w:val="24"/>
            <w:szCs w:val="24"/>
            <w:lang w:val="en-GB"/>
          </w:rPr>
          <w:t>https://doi.org/</w:t>
        </w:r>
        <w:r w:rsidRPr="00834306">
          <w:rPr>
            <w:rStyle w:val="Hyperlink"/>
            <w:rFonts w:eastAsiaTheme="minorHAnsi" w:cs="AdvPTimes"/>
            <w:sz w:val="24"/>
            <w:szCs w:val="24"/>
            <w:lang w:val="en-GB"/>
          </w:rPr>
          <w:t>10.1007/s11187-015-9631-7</w:t>
        </w:r>
      </w:hyperlink>
    </w:p>
    <w:p w14:paraId="581E6BD1" w14:textId="77777777" w:rsidR="00387C13" w:rsidRPr="00B50902" w:rsidRDefault="00387C13" w:rsidP="00B50902">
      <w:pPr>
        <w:spacing w:line="360" w:lineRule="auto"/>
        <w:jc w:val="both"/>
        <w:rPr>
          <w:rStyle w:val="Hyperlink"/>
          <w:rFonts w:eastAsiaTheme="minorHAnsi" w:cs="AdvPTimes"/>
          <w:sz w:val="24"/>
          <w:szCs w:val="24"/>
          <w:lang w:val="en-GB"/>
        </w:rPr>
      </w:pPr>
    </w:p>
    <w:p w14:paraId="1598C50D" w14:textId="4FA8D538" w:rsidR="00387C13" w:rsidRPr="00834306" w:rsidRDefault="00387C13" w:rsidP="00B50902">
      <w:pPr>
        <w:spacing w:line="360" w:lineRule="auto"/>
        <w:jc w:val="both"/>
        <w:rPr>
          <w:rStyle w:val="Hyperlink"/>
          <w:sz w:val="24"/>
          <w:szCs w:val="24"/>
          <w:lang w:val="en-GB"/>
        </w:rPr>
      </w:pPr>
      <w:r w:rsidRPr="00B50902">
        <w:rPr>
          <w:sz w:val="24"/>
          <w:szCs w:val="24"/>
          <w:lang w:val="en-GB"/>
        </w:rPr>
        <w:t>Cuestas</w:t>
      </w:r>
      <w:r w:rsidR="00C24A2E" w:rsidRPr="00B50902">
        <w:rPr>
          <w:sz w:val="24"/>
          <w:szCs w:val="24"/>
          <w:lang w:val="en-GB"/>
        </w:rPr>
        <w:t xml:space="preserve">, J., &amp; Gil-Alana, L. (2023). Unemployment Hysteresis by Sex and Education Attainment in the EU. </w:t>
      </w:r>
      <w:r w:rsidR="00C24A2E" w:rsidRPr="00B50902">
        <w:rPr>
          <w:i/>
          <w:iCs/>
          <w:sz w:val="24"/>
          <w:szCs w:val="24"/>
          <w:lang w:val="en-GB"/>
        </w:rPr>
        <w:t>Journal of the Knowledge Economy</w:t>
      </w:r>
      <w:r w:rsidR="00C24A2E" w:rsidRPr="00B50902">
        <w:rPr>
          <w:sz w:val="24"/>
          <w:szCs w:val="24"/>
          <w:lang w:val="en-GB"/>
        </w:rPr>
        <w:t xml:space="preserve">, 1-27. </w:t>
      </w:r>
      <w:hyperlink r:id="rId68" w:history="1">
        <w:r w:rsidR="00C24A2E" w:rsidRPr="00834306">
          <w:rPr>
            <w:rStyle w:val="Hyperlink"/>
            <w:sz w:val="24"/>
            <w:szCs w:val="24"/>
            <w:lang w:val="en-GB"/>
          </w:rPr>
          <w:t>https://doi.org/10.1007/s13132-023-01106-1</w:t>
        </w:r>
      </w:hyperlink>
    </w:p>
    <w:p w14:paraId="229A0C8F" w14:textId="77777777" w:rsidR="00F0232A" w:rsidRPr="00834306" w:rsidRDefault="00F0232A" w:rsidP="00B50902">
      <w:pPr>
        <w:spacing w:line="360" w:lineRule="auto"/>
        <w:jc w:val="both"/>
        <w:rPr>
          <w:rStyle w:val="Hyperlink"/>
          <w:sz w:val="24"/>
          <w:szCs w:val="24"/>
          <w:lang w:val="en-GB"/>
        </w:rPr>
      </w:pPr>
    </w:p>
    <w:p w14:paraId="6B016739" w14:textId="77777777" w:rsidR="00F0232A" w:rsidRPr="00B50902" w:rsidRDefault="00F0232A" w:rsidP="00B50902">
      <w:pPr>
        <w:spacing w:line="360" w:lineRule="auto"/>
        <w:jc w:val="both"/>
        <w:rPr>
          <w:rFonts w:eastAsia="Times New Roman" w:cs="Times New Roman"/>
          <w:sz w:val="24"/>
          <w:szCs w:val="24"/>
          <w:lang w:val="en-GB"/>
        </w:rPr>
      </w:pPr>
      <w:r w:rsidRPr="00B50902">
        <w:rPr>
          <w:sz w:val="24"/>
          <w:szCs w:val="24"/>
          <w:lang w:val="en-GB"/>
        </w:rPr>
        <w:t xml:space="preserve">Dal Borgo, M., Goodridge, P., Haskel, J., &amp; Pesole, A. (2012). Productivity and Growth in UK Industries: An Intangible Investment Approach. </w:t>
      </w:r>
      <w:r w:rsidRPr="00B50902">
        <w:rPr>
          <w:i/>
          <w:iCs/>
          <w:sz w:val="24"/>
          <w:szCs w:val="24"/>
          <w:lang w:val="en-GB"/>
        </w:rPr>
        <w:t>Oxford Bulletin of Economics and Statistics</w:t>
      </w:r>
      <w:r w:rsidRPr="00B50902">
        <w:rPr>
          <w:sz w:val="24"/>
          <w:szCs w:val="24"/>
          <w:lang w:val="en-GB"/>
        </w:rPr>
        <w:t>, 75(6), 806-8</w:t>
      </w:r>
      <w:r w:rsidRPr="00834306">
        <w:rPr>
          <w:sz w:val="24"/>
          <w:szCs w:val="24"/>
          <w:lang w:val="en-GB"/>
        </w:rPr>
        <w:t xml:space="preserve">34. </w:t>
      </w:r>
      <w:hyperlink r:id="rId69" w:history="1">
        <w:r w:rsidRPr="00834306">
          <w:rPr>
            <w:rStyle w:val="Hyperlink"/>
            <w:sz w:val="24"/>
            <w:szCs w:val="24"/>
            <w:lang w:val="en-GB"/>
          </w:rPr>
          <w:t>https://doi.org/10.1111/j.1468-0084.2012.00718.x</w:t>
        </w:r>
      </w:hyperlink>
    </w:p>
    <w:p w14:paraId="1465543B" w14:textId="5762AA6A" w:rsidR="00F0232A" w:rsidRPr="00B50902" w:rsidRDefault="00F0232A" w:rsidP="00B50902">
      <w:pPr>
        <w:spacing w:line="360" w:lineRule="auto"/>
        <w:jc w:val="both"/>
        <w:rPr>
          <w:sz w:val="24"/>
          <w:szCs w:val="24"/>
          <w:lang w:val="en-GB"/>
        </w:rPr>
      </w:pPr>
    </w:p>
    <w:p w14:paraId="322402F5" w14:textId="43C269E5" w:rsidR="003D23E6" w:rsidRPr="00B50902" w:rsidRDefault="003D23E6" w:rsidP="00B50902">
      <w:pPr>
        <w:spacing w:line="360" w:lineRule="auto"/>
        <w:jc w:val="both"/>
        <w:rPr>
          <w:sz w:val="24"/>
          <w:szCs w:val="24"/>
          <w:lang w:val="en-GB"/>
        </w:rPr>
      </w:pPr>
      <w:r w:rsidRPr="00B50902">
        <w:rPr>
          <w:sz w:val="24"/>
          <w:szCs w:val="24"/>
          <w:lang w:val="en-GB"/>
        </w:rPr>
        <w:t xml:space="preserve">Darby, J., Cross, R., &amp; Piscitelli, L. (2005). Hysteresis and Unemployment: A Preliminary </w:t>
      </w:r>
      <w:r w:rsidRPr="00B50902">
        <w:rPr>
          <w:sz w:val="24"/>
          <w:szCs w:val="24"/>
          <w:lang w:val="en-GB"/>
        </w:rPr>
        <w:lastRenderedPageBreak/>
        <w:t xml:space="preserve">Investigation. In Bertotti, G., &amp; Mayergoyz, I., </w:t>
      </w:r>
      <w:r w:rsidRPr="00B50902">
        <w:rPr>
          <w:i/>
          <w:iCs/>
          <w:sz w:val="24"/>
          <w:szCs w:val="24"/>
          <w:lang w:val="en-GB"/>
        </w:rPr>
        <w:t>The Science of Hysteresis</w:t>
      </w:r>
      <w:r w:rsidRPr="00B50902">
        <w:rPr>
          <w:sz w:val="24"/>
          <w:szCs w:val="24"/>
          <w:lang w:val="en-GB"/>
        </w:rPr>
        <w:t xml:space="preserve"> (pp. 667-699). Academic Press</w:t>
      </w:r>
    </w:p>
    <w:p w14:paraId="5150E123" w14:textId="77777777" w:rsidR="00325DF7" w:rsidRPr="00B50902" w:rsidRDefault="00325DF7" w:rsidP="00B50902">
      <w:pPr>
        <w:spacing w:line="360" w:lineRule="auto"/>
        <w:jc w:val="both"/>
        <w:rPr>
          <w:sz w:val="24"/>
          <w:szCs w:val="24"/>
          <w:lang w:val="en-GB"/>
        </w:rPr>
      </w:pPr>
    </w:p>
    <w:p w14:paraId="0EA5F178" w14:textId="78CDDF5F" w:rsidR="00325DF7" w:rsidRPr="00B50902" w:rsidRDefault="00325DF7" w:rsidP="00B50902">
      <w:pPr>
        <w:spacing w:line="360" w:lineRule="auto"/>
        <w:jc w:val="both"/>
        <w:rPr>
          <w:sz w:val="24"/>
          <w:szCs w:val="24"/>
          <w:lang w:val="en-GB"/>
        </w:rPr>
      </w:pPr>
      <w:r w:rsidRPr="00B50902">
        <w:rPr>
          <w:sz w:val="24"/>
          <w:szCs w:val="24"/>
          <w:lang w:val="en-GB"/>
        </w:rPr>
        <w:t xml:space="preserve">Dias, J., &amp; Shackleton, M. (2011). Hysteresis effects under CIR interest rates. </w:t>
      </w:r>
      <w:r w:rsidRPr="00B50902">
        <w:rPr>
          <w:i/>
          <w:iCs/>
          <w:sz w:val="24"/>
          <w:szCs w:val="24"/>
          <w:lang w:val="en-GB"/>
        </w:rPr>
        <w:t>European Journal of Operational Research</w:t>
      </w:r>
      <w:r w:rsidRPr="00B50902">
        <w:rPr>
          <w:sz w:val="24"/>
          <w:szCs w:val="24"/>
          <w:lang w:val="en-GB"/>
        </w:rPr>
        <w:t xml:space="preserve">, 211(3), 594-600. </w:t>
      </w:r>
      <w:hyperlink r:id="rId70" w:tgtFrame="_blank" w:tooltip="Persistent link using digital object identifier" w:history="1">
        <w:r w:rsidRPr="00834306">
          <w:rPr>
            <w:rStyle w:val="anchor-text"/>
            <w:color w:val="0000FF"/>
            <w:sz w:val="24"/>
            <w:szCs w:val="24"/>
            <w:u w:val="single"/>
            <w:lang w:val="en-GB"/>
          </w:rPr>
          <w:t>https://doi.org/10.1016/j.ejor.2010.12.021</w:t>
        </w:r>
      </w:hyperlink>
    </w:p>
    <w:p w14:paraId="461AD700" w14:textId="77777777" w:rsidR="003D23E6" w:rsidRPr="00B50902" w:rsidRDefault="003D23E6" w:rsidP="00B50902">
      <w:pPr>
        <w:spacing w:line="360" w:lineRule="auto"/>
        <w:jc w:val="both"/>
        <w:rPr>
          <w:sz w:val="24"/>
          <w:szCs w:val="24"/>
          <w:lang w:val="en-GB"/>
        </w:rPr>
      </w:pPr>
    </w:p>
    <w:p w14:paraId="433FF342" w14:textId="48319B6A" w:rsidR="00AC1A3A" w:rsidRPr="00B50902" w:rsidRDefault="00AC1A3A" w:rsidP="00B50902">
      <w:pPr>
        <w:spacing w:line="360" w:lineRule="auto"/>
        <w:jc w:val="both"/>
        <w:rPr>
          <w:rStyle w:val="Hyperlink"/>
          <w:sz w:val="24"/>
          <w:szCs w:val="24"/>
          <w:u w:val="none"/>
          <w:lang w:val="en-GB"/>
        </w:rPr>
      </w:pPr>
      <w:r w:rsidRPr="00B50902">
        <w:rPr>
          <w:sz w:val="24"/>
          <w:szCs w:val="24"/>
          <w:lang w:val="en-GB"/>
        </w:rPr>
        <w:t xml:space="preserve">Dixit, A. (1989). Hysteresis. Import penetration, and exchange rate pass-through. </w:t>
      </w:r>
      <w:r w:rsidRPr="00B50902">
        <w:rPr>
          <w:i/>
          <w:iCs/>
          <w:sz w:val="24"/>
          <w:szCs w:val="24"/>
          <w:lang w:val="en-GB"/>
        </w:rPr>
        <w:t>The quarterly journal of economics</w:t>
      </w:r>
      <w:r w:rsidRPr="00B50902">
        <w:rPr>
          <w:sz w:val="24"/>
          <w:szCs w:val="24"/>
          <w:lang w:val="en-GB"/>
        </w:rPr>
        <w:t>, 104(2), 205-228.</w:t>
      </w:r>
      <w:r w:rsidRPr="00834306">
        <w:rPr>
          <w:sz w:val="24"/>
          <w:szCs w:val="24"/>
          <w:lang w:val="en-GB"/>
        </w:rPr>
        <w:t xml:space="preserve"> </w:t>
      </w:r>
      <w:hyperlink r:id="rId71" w:history="1">
        <w:r w:rsidRPr="00834306">
          <w:rPr>
            <w:rStyle w:val="Hyperlink"/>
            <w:sz w:val="24"/>
            <w:szCs w:val="24"/>
            <w:u w:val="none"/>
            <w:lang w:val="en-GB"/>
          </w:rPr>
          <w:t>https://doi.org/10.2307/2937845</w:t>
        </w:r>
      </w:hyperlink>
    </w:p>
    <w:p w14:paraId="33DEA2E7" w14:textId="7F1C5307" w:rsidR="00AC1A3A" w:rsidRPr="00B50902" w:rsidRDefault="00AC1A3A" w:rsidP="00B50902">
      <w:pPr>
        <w:spacing w:line="360" w:lineRule="auto"/>
        <w:jc w:val="both"/>
        <w:rPr>
          <w:rStyle w:val="Hyperlink"/>
          <w:sz w:val="24"/>
          <w:szCs w:val="24"/>
          <w:u w:val="none"/>
          <w:lang w:val="en-GB"/>
        </w:rPr>
      </w:pPr>
    </w:p>
    <w:p w14:paraId="7CAA2EF2" w14:textId="249497C9" w:rsidR="00AC1A3A" w:rsidRPr="00B50902" w:rsidRDefault="00AC1A3A" w:rsidP="00B50902">
      <w:pPr>
        <w:pStyle w:val="BodyText"/>
        <w:spacing w:line="360" w:lineRule="auto"/>
        <w:jc w:val="both"/>
        <w:rPr>
          <w:rStyle w:val="Hyperlink"/>
          <w:color w:val="auto"/>
          <w:u w:val="none"/>
          <w:lang w:val="en-GB"/>
        </w:rPr>
      </w:pPr>
      <w:r w:rsidRPr="00B50902">
        <w:rPr>
          <w:lang w:val="en-GB"/>
        </w:rPr>
        <w:t xml:space="preserve">Dixit, A. (1992). Investment and Hysteresis. </w:t>
      </w:r>
      <w:r w:rsidRPr="00B50902">
        <w:rPr>
          <w:i/>
          <w:iCs/>
          <w:lang w:val="en-GB"/>
        </w:rPr>
        <w:t xml:space="preserve">Journal of Economic Perspectives, </w:t>
      </w:r>
      <w:r w:rsidRPr="00B50902">
        <w:rPr>
          <w:lang w:val="en-GB"/>
        </w:rPr>
        <w:t xml:space="preserve">6(1), 107-132. </w:t>
      </w:r>
      <w:hyperlink r:id="rId72" w:history="1">
        <w:r w:rsidRPr="00B50902">
          <w:rPr>
            <w:rStyle w:val="Hyperlink"/>
            <w:u w:val="none"/>
            <w:lang w:val="en-GB"/>
          </w:rPr>
          <w:t>https://dx.doi.org/10.1257/jep.6.1.107</w:t>
        </w:r>
      </w:hyperlink>
    </w:p>
    <w:p w14:paraId="3D9CE36F" w14:textId="46CDE3BA" w:rsidR="00AC1A3A" w:rsidRPr="00B50902" w:rsidRDefault="00AC1A3A" w:rsidP="00B50902">
      <w:pPr>
        <w:spacing w:line="360" w:lineRule="auto"/>
        <w:jc w:val="both"/>
        <w:rPr>
          <w:rStyle w:val="Hyperlink"/>
          <w:sz w:val="24"/>
          <w:szCs w:val="24"/>
          <w:u w:val="none"/>
          <w:lang w:val="en-GB"/>
        </w:rPr>
      </w:pPr>
    </w:p>
    <w:p w14:paraId="63A63E92" w14:textId="5A6141A6" w:rsidR="00AC1A3A" w:rsidRPr="00B50902" w:rsidRDefault="00AC1A3A" w:rsidP="00B50902">
      <w:pPr>
        <w:pStyle w:val="BodyText"/>
        <w:spacing w:line="360" w:lineRule="auto"/>
        <w:jc w:val="both"/>
        <w:rPr>
          <w:lang w:val="en-GB"/>
        </w:rPr>
      </w:pPr>
      <w:r w:rsidRPr="00B50902">
        <w:rPr>
          <w:lang w:val="en-GB"/>
        </w:rPr>
        <w:t xml:space="preserve">Dixit, A., &amp; Pyndick, R. (1994). </w:t>
      </w:r>
      <w:r w:rsidRPr="00B50902">
        <w:rPr>
          <w:i/>
          <w:iCs/>
          <w:lang w:val="en-GB"/>
        </w:rPr>
        <w:t>Investment Under Uncertainty</w:t>
      </w:r>
      <w:r w:rsidRPr="00B50902">
        <w:rPr>
          <w:lang w:val="en-GB"/>
        </w:rPr>
        <w:t>. Princeton U. press.</w:t>
      </w:r>
    </w:p>
    <w:p w14:paraId="0764033F" w14:textId="77777777" w:rsidR="00AC1A3A" w:rsidRPr="00B50902" w:rsidRDefault="00AC1A3A" w:rsidP="00B50902">
      <w:pPr>
        <w:spacing w:line="360" w:lineRule="auto"/>
        <w:jc w:val="both"/>
        <w:rPr>
          <w:sz w:val="24"/>
          <w:szCs w:val="24"/>
          <w:lang w:val="en-GB"/>
        </w:rPr>
      </w:pPr>
    </w:p>
    <w:p w14:paraId="22DD3A51" w14:textId="77777777" w:rsidR="00AC1A3A" w:rsidRPr="00B50902" w:rsidRDefault="00AC1A3A" w:rsidP="00B50902">
      <w:pPr>
        <w:spacing w:line="360" w:lineRule="auto"/>
        <w:jc w:val="both"/>
        <w:rPr>
          <w:rStyle w:val="Hyperlink"/>
          <w:sz w:val="24"/>
          <w:szCs w:val="24"/>
          <w:u w:val="none"/>
          <w:lang w:val="en-GB"/>
        </w:rPr>
      </w:pPr>
      <w:r w:rsidRPr="00B50902">
        <w:rPr>
          <w:sz w:val="24"/>
          <w:szCs w:val="24"/>
          <w:lang w:val="en-GB"/>
        </w:rPr>
        <w:t xml:space="preserve">Ewing, J.A. (1885). Experimental Researches in Magnetism. </w:t>
      </w:r>
      <w:r w:rsidRPr="00B50902">
        <w:rPr>
          <w:i/>
          <w:iCs/>
          <w:sz w:val="24"/>
          <w:szCs w:val="24"/>
          <w:lang w:val="en-GB"/>
        </w:rPr>
        <w:t>Proceedings of the Royal Society,</w:t>
      </w:r>
      <w:r w:rsidRPr="00B50902">
        <w:rPr>
          <w:sz w:val="24"/>
          <w:szCs w:val="24"/>
          <w:lang w:val="en-GB"/>
        </w:rPr>
        <w:t xml:space="preserve"> 38(235), 523-640. </w:t>
      </w:r>
      <w:hyperlink r:id="rId73" w:tooltip="doi link" w:history="1">
        <w:r w:rsidRPr="00834306">
          <w:rPr>
            <w:rStyle w:val="Hyperlink"/>
            <w:sz w:val="24"/>
            <w:szCs w:val="24"/>
            <w:u w:val="none"/>
            <w:lang w:val="en-GB"/>
          </w:rPr>
          <w:t>https://doi.org/10.1098/rspl.1884.0062</w:t>
        </w:r>
      </w:hyperlink>
    </w:p>
    <w:p w14:paraId="5CC2CA99" w14:textId="77777777" w:rsidR="00C1730E" w:rsidRPr="00B50902" w:rsidRDefault="00C1730E" w:rsidP="00B50902">
      <w:pPr>
        <w:spacing w:line="360" w:lineRule="auto"/>
        <w:jc w:val="both"/>
        <w:rPr>
          <w:rStyle w:val="Hyperlink"/>
          <w:sz w:val="24"/>
          <w:szCs w:val="24"/>
          <w:u w:val="none"/>
          <w:lang w:val="en-GB"/>
        </w:rPr>
      </w:pPr>
    </w:p>
    <w:p w14:paraId="08386D98" w14:textId="77777777" w:rsidR="00895CB5" w:rsidRPr="00B50902" w:rsidRDefault="00895CB5" w:rsidP="00B50902">
      <w:pPr>
        <w:spacing w:line="360" w:lineRule="auto"/>
        <w:jc w:val="both"/>
        <w:rPr>
          <w:rStyle w:val="Hyperlink"/>
          <w:sz w:val="24"/>
          <w:szCs w:val="24"/>
          <w:lang w:val="en-GB"/>
        </w:rPr>
      </w:pPr>
      <w:r w:rsidRPr="00B50902">
        <w:rPr>
          <w:sz w:val="24"/>
          <w:szCs w:val="24"/>
          <w:lang w:val="en-GB"/>
        </w:rPr>
        <w:t xml:space="preserve">Folta, T., Johnson, D. &amp; O’Brien, J. (2006). Uncertainty, irreversibility and the likelihood of entry: An empirical assessment of the option to defer. </w:t>
      </w:r>
      <w:r w:rsidRPr="00B50902">
        <w:rPr>
          <w:i/>
          <w:iCs/>
          <w:sz w:val="24"/>
          <w:szCs w:val="24"/>
          <w:lang w:val="en-GB"/>
        </w:rPr>
        <w:t>Journal of Economic Behavior &amp; Organization,</w:t>
      </w:r>
      <w:r w:rsidRPr="00B50902">
        <w:rPr>
          <w:sz w:val="24"/>
          <w:szCs w:val="24"/>
          <w:lang w:val="en-GB"/>
        </w:rPr>
        <w:t xml:space="preserve"> 61(3), 432-452. </w:t>
      </w:r>
      <w:hyperlink r:id="rId74" w:tgtFrame="_blank" w:tooltip="Persistent link using digital object identifier" w:history="1">
        <w:r w:rsidRPr="00834306">
          <w:rPr>
            <w:rStyle w:val="Hyperlink"/>
            <w:sz w:val="24"/>
            <w:szCs w:val="24"/>
            <w:lang w:val="en-GB"/>
          </w:rPr>
          <w:t>https://doi.org/10.1016/j.jebo.2004.11.011</w:t>
        </w:r>
      </w:hyperlink>
    </w:p>
    <w:p w14:paraId="2AE307A3" w14:textId="77777777" w:rsidR="00C24A2E" w:rsidRPr="00B50902" w:rsidRDefault="00C24A2E" w:rsidP="00B50902">
      <w:pPr>
        <w:spacing w:line="360" w:lineRule="auto"/>
        <w:jc w:val="both"/>
        <w:rPr>
          <w:sz w:val="24"/>
          <w:szCs w:val="24"/>
          <w:lang w:val="en-GB"/>
        </w:rPr>
      </w:pPr>
    </w:p>
    <w:p w14:paraId="389520DD" w14:textId="1C1D4B6B" w:rsidR="00C24A2E" w:rsidRPr="00B50902" w:rsidRDefault="00C24A2E" w:rsidP="00B50902">
      <w:pPr>
        <w:spacing w:line="360" w:lineRule="auto"/>
        <w:jc w:val="both"/>
        <w:rPr>
          <w:sz w:val="24"/>
          <w:szCs w:val="24"/>
          <w:lang w:val="en-GB"/>
        </w:rPr>
      </w:pPr>
      <w:r w:rsidRPr="00B50902">
        <w:rPr>
          <w:sz w:val="24"/>
          <w:szCs w:val="24"/>
          <w:lang w:val="en-GB"/>
        </w:rPr>
        <w:t xml:space="preserve">Fornaro, L., &amp; Martin, W. (2023). The scars of supply shocks: Implications for monetary policy. </w:t>
      </w:r>
      <w:r w:rsidRPr="00B50902">
        <w:rPr>
          <w:i/>
          <w:iCs/>
          <w:sz w:val="24"/>
          <w:szCs w:val="24"/>
          <w:lang w:val="en-GB"/>
        </w:rPr>
        <w:t>Journal of Monetary Economics</w:t>
      </w:r>
      <w:r w:rsidRPr="00B50902">
        <w:rPr>
          <w:sz w:val="24"/>
          <w:szCs w:val="24"/>
          <w:lang w:val="en-GB"/>
        </w:rPr>
        <w:t>, 18-1</w:t>
      </w:r>
      <w:r w:rsidRPr="00834306">
        <w:rPr>
          <w:sz w:val="24"/>
          <w:szCs w:val="24"/>
          <w:lang w:val="en-GB"/>
        </w:rPr>
        <w:t xml:space="preserve">. </w:t>
      </w:r>
      <w:hyperlink r:id="rId75" w:tgtFrame="_blank" w:tooltip="Persistent link using digital object identifier" w:history="1">
        <w:r w:rsidRPr="00834306">
          <w:rPr>
            <w:rStyle w:val="anchor-text"/>
            <w:color w:val="0000FF"/>
            <w:sz w:val="24"/>
            <w:szCs w:val="24"/>
            <w:u w:val="single"/>
            <w:lang w:val="en-GB"/>
          </w:rPr>
          <w:t>https://doi.org/10.1016/j.jmoneco.2023.04.003</w:t>
        </w:r>
      </w:hyperlink>
    </w:p>
    <w:p w14:paraId="4C1A8D8F" w14:textId="77777777" w:rsidR="00C24A2E" w:rsidRPr="00B50902" w:rsidRDefault="00C24A2E" w:rsidP="00B50902">
      <w:pPr>
        <w:spacing w:line="360" w:lineRule="auto"/>
        <w:jc w:val="both"/>
        <w:rPr>
          <w:sz w:val="24"/>
          <w:szCs w:val="24"/>
          <w:lang w:val="en-GB"/>
        </w:rPr>
      </w:pPr>
    </w:p>
    <w:p w14:paraId="31B58788" w14:textId="77777777" w:rsidR="00C24A2E" w:rsidRPr="00B50902" w:rsidRDefault="00C24A2E" w:rsidP="00B50902">
      <w:pPr>
        <w:spacing w:line="360" w:lineRule="auto"/>
        <w:jc w:val="both"/>
        <w:rPr>
          <w:rStyle w:val="Hyperlink"/>
          <w:sz w:val="24"/>
          <w:szCs w:val="24"/>
          <w:u w:val="none"/>
          <w:lang w:val="en-GB"/>
        </w:rPr>
      </w:pPr>
      <w:r w:rsidRPr="00B50902">
        <w:rPr>
          <w:sz w:val="24"/>
          <w:szCs w:val="24"/>
          <w:lang w:val="en-GB"/>
        </w:rPr>
        <w:t xml:space="preserve">Fukao, K., Miyagawa, T., Mukai, K., Shinoda,Y. &amp; Tonogi, K. (2009). Intangible investment in Japan: Measurement and contribution to economic growth. </w:t>
      </w:r>
      <w:r w:rsidRPr="00B50902">
        <w:rPr>
          <w:i/>
          <w:iCs/>
          <w:sz w:val="24"/>
          <w:szCs w:val="24"/>
          <w:lang w:val="en-GB"/>
        </w:rPr>
        <w:t>The review of income and wealth,</w:t>
      </w:r>
      <w:r w:rsidRPr="00B50902">
        <w:rPr>
          <w:sz w:val="24"/>
          <w:szCs w:val="24"/>
          <w:lang w:val="en-GB"/>
        </w:rPr>
        <w:t xml:space="preserve"> 55(3), 717-736. </w:t>
      </w:r>
      <w:hyperlink r:id="rId76" w:history="1">
        <w:r w:rsidRPr="00834306">
          <w:rPr>
            <w:rStyle w:val="Hyperlink"/>
            <w:sz w:val="24"/>
            <w:szCs w:val="24"/>
            <w:u w:val="none"/>
            <w:lang w:val="en-GB"/>
          </w:rPr>
          <w:t>https://doi.org/10.1111/j.1475-4991.2009.00345.x</w:t>
        </w:r>
      </w:hyperlink>
    </w:p>
    <w:p w14:paraId="7D747327" w14:textId="77777777" w:rsidR="00932B39" w:rsidRPr="00B50902" w:rsidRDefault="00932B39" w:rsidP="00B50902">
      <w:pPr>
        <w:spacing w:line="360" w:lineRule="auto"/>
        <w:jc w:val="both"/>
        <w:rPr>
          <w:rStyle w:val="Hyperlink"/>
          <w:sz w:val="24"/>
          <w:szCs w:val="24"/>
          <w:u w:val="none"/>
          <w:lang w:val="en-GB"/>
        </w:rPr>
      </w:pPr>
    </w:p>
    <w:p w14:paraId="026CCD79" w14:textId="77777777" w:rsidR="00932B39" w:rsidRPr="00834306" w:rsidRDefault="00932B39" w:rsidP="00B50902">
      <w:pPr>
        <w:spacing w:line="360" w:lineRule="auto"/>
        <w:jc w:val="both"/>
        <w:rPr>
          <w:sz w:val="24"/>
          <w:szCs w:val="24"/>
          <w:lang w:val="en-GB"/>
        </w:rPr>
      </w:pPr>
      <w:r w:rsidRPr="00B50902">
        <w:rPr>
          <w:sz w:val="24"/>
          <w:szCs w:val="24"/>
          <w:lang w:val="en-GB"/>
        </w:rPr>
        <w:t xml:space="preserve">Gaëlle, P. &amp; Scarpetta, S. (2006). Employment protection: Do firms’ perceptions match with legislation? </w:t>
      </w:r>
      <w:r w:rsidRPr="00B50902">
        <w:rPr>
          <w:i/>
          <w:iCs/>
          <w:sz w:val="24"/>
          <w:szCs w:val="24"/>
          <w:lang w:val="en-GB"/>
        </w:rPr>
        <w:t>Economic Letters,</w:t>
      </w:r>
      <w:r w:rsidRPr="00B50902">
        <w:rPr>
          <w:sz w:val="24"/>
          <w:szCs w:val="24"/>
          <w:lang w:val="en-GB"/>
        </w:rPr>
        <w:t xml:space="preserve"> 90(3), 328-334. </w:t>
      </w:r>
      <w:hyperlink r:id="rId77" w:tgtFrame="_blank" w:tooltip="Persistent link using digital object identifier" w:history="1">
        <w:r w:rsidRPr="00834306">
          <w:rPr>
            <w:rStyle w:val="anchor-text"/>
            <w:color w:val="0000FF"/>
            <w:sz w:val="24"/>
            <w:szCs w:val="24"/>
            <w:u w:val="single"/>
            <w:lang w:val="en-GB"/>
          </w:rPr>
          <w:t>https://doi.org/10.1016/j.econlet.2005.08.026</w:t>
        </w:r>
      </w:hyperlink>
    </w:p>
    <w:p w14:paraId="0BB93360" w14:textId="77777777" w:rsidR="009867EB" w:rsidRPr="00B50902" w:rsidRDefault="009867EB" w:rsidP="00B50902">
      <w:pPr>
        <w:spacing w:line="360" w:lineRule="auto"/>
        <w:jc w:val="both"/>
        <w:rPr>
          <w:rStyle w:val="Hyperlink"/>
          <w:sz w:val="24"/>
          <w:szCs w:val="24"/>
          <w:lang w:val="en-GB"/>
        </w:rPr>
      </w:pPr>
    </w:p>
    <w:p w14:paraId="5E5642AF" w14:textId="38409CBA" w:rsidR="009867EB" w:rsidRPr="00B50902" w:rsidRDefault="009867EB" w:rsidP="00B50902">
      <w:pPr>
        <w:widowControl/>
        <w:adjustRightInd w:val="0"/>
        <w:spacing w:line="360" w:lineRule="auto"/>
        <w:jc w:val="both"/>
        <w:rPr>
          <w:rFonts w:eastAsiaTheme="minorHAnsi" w:cs="Times-Italic"/>
          <w:i/>
          <w:iCs/>
          <w:color w:val="131413"/>
          <w:sz w:val="24"/>
          <w:szCs w:val="24"/>
          <w:lang w:val="en-GB"/>
        </w:rPr>
      </w:pPr>
      <w:r w:rsidRPr="00B50902">
        <w:rPr>
          <w:sz w:val="24"/>
          <w:szCs w:val="24"/>
          <w:lang w:val="en-GB"/>
        </w:rPr>
        <w:t>Göcke, M</w:t>
      </w:r>
      <w:r w:rsidRPr="00B50902">
        <w:rPr>
          <w:rStyle w:val="Hyperlink"/>
          <w:color w:val="000000" w:themeColor="text1"/>
          <w:sz w:val="24"/>
          <w:szCs w:val="24"/>
          <w:u w:val="none"/>
          <w:lang w:val="en-GB"/>
        </w:rPr>
        <w:t xml:space="preserve">. (1994). An approximation of the hysteresis loop by linear partial functions. Econometric modelling and estimation. </w:t>
      </w:r>
      <w:r w:rsidRPr="00B50902">
        <w:rPr>
          <w:rStyle w:val="Hyperlink"/>
          <w:i/>
          <w:iCs/>
          <w:color w:val="000000" w:themeColor="text1"/>
          <w:sz w:val="24"/>
          <w:szCs w:val="24"/>
          <w:u w:val="none"/>
          <w:lang w:val="en-GB"/>
        </w:rPr>
        <w:t>Jahrb</w:t>
      </w:r>
      <w:r w:rsidRPr="00B50902">
        <w:rPr>
          <w:rFonts w:eastAsiaTheme="minorHAnsi" w:cs="Times-Italic"/>
          <w:i/>
          <w:iCs/>
          <w:color w:val="131413"/>
          <w:sz w:val="24"/>
          <w:szCs w:val="24"/>
          <w:lang w:val="en-GB"/>
        </w:rPr>
        <w:t>ücher für Nationa</w:t>
      </w:r>
      <w:r w:rsidR="00A95E69" w:rsidRPr="00B50902">
        <w:rPr>
          <w:rFonts w:eastAsiaTheme="minorHAnsi" w:cs="Times-Italic"/>
          <w:i/>
          <w:iCs/>
          <w:color w:val="131413"/>
          <w:sz w:val="24"/>
          <w:szCs w:val="24"/>
          <w:lang w:val="en-GB"/>
        </w:rPr>
        <w:t>l</w:t>
      </w:r>
      <w:r w:rsidRPr="00B50902">
        <w:rPr>
          <w:rFonts w:eastAsiaTheme="minorHAnsi" w:cs="Times-Italic"/>
          <w:i/>
          <w:iCs/>
          <w:color w:val="131413"/>
          <w:sz w:val="24"/>
          <w:szCs w:val="24"/>
          <w:lang w:val="en-GB"/>
        </w:rPr>
        <w:t xml:space="preserve"> ökonomie</w:t>
      </w:r>
    </w:p>
    <w:p w14:paraId="44B900CD" w14:textId="47688055" w:rsidR="009867EB" w:rsidRPr="00B50902" w:rsidRDefault="009867EB" w:rsidP="00B50902">
      <w:pPr>
        <w:spacing w:line="360" w:lineRule="auto"/>
        <w:jc w:val="both"/>
        <w:rPr>
          <w:rStyle w:val="Hyperlink"/>
          <w:color w:val="000000" w:themeColor="text1"/>
          <w:sz w:val="24"/>
          <w:szCs w:val="24"/>
          <w:u w:val="none"/>
          <w:lang w:val="en-GB"/>
        </w:rPr>
      </w:pPr>
      <w:r w:rsidRPr="00B50902">
        <w:rPr>
          <w:rFonts w:eastAsiaTheme="minorHAnsi" w:cs="Times-Italic"/>
          <w:i/>
          <w:iCs/>
          <w:color w:val="131413"/>
          <w:sz w:val="24"/>
          <w:szCs w:val="24"/>
          <w:lang w:val="en-GB"/>
        </w:rPr>
        <w:lastRenderedPageBreak/>
        <w:t>und Statistik</w:t>
      </w:r>
      <w:r w:rsidRPr="00B50902">
        <w:rPr>
          <w:rFonts w:eastAsiaTheme="minorHAnsi" w:cs="Times-Roman"/>
          <w:color w:val="131413"/>
          <w:sz w:val="24"/>
          <w:szCs w:val="24"/>
          <w:lang w:val="en-GB"/>
        </w:rPr>
        <w:t xml:space="preserve">, </w:t>
      </w:r>
      <w:r w:rsidRPr="00B50902">
        <w:rPr>
          <w:rFonts w:eastAsiaTheme="minorHAnsi" w:cs="Times-Bold"/>
          <w:color w:val="131413"/>
          <w:sz w:val="24"/>
          <w:szCs w:val="24"/>
          <w:lang w:val="en-GB"/>
        </w:rPr>
        <w:t>213</w:t>
      </w:r>
      <w:r w:rsidRPr="00B50902">
        <w:rPr>
          <w:rFonts w:eastAsiaTheme="minorHAnsi" w:cs="Times-Roman"/>
          <w:color w:val="131413"/>
          <w:sz w:val="24"/>
          <w:szCs w:val="24"/>
          <w:lang w:val="en-GB"/>
        </w:rPr>
        <w:t>(5), 572–596.</w:t>
      </w:r>
      <w:r w:rsidRPr="00B50902">
        <w:rPr>
          <w:rStyle w:val="Hyperlink"/>
          <w:color w:val="000000" w:themeColor="text1"/>
          <w:sz w:val="24"/>
          <w:szCs w:val="24"/>
          <w:u w:val="none"/>
          <w:lang w:val="en-GB"/>
        </w:rPr>
        <w:t xml:space="preserve"> </w:t>
      </w:r>
      <w:hyperlink r:id="rId78" w:history="1">
        <w:r w:rsidRPr="00834306">
          <w:rPr>
            <w:rStyle w:val="Hyperlink"/>
            <w:sz w:val="24"/>
            <w:szCs w:val="24"/>
            <w:lang w:val="en-GB"/>
          </w:rPr>
          <w:t>https://doi.org/10.1515/jbnst-1994-0505</w:t>
        </w:r>
      </w:hyperlink>
    </w:p>
    <w:p w14:paraId="41DF05F2" w14:textId="77777777" w:rsidR="009145BE" w:rsidRPr="00B50902" w:rsidRDefault="009145BE" w:rsidP="00B50902">
      <w:pPr>
        <w:spacing w:line="360" w:lineRule="auto"/>
        <w:jc w:val="both"/>
        <w:rPr>
          <w:rStyle w:val="Hyperlink"/>
          <w:color w:val="000000" w:themeColor="text1"/>
          <w:sz w:val="24"/>
          <w:szCs w:val="24"/>
          <w:u w:val="none"/>
          <w:lang w:val="en-GB"/>
        </w:rPr>
      </w:pPr>
    </w:p>
    <w:p w14:paraId="79C6FC32" w14:textId="5C66ADC2" w:rsidR="0075244C" w:rsidRPr="00B50902" w:rsidRDefault="009145BE" w:rsidP="00B50902">
      <w:pPr>
        <w:widowControl/>
        <w:adjustRightInd w:val="0"/>
        <w:spacing w:line="360" w:lineRule="auto"/>
        <w:jc w:val="both"/>
        <w:rPr>
          <w:rStyle w:val="Hyperlink"/>
          <w:color w:val="000000" w:themeColor="text1"/>
          <w:sz w:val="24"/>
          <w:szCs w:val="24"/>
          <w:u w:val="none"/>
          <w:lang w:val="en-GB"/>
        </w:rPr>
      </w:pPr>
      <w:r w:rsidRPr="00B50902">
        <w:rPr>
          <w:sz w:val="24"/>
          <w:szCs w:val="24"/>
          <w:lang w:val="en-GB"/>
        </w:rPr>
        <w:t>Göcke, M</w:t>
      </w:r>
      <w:r w:rsidRPr="00B50902">
        <w:rPr>
          <w:rStyle w:val="Hyperlink"/>
          <w:color w:val="000000" w:themeColor="text1"/>
          <w:sz w:val="24"/>
          <w:szCs w:val="24"/>
          <w:u w:val="none"/>
          <w:lang w:val="en-GB"/>
        </w:rPr>
        <w:t xml:space="preserve">. (2001). </w:t>
      </w:r>
      <w:r w:rsidR="0075244C" w:rsidRPr="00B50902">
        <w:rPr>
          <w:rStyle w:val="Hyperlink"/>
          <w:color w:val="000000" w:themeColor="text1"/>
          <w:sz w:val="24"/>
          <w:szCs w:val="24"/>
          <w:u w:val="none"/>
          <w:lang w:val="en-GB"/>
        </w:rPr>
        <w:t xml:space="preserve">A macroeconomic model with hysteresis in foreign trade. </w:t>
      </w:r>
      <w:r w:rsidR="0075244C" w:rsidRPr="00B50902">
        <w:rPr>
          <w:rStyle w:val="Hyperlink"/>
          <w:i/>
          <w:iCs/>
          <w:color w:val="000000" w:themeColor="text1"/>
          <w:sz w:val="24"/>
          <w:szCs w:val="24"/>
          <w:u w:val="none"/>
          <w:lang w:val="en-GB"/>
        </w:rPr>
        <w:t>Metroeconomica</w:t>
      </w:r>
      <w:r w:rsidR="0075244C" w:rsidRPr="00B50902">
        <w:rPr>
          <w:rStyle w:val="Hyperlink"/>
          <w:color w:val="000000" w:themeColor="text1"/>
          <w:sz w:val="24"/>
          <w:szCs w:val="24"/>
          <w:u w:val="none"/>
          <w:lang w:val="en-GB"/>
        </w:rPr>
        <w:t>, 52(4), 449-47</w:t>
      </w:r>
      <w:r w:rsidR="0075244C" w:rsidRPr="00834306">
        <w:rPr>
          <w:rStyle w:val="Hyperlink"/>
          <w:color w:val="000000" w:themeColor="text1"/>
          <w:sz w:val="24"/>
          <w:szCs w:val="24"/>
          <w:u w:val="none"/>
          <w:lang w:val="en-GB"/>
        </w:rPr>
        <w:t xml:space="preserve">3. </w:t>
      </w:r>
      <w:hyperlink r:id="rId79" w:history="1">
        <w:r w:rsidR="00BD07EB" w:rsidRPr="00834306">
          <w:rPr>
            <w:rStyle w:val="Hyperlink"/>
            <w:sz w:val="24"/>
            <w:szCs w:val="24"/>
            <w:lang w:val="en-GB"/>
          </w:rPr>
          <w:t>https://doi.org/10.1111/1467-999X.00129</w:t>
        </w:r>
      </w:hyperlink>
    </w:p>
    <w:p w14:paraId="27861148" w14:textId="77777777" w:rsidR="009145BE" w:rsidRPr="00B50902" w:rsidRDefault="009145BE" w:rsidP="00B50902">
      <w:pPr>
        <w:spacing w:line="360" w:lineRule="auto"/>
        <w:jc w:val="both"/>
        <w:rPr>
          <w:color w:val="000000" w:themeColor="text1"/>
          <w:sz w:val="24"/>
          <w:szCs w:val="24"/>
          <w:lang w:val="en-GB"/>
        </w:rPr>
      </w:pPr>
    </w:p>
    <w:p w14:paraId="4D875494" w14:textId="6DB74ED1" w:rsidR="00116A7F" w:rsidRPr="00B50902" w:rsidRDefault="00116A7F" w:rsidP="00B50902">
      <w:pPr>
        <w:spacing w:line="360" w:lineRule="auto"/>
        <w:jc w:val="both"/>
        <w:rPr>
          <w:rStyle w:val="Hyperlink"/>
          <w:sz w:val="24"/>
          <w:szCs w:val="24"/>
          <w:lang w:val="en-GB"/>
        </w:rPr>
      </w:pPr>
      <w:r w:rsidRPr="00B50902">
        <w:rPr>
          <w:sz w:val="24"/>
          <w:szCs w:val="24"/>
          <w:lang w:val="en-GB"/>
        </w:rPr>
        <w:t>Göcke, M</w:t>
      </w:r>
      <w:r w:rsidRPr="00B50902">
        <w:rPr>
          <w:rStyle w:val="Hyperlink"/>
          <w:color w:val="000000" w:themeColor="text1"/>
          <w:sz w:val="24"/>
          <w:szCs w:val="24"/>
          <w:u w:val="none"/>
          <w:lang w:val="en-GB"/>
        </w:rPr>
        <w:t xml:space="preserve">. (2002). Various Concepts of Hysteresis Applied in Economics. </w:t>
      </w:r>
      <w:r w:rsidRPr="00B50902">
        <w:rPr>
          <w:rStyle w:val="Hyperlink"/>
          <w:i/>
          <w:iCs/>
          <w:color w:val="000000" w:themeColor="text1"/>
          <w:sz w:val="24"/>
          <w:szCs w:val="24"/>
          <w:u w:val="none"/>
          <w:lang w:val="en-GB"/>
        </w:rPr>
        <w:t>Journal of Economics Surveys</w:t>
      </w:r>
      <w:r w:rsidRPr="00B50902">
        <w:rPr>
          <w:rStyle w:val="Hyperlink"/>
          <w:color w:val="000000" w:themeColor="text1"/>
          <w:sz w:val="24"/>
          <w:szCs w:val="24"/>
          <w:u w:val="none"/>
          <w:lang w:val="en-GB"/>
        </w:rPr>
        <w:t xml:space="preserve">, 16(2), 167-188. </w:t>
      </w:r>
      <w:hyperlink r:id="rId80" w:history="1">
        <w:r w:rsidRPr="00834306">
          <w:rPr>
            <w:rStyle w:val="Hyperlink"/>
            <w:sz w:val="24"/>
            <w:szCs w:val="24"/>
            <w:lang w:val="en-GB"/>
          </w:rPr>
          <w:t>https://doi.org/10.1111/1467-6419.00163</w:t>
        </w:r>
      </w:hyperlink>
    </w:p>
    <w:p w14:paraId="68068DE5" w14:textId="77777777" w:rsidR="000D225F" w:rsidRPr="00B50902" w:rsidRDefault="000D225F" w:rsidP="00B50902">
      <w:pPr>
        <w:spacing w:line="360" w:lineRule="auto"/>
        <w:jc w:val="both"/>
        <w:rPr>
          <w:rStyle w:val="Hyperlink"/>
          <w:sz w:val="24"/>
          <w:szCs w:val="24"/>
          <w:u w:val="none"/>
          <w:lang w:val="en-GB"/>
        </w:rPr>
      </w:pPr>
    </w:p>
    <w:p w14:paraId="5244B6B0" w14:textId="6A5EBA5D" w:rsidR="00895CB5" w:rsidRPr="00B50902" w:rsidRDefault="00895CB5" w:rsidP="00B50902">
      <w:pPr>
        <w:spacing w:line="360" w:lineRule="auto"/>
        <w:jc w:val="both"/>
        <w:rPr>
          <w:sz w:val="24"/>
          <w:szCs w:val="24"/>
          <w:lang w:val="en-GB"/>
        </w:rPr>
      </w:pPr>
      <w:r w:rsidRPr="00B50902">
        <w:rPr>
          <w:sz w:val="24"/>
          <w:szCs w:val="24"/>
          <w:lang w:val="en-GB"/>
        </w:rPr>
        <w:t xml:space="preserve">Haskel, J., &amp; Westlake, S. (2018). </w:t>
      </w:r>
      <w:r w:rsidRPr="00B50902">
        <w:rPr>
          <w:i/>
          <w:sz w:val="24"/>
          <w:szCs w:val="24"/>
          <w:lang w:val="en-GB"/>
        </w:rPr>
        <w:t>Capitalism without Capital: the rise of the Intangible Economy</w:t>
      </w:r>
      <w:r w:rsidRPr="00B50902">
        <w:rPr>
          <w:sz w:val="24"/>
          <w:szCs w:val="24"/>
          <w:lang w:val="en-GB"/>
        </w:rPr>
        <w:t>. Princeton University Press.</w:t>
      </w:r>
    </w:p>
    <w:p w14:paraId="489141A6" w14:textId="77777777" w:rsidR="00387C13" w:rsidRPr="00B50902" w:rsidRDefault="00387C13" w:rsidP="00B50902">
      <w:pPr>
        <w:spacing w:line="360" w:lineRule="auto"/>
        <w:jc w:val="both"/>
        <w:rPr>
          <w:sz w:val="24"/>
          <w:szCs w:val="24"/>
          <w:lang w:val="en-GB"/>
        </w:rPr>
      </w:pPr>
    </w:p>
    <w:p w14:paraId="135AA59D" w14:textId="6E412883" w:rsidR="00387C13" w:rsidRPr="00B50902" w:rsidRDefault="00387C13" w:rsidP="00B50902">
      <w:pPr>
        <w:spacing w:line="360" w:lineRule="auto"/>
        <w:jc w:val="both"/>
        <w:rPr>
          <w:sz w:val="24"/>
          <w:szCs w:val="24"/>
          <w:lang w:val="en-GB"/>
        </w:rPr>
      </w:pPr>
      <w:r w:rsidRPr="00B50902">
        <w:rPr>
          <w:sz w:val="24"/>
          <w:szCs w:val="24"/>
          <w:lang w:val="en-GB"/>
        </w:rPr>
        <w:t xml:space="preserve">Kannebley </w:t>
      </w:r>
      <w:r w:rsidR="00417183" w:rsidRPr="00B50902">
        <w:rPr>
          <w:sz w:val="24"/>
          <w:szCs w:val="24"/>
          <w:lang w:val="en-GB"/>
        </w:rPr>
        <w:t xml:space="preserve">Jr., S. (2008). Tests for hysteresis hypothesis in Brazilian industrialized exports: A threshold cointegration analysis. </w:t>
      </w:r>
      <w:r w:rsidR="00417183" w:rsidRPr="00B50902">
        <w:rPr>
          <w:i/>
          <w:iCs/>
          <w:sz w:val="24"/>
          <w:szCs w:val="24"/>
          <w:lang w:val="en-GB"/>
        </w:rPr>
        <w:t>Economic Modelling</w:t>
      </w:r>
      <w:r w:rsidR="00417183" w:rsidRPr="00B50902">
        <w:rPr>
          <w:sz w:val="24"/>
          <w:szCs w:val="24"/>
          <w:lang w:val="en-GB"/>
        </w:rPr>
        <w:t xml:space="preserve">, 25(2), 171-190. </w:t>
      </w:r>
      <w:hyperlink r:id="rId81" w:history="1">
        <w:r w:rsidR="00417183" w:rsidRPr="00834306">
          <w:rPr>
            <w:rStyle w:val="Hyperlink"/>
            <w:sz w:val="24"/>
            <w:szCs w:val="24"/>
            <w:lang w:val="en-GB"/>
          </w:rPr>
          <w:t>https://doi.org/10.1016/j.econmod.2007.04.011</w:t>
        </w:r>
      </w:hyperlink>
    </w:p>
    <w:p w14:paraId="170CDB46" w14:textId="77777777" w:rsidR="00DA1C77" w:rsidRPr="00B50902" w:rsidRDefault="00DA1C77" w:rsidP="00B50902">
      <w:pPr>
        <w:spacing w:line="360" w:lineRule="auto"/>
        <w:jc w:val="both"/>
        <w:rPr>
          <w:sz w:val="24"/>
          <w:szCs w:val="24"/>
          <w:lang w:val="en-GB"/>
        </w:rPr>
      </w:pPr>
    </w:p>
    <w:p w14:paraId="373CBA1D" w14:textId="26EE179E" w:rsidR="000D225F" w:rsidRPr="00B50902" w:rsidRDefault="00387C13" w:rsidP="00B50902">
      <w:pPr>
        <w:spacing w:line="360" w:lineRule="auto"/>
        <w:jc w:val="both"/>
        <w:rPr>
          <w:sz w:val="24"/>
          <w:szCs w:val="24"/>
          <w:lang w:val="en-GB"/>
        </w:rPr>
      </w:pPr>
      <w:r w:rsidRPr="00B50902">
        <w:rPr>
          <w:sz w:val="24"/>
          <w:szCs w:val="24"/>
          <w:lang w:val="en-GB"/>
        </w:rPr>
        <w:t>Konstantinos</w:t>
      </w:r>
      <w:r w:rsidR="00CA51F5" w:rsidRPr="00B50902">
        <w:rPr>
          <w:sz w:val="24"/>
          <w:szCs w:val="24"/>
          <w:lang w:val="en-GB"/>
        </w:rPr>
        <w:t>,</w:t>
      </w:r>
      <w:r w:rsidR="007F58B5" w:rsidRPr="00B50902">
        <w:rPr>
          <w:sz w:val="24"/>
          <w:szCs w:val="24"/>
          <w:lang w:val="en-GB"/>
        </w:rPr>
        <w:t xml:space="preserve"> </w:t>
      </w:r>
      <w:r w:rsidR="00CA51F5" w:rsidRPr="00B50902">
        <w:rPr>
          <w:sz w:val="24"/>
          <w:szCs w:val="24"/>
          <w:lang w:val="en-GB"/>
        </w:rPr>
        <w:t xml:space="preserve">G. (2023). Hysteresis, financial frictions and monetary policy. </w:t>
      </w:r>
      <w:r w:rsidR="00CA51F5" w:rsidRPr="00B50902">
        <w:rPr>
          <w:i/>
          <w:iCs/>
          <w:sz w:val="24"/>
          <w:szCs w:val="24"/>
          <w:lang w:val="en-GB"/>
        </w:rPr>
        <w:t>Journal of Economic Asymmetries</w:t>
      </w:r>
      <w:r w:rsidR="00CA51F5" w:rsidRPr="00B50902">
        <w:rPr>
          <w:sz w:val="24"/>
          <w:szCs w:val="24"/>
          <w:lang w:val="en-GB"/>
        </w:rPr>
        <w:t xml:space="preserve">, 27(2023), 1-19. </w:t>
      </w:r>
      <w:hyperlink r:id="rId82" w:tgtFrame="_blank" w:tooltip="Persistent link using digital object identifier" w:history="1">
        <w:r w:rsidR="00CA51F5" w:rsidRPr="00834306">
          <w:rPr>
            <w:rStyle w:val="anchor-text"/>
            <w:color w:val="0000FF"/>
            <w:sz w:val="24"/>
            <w:szCs w:val="24"/>
            <w:u w:val="single"/>
            <w:lang w:val="en-GB"/>
          </w:rPr>
          <w:t>https://doi.org/10.1016/j.jeca.2022.e00286</w:t>
        </w:r>
      </w:hyperlink>
      <w:r w:rsidR="00CA51F5" w:rsidRPr="00B50902">
        <w:rPr>
          <w:sz w:val="24"/>
          <w:szCs w:val="24"/>
          <w:lang w:val="en-GB"/>
        </w:rPr>
        <w:t xml:space="preserve"> </w:t>
      </w:r>
    </w:p>
    <w:p w14:paraId="5691502E" w14:textId="77777777" w:rsidR="00DA1C77" w:rsidRPr="00B50902" w:rsidRDefault="00DA1C77" w:rsidP="00B50902">
      <w:pPr>
        <w:spacing w:line="360" w:lineRule="auto"/>
        <w:jc w:val="both"/>
        <w:rPr>
          <w:sz w:val="24"/>
          <w:szCs w:val="24"/>
          <w:lang w:val="en-GB"/>
        </w:rPr>
      </w:pPr>
      <w:bookmarkStart w:id="26" w:name="_Hlk129701137"/>
    </w:p>
    <w:p w14:paraId="2749369E" w14:textId="7BBB2BEE" w:rsidR="0077566B" w:rsidRPr="00B50902" w:rsidRDefault="0077566B" w:rsidP="00B50902">
      <w:pPr>
        <w:spacing w:line="360" w:lineRule="auto"/>
        <w:jc w:val="both"/>
        <w:rPr>
          <w:sz w:val="24"/>
          <w:szCs w:val="24"/>
          <w:lang w:val="en-GB"/>
        </w:rPr>
      </w:pPr>
      <w:r w:rsidRPr="00B50902">
        <w:rPr>
          <w:sz w:val="24"/>
          <w:szCs w:val="24"/>
          <w:lang w:val="en-GB"/>
        </w:rPr>
        <w:t>Mayergoyz</w:t>
      </w:r>
      <w:r w:rsidR="00861DA1" w:rsidRPr="00B50902">
        <w:rPr>
          <w:sz w:val="24"/>
          <w:szCs w:val="24"/>
          <w:lang w:val="en-GB"/>
        </w:rPr>
        <w:t xml:space="preserve">, I. (1986). </w:t>
      </w:r>
      <w:r w:rsidR="00861DA1" w:rsidRPr="00B50902">
        <w:rPr>
          <w:i/>
          <w:iCs/>
          <w:sz w:val="24"/>
          <w:szCs w:val="24"/>
          <w:lang w:val="en-GB"/>
        </w:rPr>
        <w:t>Mathematical Models of Hysteres</w:t>
      </w:r>
      <w:r w:rsidR="00AE09F6" w:rsidRPr="00B50902">
        <w:rPr>
          <w:i/>
          <w:iCs/>
          <w:sz w:val="24"/>
          <w:szCs w:val="24"/>
          <w:lang w:val="en-GB"/>
        </w:rPr>
        <w:t>is</w:t>
      </w:r>
      <w:r w:rsidR="00AE09F6" w:rsidRPr="00B50902">
        <w:rPr>
          <w:sz w:val="24"/>
          <w:szCs w:val="24"/>
          <w:lang w:val="en-GB"/>
        </w:rPr>
        <w:t xml:space="preserve">. </w:t>
      </w:r>
      <w:r w:rsidR="00667D6B" w:rsidRPr="00B50902">
        <w:rPr>
          <w:sz w:val="24"/>
          <w:szCs w:val="24"/>
          <w:lang w:val="en-GB"/>
        </w:rPr>
        <w:t>Springer</w:t>
      </w:r>
      <w:r w:rsidR="007025FF" w:rsidRPr="00B50902">
        <w:rPr>
          <w:sz w:val="24"/>
          <w:szCs w:val="24"/>
          <w:lang w:val="en-GB"/>
        </w:rPr>
        <w:t xml:space="preserve"> New York.</w:t>
      </w:r>
    </w:p>
    <w:p w14:paraId="4834AC5F" w14:textId="77777777" w:rsidR="000D225F" w:rsidRPr="00B50902" w:rsidRDefault="000D225F" w:rsidP="00B50902">
      <w:pPr>
        <w:spacing w:line="360" w:lineRule="auto"/>
        <w:jc w:val="both"/>
        <w:rPr>
          <w:sz w:val="24"/>
          <w:szCs w:val="24"/>
          <w:lang w:val="en-GB"/>
        </w:rPr>
      </w:pPr>
    </w:p>
    <w:p w14:paraId="4C66DC06" w14:textId="0DAF4089" w:rsidR="007025FF" w:rsidRPr="00B50902" w:rsidRDefault="000D6C30" w:rsidP="00B50902">
      <w:pPr>
        <w:spacing w:line="360" w:lineRule="auto"/>
        <w:jc w:val="both"/>
        <w:rPr>
          <w:sz w:val="24"/>
          <w:szCs w:val="24"/>
          <w:lang w:val="en-GB"/>
        </w:rPr>
      </w:pPr>
      <w:r w:rsidRPr="00B50902">
        <w:rPr>
          <w:sz w:val="24"/>
          <w:szCs w:val="24"/>
          <w:lang w:val="en-GB"/>
        </w:rPr>
        <w:t xml:space="preserve">Mayergoyz, I. (2003). </w:t>
      </w:r>
      <w:r w:rsidRPr="00B50902">
        <w:rPr>
          <w:i/>
          <w:iCs/>
          <w:sz w:val="24"/>
          <w:szCs w:val="24"/>
          <w:lang w:val="en-GB"/>
        </w:rPr>
        <w:t xml:space="preserve">Mathematical Models </w:t>
      </w:r>
      <w:r w:rsidR="00CF103F" w:rsidRPr="00B50902">
        <w:rPr>
          <w:i/>
          <w:iCs/>
          <w:sz w:val="24"/>
          <w:szCs w:val="24"/>
          <w:lang w:val="en-GB"/>
        </w:rPr>
        <w:t>and their applications</w:t>
      </w:r>
      <w:r w:rsidRPr="00B50902">
        <w:rPr>
          <w:sz w:val="24"/>
          <w:szCs w:val="24"/>
          <w:lang w:val="en-GB"/>
        </w:rPr>
        <w:t xml:space="preserve">. </w:t>
      </w:r>
      <w:r w:rsidR="00CF103F" w:rsidRPr="00B50902">
        <w:rPr>
          <w:sz w:val="24"/>
          <w:szCs w:val="24"/>
          <w:lang w:val="en-GB"/>
        </w:rPr>
        <w:t>Academic Press.</w:t>
      </w:r>
    </w:p>
    <w:p w14:paraId="3E8EE02A" w14:textId="77777777" w:rsidR="00B92D5D" w:rsidRPr="00B50902" w:rsidRDefault="00B92D5D" w:rsidP="00B50902">
      <w:pPr>
        <w:spacing w:line="360" w:lineRule="auto"/>
        <w:jc w:val="both"/>
        <w:rPr>
          <w:sz w:val="24"/>
          <w:szCs w:val="24"/>
          <w:lang w:val="en-GB"/>
        </w:rPr>
      </w:pPr>
    </w:p>
    <w:p w14:paraId="01F13727" w14:textId="1B6D164F" w:rsidR="00EB0F48" w:rsidRPr="00B50902" w:rsidRDefault="00EB0F48" w:rsidP="00B50902">
      <w:pPr>
        <w:spacing w:line="360" w:lineRule="auto"/>
        <w:jc w:val="both"/>
        <w:rPr>
          <w:sz w:val="24"/>
          <w:szCs w:val="24"/>
        </w:rPr>
      </w:pPr>
      <w:r w:rsidRPr="00834306">
        <w:rPr>
          <w:sz w:val="24"/>
          <w:szCs w:val="24"/>
        </w:rPr>
        <w:t>Mota, P., Varejão, J., &amp; Vasconcelos, P.</w:t>
      </w:r>
      <w:r w:rsidRPr="00B50902">
        <w:rPr>
          <w:sz w:val="24"/>
          <w:szCs w:val="24"/>
          <w:lang w:val="en-GB"/>
        </w:rPr>
        <w:t xml:space="preserve"> (2012). Hysteresis in the dynamics of employment. </w:t>
      </w:r>
      <w:r w:rsidR="00DC6AAF" w:rsidRPr="00B50902">
        <w:rPr>
          <w:i/>
          <w:iCs/>
          <w:sz w:val="24"/>
          <w:szCs w:val="24"/>
        </w:rPr>
        <w:t>Metroeconomica</w:t>
      </w:r>
      <w:r w:rsidRPr="00B50902">
        <w:rPr>
          <w:sz w:val="24"/>
          <w:szCs w:val="24"/>
        </w:rPr>
        <w:t xml:space="preserve">, </w:t>
      </w:r>
      <w:r w:rsidR="00DC6AAF" w:rsidRPr="00B50902">
        <w:rPr>
          <w:sz w:val="24"/>
          <w:szCs w:val="24"/>
        </w:rPr>
        <w:t>63</w:t>
      </w:r>
      <w:r w:rsidRPr="00B50902">
        <w:rPr>
          <w:sz w:val="24"/>
          <w:szCs w:val="24"/>
        </w:rPr>
        <w:t>(</w:t>
      </w:r>
      <w:r w:rsidR="00DC6AAF" w:rsidRPr="00B50902">
        <w:rPr>
          <w:sz w:val="24"/>
          <w:szCs w:val="24"/>
        </w:rPr>
        <w:t>4</w:t>
      </w:r>
      <w:r w:rsidRPr="00B50902">
        <w:rPr>
          <w:sz w:val="24"/>
          <w:szCs w:val="24"/>
        </w:rPr>
        <w:t>)</w:t>
      </w:r>
      <w:r w:rsidR="00DC6AAF" w:rsidRPr="00B50902">
        <w:rPr>
          <w:sz w:val="24"/>
          <w:szCs w:val="24"/>
        </w:rPr>
        <w:t>, 661-692.</w:t>
      </w:r>
      <w:r w:rsidRPr="00834306">
        <w:rPr>
          <w:sz w:val="24"/>
          <w:szCs w:val="24"/>
        </w:rPr>
        <w:t xml:space="preserve"> </w:t>
      </w:r>
      <w:hyperlink r:id="rId83" w:history="1">
        <w:r w:rsidR="00DC6AAF" w:rsidRPr="00834306">
          <w:rPr>
            <w:rStyle w:val="Hyperlink"/>
            <w:sz w:val="24"/>
            <w:szCs w:val="24"/>
          </w:rPr>
          <w:t>https://</w:t>
        </w:r>
        <w:r w:rsidR="00DC6AAF" w:rsidRPr="00834306">
          <w:rPr>
            <w:rStyle w:val="Hyperlink"/>
            <w:rFonts w:eastAsiaTheme="minorHAnsi" w:cs="TimesNRMT"/>
            <w:sz w:val="24"/>
            <w:szCs w:val="24"/>
          </w:rPr>
          <w:t>doi.org/10.1111/j.1467-999X.2012.04159.x</w:t>
        </w:r>
      </w:hyperlink>
    </w:p>
    <w:p w14:paraId="1CAE7A41" w14:textId="77777777" w:rsidR="006209B1" w:rsidRPr="00B50902" w:rsidRDefault="006209B1" w:rsidP="00B50902">
      <w:pPr>
        <w:spacing w:line="360" w:lineRule="auto"/>
        <w:jc w:val="both"/>
        <w:rPr>
          <w:rFonts w:eastAsiaTheme="minorHAnsi" w:cs="TimesNRMT"/>
          <w:sz w:val="24"/>
          <w:szCs w:val="24"/>
        </w:rPr>
      </w:pPr>
    </w:p>
    <w:p w14:paraId="7BB843E0" w14:textId="7496D6B2" w:rsidR="007D5C76" w:rsidRPr="00B50902" w:rsidRDefault="007D5C76" w:rsidP="00B50902">
      <w:pPr>
        <w:spacing w:line="360" w:lineRule="auto"/>
        <w:jc w:val="both"/>
        <w:rPr>
          <w:rStyle w:val="Hyperlink"/>
          <w:sz w:val="24"/>
          <w:szCs w:val="24"/>
          <w:lang w:val="en-GB"/>
        </w:rPr>
      </w:pPr>
      <w:r w:rsidRPr="00834306">
        <w:rPr>
          <w:sz w:val="24"/>
          <w:szCs w:val="24"/>
        </w:rPr>
        <w:t xml:space="preserve">Mota, P., Varejão, J., &amp; Vasconcelos, P. (2015). </w:t>
      </w:r>
      <w:r w:rsidRPr="00B50902">
        <w:rPr>
          <w:sz w:val="24"/>
          <w:szCs w:val="24"/>
          <w:lang w:val="en-GB"/>
        </w:rPr>
        <w:t xml:space="preserve">A hysteresis model-based indicator for employment adjustment rigidity. </w:t>
      </w:r>
      <w:r w:rsidRPr="00B50902">
        <w:rPr>
          <w:i/>
          <w:iCs/>
          <w:sz w:val="24"/>
          <w:szCs w:val="24"/>
          <w:lang w:val="en-GB"/>
        </w:rPr>
        <w:t>Empirica</w:t>
      </w:r>
      <w:r w:rsidRPr="00B50902">
        <w:rPr>
          <w:sz w:val="24"/>
          <w:szCs w:val="24"/>
          <w:lang w:val="en-GB"/>
        </w:rPr>
        <w:t>, 42(3), 547-569</w:t>
      </w:r>
      <w:r w:rsidRPr="00834306">
        <w:rPr>
          <w:sz w:val="24"/>
          <w:szCs w:val="24"/>
          <w:lang w:val="en-GB"/>
        </w:rPr>
        <w:t xml:space="preserve">. </w:t>
      </w:r>
      <w:hyperlink r:id="rId84" w:history="1">
        <w:r w:rsidRPr="00834306">
          <w:rPr>
            <w:rStyle w:val="Hyperlink"/>
            <w:sz w:val="24"/>
            <w:szCs w:val="24"/>
            <w:lang w:val="en-GB"/>
          </w:rPr>
          <w:t>https://doi.org/10.1007/s10663-014-9263-1</w:t>
        </w:r>
      </w:hyperlink>
    </w:p>
    <w:p w14:paraId="4E0CC8F9" w14:textId="77777777" w:rsidR="00DC74CD" w:rsidRPr="00B50902" w:rsidRDefault="00DC74CD" w:rsidP="00B50902">
      <w:pPr>
        <w:spacing w:line="360" w:lineRule="auto"/>
        <w:jc w:val="both"/>
        <w:rPr>
          <w:sz w:val="24"/>
          <w:szCs w:val="24"/>
          <w:lang w:val="en-GB"/>
        </w:rPr>
      </w:pPr>
    </w:p>
    <w:p w14:paraId="340543EA" w14:textId="77777777" w:rsidR="00DC74CD" w:rsidRPr="00B50902" w:rsidRDefault="00DC74CD" w:rsidP="00B50902">
      <w:pPr>
        <w:spacing w:line="360" w:lineRule="auto"/>
        <w:jc w:val="both"/>
        <w:rPr>
          <w:rStyle w:val="Hyperlink"/>
          <w:sz w:val="24"/>
          <w:szCs w:val="24"/>
          <w:lang w:val="en-GB"/>
        </w:rPr>
      </w:pPr>
      <w:r w:rsidRPr="00B50902">
        <w:rPr>
          <w:sz w:val="24"/>
          <w:szCs w:val="24"/>
          <w:lang w:val="en-GB"/>
        </w:rPr>
        <w:t xml:space="preserve">Mota, P., &amp; Vasconcelos, P. (2012). Nonconvex adjustment costs, hysteresis and the macrodynamics of employment. </w:t>
      </w:r>
      <w:r w:rsidRPr="00B50902">
        <w:rPr>
          <w:i/>
          <w:iCs/>
          <w:sz w:val="24"/>
          <w:szCs w:val="24"/>
          <w:lang w:val="en-GB"/>
        </w:rPr>
        <w:t>Journal of Post Keynesian Economics</w:t>
      </w:r>
      <w:r w:rsidRPr="00B50902">
        <w:rPr>
          <w:sz w:val="24"/>
          <w:szCs w:val="24"/>
          <w:lang w:val="en-GB"/>
        </w:rPr>
        <w:t xml:space="preserve">, 35(1), 93-112. </w:t>
      </w:r>
      <w:hyperlink r:id="rId85" w:history="1">
        <w:r w:rsidRPr="00834306">
          <w:rPr>
            <w:rStyle w:val="Hyperlink"/>
            <w:sz w:val="24"/>
            <w:szCs w:val="24"/>
            <w:lang w:val="en-GB"/>
          </w:rPr>
          <w:t>http://dx.doi.org/10.2753/PKE0160-3477350106</w:t>
        </w:r>
      </w:hyperlink>
    </w:p>
    <w:p w14:paraId="7D57B89A" w14:textId="77777777" w:rsidR="00DC74CD" w:rsidRPr="00B50902" w:rsidRDefault="00DC74CD" w:rsidP="00B50902">
      <w:pPr>
        <w:spacing w:line="360" w:lineRule="auto"/>
        <w:jc w:val="both"/>
        <w:rPr>
          <w:rStyle w:val="Hyperlink"/>
          <w:sz w:val="24"/>
          <w:szCs w:val="24"/>
          <w:lang w:val="en-GB"/>
        </w:rPr>
      </w:pPr>
    </w:p>
    <w:p w14:paraId="528469F8" w14:textId="77777777" w:rsidR="00DC74CD" w:rsidRPr="00B50902" w:rsidRDefault="00DC74CD" w:rsidP="00B50902">
      <w:pPr>
        <w:spacing w:line="360" w:lineRule="auto"/>
        <w:jc w:val="both"/>
        <w:rPr>
          <w:rFonts w:eastAsiaTheme="minorHAnsi" w:cs="TimesNRMT"/>
          <w:sz w:val="24"/>
          <w:szCs w:val="24"/>
          <w:lang w:val="en-GB"/>
        </w:rPr>
      </w:pPr>
      <w:r w:rsidRPr="00834306">
        <w:rPr>
          <w:rFonts w:eastAsiaTheme="minorHAnsi" w:cs="TimesNRMT"/>
          <w:sz w:val="24"/>
          <w:szCs w:val="24"/>
          <w:lang w:val="en-GB"/>
        </w:rPr>
        <w:lastRenderedPageBreak/>
        <w:t xml:space="preserve">Mota, P., &amp; Vasconcelos, P. (2015). </w:t>
      </w:r>
      <w:r w:rsidRPr="00B50902">
        <w:rPr>
          <w:rFonts w:eastAsiaTheme="minorHAnsi" w:cs="TimesNRMT"/>
          <w:sz w:val="24"/>
          <w:szCs w:val="24"/>
          <w:lang w:val="en-GB"/>
        </w:rPr>
        <w:t xml:space="preserve">The macrodynamics of employment under uncertainty. In </w:t>
      </w:r>
      <w:r w:rsidRPr="00B50902">
        <w:rPr>
          <w:rStyle w:val="value"/>
          <w:sz w:val="24"/>
          <w:szCs w:val="24"/>
          <w:lang w:val="en-GB"/>
        </w:rPr>
        <w:t>Bourguignon</w:t>
      </w:r>
      <w:r w:rsidRPr="00B50902">
        <w:rPr>
          <w:rFonts w:eastAsiaTheme="minorHAnsi" w:cs="TimesNRMT"/>
          <w:sz w:val="24"/>
          <w:szCs w:val="24"/>
          <w:lang w:val="en-GB"/>
        </w:rPr>
        <w:t xml:space="preserve">, J. (ed.), </w:t>
      </w:r>
      <w:r w:rsidRPr="00B50902">
        <w:rPr>
          <w:rFonts w:eastAsiaTheme="minorHAnsi" w:cs="TimesNRMT"/>
          <w:i/>
          <w:iCs/>
          <w:sz w:val="24"/>
          <w:szCs w:val="24"/>
          <w:lang w:val="en-GB"/>
        </w:rPr>
        <w:t>Dynamics Games and Science</w:t>
      </w:r>
      <w:r w:rsidRPr="00B50902">
        <w:rPr>
          <w:rFonts w:eastAsiaTheme="minorHAnsi" w:cs="TimesNRMT"/>
          <w:sz w:val="24"/>
          <w:szCs w:val="24"/>
          <w:lang w:val="en-GB"/>
        </w:rPr>
        <w:t xml:space="preserve"> (pp.479-497). Springer</w:t>
      </w:r>
    </w:p>
    <w:p w14:paraId="60301E07" w14:textId="77777777" w:rsidR="00DC6AAF" w:rsidRPr="00B50902" w:rsidRDefault="00DC6AAF" w:rsidP="00B50902">
      <w:pPr>
        <w:spacing w:line="360" w:lineRule="auto"/>
        <w:jc w:val="both"/>
        <w:rPr>
          <w:color w:val="0000FF" w:themeColor="hyperlink"/>
          <w:sz w:val="24"/>
          <w:szCs w:val="24"/>
          <w:u w:val="single"/>
          <w:lang w:val="en-GB"/>
        </w:rPr>
      </w:pPr>
    </w:p>
    <w:p w14:paraId="11261B66" w14:textId="6A03FB71" w:rsidR="00FA6EB6" w:rsidRPr="00B50902" w:rsidRDefault="00FA6EB6" w:rsidP="00B50902">
      <w:pPr>
        <w:spacing w:line="360" w:lineRule="auto"/>
        <w:jc w:val="both"/>
        <w:rPr>
          <w:rStyle w:val="Hyperlink"/>
          <w:sz w:val="24"/>
          <w:szCs w:val="24"/>
          <w:lang w:val="en-GB"/>
        </w:rPr>
      </w:pPr>
      <w:r w:rsidRPr="00B50902">
        <w:rPr>
          <w:sz w:val="24"/>
          <w:szCs w:val="24"/>
          <w:lang w:val="en-GB"/>
        </w:rPr>
        <w:t>Mota, P.,</w:t>
      </w:r>
      <w:r w:rsidR="000305A1" w:rsidRPr="00B50902">
        <w:rPr>
          <w:sz w:val="24"/>
          <w:szCs w:val="24"/>
          <w:lang w:val="en-GB"/>
        </w:rPr>
        <w:t xml:space="preserve"> &amp;</w:t>
      </w:r>
      <w:r w:rsidRPr="00B50902">
        <w:rPr>
          <w:sz w:val="24"/>
          <w:szCs w:val="24"/>
          <w:lang w:val="en-GB"/>
        </w:rPr>
        <w:t xml:space="preserve"> Vasconcelos, P.</w:t>
      </w:r>
      <w:r w:rsidR="00C52B84" w:rsidRPr="00B50902">
        <w:rPr>
          <w:sz w:val="24"/>
          <w:szCs w:val="24"/>
          <w:lang w:val="en-GB"/>
        </w:rPr>
        <w:t xml:space="preserve"> (2020). Hysteresis and sources of aggregate employment inertia</w:t>
      </w:r>
      <w:r w:rsidR="00C16279" w:rsidRPr="00B50902">
        <w:rPr>
          <w:sz w:val="24"/>
          <w:szCs w:val="24"/>
          <w:lang w:val="en-GB"/>
        </w:rPr>
        <w:t xml:space="preserve">. </w:t>
      </w:r>
      <w:r w:rsidR="00C16279" w:rsidRPr="00B50902">
        <w:rPr>
          <w:i/>
          <w:iCs/>
          <w:sz w:val="24"/>
          <w:szCs w:val="24"/>
          <w:lang w:val="en-GB"/>
        </w:rPr>
        <w:t xml:space="preserve">Studies in </w:t>
      </w:r>
      <w:r w:rsidR="00114154" w:rsidRPr="00B50902">
        <w:rPr>
          <w:i/>
          <w:iCs/>
          <w:sz w:val="24"/>
          <w:szCs w:val="24"/>
          <w:lang w:val="en-GB"/>
        </w:rPr>
        <w:t>N</w:t>
      </w:r>
      <w:r w:rsidR="00C16279" w:rsidRPr="00B50902">
        <w:rPr>
          <w:i/>
          <w:iCs/>
          <w:sz w:val="24"/>
          <w:szCs w:val="24"/>
          <w:lang w:val="en-GB"/>
        </w:rPr>
        <w:t xml:space="preserve">onlinear </w:t>
      </w:r>
      <w:r w:rsidR="00114154" w:rsidRPr="00B50902">
        <w:rPr>
          <w:i/>
          <w:iCs/>
          <w:sz w:val="24"/>
          <w:szCs w:val="24"/>
          <w:lang w:val="en-GB"/>
        </w:rPr>
        <w:t>D</w:t>
      </w:r>
      <w:r w:rsidR="00C16279" w:rsidRPr="00B50902">
        <w:rPr>
          <w:i/>
          <w:iCs/>
          <w:sz w:val="24"/>
          <w:szCs w:val="24"/>
          <w:lang w:val="en-GB"/>
        </w:rPr>
        <w:t xml:space="preserve">ynamics </w:t>
      </w:r>
      <w:r w:rsidR="00114154" w:rsidRPr="00B50902">
        <w:rPr>
          <w:i/>
          <w:iCs/>
          <w:sz w:val="24"/>
          <w:szCs w:val="24"/>
          <w:lang w:val="en-GB"/>
        </w:rPr>
        <w:t>&amp;</w:t>
      </w:r>
      <w:r w:rsidR="00C16279" w:rsidRPr="00B50902">
        <w:rPr>
          <w:i/>
          <w:iCs/>
          <w:sz w:val="24"/>
          <w:szCs w:val="24"/>
          <w:lang w:val="en-GB"/>
        </w:rPr>
        <w:t xml:space="preserve"> </w:t>
      </w:r>
      <w:r w:rsidR="00114154" w:rsidRPr="00B50902">
        <w:rPr>
          <w:i/>
          <w:iCs/>
          <w:sz w:val="24"/>
          <w:szCs w:val="24"/>
          <w:lang w:val="en-GB"/>
        </w:rPr>
        <w:t>E</w:t>
      </w:r>
      <w:r w:rsidR="00C16279" w:rsidRPr="00B50902">
        <w:rPr>
          <w:i/>
          <w:iCs/>
          <w:sz w:val="24"/>
          <w:szCs w:val="24"/>
          <w:lang w:val="en-GB"/>
        </w:rPr>
        <w:t>conometrics</w:t>
      </w:r>
      <w:r w:rsidR="00F5722B" w:rsidRPr="00B50902">
        <w:rPr>
          <w:sz w:val="24"/>
          <w:szCs w:val="24"/>
          <w:lang w:val="en-GB"/>
        </w:rPr>
        <w:t>,</w:t>
      </w:r>
      <w:r w:rsidR="00114154" w:rsidRPr="00B50902">
        <w:rPr>
          <w:sz w:val="24"/>
          <w:szCs w:val="24"/>
          <w:lang w:val="en-GB"/>
        </w:rPr>
        <w:t xml:space="preserve"> </w:t>
      </w:r>
      <w:r w:rsidR="003B48AB" w:rsidRPr="00B50902">
        <w:rPr>
          <w:sz w:val="24"/>
          <w:szCs w:val="24"/>
          <w:lang w:val="en-GB"/>
        </w:rPr>
        <w:t>26(1)</w:t>
      </w:r>
      <w:r w:rsidR="00DC6AAF" w:rsidRPr="00B50902">
        <w:rPr>
          <w:sz w:val="24"/>
          <w:szCs w:val="24"/>
          <w:lang w:val="en-GB"/>
        </w:rPr>
        <w:t>, 137-1</w:t>
      </w:r>
      <w:r w:rsidR="00DC6AAF" w:rsidRPr="00834306">
        <w:rPr>
          <w:sz w:val="24"/>
          <w:szCs w:val="24"/>
          <w:lang w:val="en-GB"/>
        </w:rPr>
        <w:t>54.</w:t>
      </w:r>
      <w:r w:rsidR="003B48AB" w:rsidRPr="00834306">
        <w:rPr>
          <w:sz w:val="24"/>
          <w:szCs w:val="24"/>
          <w:lang w:val="en-GB"/>
        </w:rPr>
        <w:t xml:space="preserve"> </w:t>
      </w:r>
      <w:hyperlink r:id="rId86" w:history="1">
        <w:r w:rsidR="00DC6AAF" w:rsidRPr="00834306">
          <w:rPr>
            <w:rStyle w:val="Hyperlink"/>
            <w:sz w:val="24"/>
            <w:szCs w:val="24"/>
            <w:lang w:val="en-GB"/>
          </w:rPr>
          <w:t>https://doi.org/10.1515/snde-2019-0135</w:t>
        </w:r>
      </w:hyperlink>
    </w:p>
    <w:p w14:paraId="46034DFF" w14:textId="77777777" w:rsidR="000305A1" w:rsidRPr="00B50902" w:rsidRDefault="000305A1" w:rsidP="00B50902">
      <w:pPr>
        <w:spacing w:line="360" w:lineRule="auto"/>
        <w:jc w:val="both"/>
        <w:rPr>
          <w:sz w:val="24"/>
          <w:szCs w:val="24"/>
          <w:lang w:val="en-GB"/>
        </w:rPr>
      </w:pPr>
    </w:p>
    <w:p w14:paraId="2500F0A2" w14:textId="7025E813" w:rsidR="000305A1" w:rsidRPr="00834306" w:rsidRDefault="000305A1" w:rsidP="00B50902">
      <w:pPr>
        <w:spacing w:line="360" w:lineRule="auto"/>
        <w:jc w:val="both"/>
        <w:rPr>
          <w:rStyle w:val="c-bibliographic-informationvalue"/>
          <w:sz w:val="24"/>
          <w:szCs w:val="24"/>
          <w:lang w:val="en-GB"/>
        </w:rPr>
      </w:pPr>
      <w:r w:rsidRPr="00B50902">
        <w:rPr>
          <w:sz w:val="24"/>
          <w:szCs w:val="24"/>
          <w:lang w:val="en-GB"/>
        </w:rPr>
        <w:t xml:space="preserve">Mota, P., &amp; Vasconcelos, P. (2021). Estimating the Employment Band of Inaction with Multiple Breaks due to Labor Market Reforms. </w:t>
      </w:r>
      <w:r w:rsidRPr="00B50902">
        <w:rPr>
          <w:i/>
          <w:iCs/>
          <w:sz w:val="24"/>
          <w:szCs w:val="24"/>
          <w:lang w:val="en-GB"/>
        </w:rPr>
        <w:t>Mathematics in Computer Science</w:t>
      </w:r>
      <w:r w:rsidRPr="00B50902">
        <w:rPr>
          <w:sz w:val="24"/>
          <w:szCs w:val="24"/>
          <w:lang w:val="en-GB"/>
        </w:rPr>
        <w:t xml:space="preserve">, 15(1), 121-133. </w:t>
      </w:r>
      <w:hyperlink r:id="rId87" w:history="1">
        <w:r w:rsidRPr="00834306">
          <w:rPr>
            <w:rStyle w:val="Hyperlink"/>
            <w:sz w:val="24"/>
            <w:szCs w:val="24"/>
            <w:lang w:val="en-GB"/>
          </w:rPr>
          <w:t>https://doi.org/10.1007/s11786-020-00471-3</w:t>
        </w:r>
      </w:hyperlink>
    </w:p>
    <w:p w14:paraId="7B457B58" w14:textId="77777777" w:rsidR="002A37FA" w:rsidRPr="00B50902" w:rsidRDefault="002A37FA" w:rsidP="00B50902">
      <w:pPr>
        <w:spacing w:line="360" w:lineRule="auto"/>
        <w:jc w:val="both"/>
        <w:rPr>
          <w:rStyle w:val="Hyperlink"/>
          <w:sz w:val="24"/>
          <w:szCs w:val="24"/>
          <w:lang w:val="en-GB"/>
        </w:rPr>
      </w:pPr>
    </w:p>
    <w:p w14:paraId="60AC2BF7" w14:textId="60FF8A08" w:rsidR="002A37FA" w:rsidRPr="00B50902" w:rsidRDefault="002A37FA" w:rsidP="00B50902">
      <w:pPr>
        <w:spacing w:line="360" w:lineRule="auto"/>
        <w:jc w:val="both"/>
        <w:rPr>
          <w:rStyle w:val="c-bibliographic-informationvalue"/>
          <w:sz w:val="24"/>
          <w:szCs w:val="24"/>
          <w:lang w:val="en-GB"/>
        </w:rPr>
      </w:pPr>
      <w:r w:rsidRPr="00B50902">
        <w:rPr>
          <w:sz w:val="24"/>
          <w:szCs w:val="24"/>
          <w:lang w:val="en-GB"/>
        </w:rPr>
        <w:t xml:space="preserve">Mota, P., &amp; Vasconcelos, P. (2022a). Play-Hysteresis in the Joint Dynamics of Employment and Investment. </w:t>
      </w:r>
      <w:r w:rsidRPr="00B50902">
        <w:rPr>
          <w:i/>
          <w:iCs/>
          <w:sz w:val="24"/>
          <w:szCs w:val="24"/>
          <w:lang w:val="en-GB"/>
        </w:rPr>
        <w:t>Mathematics in Computer Science</w:t>
      </w:r>
      <w:r w:rsidRPr="00B50902">
        <w:rPr>
          <w:sz w:val="24"/>
          <w:szCs w:val="24"/>
          <w:lang w:val="en-GB"/>
        </w:rPr>
        <w:t xml:space="preserve">, 16(5), </w:t>
      </w:r>
      <w:r w:rsidR="00BF573F" w:rsidRPr="00B50902">
        <w:rPr>
          <w:sz w:val="24"/>
          <w:szCs w:val="24"/>
          <w:lang w:val="en-GB"/>
        </w:rPr>
        <w:t>1-13</w:t>
      </w:r>
      <w:r w:rsidRPr="00B50902">
        <w:rPr>
          <w:sz w:val="24"/>
          <w:szCs w:val="24"/>
          <w:lang w:val="en-GB"/>
        </w:rPr>
        <w:t>.</w:t>
      </w:r>
      <w:r w:rsidR="00BF573F" w:rsidRPr="00B50902">
        <w:rPr>
          <w:sz w:val="24"/>
          <w:szCs w:val="24"/>
          <w:lang w:val="en-GB"/>
        </w:rPr>
        <w:t xml:space="preserve"> </w:t>
      </w:r>
      <w:hyperlink r:id="rId88" w:history="1">
        <w:r w:rsidR="00A06370" w:rsidRPr="00834306">
          <w:rPr>
            <w:rStyle w:val="Hyperlink"/>
            <w:sz w:val="24"/>
            <w:szCs w:val="24"/>
            <w:lang w:val="en-GB"/>
          </w:rPr>
          <w:t>https://doi.org/10.1007/s11786-022-00523-w</w:t>
        </w:r>
      </w:hyperlink>
    </w:p>
    <w:p w14:paraId="0CAE0D0F" w14:textId="77777777" w:rsidR="000D225F" w:rsidRPr="00B50902" w:rsidRDefault="000D225F" w:rsidP="00B50902">
      <w:pPr>
        <w:spacing w:line="360" w:lineRule="auto"/>
        <w:jc w:val="both"/>
        <w:rPr>
          <w:rStyle w:val="Hyperlink"/>
          <w:sz w:val="24"/>
          <w:szCs w:val="24"/>
          <w:lang w:val="en-GB"/>
        </w:rPr>
      </w:pPr>
    </w:p>
    <w:p w14:paraId="14A9C0E1" w14:textId="69BBDFEF" w:rsidR="002C60FF" w:rsidRPr="00B50902" w:rsidRDefault="002C60FF" w:rsidP="00B50902">
      <w:pPr>
        <w:spacing w:line="360" w:lineRule="auto"/>
        <w:jc w:val="both"/>
        <w:rPr>
          <w:rStyle w:val="Hyperlink"/>
          <w:sz w:val="24"/>
          <w:szCs w:val="24"/>
        </w:rPr>
      </w:pPr>
      <w:r w:rsidRPr="00B50902">
        <w:rPr>
          <w:sz w:val="24"/>
          <w:szCs w:val="24"/>
          <w:lang w:val="en-GB"/>
        </w:rPr>
        <w:t xml:space="preserve">Mota, P., </w:t>
      </w:r>
      <w:r w:rsidR="002A37FA" w:rsidRPr="00B50902">
        <w:rPr>
          <w:sz w:val="24"/>
          <w:szCs w:val="24"/>
          <w:lang w:val="en-GB"/>
        </w:rPr>
        <w:t xml:space="preserve">&amp; </w:t>
      </w:r>
      <w:r w:rsidRPr="00B50902">
        <w:rPr>
          <w:sz w:val="24"/>
          <w:szCs w:val="24"/>
          <w:lang w:val="en-GB"/>
        </w:rPr>
        <w:t>Vasconcelos, P. (2022</w:t>
      </w:r>
      <w:r w:rsidR="00A25C14" w:rsidRPr="00B50902">
        <w:rPr>
          <w:sz w:val="24"/>
          <w:szCs w:val="24"/>
          <w:lang w:val="en-GB"/>
        </w:rPr>
        <w:t>b</w:t>
      </w:r>
      <w:r w:rsidRPr="00B50902">
        <w:rPr>
          <w:sz w:val="24"/>
          <w:szCs w:val="24"/>
          <w:lang w:val="en-GB"/>
        </w:rPr>
        <w:t xml:space="preserve">). Labour market reforms and employment hysteresis. </w:t>
      </w:r>
      <w:r w:rsidRPr="00B50902">
        <w:rPr>
          <w:i/>
          <w:iCs/>
          <w:sz w:val="24"/>
          <w:szCs w:val="24"/>
        </w:rPr>
        <w:t>Acta Oeconomica</w:t>
      </w:r>
      <w:r w:rsidRPr="00B50902">
        <w:rPr>
          <w:sz w:val="24"/>
          <w:szCs w:val="24"/>
        </w:rPr>
        <w:t>, 72(2)</w:t>
      </w:r>
      <w:r w:rsidRPr="00834306">
        <w:rPr>
          <w:sz w:val="24"/>
          <w:szCs w:val="24"/>
        </w:rPr>
        <w:t xml:space="preserve">. </w:t>
      </w:r>
      <w:hyperlink r:id="rId89" w:history="1">
        <w:r w:rsidRPr="00834306">
          <w:rPr>
            <w:rStyle w:val="Hyperlink"/>
            <w:sz w:val="24"/>
            <w:szCs w:val="24"/>
          </w:rPr>
          <w:t>https://doi.org/10.1556/032.2022.00010</w:t>
        </w:r>
      </w:hyperlink>
    </w:p>
    <w:p w14:paraId="516936A3" w14:textId="77777777" w:rsidR="000D225F" w:rsidRPr="00B50902" w:rsidRDefault="000D225F" w:rsidP="00B50902">
      <w:pPr>
        <w:spacing w:line="360" w:lineRule="auto"/>
        <w:jc w:val="both"/>
        <w:rPr>
          <w:rStyle w:val="Hyperlink"/>
          <w:color w:val="auto"/>
          <w:sz w:val="24"/>
          <w:szCs w:val="24"/>
          <w:u w:val="none"/>
        </w:rPr>
      </w:pPr>
    </w:p>
    <w:p w14:paraId="1910C529" w14:textId="505A2BBA" w:rsidR="0033672C" w:rsidRPr="00B50902" w:rsidRDefault="00F01481" w:rsidP="00B50902">
      <w:pPr>
        <w:spacing w:line="360" w:lineRule="auto"/>
        <w:jc w:val="both"/>
        <w:rPr>
          <w:rStyle w:val="Hyperlink"/>
          <w:sz w:val="24"/>
          <w:szCs w:val="24"/>
          <w:lang w:val="en-GB"/>
        </w:rPr>
      </w:pPr>
      <w:r w:rsidRPr="00B50902">
        <w:rPr>
          <w:sz w:val="24"/>
          <w:szCs w:val="24"/>
        </w:rPr>
        <w:t>Mota, P.,</w:t>
      </w:r>
      <w:r w:rsidR="002A37FA" w:rsidRPr="00B50902">
        <w:rPr>
          <w:sz w:val="24"/>
          <w:szCs w:val="24"/>
        </w:rPr>
        <w:t xml:space="preserve"> &amp;</w:t>
      </w:r>
      <w:r w:rsidRPr="00B50902">
        <w:rPr>
          <w:sz w:val="24"/>
          <w:szCs w:val="24"/>
        </w:rPr>
        <w:t xml:space="preserve"> Vasconcelos, P. (2022</w:t>
      </w:r>
      <w:r w:rsidR="00A25C14" w:rsidRPr="00B50902">
        <w:rPr>
          <w:sz w:val="24"/>
          <w:szCs w:val="24"/>
        </w:rPr>
        <w:t>c</w:t>
      </w:r>
      <w:r w:rsidRPr="00B50902">
        <w:rPr>
          <w:sz w:val="24"/>
          <w:szCs w:val="24"/>
        </w:rPr>
        <w:t xml:space="preserve">). </w:t>
      </w:r>
      <w:r w:rsidRPr="00B50902">
        <w:rPr>
          <w:sz w:val="24"/>
          <w:szCs w:val="24"/>
          <w:lang w:val="en-GB"/>
        </w:rPr>
        <w:t xml:space="preserve">Hysteresis in the Dynamics of Employment by Activity Sector. </w:t>
      </w:r>
      <w:r w:rsidRPr="00B50902">
        <w:rPr>
          <w:i/>
          <w:iCs/>
          <w:sz w:val="24"/>
          <w:szCs w:val="24"/>
          <w:lang w:val="en-GB"/>
        </w:rPr>
        <w:t>Review of Political Economy</w:t>
      </w:r>
      <w:r w:rsidRPr="00B50902">
        <w:rPr>
          <w:sz w:val="24"/>
          <w:szCs w:val="24"/>
          <w:lang w:val="en-GB"/>
        </w:rPr>
        <w:t>, 26(1)</w:t>
      </w:r>
      <w:r w:rsidR="00D21572" w:rsidRPr="00B50902">
        <w:rPr>
          <w:sz w:val="24"/>
          <w:szCs w:val="24"/>
          <w:lang w:val="en-GB"/>
        </w:rPr>
        <w:t>.</w:t>
      </w:r>
      <w:r w:rsidRPr="00B50902">
        <w:rPr>
          <w:sz w:val="24"/>
          <w:szCs w:val="24"/>
          <w:lang w:val="en-GB"/>
        </w:rPr>
        <w:t xml:space="preserve"> </w:t>
      </w:r>
      <w:hyperlink r:id="rId90" w:history="1">
        <w:r w:rsidRPr="00834306">
          <w:rPr>
            <w:rStyle w:val="Hyperlink"/>
            <w:sz w:val="24"/>
            <w:szCs w:val="24"/>
            <w:lang w:val="en-GB"/>
          </w:rPr>
          <w:t>https://doi.org/10.1080/09538259.2022.2105139</w:t>
        </w:r>
      </w:hyperlink>
    </w:p>
    <w:p w14:paraId="6260BE79" w14:textId="77777777" w:rsidR="000D225F" w:rsidRPr="00B50902" w:rsidRDefault="000D225F" w:rsidP="00B50902">
      <w:pPr>
        <w:spacing w:line="360" w:lineRule="auto"/>
        <w:jc w:val="both"/>
        <w:rPr>
          <w:rStyle w:val="Hyperlink"/>
          <w:sz w:val="24"/>
          <w:szCs w:val="24"/>
          <w:lang w:val="en-GB"/>
        </w:rPr>
      </w:pPr>
    </w:p>
    <w:p w14:paraId="7105AB89" w14:textId="4C6C7BEC" w:rsidR="00892F35" w:rsidRPr="00834306" w:rsidRDefault="00892F35" w:rsidP="00B50902">
      <w:pPr>
        <w:spacing w:line="360" w:lineRule="auto"/>
        <w:jc w:val="both"/>
        <w:rPr>
          <w:sz w:val="24"/>
          <w:szCs w:val="24"/>
          <w:lang w:val="en-GB"/>
        </w:rPr>
      </w:pPr>
      <w:r w:rsidRPr="00B50902">
        <w:rPr>
          <w:sz w:val="24"/>
          <w:szCs w:val="24"/>
          <w:lang w:val="en-GB"/>
        </w:rPr>
        <w:t xml:space="preserve">OECD (2003). </w:t>
      </w:r>
      <w:r w:rsidRPr="00B50902">
        <w:rPr>
          <w:i/>
          <w:iCs/>
          <w:sz w:val="24"/>
          <w:szCs w:val="24"/>
          <w:lang w:val="en-GB"/>
        </w:rPr>
        <w:t xml:space="preserve">Business Tendency Surveys A </w:t>
      </w:r>
      <w:r w:rsidRPr="00834306">
        <w:rPr>
          <w:i/>
          <w:iCs/>
          <w:sz w:val="24"/>
          <w:szCs w:val="24"/>
          <w:lang w:val="en-GB"/>
        </w:rPr>
        <w:t>Handbook</w:t>
      </w:r>
      <w:r w:rsidRPr="00834306">
        <w:rPr>
          <w:sz w:val="24"/>
          <w:szCs w:val="24"/>
          <w:lang w:val="en-GB"/>
        </w:rPr>
        <w:t xml:space="preserve"> </w:t>
      </w:r>
      <w:hyperlink r:id="rId91" w:history="1">
        <w:r w:rsidRPr="00834306">
          <w:rPr>
            <w:rStyle w:val="Hyperlink"/>
            <w:sz w:val="24"/>
            <w:szCs w:val="24"/>
            <w:lang w:val="en-GB"/>
          </w:rPr>
          <w:t>https://www.oecd.org/sdd/leading-indicators/businesstendencysurveysahandbook.htm</w:t>
        </w:r>
      </w:hyperlink>
      <w:r w:rsidR="00DC74CD" w:rsidRPr="00834306">
        <w:rPr>
          <w:rStyle w:val="Hyperlink"/>
          <w:sz w:val="24"/>
          <w:szCs w:val="24"/>
          <w:lang w:val="en-GB"/>
        </w:rPr>
        <w:t>l</w:t>
      </w:r>
    </w:p>
    <w:p w14:paraId="3112934F" w14:textId="77777777" w:rsidR="00892F35" w:rsidRPr="00B50902" w:rsidRDefault="00892F35" w:rsidP="00B50902">
      <w:pPr>
        <w:spacing w:line="360" w:lineRule="auto"/>
        <w:jc w:val="both"/>
        <w:rPr>
          <w:rStyle w:val="Hyperlink"/>
          <w:sz w:val="24"/>
          <w:szCs w:val="24"/>
          <w:lang w:val="en-GB"/>
        </w:rPr>
      </w:pPr>
    </w:p>
    <w:p w14:paraId="51B0ADF0" w14:textId="2C631486" w:rsidR="0033672C" w:rsidRPr="00B50902" w:rsidRDefault="0033672C" w:rsidP="00B50902">
      <w:pPr>
        <w:spacing w:line="360" w:lineRule="auto"/>
        <w:jc w:val="both"/>
        <w:rPr>
          <w:sz w:val="24"/>
          <w:szCs w:val="24"/>
          <w:lang w:val="en-GB"/>
        </w:rPr>
      </w:pPr>
      <w:r w:rsidRPr="00B50902">
        <w:rPr>
          <w:sz w:val="24"/>
          <w:szCs w:val="24"/>
          <w:lang w:val="en-GB"/>
        </w:rPr>
        <w:t xml:space="preserve">Phelps, E. (1972). </w:t>
      </w:r>
      <w:r w:rsidRPr="00B50902">
        <w:rPr>
          <w:i/>
          <w:iCs/>
          <w:sz w:val="24"/>
          <w:szCs w:val="24"/>
          <w:lang w:val="en-GB"/>
        </w:rPr>
        <w:t>Inflation Policy and Unemployment Theory.</w:t>
      </w:r>
      <w:r w:rsidRPr="00B50902">
        <w:rPr>
          <w:sz w:val="24"/>
          <w:szCs w:val="24"/>
          <w:lang w:val="en-GB"/>
        </w:rPr>
        <w:t xml:space="preserve"> Macmillan.</w:t>
      </w:r>
    </w:p>
    <w:p w14:paraId="7C51109D" w14:textId="77777777" w:rsidR="000D225F" w:rsidRPr="00B50902" w:rsidRDefault="000D225F" w:rsidP="00B50902">
      <w:pPr>
        <w:spacing w:line="360" w:lineRule="auto"/>
        <w:jc w:val="both"/>
        <w:rPr>
          <w:sz w:val="24"/>
          <w:szCs w:val="24"/>
          <w:lang w:val="en-GB"/>
        </w:rPr>
      </w:pPr>
    </w:p>
    <w:p w14:paraId="4553CE15" w14:textId="3B15C31C" w:rsidR="000D225F" w:rsidRPr="00B50902" w:rsidRDefault="00D21572" w:rsidP="00B50902">
      <w:pPr>
        <w:spacing w:line="360" w:lineRule="auto"/>
        <w:jc w:val="both"/>
        <w:rPr>
          <w:rStyle w:val="Hyperlink"/>
          <w:sz w:val="24"/>
          <w:szCs w:val="24"/>
          <w:lang w:val="en-GB"/>
        </w:rPr>
      </w:pPr>
      <w:r w:rsidRPr="00B50902">
        <w:rPr>
          <w:sz w:val="24"/>
          <w:szCs w:val="24"/>
          <w:lang w:val="en-GB"/>
        </w:rPr>
        <w:t xml:space="preserve">Philips, P., &amp; Hansen, B. (1990). Statistical Inference in Instrumental Variables Regression with I(1) Processes. </w:t>
      </w:r>
      <w:r w:rsidRPr="00B50902">
        <w:rPr>
          <w:i/>
          <w:iCs/>
          <w:sz w:val="24"/>
          <w:szCs w:val="24"/>
          <w:lang w:val="en-GB"/>
        </w:rPr>
        <w:t>The Review of Economic Studies</w:t>
      </w:r>
      <w:r w:rsidRPr="00B50902">
        <w:rPr>
          <w:sz w:val="24"/>
          <w:szCs w:val="24"/>
          <w:lang w:val="en-GB"/>
        </w:rPr>
        <w:t xml:space="preserve">, 57(1), 99-125. </w:t>
      </w:r>
      <w:hyperlink r:id="rId92" w:history="1">
        <w:r w:rsidRPr="00834306">
          <w:rPr>
            <w:rStyle w:val="Hyperlink"/>
            <w:sz w:val="24"/>
            <w:szCs w:val="24"/>
            <w:lang w:val="en-GB"/>
          </w:rPr>
          <w:t>https://doi.org/10.2307/2297545</w:t>
        </w:r>
      </w:hyperlink>
    </w:p>
    <w:p w14:paraId="0FE73F26" w14:textId="77777777" w:rsidR="007755F5" w:rsidRPr="00B50902" w:rsidRDefault="007755F5" w:rsidP="00B50902">
      <w:pPr>
        <w:spacing w:line="360" w:lineRule="auto"/>
        <w:jc w:val="both"/>
        <w:rPr>
          <w:color w:val="0000FF" w:themeColor="hyperlink"/>
          <w:sz w:val="24"/>
          <w:szCs w:val="24"/>
          <w:u w:val="single"/>
          <w:lang w:val="en-GB"/>
        </w:rPr>
      </w:pPr>
    </w:p>
    <w:p w14:paraId="26830E26" w14:textId="1AF19FCD" w:rsidR="00D21572" w:rsidRPr="00B50902" w:rsidRDefault="00D21572" w:rsidP="00B50902">
      <w:pPr>
        <w:spacing w:line="360" w:lineRule="auto"/>
        <w:jc w:val="both"/>
        <w:rPr>
          <w:rStyle w:val="Hyperlink"/>
          <w:sz w:val="24"/>
          <w:szCs w:val="24"/>
          <w:lang w:val="en-GB"/>
        </w:rPr>
      </w:pPr>
      <w:r w:rsidRPr="00B50902">
        <w:rPr>
          <w:sz w:val="24"/>
          <w:szCs w:val="24"/>
          <w:lang w:val="en-GB"/>
        </w:rPr>
        <w:t xml:space="preserve">Philips. P. (1995). Fully Modified Least Squares and Vector Autoregression. </w:t>
      </w:r>
      <w:r w:rsidRPr="00B50902">
        <w:rPr>
          <w:i/>
          <w:iCs/>
          <w:sz w:val="24"/>
          <w:szCs w:val="24"/>
          <w:lang w:val="en-GB"/>
        </w:rPr>
        <w:t>Econometrica</w:t>
      </w:r>
      <w:r w:rsidRPr="00B50902">
        <w:rPr>
          <w:sz w:val="24"/>
          <w:szCs w:val="24"/>
          <w:lang w:val="en-GB"/>
        </w:rPr>
        <w:t>, 63(5), 1023</w:t>
      </w:r>
      <w:r w:rsidRPr="00834306">
        <w:rPr>
          <w:sz w:val="24"/>
          <w:szCs w:val="24"/>
          <w:lang w:val="en-GB"/>
        </w:rPr>
        <w:t xml:space="preserve">-1078. </w:t>
      </w:r>
      <w:hyperlink r:id="rId93" w:history="1">
        <w:r w:rsidRPr="00834306">
          <w:rPr>
            <w:rStyle w:val="Hyperlink"/>
            <w:sz w:val="24"/>
            <w:szCs w:val="24"/>
            <w:lang w:val="en-GB"/>
          </w:rPr>
          <w:t>https://doi.org/10.2307/2171721</w:t>
        </w:r>
      </w:hyperlink>
    </w:p>
    <w:bookmarkEnd w:id="26"/>
    <w:p w14:paraId="648AD9E0" w14:textId="77777777" w:rsidR="00F60397" w:rsidRPr="00B50902" w:rsidRDefault="00F60397" w:rsidP="00B50902">
      <w:pPr>
        <w:pStyle w:val="BodyText"/>
        <w:spacing w:line="360" w:lineRule="auto"/>
        <w:jc w:val="both"/>
        <w:rPr>
          <w:lang w:val="en-GB"/>
        </w:rPr>
      </w:pPr>
    </w:p>
    <w:p w14:paraId="1E27CA45" w14:textId="57099F4E" w:rsidR="00AC1A3A" w:rsidRPr="00B50902" w:rsidRDefault="00AC1A3A" w:rsidP="00B50902">
      <w:pPr>
        <w:pStyle w:val="BodyText"/>
        <w:spacing w:line="360" w:lineRule="auto"/>
        <w:jc w:val="both"/>
        <w:rPr>
          <w:lang w:val="en-GB"/>
        </w:rPr>
      </w:pPr>
      <w:r w:rsidRPr="00B50902">
        <w:rPr>
          <w:lang w:val="en-GB"/>
        </w:rPr>
        <w:lastRenderedPageBreak/>
        <w:t xml:space="preserve">Pyndick, R. (1991). Irreversibility, Uncertainty and Investment. </w:t>
      </w:r>
      <w:r w:rsidRPr="00B50902">
        <w:rPr>
          <w:i/>
          <w:iCs/>
          <w:lang w:val="en-GB"/>
        </w:rPr>
        <w:t>Journal of Economic Literature</w:t>
      </w:r>
      <w:r w:rsidR="00D21572" w:rsidRPr="00B50902">
        <w:rPr>
          <w:lang w:val="en-GB"/>
        </w:rPr>
        <w:t>,</w:t>
      </w:r>
      <w:r w:rsidRPr="00B50902">
        <w:rPr>
          <w:lang w:val="en-GB"/>
        </w:rPr>
        <w:t xml:space="preserve"> 29(3), 1110-1148.</w:t>
      </w:r>
    </w:p>
    <w:p w14:paraId="2B9E2E1D" w14:textId="77777777" w:rsidR="008C756D" w:rsidRPr="00B50902" w:rsidRDefault="008C756D" w:rsidP="00B50902">
      <w:pPr>
        <w:pStyle w:val="BodyText"/>
        <w:spacing w:line="360" w:lineRule="auto"/>
        <w:jc w:val="both"/>
        <w:rPr>
          <w:lang w:val="en-GB"/>
        </w:rPr>
      </w:pPr>
    </w:p>
    <w:p w14:paraId="22AD6917" w14:textId="4E9FD3CB" w:rsidR="00C876B4" w:rsidRPr="00B50902" w:rsidRDefault="00C876B4" w:rsidP="00B50902">
      <w:pPr>
        <w:spacing w:line="360" w:lineRule="auto"/>
        <w:jc w:val="both"/>
        <w:rPr>
          <w:sz w:val="24"/>
          <w:szCs w:val="24"/>
          <w:lang w:val="en-GB"/>
        </w:rPr>
      </w:pPr>
      <w:r w:rsidRPr="00B50902">
        <w:rPr>
          <w:sz w:val="24"/>
          <w:szCs w:val="24"/>
          <w:lang w:val="en-GB"/>
        </w:rPr>
        <w:t xml:space="preserve">Roth, F., &amp; Thum, A. E. (2013). Intangible capital and labor productivity growth: Panel Evidence for the EU from 1998-2005. </w:t>
      </w:r>
      <w:r w:rsidRPr="00B50902">
        <w:rPr>
          <w:i/>
          <w:iCs/>
          <w:sz w:val="24"/>
          <w:szCs w:val="24"/>
          <w:lang w:val="en-GB"/>
        </w:rPr>
        <w:t>The review of income and wealth</w:t>
      </w:r>
      <w:r w:rsidRPr="00B50902">
        <w:rPr>
          <w:sz w:val="24"/>
          <w:szCs w:val="24"/>
          <w:lang w:val="en-GB"/>
        </w:rPr>
        <w:t xml:space="preserve">, 59 (3), 486-508. </w:t>
      </w:r>
      <w:hyperlink r:id="rId94" w:history="1">
        <w:r w:rsidRPr="00834306">
          <w:rPr>
            <w:rStyle w:val="Hyperlink"/>
            <w:sz w:val="24"/>
            <w:szCs w:val="24"/>
            <w:lang w:val="en-GB"/>
          </w:rPr>
          <w:t>https://doi.org/10.1111/roiw.12009</w:t>
        </w:r>
      </w:hyperlink>
    </w:p>
    <w:p w14:paraId="778788F0" w14:textId="77777777" w:rsidR="00AC1A3A" w:rsidRPr="00B50902" w:rsidRDefault="00AC1A3A" w:rsidP="00B50902">
      <w:pPr>
        <w:pStyle w:val="BodyText"/>
        <w:spacing w:line="360" w:lineRule="auto"/>
        <w:jc w:val="both"/>
        <w:rPr>
          <w:lang w:val="en-GB"/>
        </w:rPr>
      </w:pPr>
    </w:p>
    <w:p w14:paraId="1A138721" w14:textId="2AE5725C" w:rsidR="00166839" w:rsidRPr="00B50902" w:rsidRDefault="00166839" w:rsidP="00B50902">
      <w:pPr>
        <w:pStyle w:val="BodyText"/>
        <w:spacing w:line="360" w:lineRule="auto"/>
        <w:jc w:val="both"/>
        <w:rPr>
          <w:rStyle w:val="Hyperlink"/>
          <w:lang w:val="en-GB"/>
        </w:rPr>
      </w:pPr>
      <w:r w:rsidRPr="00B50902">
        <w:rPr>
          <w:lang w:val="en-GB"/>
        </w:rPr>
        <w:t xml:space="preserve">Thum-Thysen, A., </w:t>
      </w:r>
      <w:r w:rsidR="00F3090E" w:rsidRPr="00B50902">
        <w:rPr>
          <w:lang w:val="en-GB"/>
        </w:rPr>
        <w:t>Voigt, P., Bilbao-Osorio, B.,</w:t>
      </w:r>
      <w:r w:rsidR="00CA75AB" w:rsidRPr="00B50902">
        <w:rPr>
          <w:lang w:val="en-GB"/>
        </w:rPr>
        <w:t xml:space="preserve"> Maier,</w:t>
      </w:r>
      <w:r w:rsidR="00864BCB" w:rsidRPr="00B50902">
        <w:rPr>
          <w:lang w:val="en-GB"/>
        </w:rPr>
        <w:t xml:space="preserve"> </w:t>
      </w:r>
      <w:r w:rsidR="00CA75AB" w:rsidRPr="00B50902">
        <w:rPr>
          <w:lang w:val="en-GB"/>
        </w:rPr>
        <w:t>C., &amp; Ognyanova,</w:t>
      </w:r>
      <w:r w:rsidR="00E90619" w:rsidRPr="00B50902">
        <w:rPr>
          <w:lang w:val="en-GB"/>
        </w:rPr>
        <w:t xml:space="preserve"> </w:t>
      </w:r>
      <w:r w:rsidR="00CA75AB" w:rsidRPr="00B50902">
        <w:rPr>
          <w:lang w:val="en-GB"/>
        </w:rPr>
        <w:t>D. (2019). Investment dynamics in Europe: Distinct drivers and barriers for investing in intangible versus tangible assets</w:t>
      </w:r>
      <w:r w:rsidR="0066636E" w:rsidRPr="00B50902">
        <w:rPr>
          <w:lang w:val="en-GB"/>
        </w:rPr>
        <w:t xml:space="preserve">? </w:t>
      </w:r>
      <w:r w:rsidR="0066636E" w:rsidRPr="00B50902">
        <w:rPr>
          <w:i/>
          <w:iCs/>
          <w:lang w:val="en-GB"/>
        </w:rPr>
        <w:t>Structural change and Economic Dynamics</w:t>
      </w:r>
      <w:r w:rsidR="00D20069" w:rsidRPr="00B50902">
        <w:rPr>
          <w:lang w:val="en-GB"/>
        </w:rPr>
        <w:t>, 51, 77-88</w:t>
      </w:r>
      <w:r w:rsidR="005A6E2F" w:rsidRPr="00B50902">
        <w:rPr>
          <w:lang w:val="en-GB"/>
        </w:rPr>
        <w:t xml:space="preserve">. </w:t>
      </w:r>
      <w:hyperlink r:id="rId95" w:history="1">
        <w:r w:rsidR="005A6E2F" w:rsidRPr="00B50902">
          <w:rPr>
            <w:rStyle w:val="Hyperlink"/>
            <w:lang w:val="en-GB"/>
          </w:rPr>
          <w:t>https://doi.org/10.1016/j.strueco.2019.06.010</w:t>
        </w:r>
      </w:hyperlink>
    </w:p>
    <w:p w14:paraId="3AB39D7A" w14:textId="77777777" w:rsidR="00B84E64" w:rsidRPr="00B50902" w:rsidRDefault="00B84E64" w:rsidP="00B50902">
      <w:pPr>
        <w:pStyle w:val="BodyText"/>
        <w:spacing w:line="360" w:lineRule="auto"/>
        <w:jc w:val="both"/>
        <w:rPr>
          <w:rStyle w:val="Hyperlink"/>
          <w:lang w:val="en-GB"/>
        </w:rPr>
      </w:pPr>
    </w:p>
    <w:p w14:paraId="4271ECF0" w14:textId="5EE15F1D" w:rsidR="00B84E64" w:rsidRPr="00B50902" w:rsidRDefault="00B84E64" w:rsidP="00B50902">
      <w:pPr>
        <w:spacing w:line="360" w:lineRule="auto"/>
        <w:jc w:val="both"/>
        <w:rPr>
          <w:sz w:val="24"/>
          <w:szCs w:val="24"/>
          <w:lang w:val="en-GB"/>
        </w:rPr>
      </w:pPr>
      <w:r w:rsidRPr="00B50902">
        <w:rPr>
          <w:sz w:val="24"/>
          <w:szCs w:val="24"/>
          <w:lang w:val="en-GB"/>
        </w:rPr>
        <w:t xml:space="preserve">Visintin, A. (1994). </w:t>
      </w:r>
      <w:r w:rsidRPr="00B50902">
        <w:rPr>
          <w:i/>
          <w:iCs/>
          <w:sz w:val="24"/>
          <w:szCs w:val="24"/>
          <w:lang w:val="en-GB"/>
        </w:rPr>
        <w:t>Differential Models of Hysteresis</w:t>
      </w:r>
      <w:r w:rsidRPr="00B50902">
        <w:rPr>
          <w:sz w:val="24"/>
          <w:szCs w:val="24"/>
          <w:lang w:val="en-GB"/>
        </w:rPr>
        <w:t>. Springer.</w:t>
      </w:r>
    </w:p>
    <w:p w14:paraId="08676743" w14:textId="77777777" w:rsidR="00387C13" w:rsidRPr="00B50902" w:rsidRDefault="00387C13" w:rsidP="00B50902">
      <w:pPr>
        <w:pStyle w:val="BodyText"/>
        <w:spacing w:line="360" w:lineRule="auto"/>
        <w:jc w:val="both"/>
        <w:rPr>
          <w:lang w:val="en-GB"/>
        </w:rPr>
      </w:pPr>
    </w:p>
    <w:p w14:paraId="5D315C6E" w14:textId="77777777" w:rsidR="005B4182" w:rsidRPr="00B50902" w:rsidRDefault="00AC1A3A" w:rsidP="00B50902">
      <w:pPr>
        <w:spacing w:line="360" w:lineRule="auto"/>
        <w:jc w:val="both"/>
        <w:rPr>
          <w:rStyle w:val="Hyperlink"/>
          <w:sz w:val="24"/>
          <w:szCs w:val="24"/>
          <w:u w:val="none"/>
          <w:lang w:val="en-GB"/>
        </w:rPr>
        <w:sectPr w:rsidR="005B4182" w:rsidRPr="00B50902" w:rsidSect="009909BC">
          <w:footerReference w:type="default" r:id="rId96"/>
          <w:pgSz w:w="11910" w:h="16840"/>
          <w:pgMar w:top="1701" w:right="1418" w:bottom="1701" w:left="1985" w:header="0" w:footer="567" w:gutter="0"/>
          <w:cols w:space="720"/>
          <w:docGrid w:linePitch="299"/>
        </w:sectPr>
      </w:pPr>
      <w:r w:rsidRPr="00B50902">
        <w:rPr>
          <w:sz w:val="24"/>
          <w:szCs w:val="24"/>
          <w:lang w:val="en-GB"/>
        </w:rPr>
        <w:t xml:space="preserve">Young, A. (1998). Measuring Intangible Investment: Towards an Interim Statistical Framework: Selecting the Core Components of Intangible Investment. </w:t>
      </w:r>
      <w:hyperlink r:id="rId97" w:history="1">
        <w:r w:rsidRPr="00834306">
          <w:rPr>
            <w:rStyle w:val="Hyperlink"/>
            <w:sz w:val="24"/>
            <w:szCs w:val="24"/>
            <w:u w:val="none"/>
            <w:lang w:val="en-GB"/>
          </w:rPr>
          <w:t>https://www.oecd.org/sti/ind/1943301.pdf</w:t>
        </w:r>
      </w:hyperlink>
    </w:p>
    <w:p w14:paraId="1A6424CD" w14:textId="7524083A" w:rsidR="00874D06" w:rsidRDefault="00874D06" w:rsidP="007F36CD">
      <w:pPr>
        <w:spacing w:line="360" w:lineRule="auto"/>
        <w:rPr>
          <w:sz w:val="24"/>
          <w:szCs w:val="24"/>
          <w:lang w:val="en-GB"/>
        </w:rPr>
      </w:pPr>
      <w:r>
        <w:rPr>
          <w:lang w:val="en-GB"/>
        </w:rPr>
        <w:br w:type="page"/>
      </w:r>
    </w:p>
    <w:p w14:paraId="31B7E002" w14:textId="307458AB" w:rsidR="00E655E6" w:rsidRPr="00D21572" w:rsidRDefault="00D006DB" w:rsidP="00EC23B8">
      <w:pPr>
        <w:pStyle w:val="BodyText"/>
        <w:rPr>
          <w:lang w:val="en-GB"/>
        </w:rPr>
      </w:pPr>
      <w:r>
        <w:rPr>
          <w:rFonts w:ascii="Gill Sans MT" w:hAnsi="Gill Sans MT" w:cs="Gill Sans"/>
          <w:b/>
          <w:bCs/>
          <w:caps/>
          <w:noProof/>
          <w:spacing w:val="67"/>
          <w:sz w:val="96"/>
          <w:szCs w:val="96"/>
          <w:lang w:eastAsia="pt-PT"/>
        </w:rPr>
        <w:lastRenderedPageBreak/>
        <mc:AlternateContent>
          <mc:Choice Requires="wps">
            <w:drawing>
              <wp:anchor distT="0" distB="0" distL="114300" distR="114300" simplePos="0" relativeHeight="251682304" behindDoc="0" locked="0" layoutInCell="1" allowOverlap="1" wp14:anchorId="7A7A775A" wp14:editId="3F5F5C8C">
                <wp:simplePos x="0" y="0"/>
                <wp:positionH relativeFrom="margin">
                  <wp:align>center</wp:align>
                </wp:positionH>
                <wp:positionV relativeFrom="paragraph">
                  <wp:posOffset>2171700</wp:posOffset>
                </wp:positionV>
                <wp:extent cx="4572000" cy="228600"/>
                <wp:effectExtent l="0" t="0" r="0" b="0"/>
                <wp:wrapSquare wrapText="bothSides"/>
                <wp:docPr id="1516952804" name="Text Box 1516952804"/>
                <wp:cNvGraphicFramePr/>
                <a:graphic xmlns:a="http://schemas.openxmlformats.org/drawingml/2006/main">
                  <a:graphicData uri="http://schemas.microsoft.com/office/word/2010/wordprocessingShape">
                    <wps:wsp>
                      <wps:cNvSpPr txBox="1"/>
                      <wps:spPr>
                        <a:xfrm rot="5400000">
                          <a:off x="0" y="0"/>
                          <a:ext cx="4572000" cy="2286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33BF9D" w14:textId="77777777" w:rsidR="00D006DB" w:rsidRPr="00223E0E" w:rsidRDefault="00D006DB" w:rsidP="00D006DB">
                            <w:pPr>
                              <w:pStyle w:val="BasicParagraph"/>
                              <w:suppressAutoHyphens/>
                              <w:rPr>
                                <w:rFonts w:ascii="Gill Sans MT" w:hAnsi="Gill Sans MT" w:cs="GillSans"/>
                                <w:caps/>
                                <w:sz w:val="20"/>
                                <w:szCs w:val="20"/>
                                <w:lang w:val="pt-PT"/>
                              </w:rPr>
                            </w:pPr>
                            <w:r w:rsidRPr="00223E0E">
                              <w:rPr>
                                <w:rFonts w:ascii="Gill Sans MT" w:hAnsi="Gill Sans MT" w:cs="GillSans"/>
                                <w:caps/>
                                <w:sz w:val="20"/>
                                <w:szCs w:val="20"/>
                                <w:lang w:val="pt-PT"/>
                              </w:rPr>
                              <w:t xml:space="preserve">faculdade de </w:t>
                            </w:r>
                            <w:r>
                              <w:rPr>
                                <w:rFonts w:ascii="Gill Sans MT" w:hAnsi="Gill Sans MT" w:cs="GillSans"/>
                                <w:b/>
                                <w:caps/>
                                <w:sz w:val="20"/>
                                <w:szCs w:val="20"/>
                                <w:lang w:val="pt-PT"/>
                              </w:rPr>
                              <w:t>ECONOMIA</w:t>
                            </w:r>
                          </w:p>
                          <w:p w14:paraId="454AE6CA" w14:textId="77777777" w:rsidR="00D006DB" w:rsidRDefault="00D006DB" w:rsidP="00D006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7A775A" id="_x0000_t202" coordsize="21600,21600" o:spt="202" path="m,l,21600r21600,l21600,xe">
                <v:stroke joinstyle="miter"/>
                <v:path gradientshapeok="t" o:connecttype="rect"/>
              </v:shapetype>
              <v:shape id="Text Box 1516952804" o:spid="_x0000_s1026" type="#_x0000_t202" style="position:absolute;margin-left:0;margin-top:171pt;width:5in;height:18pt;rotation:90;z-index:2516823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" filled="f" stroked="f">
                <v:textbox>
                  <w:txbxContent>
                    <w:p w14:paraId="7D33BF9D" w14:textId="77777777" w:rsidR="00D006DB" w:rsidRPr="00223E0E" w:rsidRDefault="00D006DB" w:rsidP="00D006DB">
                      <w:pPr>
                        <w:pStyle w:val="BasicParagraph"/>
                        <w:suppressAutoHyphens/>
                        <w:rPr>
                          <w:rFonts w:ascii="Gill Sans MT" w:hAnsi="Gill Sans MT" w:cs="GillSans"/>
                          <w:caps/>
                          <w:sz w:val="20"/>
                          <w:szCs w:val="20"/>
                          <w:lang w:val="pt-PT"/>
                        </w:rPr>
                      </w:pPr>
                      <w:r w:rsidRPr="00223E0E">
                        <w:rPr>
                          <w:rFonts w:ascii="Gill Sans MT" w:hAnsi="Gill Sans MT" w:cs="GillSans"/>
                          <w:caps/>
                          <w:sz w:val="20"/>
                          <w:szCs w:val="20"/>
                          <w:lang w:val="pt-PT"/>
                        </w:rPr>
                        <w:t xml:space="preserve">faculdade de </w:t>
                      </w:r>
                      <w:r>
                        <w:rPr>
                          <w:rFonts w:ascii="Gill Sans MT" w:hAnsi="Gill Sans MT" w:cs="GillSans"/>
                          <w:b/>
                          <w:caps/>
                          <w:sz w:val="20"/>
                          <w:szCs w:val="20"/>
                          <w:lang w:val="pt-PT"/>
                        </w:rPr>
                        <w:t>ECONOMIA</w:t>
                      </w:r>
                    </w:p>
                    <w:p w14:paraId="454AE6CA" w14:textId="77777777" w:rsidR="00D006DB" w:rsidRDefault="00D006DB" w:rsidP="00D006DB"/>
                  </w:txbxContent>
                </v:textbox>
                <w10:wrap type="square" anchorx="margin"/>
              </v:shape>
            </w:pict>
          </mc:Fallback>
        </mc:AlternateContent>
      </w:r>
      <w:r w:rsidR="00874D06">
        <w:rPr>
          <w:noProof/>
        </w:rPr>
        <mc:AlternateContent>
          <mc:Choice Requires="wpg">
            <w:drawing>
              <wp:anchor distT="0" distB="0" distL="114300" distR="114300" simplePos="0" relativeHeight="251680256" behindDoc="0" locked="0" layoutInCell="1" allowOverlap="1" wp14:anchorId="077554E5" wp14:editId="28415C5F">
                <wp:simplePos x="0" y="0"/>
                <wp:positionH relativeFrom="margin">
                  <wp:align>center</wp:align>
                </wp:positionH>
                <wp:positionV relativeFrom="page">
                  <wp:align>bottom</wp:align>
                </wp:positionV>
                <wp:extent cx="561340" cy="1859280"/>
                <wp:effectExtent l="0" t="0" r="0" b="7620"/>
                <wp:wrapNone/>
                <wp:docPr id="1677384408"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340" cy="1859280"/>
                          <a:chOff x="5510" y="13920"/>
                          <a:chExt cx="884" cy="2928"/>
                        </a:xfrm>
                      </wpg:grpSpPr>
                      <pic:pic xmlns:pic="http://schemas.openxmlformats.org/drawingml/2006/picture">
                        <pic:nvPicPr>
                          <pic:cNvPr id="451148543" name="Picture 8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544" y="13934"/>
                            <a:ext cx="821" cy="29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59905768" name="Rectangle 83"/>
                        <wps:cNvSpPr>
                          <a:spLocks noChangeArrowheads="1"/>
                        </wps:cNvSpPr>
                        <wps:spPr bwMode="auto">
                          <a:xfrm>
                            <a:off x="5592" y="13960"/>
                            <a:ext cx="720" cy="2878"/>
                          </a:xfrm>
                          <a:prstGeom prst="rect">
                            <a:avLst/>
                          </a:prstGeom>
                          <a:solidFill>
                            <a:srgbClr val="F42A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5878019" name="Picture 8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5510" y="13929"/>
                            <a:ext cx="500" cy="29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2121857" name="Rectangle 81"/>
                        <wps:cNvSpPr>
                          <a:spLocks noChangeArrowheads="1"/>
                        </wps:cNvSpPr>
                        <wps:spPr bwMode="auto">
                          <a:xfrm>
                            <a:off x="5580" y="13960"/>
                            <a:ext cx="360" cy="2878"/>
                          </a:xfrm>
                          <a:prstGeom prst="rect">
                            <a:avLst/>
                          </a:prstGeom>
                          <a:solidFill>
                            <a:srgbClr val="F42A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03957385" name="Picture 8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5884" y="13920"/>
                            <a:ext cx="509" cy="29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25947380" name="Rectangle 79"/>
                        <wps:cNvSpPr>
                          <a:spLocks noChangeArrowheads="1"/>
                        </wps:cNvSpPr>
                        <wps:spPr bwMode="auto">
                          <a:xfrm>
                            <a:off x="5961" y="13960"/>
                            <a:ext cx="360" cy="28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1624888" name="Rectangle 78"/>
                        <wps:cNvSpPr>
                          <a:spLocks noChangeArrowheads="1"/>
                        </wps:cNvSpPr>
                        <wps:spPr bwMode="auto">
                          <a:xfrm>
                            <a:off x="5961" y="13960"/>
                            <a:ext cx="360" cy="2880"/>
                          </a:xfrm>
                          <a:prstGeom prst="rect">
                            <a:avLst/>
                          </a:prstGeom>
                          <a:noFill/>
                          <a:ln w="9144">
                            <a:solidFill>
                              <a:srgbClr val="F42A4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4B8299CC" id="Group 77" o:spid="_x0000_s1026" style="position:absolute;margin-left:0;margin-top:0;width:44.2pt;height:146.4pt;z-index:251680256;mso-position-horizontal:center;mso-position-horizontal-relative:margin;mso-position-vertical:bottom;mso-position-vertical-relative:page" coordorigin="5510,13920" coordsize="884,29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">
                <v:shape id="Picture 84" o:spid="_x0000_s1027" type="#_x0000_t75" style="position:absolute;left:5544;top:13934;width:821;height:2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">
                  <v:imagedata r:id="rId11" o:title=""/>
                </v:shape>
                <v:rect id="Rectangle 83" o:spid="_x0000_s1028" style="position:absolute;left:5592;top:13960;width:720;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" fillcolor="#f42a41" stroked="f"/>
                <v:shape id="Picture 82" o:spid="_x0000_s1029" type="#_x0000_t75" style="position:absolute;left:5510;top:13929;width:500;height:2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">
                  <v:imagedata r:id="rId12" o:title=""/>
                </v:shape>
                <v:rect id="Rectangle 81" o:spid="_x0000_s1030" style="position:absolute;left:5580;top:13960;width:360;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" fillcolor="#f42a41" stroked="f"/>
                <v:shape id="Picture 80" o:spid="_x0000_s1031" type="#_x0000_t75" style="position:absolute;left:5884;top:13920;width:509;height:2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">
                  <v:imagedata r:id="rId13" o:title=""/>
                </v:shape>
                <v:rect id="Rectangle 79" o:spid="_x0000_s1032" style="position:absolute;left:5961;top:13960;width:360;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" stroked="f"/>
                <v:rect id="Rectangle 78" o:spid="_x0000_s1033" style="position:absolute;left:5961;top:13960;width:36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" filled="f" strokecolor="#f42a41" strokeweight=".72pt"/>
                <w10:wrap anchorx="margin" anchory="page"/>
              </v:group>
            </w:pict>
          </mc:Fallback>
        </mc:AlternateContent>
      </w:r>
    </w:p>
    <w:sectPr w:rsidR="00E655E6" w:rsidRPr="00D21572" w:rsidSect="005B4182">
      <w:headerReference w:type="default" r:id="rId98"/>
      <w:footerReference w:type="default" r:id="rId99"/>
      <w:type w:val="continuous"/>
      <w:pgSz w:w="11910" w:h="16840"/>
      <w:pgMar w:top="1701" w:right="1418" w:bottom="1701" w:left="1985" w:header="0"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5AD2C" w14:textId="77777777" w:rsidR="00172E88" w:rsidRDefault="00172E88">
      <w:r>
        <w:separator/>
      </w:r>
    </w:p>
  </w:endnote>
  <w:endnote w:type="continuationSeparator" w:id="0">
    <w:p w14:paraId="7562AB69" w14:textId="77777777" w:rsidR="00172E88" w:rsidRDefault="00172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Frutiger LT Pro 45 Light">
    <w:altName w:val="Frutiger LT Pro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AdvPTimes">
    <w:altName w:val="Cambria"/>
    <w:panose1 w:val="00000000000000000000"/>
    <w:charset w:val="00"/>
    <w:family w:val="roman"/>
    <w:notTrueType/>
    <w:pitch w:val="default"/>
    <w:sig w:usb0="00000003" w:usb1="00000000" w:usb2="00000000" w:usb3="00000000" w:csb0="00000001" w:csb1="00000000"/>
  </w:font>
  <w:font w:name="Times-Italic">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Bold">
    <w:altName w:val="Times New Roman"/>
    <w:panose1 w:val="00000000000000000000"/>
    <w:charset w:val="00"/>
    <w:family w:val="roman"/>
    <w:notTrueType/>
    <w:pitch w:val="default"/>
    <w:sig w:usb0="00000003" w:usb1="00000000" w:usb2="00000000" w:usb3="00000000" w:csb0="00000001" w:csb1="00000000"/>
  </w:font>
  <w:font w:name="TimesNRMT">
    <w:altName w:val="Times New Roman"/>
    <w:panose1 w:val="00000000000000000000"/>
    <w:charset w:val="00"/>
    <w:family w:val="roman"/>
    <w:notTrueType/>
    <w:pitch w:val="default"/>
    <w:sig w:usb0="00000003" w:usb1="00000000" w:usb2="00000000" w:usb3="00000000" w:csb0="00000001" w:csb1="00000000"/>
  </w:font>
  <w:font w:name="Gill Sans">
    <w:charset w:val="B1"/>
    <w:family w:val="swiss"/>
    <w:pitch w:val="variable"/>
    <w:sig w:usb0="80000A67" w:usb1="00000000" w:usb2="00000000" w:usb3="00000000" w:csb0="000001F7" w:csb1="00000000"/>
  </w:font>
  <w:font w:name="GillSans">
    <w:altName w:val="Gill Sans"/>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D6608" w14:textId="77777777" w:rsidR="005B4182" w:rsidRDefault="005B41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E9672" w14:textId="77777777" w:rsidR="005B4182" w:rsidRDefault="005B41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E066D" w14:textId="77777777" w:rsidR="005B4182" w:rsidRDefault="005B41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6BF9B" w14:textId="6C36BB70" w:rsidR="0017171B" w:rsidRDefault="0017171B">
    <w:pPr>
      <w:pStyle w:val="BodyText"/>
      <w:spacing w:line="14" w:lineRule="auto"/>
      <w:rPr>
        <w:sz w:val="20"/>
      </w:rPr>
    </w:pPr>
    <w:r>
      <w:rPr>
        <w:noProof/>
      </w:rPr>
      <mc:AlternateContent>
        <mc:Choice Requires="wps">
          <w:drawing>
            <wp:anchor distT="0" distB="0" distL="114300" distR="114300" simplePos="0" relativeHeight="251660800" behindDoc="1" locked="0" layoutInCell="1" allowOverlap="1" wp14:anchorId="3A0685CF" wp14:editId="002A276A">
              <wp:simplePos x="0" y="0"/>
              <wp:positionH relativeFrom="page">
                <wp:posOffset>6534785</wp:posOffset>
              </wp:positionH>
              <wp:positionV relativeFrom="page">
                <wp:posOffset>10149840</wp:posOffset>
              </wp:positionV>
              <wp:extent cx="165100" cy="16827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5A678" w14:textId="77777777" w:rsidR="0017171B" w:rsidRDefault="0017171B">
                          <w:pPr>
                            <w:spacing w:before="19"/>
                            <w:ind w:left="60"/>
                            <w:rPr>
                              <w:sz w:val="20"/>
                            </w:rPr>
                          </w:pPr>
                          <w:r>
                            <w:fldChar w:fldCharType="begin"/>
                          </w:r>
                          <w:r>
                            <w:rPr>
                              <w:sz w:val="20"/>
                            </w:rPr>
                            <w:instrText xml:space="preserve"> PAGE  \* roman </w:instrText>
                          </w:r>
                          <w:r>
                            <w:fldChar w:fldCharType="separate"/>
                          </w:r>
                          <w:r>
                            <w:t>iv</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0685CF" id="_x0000_t202" coordsize="21600,21600" o:spt="202" path="m,l,21600r21600,l21600,xe">
              <v:stroke joinstyle="miter"/>
              <v:path gradientshapeok="t" o:connecttype="rect"/>
            </v:shapetype>
            <v:shape id="Text Box 3" o:spid="_x0000_s1027" type="#_x0000_t202" style="position:absolute;margin-left:514.55pt;margin-top:799.2pt;width:13pt;height:13.2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" filled="f" stroked="f">
              <v:textbox inset="0,0,0,0">
                <w:txbxContent>
                  <w:p w14:paraId="2EA5A678" w14:textId="77777777" w:rsidR="0017171B" w:rsidRDefault="0017171B">
                    <w:pPr>
                      <w:spacing w:before="19"/>
                      <w:ind w:left="60"/>
                      <w:rPr>
                        <w:sz w:val="20"/>
                      </w:rPr>
                    </w:pPr>
                    <w:r>
                      <w:fldChar w:fldCharType="begin"/>
                    </w:r>
                    <w:r>
                      <w:rPr>
                        <w:sz w:val="20"/>
                      </w:rPr>
                      <w:instrText xml:space="preserve"> PAGE  \* roman </w:instrText>
                    </w:r>
                    <w:r>
                      <w:fldChar w:fldCharType="separate"/>
                    </w:r>
                    <w:r>
                      <w:t>iv</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FF33E" w14:textId="4D5A48F0" w:rsidR="0017171B" w:rsidRDefault="0017171B">
    <w:pPr>
      <w:pStyle w:val="BodyText"/>
      <w:spacing w:line="14" w:lineRule="auto"/>
      <w:rPr>
        <w:sz w:val="20"/>
      </w:rPr>
    </w:pPr>
    <w:r>
      <w:rPr>
        <w:noProof/>
      </w:rPr>
      <mc:AlternateContent>
        <mc:Choice Requires="wps">
          <w:drawing>
            <wp:anchor distT="0" distB="0" distL="114300" distR="114300" simplePos="0" relativeHeight="486927360" behindDoc="1" locked="0" layoutInCell="1" allowOverlap="1" wp14:anchorId="27483044" wp14:editId="644F32BC">
              <wp:simplePos x="0" y="0"/>
              <wp:positionH relativeFrom="page">
                <wp:posOffset>6525260</wp:posOffset>
              </wp:positionH>
              <wp:positionV relativeFrom="page">
                <wp:posOffset>9915525</wp:posOffset>
              </wp:positionV>
              <wp:extent cx="173990" cy="18351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31F8F" w14:textId="77777777" w:rsidR="0017171B" w:rsidRDefault="0017171B">
                          <w:pPr>
                            <w:spacing w:before="20"/>
                            <w:ind w:left="60"/>
                          </w:pPr>
                          <w:r>
                            <w:fldChar w:fldCharType="begin"/>
                          </w:r>
                          <w:r>
                            <w:instrText xml:space="preserve"> PAGE  \* roman </w:instrText>
                          </w:r>
                          <w:r>
                            <w:fldChar w:fldCharType="separate"/>
                          </w:r>
                          <w:r>
                            <w:t>vi</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83044" id="_x0000_t202" coordsize="21600,21600" o:spt="202" path="m,l,21600r21600,l21600,xe">
              <v:stroke joinstyle="miter"/>
              <v:path gradientshapeok="t" o:connecttype="rect"/>
            </v:shapetype>
            <v:shape id="Text Box 2" o:spid="_x0000_s1028" type="#_x0000_t202" style="position:absolute;margin-left:513.8pt;margin-top:780.75pt;width:13.7pt;height:14.45pt;z-index:-1638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" filled="f" stroked="f">
              <v:textbox inset="0,0,0,0">
                <w:txbxContent>
                  <w:p w14:paraId="4CC31F8F" w14:textId="77777777" w:rsidR="0017171B" w:rsidRDefault="0017171B">
                    <w:pPr>
                      <w:spacing w:before="20"/>
                      <w:ind w:left="60"/>
                    </w:pPr>
                    <w:r>
                      <w:fldChar w:fldCharType="begin"/>
                    </w:r>
                    <w:r>
                      <w:instrText xml:space="preserve"> PAGE  \* roman </w:instrText>
                    </w:r>
                    <w:r>
                      <w:fldChar w:fldCharType="separate"/>
                    </w:r>
                    <w:r>
                      <w:t>vi</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4482020"/>
      <w:docPartObj>
        <w:docPartGallery w:val="Page Numbers (Bottom of Page)"/>
        <w:docPartUnique/>
      </w:docPartObj>
    </w:sdtPr>
    <w:sdtEndPr>
      <w:rPr>
        <w:noProof/>
      </w:rPr>
    </w:sdtEndPr>
    <w:sdtContent>
      <w:p w14:paraId="25BF3CB2" w14:textId="0FD4601D" w:rsidR="00153D3D" w:rsidRDefault="00153D3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DC6C9D" w14:textId="7EC21331" w:rsidR="0017171B" w:rsidRDefault="0017171B">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995191"/>
      <w:docPartObj>
        <w:docPartGallery w:val="Page Numbers (Bottom of Page)"/>
        <w:docPartUnique/>
      </w:docPartObj>
    </w:sdtPr>
    <w:sdtEndPr>
      <w:rPr>
        <w:noProof/>
      </w:rPr>
    </w:sdtEndPr>
    <w:sdtContent>
      <w:p w14:paraId="3EDBC498" w14:textId="2285C471" w:rsidR="00D006DB" w:rsidRDefault="00D006D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F0895C" w14:textId="77777777" w:rsidR="0017171B" w:rsidRDefault="0017171B">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8250709"/>
      <w:docPartObj>
        <w:docPartGallery w:val="Page Numbers (Bottom of Page)"/>
        <w:docPartUnique/>
      </w:docPartObj>
    </w:sdtPr>
    <w:sdtContent>
      <w:p w14:paraId="59DD1742" w14:textId="77777777" w:rsidR="00D006DB" w:rsidRDefault="00D006DB" w:rsidP="00D76C63">
        <w:pPr>
          <w:pStyle w:val="Footer"/>
          <w:jc w:val="right"/>
        </w:pPr>
        <w:r>
          <w:fldChar w:fldCharType="begin"/>
        </w:r>
        <w:r>
          <w:instrText>PAGE   \* MERGEFORMAT</w:instrText>
        </w:r>
        <w:r>
          <w:fldChar w:fldCharType="separate"/>
        </w:r>
        <w:r>
          <w:t>2</w:t>
        </w:r>
        <w:r>
          <w:fldChar w:fldCharType="end"/>
        </w:r>
      </w:p>
    </w:sdtContent>
  </w:sdt>
  <w:p w14:paraId="11D21C31" w14:textId="77777777" w:rsidR="00D006DB" w:rsidRDefault="00D006DB">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119D4" w14:textId="67BC1685" w:rsidR="005B4182" w:rsidRDefault="005B4182" w:rsidP="00D76C63">
    <w:pPr>
      <w:pStyle w:val="Footer"/>
      <w:jc w:val="right"/>
    </w:pPr>
  </w:p>
  <w:p w14:paraId="46E8A312" w14:textId="77777777" w:rsidR="005B4182" w:rsidRDefault="005B4182">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DCF3B" w14:textId="77777777" w:rsidR="00172E88" w:rsidRDefault="00172E88">
      <w:r>
        <w:separator/>
      </w:r>
    </w:p>
  </w:footnote>
  <w:footnote w:type="continuationSeparator" w:id="0">
    <w:p w14:paraId="3CEBC6E9" w14:textId="77777777" w:rsidR="00172E88" w:rsidRDefault="00172E88">
      <w:r>
        <w:continuationSeparator/>
      </w:r>
    </w:p>
  </w:footnote>
  <w:footnote w:id="1">
    <w:p w14:paraId="1B750AC0" w14:textId="014467C5" w:rsidR="00C52F51" w:rsidRPr="00834306" w:rsidRDefault="00C52F51" w:rsidP="00C52F51">
      <w:pPr>
        <w:pStyle w:val="FootnoteText"/>
        <w:jc w:val="both"/>
        <w:rPr>
          <w:lang w:val="en-GB"/>
        </w:rPr>
      </w:pPr>
      <w:r>
        <w:rPr>
          <w:rStyle w:val="FootnoteReference"/>
        </w:rPr>
        <w:footnoteRef/>
      </w:r>
      <w:r w:rsidRPr="00834306">
        <w:rPr>
          <w:lang w:val="en-GB"/>
        </w:rPr>
        <w:t xml:space="preserve"> See, </w:t>
      </w:r>
      <w:r w:rsidRPr="00834306">
        <w:rPr>
          <w:i/>
          <w:iCs/>
          <w:lang w:val="en-GB"/>
        </w:rPr>
        <w:t>e.g.</w:t>
      </w:r>
      <w:r w:rsidRPr="00834306">
        <w:rPr>
          <w:lang w:val="en-GB"/>
        </w:rPr>
        <w:t>, Visintin 1994, and Mayergoyz, 2003.</w:t>
      </w:r>
    </w:p>
  </w:footnote>
  <w:footnote w:id="2">
    <w:p w14:paraId="38F8D4A9" w14:textId="33DF9A2D" w:rsidR="00022456" w:rsidRPr="00834306" w:rsidRDefault="00022456" w:rsidP="00D07449">
      <w:pPr>
        <w:pStyle w:val="FootnoteText"/>
        <w:jc w:val="both"/>
        <w:rPr>
          <w:lang w:val="en-GB"/>
        </w:rPr>
      </w:pPr>
      <w:r>
        <w:rPr>
          <w:rStyle w:val="FootnoteReference"/>
        </w:rPr>
        <w:footnoteRef/>
      </w:r>
      <w:r w:rsidRPr="00834306">
        <w:rPr>
          <w:lang w:val="en-GB"/>
        </w:rPr>
        <w:t xml:space="preserve"> See Chapter </w:t>
      </w:r>
      <w:r w:rsidR="001A6978" w:rsidRPr="00834306">
        <w:rPr>
          <w:lang w:val="en-GB"/>
        </w:rPr>
        <w:t>2</w:t>
      </w:r>
      <w:r w:rsidRPr="00834306">
        <w:rPr>
          <w:lang w:val="en-GB"/>
        </w:rPr>
        <w:t xml:space="preserve"> for more detail.</w:t>
      </w:r>
    </w:p>
  </w:footnote>
  <w:footnote w:id="3">
    <w:p w14:paraId="6185142B" w14:textId="6AF753F7" w:rsidR="00763229" w:rsidRPr="00834306" w:rsidRDefault="00A77EFD" w:rsidP="00D07449">
      <w:pPr>
        <w:pStyle w:val="FootnoteText"/>
        <w:jc w:val="both"/>
        <w:rPr>
          <w:lang w:val="en-GB"/>
        </w:rPr>
      </w:pPr>
      <w:r>
        <w:rPr>
          <w:rStyle w:val="FootnoteReference"/>
        </w:rPr>
        <w:footnoteRef/>
      </w:r>
      <w:r w:rsidRPr="00834306">
        <w:rPr>
          <w:lang w:val="en-GB"/>
        </w:rPr>
        <w:t xml:space="preserve"> The non-convex costs of adjustment are meant to reflect indivisibilities in capital, increasing returns to the installation of new capital and increasing returns to retraining and restructuring of production activity (Cooper &amp; Haltiwanger, 2006).</w:t>
      </w:r>
    </w:p>
  </w:footnote>
  <w:footnote w:id="4">
    <w:p w14:paraId="26A4925D" w14:textId="097909F8" w:rsidR="008324DC" w:rsidRPr="00834306" w:rsidRDefault="008324DC" w:rsidP="00D07449">
      <w:pPr>
        <w:pStyle w:val="FootnoteText"/>
        <w:jc w:val="both"/>
        <w:rPr>
          <w:lang w:val="en-GB"/>
        </w:rPr>
      </w:pPr>
      <w:r>
        <w:rPr>
          <w:rStyle w:val="FootnoteReference"/>
        </w:rPr>
        <w:footnoteRef/>
      </w:r>
      <w:r w:rsidRPr="00834306">
        <w:rPr>
          <w:lang w:val="en-GB"/>
        </w:rPr>
        <w:t xml:space="preserve"> </w:t>
      </w:r>
      <w:r w:rsidRPr="008324DC">
        <w:rPr>
          <w:rFonts w:eastAsia="SimSun"/>
          <w:kern w:val="1"/>
          <w:lang w:val="en-GB" w:eastAsia="pt-PT"/>
        </w:rPr>
        <w:t>The investment nature of a firm may be classified as initial (</w:t>
      </w:r>
      <w:r w:rsidRPr="00D74035">
        <w:rPr>
          <w:rFonts w:eastAsia="SimSun"/>
          <w:i/>
          <w:iCs/>
          <w:kern w:val="1"/>
          <w:lang w:val="en-GB" w:eastAsia="pt-PT"/>
        </w:rPr>
        <w:t>i.e.</w:t>
      </w:r>
      <w:r w:rsidRPr="008324DC">
        <w:rPr>
          <w:rFonts w:eastAsia="SimSun"/>
          <w:kern w:val="1"/>
          <w:lang w:val="en-GB" w:eastAsia="pt-PT"/>
        </w:rPr>
        <w:t>, a firm is entering a market) or ongoing.</w:t>
      </w:r>
    </w:p>
  </w:footnote>
  <w:footnote w:id="5">
    <w:p w14:paraId="1D91641D" w14:textId="1345CB4E" w:rsidR="00275421" w:rsidRPr="00275421" w:rsidRDefault="00275421" w:rsidP="00D07449">
      <w:pPr>
        <w:pStyle w:val="FootnoteText"/>
        <w:jc w:val="both"/>
        <w:rPr>
          <w:rFonts w:eastAsia="SimSun"/>
          <w:kern w:val="1"/>
          <w:lang w:val="en-GB" w:eastAsia="pt-PT"/>
        </w:rPr>
      </w:pPr>
      <w:r>
        <w:rPr>
          <w:rStyle w:val="FootnoteReference"/>
        </w:rPr>
        <w:footnoteRef/>
      </w:r>
      <w:r w:rsidRPr="00834306">
        <w:rPr>
          <w:lang w:val="en-GB"/>
        </w:rPr>
        <w:t xml:space="preserve"> </w:t>
      </w:r>
      <w:r>
        <w:rPr>
          <w:rFonts w:eastAsia="SimSun"/>
          <w:kern w:val="1"/>
          <w:lang w:val="en-GB" w:eastAsia="pt-PT"/>
        </w:rPr>
        <w:t>However, there are some possibilities to fixing this problem. Haskel and Westlake (2018) suggest three possibilities. The first possibility is government action for example by co-financing loans. The second possibility is a regulatory reform to balance the fiscal benefits between debt finance and equity finance (the authors claim that most developed countries’ tax system favours debt finance over equity finance) and the third possibility presented is for firms to change their finance mix to depend more on equity, with the increment of venture capital being one of the solutions proposed.</w:t>
      </w:r>
    </w:p>
  </w:footnote>
  <w:footnote w:id="6">
    <w:p w14:paraId="4B5F7D63" w14:textId="116D8ED5" w:rsidR="00770B2A" w:rsidRPr="00066A25" w:rsidRDefault="00770B2A" w:rsidP="00D07449">
      <w:pPr>
        <w:pStyle w:val="BodyText"/>
        <w:spacing w:before="1"/>
        <w:ind w:right="272"/>
        <w:jc w:val="both"/>
        <w:rPr>
          <w:sz w:val="20"/>
          <w:szCs w:val="20"/>
          <w:lang w:val="en-GB"/>
        </w:rPr>
      </w:pPr>
      <w:r w:rsidRPr="00066A25">
        <w:rPr>
          <w:rStyle w:val="FootnoteReference"/>
          <w:sz w:val="20"/>
          <w:szCs w:val="20"/>
        </w:rPr>
        <w:footnoteRef/>
      </w:r>
      <w:r w:rsidRPr="00066A25">
        <w:rPr>
          <w:sz w:val="20"/>
          <w:szCs w:val="20"/>
          <w:lang w:val="en-GB"/>
        </w:rPr>
        <w:t xml:space="preserve"> Other authors, such as </w:t>
      </w:r>
      <w:r w:rsidRPr="00066A25">
        <w:rPr>
          <w:rFonts w:eastAsia="SimSun"/>
          <w:bCs/>
          <w:kern w:val="1"/>
          <w:sz w:val="20"/>
          <w:szCs w:val="20"/>
          <w:lang w:val="en-GB" w:eastAsia="pt-PT"/>
        </w:rPr>
        <w:t>Belke and Göcke (2019), consider the interest rate as the hysteretic variable in the investment equation.</w:t>
      </w:r>
    </w:p>
  </w:footnote>
  <w:footnote w:id="7">
    <w:p w14:paraId="44D3CFDC" w14:textId="69D11C76" w:rsidR="004945F5" w:rsidRPr="00834306" w:rsidRDefault="004945F5" w:rsidP="00927132">
      <w:pPr>
        <w:pStyle w:val="FootnoteText"/>
        <w:jc w:val="both"/>
        <w:rPr>
          <w:lang w:val="en-GB"/>
        </w:rPr>
      </w:pPr>
      <w:r>
        <w:rPr>
          <w:rStyle w:val="FootnoteReference"/>
        </w:rPr>
        <w:footnoteRef/>
      </w:r>
      <w:r w:rsidRPr="00834306">
        <w:rPr>
          <w:lang w:val="en-GB"/>
        </w:rPr>
        <w:t xml:space="preserve"> </w:t>
      </w:r>
      <w:r w:rsidRPr="00936884">
        <w:rPr>
          <w:lang w:val="en-GB"/>
        </w:rPr>
        <w:t xml:space="preserve">The heterogeneity between investment and disinvestment triggers between firms is explained by differences in the firm’s cost or revenue structures (Belke &amp; Göcke, 2019, p.15) as well as size, age, ownership, average accumulated human capital and innovation and how firms deal with uncertainty (see </w:t>
      </w:r>
      <w:r w:rsidRPr="00395266">
        <w:rPr>
          <w:i/>
          <w:iCs/>
          <w:lang w:val="en-GB"/>
        </w:rPr>
        <w:t>e.g.</w:t>
      </w:r>
      <w:r w:rsidRPr="00936884">
        <w:rPr>
          <w:lang w:val="en-GB"/>
        </w:rPr>
        <w:t>, Gaëlle &amp; Scarpetta, 2006).</w:t>
      </w:r>
      <w:r w:rsidR="00E3661B">
        <w:rPr>
          <w:lang w:val="en-GB"/>
        </w:rPr>
        <w:t xml:space="preserve"> Another source of investment triggers heterogeneity is related to the fact that the effects of uncertainty on investment may be lower for larger firms that are present in a broader variety of sectors, </w:t>
      </w:r>
      <w:r w:rsidR="00E3661B">
        <w:rPr>
          <w:i/>
          <w:iCs/>
          <w:lang w:val="en-GB"/>
        </w:rPr>
        <w:t>i.e.</w:t>
      </w:r>
      <w:r w:rsidR="00E3661B">
        <w:rPr>
          <w:lang w:val="en-GB"/>
        </w:rPr>
        <w:t xml:space="preserve">, have a more diversified portfolio (Folta </w:t>
      </w:r>
      <w:r w:rsidR="00E3661B">
        <w:rPr>
          <w:i/>
          <w:iCs/>
          <w:lang w:val="en-GB"/>
        </w:rPr>
        <w:t>et al</w:t>
      </w:r>
      <w:r w:rsidR="00E3661B">
        <w:rPr>
          <w:lang w:val="en-GB"/>
        </w:rPr>
        <w:t>., 2006).</w:t>
      </w:r>
    </w:p>
  </w:footnote>
  <w:footnote w:id="8">
    <w:p w14:paraId="6678C066" w14:textId="650AF4EC" w:rsidR="0025737E" w:rsidRPr="00834306" w:rsidRDefault="0025737E" w:rsidP="00D07449">
      <w:pPr>
        <w:pStyle w:val="FootnoteText"/>
        <w:jc w:val="both"/>
        <w:rPr>
          <w:lang w:val="en-GB"/>
        </w:rPr>
      </w:pPr>
      <w:r>
        <w:rPr>
          <w:rStyle w:val="FootnoteReference"/>
        </w:rPr>
        <w:footnoteRef/>
      </w:r>
      <w:r w:rsidRPr="00834306">
        <w:rPr>
          <w:lang w:val="en-GB"/>
        </w:rPr>
        <w:t xml:space="preserve"> These authors estimated a</w:t>
      </w:r>
      <w:r w:rsidR="006417CA" w:rsidRPr="00834306">
        <w:rPr>
          <w:lang w:val="en-GB"/>
        </w:rPr>
        <w:t>n</w:t>
      </w:r>
      <w:r w:rsidRPr="00834306">
        <w:rPr>
          <w:lang w:val="en-GB"/>
        </w:rPr>
        <w:t xml:space="preserve"> employment hysteresis equation that we have adapted to the dynamics of investment.</w:t>
      </w:r>
    </w:p>
  </w:footnote>
  <w:footnote w:id="9">
    <w:p w14:paraId="1C516D58" w14:textId="56A00F06" w:rsidR="00983F3D" w:rsidRPr="00983F3D" w:rsidRDefault="00983F3D" w:rsidP="00D07449">
      <w:pPr>
        <w:pStyle w:val="FootnoteText"/>
        <w:jc w:val="both"/>
        <w:rPr>
          <w:lang w:val="en-GB"/>
        </w:rPr>
      </w:pPr>
      <w:r>
        <w:rPr>
          <w:rStyle w:val="FootnoteReference"/>
        </w:rPr>
        <w:footnoteRef/>
      </w:r>
      <w:r w:rsidRPr="00983F3D">
        <w:rPr>
          <w:lang w:val="en-GB"/>
        </w:rPr>
        <w:t xml:space="preserve"> Business tendency surveys ask firm m</w:t>
      </w:r>
      <w:r>
        <w:rPr>
          <w:lang w:val="en-GB"/>
        </w:rPr>
        <w:t>anagers about the current situation of their firm and about their plans and considerations for the near future. Although these surveys do not provide precise information on levels of output or investment, they are useful for analysing the business cycle as they can be used to predict changes in these aggregates (OECD, 2003).</w:t>
      </w:r>
    </w:p>
  </w:footnote>
  <w:footnote w:id="10">
    <w:p w14:paraId="03530C49" w14:textId="7A410AEC" w:rsidR="00B80736" w:rsidRPr="00834306" w:rsidRDefault="00B80736" w:rsidP="00D07449">
      <w:pPr>
        <w:pStyle w:val="FootnoteText"/>
        <w:jc w:val="both"/>
        <w:rPr>
          <w:lang w:val="en-GB"/>
        </w:rPr>
      </w:pPr>
      <w:r w:rsidRPr="002338A9">
        <w:rPr>
          <w:rStyle w:val="FootnoteReference"/>
        </w:rPr>
        <w:footnoteRef/>
      </w:r>
      <w:r w:rsidRPr="00834306">
        <w:rPr>
          <w:lang w:val="en-GB"/>
        </w:rPr>
        <w:t xml:space="preserve"> </w:t>
      </w:r>
      <w:r w:rsidRPr="002338A9">
        <w:rPr>
          <w:lang w:val="en-GB"/>
        </w:rPr>
        <w:t xml:space="preserve">We estimate Equation </w:t>
      </w:r>
      <w:r w:rsidR="00D54AA2">
        <w:rPr>
          <w:lang w:val="en-GB"/>
        </w:rPr>
        <w:t>3</w:t>
      </w:r>
      <w:r w:rsidRPr="002338A9">
        <w:rPr>
          <w:lang w:val="en-GB"/>
        </w:rPr>
        <w:t>.1 with the variables in logarithms (except for the interest rate).</w:t>
      </w:r>
    </w:p>
  </w:footnote>
  <w:footnote w:id="11">
    <w:p w14:paraId="23FEC7C0" w14:textId="135CA351" w:rsidR="004A546D" w:rsidRPr="00834306" w:rsidRDefault="004A546D" w:rsidP="00D07449">
      <w:pPr>
        <w:pStyle w:val="FootnoteText"/>
        <w:jc w:val="both"/>
        <w:rPr>
          <w:lang w:val="en-GB"/>
        </w:rPr>
      </w:pPr>
      <w:r w:rsidRPr="002338A9">
        <w:rPr>
          <w:rStyle w:val="FootnoteReference"/>
        </w:rPr>
        <w:footnoteRef/>
      </w:r>
      <w:r w:rsidRPr="00834306">
        <w:rPr>
          <w:lang w:val="en-GB"/>
        </w:rPr>
        <w:t xml:space="preserve"> Note that </w:t>
      </w:r>
      <m:oMath>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2</m:t>
            </m:r>
          </m:sub>
        </m:sSub>
      </m:oMath>
      <w:r w:rsidRPr="002338A9">
        <w:rPr>
          <w:lang w:val="en-GB"/>
        </w:rPr>
        <w:t xml:space="preserve"> represents the difference of the reaction of aggregte investment to aggregate demand shocks along the spurt and play lines.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ACB50" w14:textId="77777777" w:rsidR="005B4182" w:rsidRDefault="005B41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CED6" w14:textId="77777777" w:rsidR="005B4182" w:rsidRDefault="005B41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80F49" w14:textId="77777777" w:rsidR="005B4182" w:rsidRDefault="005B41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65D2A" w14:textId="77777777" w:rsidR="005B4182" w:rsidRDefault="005B41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D6AE1"/>
    <w:multiLevelType w:val="multilevel"/>
    <w:tmpl w:val="2272C2B8"/>
    <w:lvl w:ilvl="0">
      <w:start w:val="5"/>
      <w:numFmt w:val="decimal"/>
      <w:lvlText w:val="%1"/>
      <w:lvlJc w:val="left"/>
      <w:pPr>
        <w:ind w:left="916" w:hanging="335"/>
      </w:pPr>
      <w:rPr>
        <w:rFonts w:hint="default"/>
        <w:lang w:val="pt-PT" w:eastAsia="en-US" w:bidi="ar-SA"/>
      </w:rPr>
    </w:lvl>
    <w:lvl w:ilvl="1">
      <w:start w:val="1"/>
      <w:numFmt w:val="decimal"/>
      <w:lvlText w:val="%1.%2."/>
      <w:lvlJc w:val="left"/>
      <w:pPr>
        <w:ind w:left="916" w:hanging="335"/>
        <w:jc w:val="right"/>
      </w:pPr>
      <w:rPr>
        <w:rFonts w:ascii="Garamond" w:eastAsia="Garamond" w:hAnsi="Garamond" w:cs="Garamond" w:hint="default"/>
        <w:b/>
        <w:bCs/>
        <w:spacing w:val="-1"/>
        <w:w w:val="100"/>
        <w:sz w:val="22"/>
        <w:szCs w:val="22"/>
        <w:lang w:val="pt-PT" w:eastAsia="en-US" w:bidi="ar-SA"/>
      </w:rPr>
    </w:lvl>
    <w:lvl w:ilvl="2">
      <w:start w:val="1"/>
      <w:numFmt w:val="lowerLetter"/>
      <w:lvlText w:val="%3)"/>
      <w:lvlJc w:val="left"/>
      <w:pPr>
        <w:ind w:left="2891" w:hanging="361"/>
        <w:jc w:val="right"/>
      </w:pPr>
      <w:rPr>
        <w:rFonts w:ascii="Garamond" w:eastAsia="Garamond" w:hAnsi="Garamond" w:cs="Garamond" w:hint="default"/>
        <w:b/>
        <w:bCs/>
        <w:spacing w:val="-1"/>
        <w:w w:val="100"/>
        <w:sz w:val="22"/>
        <w:szCs w:val="22"/>
        <w:lang w:val="pt-PT" w:eastAsia="en-US" w:bidi="ar-SA"/>
      </w:rPr>
    </w:lvl>
    <w:lvl w:ilvl="3">
      <w:numFmt w:val="bullet"/>
      <w:lvlText w:val="•"/>
      <w:lvlJc w:val="left"/>
      <w:pPr>
        <w:ind w:left="4399" w:hanging="361"/>
      </w:pPr>
      <w:rPr>
        <w:rFonts w:hint="default"/>
        <w:lang w:val="pt-PT" w:eastAsia="en-US" w:bidi="ar-SA"/>
      </w:rPr>
    </w:lvl>
    <w:lvl w:ilvl="4">
      <w:numFmt w:val="bullet"/>
      <w:lvlText w:val="•"/>
      <w:lvlJc w:val="left"/>
      <w:pPr>
        <w:ind w:left="5148" w:hanging="361"/>
      </w:pPr>
      <w:rPr>
        <w:rFonts w:hint="default"/>
        <w:lang w:val="pt-PT" w:eastAsia="en-US" w:bidi="ar-SA"/>
      </w:rPr>
    </w:lvl>
    <w:lvl w:ilvl="5">
      <w:numFmt w:val="bullet"/>
      <w:lvlText w:val="•"/>
      <w:lvlJc w:val="left"/>
      <w:pPr>
        <w:ind w:left="5898" w:hanging="361"/>
      </w:pPr>
      <w:rPr>
        <w:rFonts w:hint="default"/>
        <w:lang w:val="pt-PT" w:eastAsia="en-US" w:bidi="ar-SA"/>
      </w:rPr>
    </w:lvl>
    <w:lvl w:ilvl="6">
      <w:numFmt w:val="bullet"/>
      <w:lvlText w:val="•"/>
      <w:lvlJc w:val="left"/>
      <w:pPr>
        <w:ind w:left="6648" w:hanging="361"/>
      </w:pPr>
      <w:rPr>
        <w:rFonts w:hint="default"/>
        <w:lang w:val="pt-PT" w:eastAsia="en-US" w:bidi="ar-SA"/>
      </w:rPr>
    </w:lvl>
    <w:lvl w:ilvl="7">
      <w:numFmt w:val="bullet"/>
      <w:lvlText w:val="•"/>
      <w:lvlJc w:val="left"/>
      <w:pPr>
        <w:ind w:left="7397" w:hanging="361"/>
      </w:pPr>
      <w:rPr>
        <w:rFonts w:hint="default"/>
        <w:lang w:val="pt-PT" w:eastAsia="en-US" w:bidi="ar-SA"/>
      </w:rPr>
    </w:lvl>
    <w:lvl w:ilvl="8">
      <w:numFmt w:val="bullet"/>
      <w:lvlText w:val="•"/>
      <w:lvlJc w:val="left"/>
      <w:pPr>
        <w:ind w:left="8147" w:hanging="361"/>
      </w:pPr>
      <w:rPr>
        <w:rFonts w:hint="default"/>
        <w:lang w:val="pt-PT" w:eastAsia="en-US" w:bidi="ar-SA"/>
      </w:rPr>
    </w:lvl>
  </w:abstractNum>
  <w:abstractNum w:abstractNumId="1" w15:restartNumberingAfterBreak="0">
    <w:nsid w:val="052B709A"/>
    <w:multiLevelType w:val="hybridMultilevel"/>
    <w:tmpl w:val="B4DE374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7640C81"/>
    <w:multiLevelType w:val="hybridMultilevel"/>
    <w:tmpl w:val="DB8C335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81A4A90"/>
    <w:multiLevelType w:val="hybridMultilevel"/>
    <w:tmpl w:val="8B5E0CB2"/>
    <w:lvl w:ilvl="0" w:tplc="A7FE665E">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4" w15:restartNumberingAfterBreak="0">
    <w:nsid w:val="1EEA370A"/>
    <w:multiLevelType w:val="multilevel"/>
    <w:tmpl w:val="5F663772"/>
    <w:lvl w:ilvl="0">
      <w:start w:val="3"/>
      <w:numFmt w:val="decimal"/>
      <w:lvlText w:val="%1"/>
      <w:lvlJc w:val="left"/>
      <w:pPr>
        <w:ind w:left="1126" w:hanging="305"/>
      </w:pPr>
      <w:rPr>
        <w:rFonts w:hint="default"/>
        <w:lang w:val="pt-PT" w:eastAsia="en-US" w:bidi="ar-SA"/>
      </w:rPr>
    </w:lvl>
    <w:lvl w:ilvl="1">
      <w:start w:val="1"/>
      <w:numFmt w:val="decimal"/>
      <w:lvlText w:val="%1.%2."/>
      <w:lvlJc w:val="left"/>
      <w:pPr>
        <w:ind w:left="1126" w:hanging="305"/>
      </w:pPr>
      <w:rPr>
        <w:rFonts w:ascii="Garamond" w:eastAsia="Garamond" w:hAnsi="Garamond" w:cs="Garamond" w:hint="default"/>
        <w:spacing w:val="-1"/>
        <w:w w:val="100"/>
        <w:sz w:val="20"/>
        <w:szCs w:val="20"/>
        <w:lang w:val="pt-PT" w:eastAsia="en-US" w:bidi="ar-SA"/>
      </w:rPr>
    </w:lvl>
    <w:lvl w:ilvl="2">
      <w:numFmt w:val="bullet"/>
      <w:lvlText w:val="•"/>
      <w:lvlJc w:val="left"/>
      <w:pPr>
        <w:ind w:left="2825" w:hanging="305"/>
      </w:pPr>
      <w:rPr>
        <w:rFonts w:hint="default"/>
        <w:lang w:val="pt-PT" w:eastAsia="en-US" w:bidi="ar-SA"/>
      </w:rPr>
    </w:lvl>
    <w:lvl w:ilvl="3">
      <w:numFmt w:val="bullet"/>
      <w:lvlText w:val="•"/>
      <w:lvlJc w:val="left"/>
      <w:pPr>
        <w:ind w:left="3677" w:hanging="305"/>
      </w:pPr>
      <w:rPr>
        <w:rFonts w:hint="default"/>
        <w:lang w:val="pt-PT" w:eastAsia="en-US" w:bidi="ar-SA"/>
      </w:rPr>
    </w:lvl>
    <w:lvl w:ilvl="4">
      <w:numFmt w:val="bullet"/>
      <w:lvlText w:val="•"/>
      <w:lvlJc w:val="left"/>
      <w:pPr>
        <w:ind w:left="4530" w:hanging="305"/>
      </w:pPr>
      <w:rPr>
        <w:rFonts w:hint="default"/>
        <w:lang w:val="pt-PT" w:eastAsia="en-US" w:bidi="ar-SA"/>
      </w:rPr>
    </w:lvl>
    <w:lvl w:ilvl="5">
      <w:numFmt w:val="bullet"/>
      <w:lvlText w:val="•"/>
      <w:lvlJc w:val="left"/>
      <w:pPr>
        <w:ind w:left="5383" w:hanging="305"/>
      </w:pPr>
      <w:rPr>
        <w:rFonts w:hint="default"/>
        <w:lang w:val="pt-PT" w:eastAsia="en-US" w:bidi="ar-SA"/>
      </w:rPr>
    </w:lvl>
    <w:lvl w:ilvl="6">
      <w:numFmt w:val="bullet"/>
      <w:lvlText w:val="•"/>
      <w:lvlJc w:val="left"/>
      <w:pPr>
        <w:ind w:left="6235" w:hanging="305"/>
      </w:pPr>
      <w:rPr>
        <w:rFonts w:hint="default"/>
        <w:lang w:val="pt-PT" w:eastAsia="en-US" w:bidi="ar-SA"/>
      </w:rPr>
    </w:lvl>
    <w:lvl w:ilvl="7">
      <w:numFmt w:val="bullet"/>
      <w:lvlText w:val="•"/>
      <w:lvlJc w:val="left"/>
      <w:pPr>
        <w:ind w:left="7088" w:hanging="305"/>
      </w:pPr>
      <w:rPr>
        <w:rFonts w:hint="default"/>
        <w:lang w:val="pt-PT" w:eastAsia="en-US" w:bidi="ar-SA"/>
      </w:rPr>
    </w:lvl>
    <w:lvl w:ilvl="8">
      <w:numFmt w:val="bullet"/>
      <w:lvlText w:val="•"/>
      <w:lvlJc w:val="left"/>
      <w:pPr>
        <w:ind w:left="7941" w:hanging="305"/>
      </w:pPr>
      <w:rPr>
        <w:rFonts w:hint="default"/>
        <w:lang w:val="pt-PT" w:eastAsia="en-US" w:bidi="ar-SA"/>
      </w:rPr>
    </w:lvl>
  </w:abstractNum>
  <w:abstractNum w:abstractNumId="5" w15:restartNumberingAfterBreak="0">
    <w:nsid w:val="20D95566"/>
    <w:multiLevelType w:val="hybridMultilevel"/>
    <w:tmpl w:val="02D2B490"/>
    <w:lvl w:ilvl="0" w:tplc="FE5CB3E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4BD301D"/>
    <w:multiLevelType w:val="hybridMultilevel"/>
    <w:tmpl w:val="946ED88A"/>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9A43811"/>
    <w:multiLevelType w:val="multilevel"/>
    <w:tmpl w:val="5EB6E46E"/>
    <w:lvl w:ilvl="0">
      <w:start w:val="5"/>
      <w:numFmt w:val="decimal"/>
      <w:lvlText w:val="%1"/>
      <w:lvlJc w:val="left"/>
      <w:pPr>
        <w:ind w:left="1126" w:hanging="305"/>
      </w:pPr>
      <w:rPr>
        <w:rFonts w:hint="default"/>
        <w:lang w:val="pt-PT" w:eastAsia="en-US" w:bidi="ar-SA"/>
      </w:rPr>
    </w:lvl>
    <w:lvl w:ilvl="1">
      <w:start w:val="1"/>
      <w:numFmt w:val="decimal"/>
      <w:lvlText w:val="%1.%2."/>
      <w:lvlJc w:val="left"/>
      <w:pPr>
        <w:ind w:left="1126" w:hanging="305"/>
      </w:pPr>
      <w:rPr>
        <w:rFonts w:ascii="Garamond" w:eastAsia="Garamond" w:hAnsi="Garamond" w:cs="Garamond" w:hint="default"/>
        <w:spacing w:val="-1"/>
        <w:w w:val="100"/>
        <w:sz w:val="20"/>
        <w:szCs w:val="20"/>
        <w:lang w:val="pt-PT" w:eastAsia="en-US" w:bidi="ar-SA"/>
      </w:rPr>
    </w:lvl>
    <w:lvl w:ilvl="2">
      <w:numFmt w:val="bullet"/>
      <w:lvlText w:val="•"/>
      <w:lvlJc w:val="left"/>
      <w:pPr>
        <w:ind w:left="2825" w:hanging="305"/>
      </w:pPr>
      <w:rPr>
        <w:rFonts w:hint="default"/>
        <w:lang w:val="pt-PT" w:eastAsia="en-US" w:bidi="ar-SA"/>
      </w:rPr>
    </w:lvl>
    <w:lvl w:ilvl="3">
      <w:numFmt w:val="bullet"/>
      <w:lvlText w:val="•"/>
      <w:lvlJc w:val="left"/>
      <w:pPr>
        <w:ind w:left="3677" w:hanging="305"/>
      </w:pPr>
      <w:rPr>
        <w:rFonts w:hint="default"/>
        <w:lang w:val="pt-PT" w:eastAsia="en-US" w:bidi="ar-SA"/>
      </w:rPr>
    </w:lvl>
    <w:lvl w:ilvl="4">
      <w:numFmt w:val="bullet"/>
      <w:lvlText w:val="•"/>
      <w:lvlJc w:val="left"/>
      <w:pPr>
        <w:ind w:left="4530" w:hanging="305"/>
      </w:pPr>
      <w:rPr>
        <w:rFonts w:hint="default"/>
        <w:lang w:val="pt-PT" w:eastAsia="en-US" w:bidi="ar-SA"/>
      </w:rPr>
    </w:lvl>
    <w:lvl w:ilvl="5">
      <w:numFmt w:val="bullet"/>
      <w:lvlText w:val="•"/>
      <w:lvlJc w:val="left"/>
      <w:pPr>
        <w:ind w:left="5383" w:hanging="305"/>
      </w:pPr>
      <w:rPr>
        <w:rFonts w:hint="default"/>
        <w:lang w:val="pt-PT" w:eastAsia="en-US" w:bidi="ar-SA"/>
      </w:rPr>
    </w:lvl>
    <w:lvl w:ilvl="6">
      <w:numFmt w:val="bullet"/>
      <w:lvlText w:val="•"/>
      <w:lvlJc w:val="left"/>
      <w:pPr>
        <w:ind w:left="6235" w:hanging="305"/>
      </w:pPr>
      <w:rPr>
        <w:rFonts w:hint="default"/>
        <w:lang w:val="pt-PT" w:eastAsia="en-US" w:bidi="ar-SA"/>
      </w:rPr>
    </w:lvl>
    <w:lvl w:ilvl="7">
      <w:numFmt w:val="bullet"/>
      <w:lvlText w:val="•"/>
      <w:lvlJc w:val="left"/>
      <w:pPr>
        <w:ind w:left="7088" w:hanging="305"/>
      </w:pPr>
      <w:rPr>
        <w:rFonts w:hint="default"/>
        <w:lang w:val="pt-PT" w:eastAsia="en-US" w:bidi="ar-SA"/>
      </w:rPr>
    </w:lvl>
    <w:lvl w:ilvl="8">
      <w:numFmt w:val="bullet"/>
      <w:lvlText w:val="•"/>
      <w:lvlJc w:val="left"/>
      <w:pPr>
        <w:ind w:left="7941" w:hanging="305"/>
      </w:pPr>
      <w:rPr>
        <w:rFonts w:hint="default"/>
        <w:lang w:val="pt-PT" w:eastAsia="en-US" w:bidi="ar-SA"/>
      </w:rPr>
    </w:lvl>
  </w:abstractNum>
  <w:abstractNum w:abstractNumId="8" w15:restartNumberingAfterBreak="0">
    <w:nsid w:val="2CC52A54"/>
    <w:multiLevelType w:val="multilevel"/>
    <w:tmpl w:val="08389F36"/>
    <w:lvl w:ilvl="0">
      <w:start w:val="3"/>
      <w:numFmt w:val="decimal"/>
      <w:lvlText w:val="%1"/>
      <w:lvlJc w:val="left"/>
      <w:pPr>
        <w:ind w:left="916" w:hanging="335"/>
      </w:pPr>
      <w:rPr>
        <w:rFonts w:hint="default"/>
        <w:lang w:val="pt-PT" w:eastAsia="en-US" w:bidi="ar-SA"/>
      </w:rPr>
    </w:lvl>
    <w:lvl w:ilvl="1">
      <w:start w:val="1"/>
      <w:numFmt w:val="decimal"/>
      <w:lvlText w:val="%1.%2."/>
      <w:lvlJc w:val="left"/>
      <w:pPr>
        <w:ind w:left="916" w:hanging="335"/>
      </w:pPr>
      <w:rPr>
        <w:rFonts w:ascii="Garamond" w:eastAsia="Garamond" w:hAnsi="Garamond" w:cs="Garamond" w:hint="default"/>
        <w:b/>
        <w:bCs/>
        <w:spacing w:val="-1"/>
        <w:w w:val="100"/>
        <w:sz w:val="22"/>
        <w:szCs w:val="22"/>
        <w:lang w:val="pt-PT" w:eastAsia="en-US" w:bidi="ar-SA"/>
      </w:rPr>
    </w:lvl>
    <w:lvl w:ilvl="2">
      <w:numFmt w:val="bullet"/>
      <w:lvlText w:val="•"/>
      <w:lvlJc w:val="left"/>
      <w:pPr>
        <w:ind w:left="2665" w:hanging="335"/>
      </w:pPr>
      <w:rPr>
        <w:rFonts w:hint="default"/>
        <w:lang w:val="pt-PT" w:eastAsia="en-US" w:bidi="ar-SA"/>
      </w:rPr>
    </w:lvl>
    <w:lvl w:ilvl="3">
      <w:numFmt w:val="bullet"/>
      <w:lvlText w:val="•"/>
      <w:lvlJc w:val="left"/>
      <w:pPr>
        <w:ind w:left="3537" w:hanging="335"/>
      </w:pPr>
      <w:rPr>
        <w:rFonts w:hint="default"/>
        <w:lang w:val="pt-PT" w:eastAsia="en-US" w:bidi="ar-SA"/>
      </w:rPr>
    </w:lvl>
    <w:lvl w:ilvl="4">
      <w:numFmt w:val="bullet"/>
      <w:lvlText w:val="•"/>
      <w:lvlJc w:val="left"/>
      <w:pPr>
        <w:ind w:left="4410" w:hanging="335"/>
      </w:pPr>
      <w:rPr>
        <w:rFonts w:hint="default"/>
        <w:lang w:val="pt-PT" w:eastAsia="en-US" w:bidi="ar-SA"/>
      </w:rPr>
    </w:lvl>
    <w:lvl w:ilvl="5">
      <w:numFmt w:val="bullet"/>
      <w:lvlText w:val="•"/>
      <w:lvlJc w:val="left"/>
      <w:pPr>
        <w:ind w:left="5283" w:hanging="335"/>
      </w:pPr>
      <w:rPr>
        <w:rFonts w:hint="default"/>
        <w:lang w:val="pt-PT" w:eastAsia="en-US" w:bidi="ar-SA"/>
      </w:rPr>
    </w:lvl>
    <w:lvl w:ilvl="6">
      <w:numFmt w:val="bullet"/>
      <w:lvlText w:val="•"/>
      <w:lvlJc w:val="left"/>
      <w:pPr>
        <w:ind w:left="6155" w:hanging="335"/>
      </w:pPr>
      <w:rPr>
        <w:rFonts w:hint="default"/>
        <w:lang w:val="pt-PT" w:eastAsia="en-US" w:bidi="ar-SA"/>
      </w:rPr>
    </w:lvl>
    <w:lvl w:ilvl="7">
      <w:numFmt w:val="bullet"/>
      <w:lvlText w:val="•"/>
      <w:lvlJc w:val="left"/>
      <w:pPr>
        <w:ind w:left="7028" w:hanging="335"/>
      </w:pPr>
      <w:rPr>
        <w:rFonts w:hint="default"/>
        <w:lang w:val="pt-PT" w:eastAsia="en-US" w:bidi="ar-SA"/>
      </w:rPr>
    </w:lvl>
    <w:lvl w:ilvl="8">
      <w:numFmt w:val="bullet"/>
      <w:lvlText w:val="•"/>
      <w:lvlJc w:val="left"/>
      <w:pPr>
        <w:ind w:left="7901" w:hanging="335"/>
      </w:pPr>
      <w:rPr>
        <w:rFonts w:hint="default"/>
        <w:lang w:val="pt-PT" w:eastAsia="en-US" w:bidi="ar-SA"/>
      </w:rPr>
    </w:lvl>
  </w:abstractNum>
  <w:abstractNum w:abstractNumId="9" w15:restartNumberingAfterBreak="0">
    <w:nsid w:val="2D05577B"/>
    <w:multiLevelType w:val="hybridMultilevel"/>
    <w:tmpl w:val="D95EAAD0"/>
    <w:lvl w:ilvl="0" w:tplc="310E4DAA">
      <w:start w:val="1"/>
      <w:numFmt w:val="decimal"/>
      <w:lvlText w:val="%1."/>
      <w:lvlJc w:val="left"/>
      <w:pPr>
        <w:ind w:left="1296" w:hanging="360"/>
      </w:pPr>
      <w:rPr>
        <w:rFonts w:hint="default"/>
      </w:rPr>
    </w:lvl>
    <w:lvl w:ilvl="1" w:tplc="08090019" w:tentative="1">
      <w:start w:val="1"/>
      <w:numFmt w:val="lowerLetter"/>
      <w:lvlText w:val="%2."/>
      <w:lvlJc w:val="left"/>
      <w:pPr>
        <w:ind w:left="2016" w:hanging="360"/>
      </w:pPr>
    </w:lvl>
    <w:lvl w:ilvl="2" w:tplc="0809001B" w:tentative="1">
      <w:start w:val="1"/>
      <w:numFmt w:val="lowerRoman"/>
      <w:lvlText w:val="%3."/>
      <w:lvlJc w:val="right"/>
      <w:pPr>
        <w:ind w:left="2736" w:hanging="180"/>
      </w:pPr>
    </w:lvl>
    <w:lvl w:ilvl="3" w:tplc="0809000F" w:tentative="1">
      <w:start w:val="1"/>
      <w:numFmt w:val="decimal"/>
      <w:lvlText w:val="%4."/>
      <w:lvlJc w:val="left"/>
      <w:pPr>
        <w:ind w:left="3456" w:hanging="360"/>
      </w:pPr>
    </w:lvl>
    <w:lvl w:ilvl="4" w:tplc="08090019" w:tentative="1">
      <w:start w:val="1"/>
      <w:numFmt w:val="lowerLetter"/>
      <w:lvlText w:val="%5."/>
      <w:lvlJc w:val="left"/>
      <w:pPr>
        <w:ind w:left="4176" w:hanging="360"/>
      </w:pPr>
    </w:lvl>
    <w:lvl w:ilvl="5" w:tplc="0809001B" w:tentative="1">
      <w:start w:val="1"/>
      <w:numFmt w:val="lowerRoman"/>
      <w:lvlText w:val="%6."/>
      <w:lvlJc w:val="right"/>
      <w:pPr>
        <w:ind w:left="4896" w:hanging="180"/>
      </w:pPr>
    </w:lvl>
    <w:lvl w:ilvl="6" w:tplc="0809000F" w:tentative="1">
      <w:start w:val="1"/>
      <w:numFmt w:val="decimal"/>
      <w:lvlText w:val="%7."/>
      <w:lvlJc w:val="left"/>
      <w:pPr>
        <w:ind w:left="5616" w:hanging="360"/>
      </w:pPr>
    </w:lvl>
    <w:lvl w:ilvl="7" w:tplc="08090019" w:tentative="1">
      <w:start w:val="1"/>
      <w:numFmt w:val="lowerLetter"/>
      <w:lvlText w:val="%8."/>
      <w:lvlJc w:val="left"/>
      <w:pPr>
        <w:ind w:left="6336" w:hanging="360"/>
      </w:pPr>
    </w:lvl>
    <w:lvl w:ilvl="8" w:tplc="0809001B" w:tentative="1">
      <w:start w:val="1"/>
      <w:numFmt w:val="lowerRoman"/>
      <w:lvlText w:val="%9."/>
      <w:lvlJc w:val="right"/>
      <w:pPr>
        <w:ind w:left="7056" w:hanging="180"/>
      </w:pPr>
    </w:lvl>
  </w:abstractNum>
  <w:abstractNum w:abstractNumId="10" w15:restartNumberingAfterBreak="0">
    <w:nsid w:val="2DB245E9"/>
    <w:multiLevelType w:val="multilevel"/>
    <w:tmpl w:val="00C4C050"/>
    <w:lvl w:ilvl="0">
      <w:start w:val="2"/>
      <w:numFmt w:val="decimal"/>
      <w:lvlText w:val="%1"/>
      <w:lvlJc w:val="left"/>
      <w:pPr>
        <w:ind w:left="1273" w:hanging="335"/>
      </w:pPr>
      <w:rPr>
        <w:rFonts w:hint="default"/>
        <w:lang w:val="pt-PT" w:eastAsia="en-US" w:bidi="ar-SA"/>
      </w:rPr>
    </w:lvl>
    <w:lvl w:ilvl="1">
      <w:start w:val="1"/>
      <w:numFmt w:val="decimal"/>
      <w:lvlText w:val="%1.%2."/>
      <w:lvlJc w:val="left"/>
      <w:pPr>
        <w:ind w:left="335" w:hanging="335"/>
      </w:pPr>
      <w:rPr>
        <w:rFonts w:ascii="Garamond" w:eastAsia="Garamond" w:hAnsi="Garamond" w:cs="Garamond" w:hint="default"/>
        <w:b/>
        <w:bCs/>
        <w:spacing w:val="-1"/>
        <w:w w:val="100"/>
        <w:sz w:val="22"/>
        <w:szCs w:val="22"/>
        <w:lang w:val="pt-PT" w:eastAsia="en-US" w:bidi="ar-SA"/>
      </w:rPr>
    </w:lvl>
    <w:lvl w:ilvl="2">
      <w:start w:val="1"/>
      <w:numFmt w:val="decimal"/>
      <w:lvlText w:val="%1.%2."/>
      <w:lvlJc w:val="left"/>
      <w:pPr>
        <w:ind w:left="1091" w:hanging="510"/>
      </w:pPr>
      <w:rPr>
        <w:rFonts w:ascii="Garamond" w:eastAsia="Garamond" w:hAnsi="Garamond" w:cs="Garamond" w:hint="default"/>
        <w:b/>
        <w:bCs/>
        <w:spacing w:val="-1"/>
        <w:w w:val="100"/>
        <w:sz w:val="22"/>
        <w:szCs w:val="22"/>
        <w:lang w:val="pt-PT" w:eastAsia="en-US" w:bidi="ar-SA"/>
      </w:rPr>
    </w:lvl>
    <w:lvl w:ilvl="3">
      <w:numFmt w:val="bullet"/>
      <w:lvlText w:val="•"/>
      <w:lvlJc w:val="left"/>
      <w:pPr>
        <w:ind w:left="2325" w:hanging="510"/>
      </w:pPr>
      <w:rPr>
        <w:rFonts w:hint="default"/>
        <w:lang w:val="pt-PT" w:eastAsia="en-US" w:bidi="ar-SA"/>
      </w:rPr>
    </w:lvl>
    <w:lvl w:ilvl="4">
      <w:numFmt w:val="bullet"/>
      <w:lvlText w:val="•"/>
      <w:lvlJc w:val="left"/>
      <w:pPr>
        <w:ind w:left="3371" w:hanging="510"/>
      </w:pPr>
      <w:rPr>
        <w:rFonts w:hint="default"/>
        <w:lang w:val="pt-PT" w:eastAsia="en-US" w:bidi="ar-SA"/>
      </w:rPr>
    </w:lvl>
    <w:lvl w:ilvl="5">
      <w:numFmt w:val="bullet"/>
      <w:lvlText w:val="•"/>
      <w:lvlJc w:val="left"/>
      <w:pPr>
        <w:ind w:left="4417" w:hanging="510"/>
      </w:pPr>
      <w:rPr>
        <w:rFonts w:hint="default"/>
        <w:lang w:val="pt-PT" w:eastAsia="en-US" w:bidi="ar-SA"/>
      </w:rPr>
    </w:lvl>
    <w:lvl w:ilvl="6">
      <w:numFmt w:val="bullet"/>
      <w:lvlText w:val="•"/>
      <w:lvlJc w:val="left"/>
      <w:pPr>
        <w:ind w:left="5463" w:hanging="510"/>
      </w:pPr>
      <w:rPr>
        <w:rFonts w:hint="default"/>
        <w:lang w:val="pt-PT" w:eastAsia="en-US" w:bidi="ar-SA"/>
      </w:rPr>
    </w:lvl>
    <w:lvl w:ilvl="7">
      <w:numFmt w:val="bullet"/>
      <w:lvlText w:val="•"/>
      <w:lvlJc w:val="left"/>
      <w:pPr>
        <w:ind w:left="6509" w:hanging="510"/>
      </w:pPr>
      <w:rPr>
        <w:rFonts w:hint="default"/>
        <w:lang w:val="pt-PT" w:eastAsia="en-US" w:bidi="ar-SA"/>
      </w:rPr>
    </w:lvl>
    <w:lvl w:ilvl="8">
      <w:numFmt w:val="bullet"/>
      <w:lvlText w:val="•"/>
      <w:lvlJc w:val="left"/>
      <w:pPr>
        <w:ind w:left="7554" w:hanging="510"/>
      </w:pPr>
      <w:rPr>
        <w:rFonts w:hint="default"/>
        <w:lang w:val="pt-PT" w:eastAsia="en-US" w:bidi="ar-SA"/>
      </w:rPr>
    </w:lvl>
  </w:abstractNum>
  <w:abstractNum w:abstractNumId="11" w15:restartNumberingAfterBreak="0">
    <w:nsid w:val="2FBE5665"/>
    <w:multiLevelType w:val="hybridMultilevel"/>
    <w:tmpl w:val="946ED88A"/>
    <w:lvl w:ilvl="0" w:tplc="7444D1A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474983"/>
    <w:multiLevelType w:val="multilevel"/>
    <w:tmpl w:val="EBF8167C"/>
    <w:lvl w:ilvl="0">
      <w:start w:val="2"/>
      <w:numFmt w:val="decimal"/>
      <w:lvlText w:val="%1"/>
      <w:lvlJc w:val="left"/>
      <w:pPr>
        <w:ind w:left="1126" w:hanging="305"/>
      </w:pPr>
      <w:rPr>
        <w:rFonts w:hint="default"/>
        <w:lang w:val="pt-PT" w:eastAsia="en-US" w:bidi="ar-SA"/>
      </w:rPr>
    </w:lvl>
    <w:lvl w:ilvl="1">
      <w:start w:val="1"/>
      <w:numFmt w:val="decimal"/>
      <w:lvlText w:val="%1.%2."/>
      <w:lvlJc w:val="left"/>
      <w:pPr>
        <w:ind w:left="1126" w:hanging="305"/>
      </w:pPr>
      <w:rPr>
        <w:rFonts w:ascii="Garamond" w:eastAsia="Garamond" w:hAnsi="Garamond" w:cs="Garamond" w:hint="default"/>
        <w:spacing w:val="-1"/>
        <w:w w:val="100"/>
        <w:sz w:val="20"/>
        <w:szCs w:val="20"/>
        <w:lang w:val="pt-PT" w:eastAsia="en-US" w:bidi="ar-SA"/>
      </w:rPr>
    </w:lvl>
    <w:lvl w:ilvl="2">
      <w:start w:val="1"/>
      <w:numFmt w:val="decimal"/>
      <w:lvlText w:val="%1.%2.%3."/>
      <w:lvlJc w:val="left"/>
      <w:pPr>
        <w:ind w:left="1474" w:hanging="413"/>
      </w:pPr>
      <w:rPr>
        <w:rFonts w:ascii="Garamond" w:eastAsia="Garamond" w:hAnsi="Garamond" w:cs="Garamond" w:hint="default"/>
        <w:spacing w:val="-1"/>
        <w:w w:val="99"/>
        <w:sz w:val="18"/>
        <w:szCs w:val="18"/>
        <w:lang w:val="pt-PT" w:eastAsia="en-US" w:bidi="ar-SA"/>
      </w:rPr>
    </w:lvl>
    <w:lvl w:ilvl="3">
      <w:numFmt w:val="bullet"/>
      <w:lvlText w:val="•"/>
      <w:lvlJc w:val="left"/>
      <w:pPr>
        <w:ind w:left="3294" w:hanging="413"/>
      </w:pPr>
      <w:rPr>
        <w:rFonts w:hint="default"/>
        <w:lang w:val="pt-PT" w:eastAsia="en-US" w:bidi="ar-SA"/>
      </w:rPr>
    </w:lvl>
    <w:lvl w:ilvl="4">
      <w:numFmt w:val="bullet"/>
      <w:lvlText w:val="•"/>
      <w:lvlJc w:val="left"/>
      <w:pPr>
        <w:ind w:left="4202" w:hanging="413"/>
      </w:pPr>
      <w:rPr>
        <w:rFonts w:hint="default"/>
        <w:lang w:val="pt-PT" w:eastAsia="en-US" w:bidi="ar-SA"/>
      </w:rPr>
    </w:lvl>
    <w:lvl w:ilvl="5">
      <w:numFmt w:val="bullet"/>
      <w:lvlText w:val="•"/>
      <w:lvlJc w:val="left"/>
      <w:pPr>
        <w:ind w:left="5109" w:hanging="413"/>
      </w:pPr>
      <w:rPr>
        <w:rFonts w:hint="default"/>
        <w:lang w:val="pt-PT" w:eastAsia="en-US" w:bidi="ar-SA"/>
      </w:rPr>
    </w:lvl>
    <w:lvl w:ilvl="6">
      <w:numFmt w:val="bullet"/>
      <w:lvlText w:val="•"/>
      <w:lvlJc w:val="left"/>
      <w:pPr>
        <w:ind w:left="6016" w:hanging="413"/>
      </w:pPr>
      <w:rPr>
        <w:rFonts w:hint="default"/>
        <w:lang w:val="pt-PT" w:eastAsia="en-US" w:bidi="ar-SA"/>
      </w:rPr>
    </w:lvl>
    <w:lvl w:ilvl="7">
      <w:numFmt w:val="bullet"/>
      <w:lvlText w:val="•"/>
      <w:lvlJc w:val="left"/>
      <w:pPr>
        <w:ind w:left="6924" w:hanging="413"/>
      </w:pPr>
      <w:rPr>
        <w:rFonts w:hint="default"/>
        <w:lang w:val="pt-PT" w:eastAsia="en-US" w:bidi="ar-SA"/>
      </w:rPr>
    </w:lvl>
    <w:lvl w:ilvl="8">
      <w:numFmt w:val="bullet"/>
      <w:lvlText w:val="•"/>
      <w:lvlJc w:val="left"/>
      <w:pPr>
        <w:ind w:left="7831" w:hanging="413"/>
      </w:pPr>
      <w:rPr>
        <w:rFonts w:hint="default"/>
        <w:lang w:val="pt-PT" w:eastAsia="en-US" w:bidi="ar-SA"/>
      </w:rPr>
    </w:lvl>
  </w:abstractNum>
  <w:abstractNum w:abstractNumId="13" w15:restartNumberingAfterBreak="0">
    <w:nsid w:val="3FA85B94"/>
    <w:multiLevelType w:val="hybridMultilevel"/>
    <w:tmpl w:val="08061B16"/>
    <w:lvl w:ilvl="0" w:tplc="E2F09204">
      <w:start w:val="1"/>
      <w:numFmt w:val="lowerLetter"/>
      <w:lvlText w:val="%1)"/>
      <w:lvlJc w:val="left"/>
      <w:pPr>
        <w:ind w:left="1296" w:hanging="360"/>
      </w:pPr>
      <w:rPr>
        <w:rFonts w:hint="default"/>
      </w:rPr>
    </w:lvl>
    <w:lvl w:ilvl="1" w:tplc="08090019" w:tentative="1">
      <w:start w:val="1"/>
      <w:numFmt w:val="lowerLetter"/>
      <w:lvlText w:val="%2."/>
      <w:lvlJc w:val="left"/>
      <w:pPr>
        <w:ind w:left="2016" w:hanging="360"/>
      </w:pPr>
    </w:lvl>
    <w:lvl w:ilvl="2" w:tplc="0809001B" w:tentative="1">
      <w:start w:val="1"/>
      <w:numFmt w:val="lowerRoman"/>
      <w:lvlText w:val="%3."/>
      <w:lvlJc w:val="right"/>
      <w:pPr>
        <w:ind w:left="2736" w:hanging="180"/>
      </w:pPr>
    </w:lvl>
    <w:lvl w:ilvl="3" w:tplc="0809000F" w:tentative="1">
      <w:start w:val="1"/>
      <w:numFmt w:val="decimal"/>
      <w:lvlText w:val="%4."/>
      <w:lvlJc w:val="left"/>
      <w:pPr>
        <w:ind w:left="3456" w:hanging="360"/>
      </w:pPr>
    </w:lvl>
    <w:lvl w:ilvl="4" w:tplc="08090019" w:tentative="1">
      <w:start w:val="1"/>
      <w:numFmt w:val="lowerLetter"/>
      <w:lvlText w:val="%5."/>
      <w:lvlJc w:val="left"/>
      <w:pPr>
        <w:ind w:left="4176" w:hanging="360"/>
      </w:pPr>
    </w:lvl>
    <w:lvl w:ilvl="5" w:tplc="0809001B" w:tentative="1">
      <w:start w:val="1"/>
      <w:numFmt w:val="lowerRoman"/>
      <w:lvlText w:val="%6."/>
      <w:lvlJc w:val="right"/>
      <w:pPr>
        <w:ind w:left="4896" w:hanging="180"/>
      </w:pPr>
    </w:lvl>
    <w:lvl w:ilvl="6" w:tplc="0809000F" w:tentative="1">
      <w:start w:val="1"/>
      <w:numFmt w:val="decimal"/>
      <w:lvlText w:val="%7."/>
      <w:lvlJc w:val="left"/>
      <w:pPr>
        <w:ind w:left="5616" w:hanging="360"/>
      </w:pPr>
    </w:lvl>
    <w:lvl w:ilvl="7" w:tplc="08090019" w:tentative="1">
      <w:start w:val="1"/>
      <w:numFmt w:val="lowerLetter"/>
      <w:lvlText w:val="%8."/>
      <w:lvlJc w:val="left"/>
      <w:pPr>
        <w:ind w:left="6336" w:hanging="360"/>
      </w:pPr>
    </w:lvl>
    <w:lvl w:ilvl="8" w:tplc="0809001B" w:tentative="1">
      <w:start w:val="1"/>
      <w:numFmt w:val="lowerRoman"/>
      <w:lvlText w:val="%9."/>
      <w:lvlJc w:val="right"/>
      <w:pPr>
        <w:ind w:left="7056" w:hanging="180"/>
      </w:pPr>
    </w:lvl>
  </w:abstractNum>
  <w:abstractNum w:abstractNumId="14" w15:restartNumberingAfterBreak="0">
    <w:nsid w:val="4F2B6C89"/>
    <w:multiLevelType w:val="multilevel"/>
    <w:tmpl w:val="00C4C050"/>
    <w:lvl w:ilvl="0">
      <w:start w:val="2"/>
      <w:numFmt w:val="decimal"/>
      <w:lvlText w:val="%1"/>
      <w:lvlJc w:val="left"/>
      <w:pPr>
        <w:ind w:left="1273" w:hanging="335"/>
      </w:pPr>
      <w:rPr>
        <w:rFonts w:hint="default"/>
        <w:lang w:val="pt-PT" w:eastAsia="en-US" w:bidi="ar-SA"/>
      </w:rPr>
    </w:lvl>
    <w:lvl w:ilvl="1">
      <w:start w:val="1"/>
      <w:numFmt w:val="decimal"/>
      <w:lvlText w:val="%1.%2."/>
      <w:lvlJc w:val="left"/>
      <w:pPr>
        <w:ind w:left="335" w:hanging="335"/>
      </w:pPr>
      <w:rPr>
        <w:rFonts w:ascii="Garamond" w:eastAsia="Garamond" w:hAnsi="Garamond" w:cs="Garamond" w:hint="default"/>
        <w:b/>
        <w:bCs/>
        <w:spacing w:val="-1"/>
        <w:w w:val="100"/>
        <w:sz w:val="22"/>
        <w:szCs w:val="22"/>
        <w:lang w:val="pt-PT" w:eastAsia="en-US" w:bidi="ar-SA"/>
      </w:rPr>
    </w:lvl>
    <w:lvl w:ilvl="2">
      <w:start w:val="1"/>
      <w:numFmt w:val="decimal"/>
      <w:lvlText w:val="%1.%2."/>
      <w:lvlJc w:val="left"/>
      <w:pPr>
        <w:ind w:left="1091" w:hanging="510"/>
      </w:pPr>
      <w:rPr>
        <w:rFonts w:ascii="Garamond" w:eastAsia="Garamond" w:hAnsi="Garamond" w:cs="Garamond" w:hint="default"/>
        <w:b/>
        <w:bCs/>
        <w:spacing w:val="-1"/>
        <w:w w:val="100"/>
        <w:sz w:val="22"/>
        <w:szCs w:val="22"/>
        <w:lang w:val="pt-PT" w:eastAsia="en-US" w:bidi="ar-SA"/>
      </w:rPr>
    </w:lvl>
    <w:lvl w:ilvl="3">
      <w:numFmt w:val="bullet"/>
      <w:lvlText w:val="•"/>
      <w:lvlJc w:val="left"/>
      <w:pPr>
        <w:ind w:left="2325" w:hanging="510"/>
      </w:pPr>
      <w:rPr>
        <w:rFonts w:hint="default"/>
        <w:lang w:val="pt-PT" w:eastAsia="en-US" w:bidi="ar-SA"/>
      </w:rPr>
    </w:lvl>
    <w:lvl w:ilvl="4">
      <w:numFmt w:val="bullet"/>
      <w:lvlText w:val="•"/>
      <w:lvlJc w:val="left"/>
      <w:pPr>
        <w:ind w:left="3371" w:hanging="510"/>
      </w:pPr>
      <w:rPr>
        <w:rFonts w:hint="default"/>
        <w:lang w:val="pt-PT" w:eastAsia="en-US" w:bidi="ar-SA"/>
      </w:rPr>
    </w:lvl>
    <w:lvl w:ilvl="5">
      <w:numFmt w:val="bullet"/>
      <w:lvlText w:val="•"/>
      <w:lvlJc w:val="left"/>
      <w:pPr>
        <w:ind w:left="4417" w:hanging="510"/>
      </w:pPr>
      <w:rPr>
        <w:rFonts w:hint="default"/>
        <w:lang w:val="pt-PT" w:eastAsia="en-US" w:bidi="ar-SA"/>
      </w:rPr>
    </w:lvl>
    <w:lvl w:ilvl="6">
      <w:numFmt w:val="bullet"/>
      <w:lvlText w:val="•"/>
      <w:lvlJc w:val="left"/>
      <w:pPr>
        <w:ind w:left="5463" w:hanging="510"/>
      </w:pPr>
      <w:rPr>
        <w:rFonts w:hint="default"/>
        <w:lang w:val="pt-PT" w:eastAsia="en-US" w:bidi="ar-SA"/>
      </w:rPr>
    </w:lvl>
    <w:lvl w:ilvl="7">
      <w:numFmt w:val="bullet"/>
      <w:lvlText w:val="•"/>
      <w:lvlJc w:val="left"/>
      <w:pPr>
        <w:ind w:left="6509" w:hanging="510"/>
      </w:pPr>
      <w:rPr>
        <w:rFonts w:hint="default"/>
        <w:lang w:val="pt-PT" w:eastAsia="en-US" w:bidi="ar-SA"/>
      </w:rPr>
    </w:lvl>
    <w:lvl w:ilvl="8">
      <w:numFmt w:val="bullet"/>
      <w:lvlText w:val="•"/>
      <w:lvlJc w:val="left"/>
      <w:pPr>
        <w:ind w:left="7554" w:hanging="510"/>
      </w:pPr>
      <w:rPr>
        <w:rFonts w:hint="default"/>
        <w:lang w:val="pt-PT" w:eastAsia="en-US" w:bidi="ar-SA"/>
      </w:rPr>
    </w:lvl>
  </w:abstractNum>
  <w:abstractNum w:abstractNumId="15" w15:restartNumberingAfterBreak="0">
    <w:nsid w:val="52AA124E"/>
    <w:multiLevelType w:val="hybridMultilevel"/>
    <w:tmpl w:val="CBE6F170"/>
    <w:lvl w:ilvl="0" w:tplc="05A847E0">
      <w:start w:val="1"/>
      <w:numFmt w:val="lowerLetter"/>
      <w:lvlText w:val="%1)"/>
      <w:lvlJc w:val="left"/>
      <w:pPr>
        <w:ind w:left="360" w:hanging="360"/>
      </w:pPr>
      <w:rPr>
        <w:rFonts w:eastAsiaTheme="minorHAns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3F40409"/>
    <w:multiLevelType w:val="hybridMultilevel"/>
    <w:tmpl w:val="7EE0FFD8"/>
    <w:lvl w:ilvl="0" w:tplc="0D0246CA">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41443E2"/>
    <w:multiLevelType w:val="multilevel"/>
    <w:tmpl w:val="D61A56A4"/>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8" w15:restartNumberingAfterBreak="0">
    <w:nsid w:val="5C6E3D41"/>
    <w:multiLevelType w:val="hybridMultilevel"/>
    <w:tmpl w:val="E9DC5EF6"/>
    <w:lvl w:ilvl="0" w:tplc="0809000F">
      <w:start w:val="1"/>
      <w:numFmt w:val="decimal"/>
      <w:lvlText w:val="%1."/>
      <w:lvlJc w:val="left"/>
      <w:pPr>
        <w:ind w:left="720" w:hanging="360"/>
      </w:pPr>
    </w:lvl>
    <w:lvl w:ilvl="1" w:tplc="9B1C050C">
      <w:start w:val="1"/>
      <w:numFmt w:val="lowerLetter"/>
      <w:lvlText w:val="%2."/>
      <w:lvlJc w:val="left"/>
      <w:pPr>
        <w:ind w:left="1440" w:hanging="360"/>
      </w:pPr>
      <w:rPr>
        <w:rFonts w:ascii="Times New Roman" w:eastAsiaTheme="minorHAnsi" w:hAnsi="Times New Roman"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613721"/>
    <w:multiLevelType w:val="hybridMultilevel"/>
    <w:tmpl w:val="952E7350"/>
    <w:lvl w:ilvl="0" w:tplc="E4787F06">
      <w:start w:val="1"/>
      <w:numFmt w:val="lowerLetter"/>
      <w:lvlText w:val="%1)"/>
      <w:lvlJc w:val="left"/>
      <w:pPr>
        <w:ind w:left="360" w:hanging="360"/>
      </w:pPr>
      <w:rPr>
        <w:rFonts w:eastAsiaTheme="minorHAns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F252821"/>
    <w:multiLevelType w:val="hybridMultilevel"/>
    <w:tmpl w:val="4AEEF97C"/>
    <w:lvl w:ilvl="0" w:tplc="31A26EC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6879EF"/>
    <w:multiLevelType w:val="hybridMultilevel"/>
    <w:tmpl w:val="04F2FC16"/>
    <w:lvl w:ilvl="0" w:tplc="EC2880DC">
      <w:start w:val="1"/>
      <w:numFmt w:val="lowerLetter"/>
      <w:lvlText w:val="%1)"/>
      <w:lvlJc w:val="left"/>
      <w:pPr>
        <w:ind w:left="1296" w:hanging="360"/>
      </w:pPr>
      <w:rPr>
        <w:rFonts w:hint="default"/>
      </w:rPr>
    </w:lvl>
    <w:lvl w:ilvl="1" w:tplc="08090019" w:tentative="1">
      <w:start w:val="1"/>
      <w:numFmt w:val="lowerLetter"/>
      <w:lvlText w:val="%2."/>
      <w:lvlJc w:val="left"/>
      <w:pPr>
        <w:ind w:left="2016" w:hanging="360"/>
      </w:pPr>
    </w:lvl>
    <w:lvl w:ilvl="2" w:tplc="0809001B" w:tentative="1">
      <w:start w:val="1"/>
      <w:numFmt w:val="lowerRoman"/>
      <w:lvlText w:val="%3."/>
      <w:lvlJc w:val="right"/>
      <w:pPr>
        <w:ind w:left="2736" w:hanging="180"/>
      </w:pPr>
    </w:lvl>
    <w:lvl w:ilvl="3" w:tplc="0809000F" w:tentative="1">
      <w:start w:val="1"/>
      <w:numFmt w:val="decimal"/>
      <w:lvlText w:val="%4."/>
      <w:lvlJc w:val="left"/>
      <w:pPr>
        <w:ind w:left="3456" w:hanging="360"/>
      </w:pPr>
    </w:lvl>
    <w:lvl w:ilvl="4" w:tplc="08090019" w:tentative="1">
      <w:start w:val="1"/>
      <w:numFmt w:val="lowerLetter"/>
      <w:lvlText w:val="%5."/>
      <w:lvlJc w:val="left"/>
      <w:pPr>
        <w:ind w:left="4176" w:hanging="360"/>
      </w:pPr>
    </w:lvl>
    <w:lvl w:ilvl="5" w:tplc="0809001B" w:tentative="1">
      <w:start w:val="1"/>
      <w:numFmt w:val="lowerRoman"/>
      <w:lvlText w:val="%6."/>
      <w:lvlJc w:val="right"/>
      <w:pPr>
        <w:ind w:left="4896" w:hanging="180"/>
      </w:pPr>
    </w:lvl>
    <w:lvl w:ilvl="6" w:tplc="0809000F" w:tentative="1">
      <w:start w:val="1"/>
      <w:numFmt w:val="decimal"/>
      <w:lvlText w:val="%7."/>
      <w:lvlJc w:val="left"/>
      <w:pPr>
        <w:ind w:left="5616" w:hanging="360"/>
      </w:pPr>
    </w:lvl>
    <w:lvl w:ilvl="7" w:tplc="08090019" w:tentative="1">
      <w:start w:val="1"/>
      <w:numFmt w:val="lowerLetter"/>
      <w:lvlText w:val="%8."/>
      <w:lvlJc w:val="left"/>
      <w:pPr>
        <w:ind w:left="6336" w:hanging="360"/>
      </w:pPr>
    </w:lvl>
    <w:lvl w:ilvl="8" w:tplc="0809001B" w:tentative="1">
      <w:start w:val="1"/>
      <w:numFmt w:val="lowerRoman"/>
      <w:lvlText w:val="%9."/>
      <w:lvlJc w:val="right"/>
      <w:pPr>
        <w:ind w:left="7056" w:hanging="180"/>
      </w:pPr>
    </w:lvl>
  </w:abstractNum>
  <w:abstractNum w:abstractNumId="22" w15:restartNumberingAfterBreak="0">
    <w:nsid w:val="75E067E3"/>
    <w:multiLevelType w:val="hybridMultilevel"/>
    <w:tmpl w:val="0E146A28"/>
    <w:lvl w:ilvl="0" w:tplc="4732BCE4">
      <w:start w:val="1"/>
      <w:numFmt w:val="lowerLetter"/>
      <w:lvlText w:val="%1)"/>
      <w:lvlJc w:val="left"/>
      <w:pPr>
        <w:ind w:left="1296" w:hanging="360"/>
      </w:pPr>
      <w:rPr>
        <w:rFonts w:hint="default"/>
      </w:rPr>
    </w:lvl>
    <w:lvl w:ilvl="1" w:tplc="08090019" w:tentative="1">
      <w:start w:val="1"/>
      <w:numFmt w:val="lowerLetter"/>
      <w:lvlText w:val="%2."/>
      <w:lvlJc w:val="left"/>
      <w:pPr>
        <w:ind w:left="2016" w:hanging="360"/>
      </w:pPr>
    </w:lvl>
    <w:lvl w:ilvl="2" w:tplc="0809001B" w:tentative="1">
      <w:start w:val="1"/>
      <w:numFmt w:val="lowerRoman"/>
      <w:lvlText w:val="%3."/>
      <w:lvlJc w:val="right"/>
      <w:pPr>
        <w:ind w:left="2736" w:hanging="180"/>
      </w:pPr>
    </w:lvl>
    <w:lvl w:ilvl="3" w:tplc="0809000F" w:tentative="1">
      <w:start w:val="1"/>
      <w:numFmt w:val="decimal"/>
      <w:lvlText w:val="%4."/>
      <w:lvlJc w:val="left"/>
      <w:pPr>
        <w:ind w:left="3456" w:hanging="360"/>
      </w:pPr>
    </w:lvl>
    <w:lvl w:ilvl="4" w:tplc="08090019" w:tentative="1">
      <w:start w:val="1"/>
      <w:numFmt w:val="lowerLetter"/>
      <w:lvlText w:val="%5."/>
      <w:lvlJc w:val="left"/>
      <w:pPr>
        <w:ind w:left="4176" w:hanging="360"/>
      </w:pPr>
    </w:lvl>
    <w:lvl w:ilvl="5" w:tplc="0809001B" w:tentative="1">
      <w:start w:val="1"/>
      <w:numFmt w:val="lowerRoman"/>
      <w:lvlText w:val="%6."/>
      <w:lvlJc w:val="right"/>
      <w:pPr>
        <w:ind w:left="4896" w:hanging="180"/>
      </w:pPr>
    </w:lvl>
    <w:lvl w:ilvl="6" w:tplc="0809000F" w:tentative="1">
      <w:start w:val="1"/>
      <w:numFmt w:val="decimal"/>
      <w:lvlText w:val="%7."/>
      <w:lvlJc w:val="left"/>
      <w:pPr>
        <w:ind w:left="5616" w:hanging="360"/>
      </w:pPr>
    </w:lvl>
    <w:lvl w:ilvl="7" w:tplc="08090019" w:tentative="1">
      <w:start w:val="1"/>
      <w:numFmt w:val="lowerLetter"/>
      <w:lvlText w:val="%8."/>
      <w:lvlJc w:val="left"/>
      <w:pPr>
        <w:ind w:left="6336" w:hanging="360"/>
      </w:pPr>
    </w:lvl>
    <w:lvl w:ilvl="8" w:tplc="0809001B" w:tentative="1">
      <w:start w:val="1"/>
      <w:numFmt w:val="lowerRoman"/>
      <w:lvlText w:val="%9."/>
      <w:lvlJc w:val="right"/>
      <w:pPr>
        <w:ind w:left="7056" w:hanging="180"/>
      </w:pPr>
    </w:lvl>
  </w:abstractNum>
  <w:abstractNum w:abstractNumId="23" w15:restartNumberingAfterBreak="0">
    <w:nsid w:val="75EF1E74"/>
    <w:multiLevelType w:val="hybridMultilevel"/>
    <w:tmpl w:val="38903674"/>
    <w:lvl w:ilvl="0" w:tplc="A1245FA2">
      <w:start w:val="1"/>
      <w:numFmt w:val="lowerLetter"/>
      <w:lvlText w:val="%1)"/>
      <w:lvlJc w:val="left"/>
      <w:pPr>
        <w:ind w:left="1296" w:hanging="360"/>
      </w:pPr>
      <w:rPr>
        <w:rFonts w:hint="default"/>
      </w:rPr>
    </w:lvl>
    <w:lvl w:ilvl="1" w:tplc="08090019" w:tentative="1">
      <w:start w:val="1"/>
      <w:numFmt w:val="lowerLetter"/>
      <w:lvlText w:val="%2."/>
      <w:lvlJc w:val="left"/>
      <w:pPr>
        <w:ind w:left="2016" w:hanging="360"/>
      </w:pPr>
    </w:lvl>
    <w:lvl w:ilvl="2" w:tplc="0809001B" w:tentative="1">
      <w:start w:val="1"/>
      <w:numFmt w:val="lowerRoman"/>
      <w:lvlText w:val="%3."/>
      <w:lvlJc w:val="right"/>
      <w:pPr>
        <w:ind w:left="2736" w:hanging="180"/>
      </w:pPr>
    </w:lvl>
    <w:lvl w:ilvl="3" w:tplc="0809000F" w:tentative="1">
      <w:start w:val="1"/>
      <w:numFmt w:val="decimal"/>
      <w:lvlText w:val="%4."/>
      <w:lvlJc w:val="left"/>
      <w:pPr>
        <w:ind w:left="3456" w:hanging="360"/>
      </w:pPr>
    </w:lvl>
    <w:lvl w:ilvl="4" w:tplc="08090019" w:tentative="1">
      <w:start w:val="1"/>
      <w:numFmt w:val="lowerLetter"/>
      <w:lvlText w:val="%5."/>
      <w:lvlJc w:val="left"/>
      <w:pPr>
        <w:ind w:left="4176" w:hanging="360"/>
      </w:pPr>
    </w:lvl>
    <w:lvl w:ilvl="5" w:tplc="0809001B" w:tentative="1">
      <w:start w:val="1"/>
      <w:numFmt w:val="lowerRoman"/>
      <w:lvlText w:val="%6."/>
      <w:lvlJc w:val="right"/>
      <w:pPr>
        <w:ind w:left="4896" w:hanging="180"/>
      </w:pPr>
    </w:lvl>
    <w:lvl w:ilvl="6" w:tplc="0809000F" w:tentative="1">
      <w:start w:val="1"/>
      <w:numFmt w:val="decimal"/>
      <w:lvlText w:val="%7."/>
      <w:lvlJc w:val="left"/>
      <w:pPr>
        <w:ind w:left="5616" w:hanging="360"/>
      </w:pPr>
    </w:lvl>
    <w:lvl w:ilvl="7" w:tplc="08090019" w:tentative="1">
      <w:start w:val="1"/>
      <w:numFmt w:val="lowerLetter"/>
      <w:lvlText w:val="%8."/>
      <w:lvlJc w:val="left"/>
      <w:pPr>
        <w:ind w:left="6336" w:hanging="360"/>
      </w:pPr>
    </w:lvl>
    <w:lvl w:ilvl="8" w:tplc="0809001B" w:tentative="1">
      <w:start w:val="1"/>
      <w:numFmt w:val="lowerRoman"/>
      <w:lvlText w:val="%9."/>
      <w:lvlJc w:val="right"/>
      <w:pPr>
        <w:ind w:left="7056" w:hanging="180"/>
      </w:pPr>
    </w:lvl>
  </w:abstractNum>
  <w:num w:numId="1" w16cid:durableId="1101146626">
    <w:abstractNumId w:val="0"/>
  </w:num>
  <w:num w:numId="2" w16cid:durableId="1431391123">
    <w:abstractNumId w:val="8"/>
  </w:num>
  <w:num w:numId="3" w16cid:durableId="1729911677">
    <w:abstractNumId w:val="14"/>
  </w:num>
  <w:num w:numId="4" w16cid:durableId="877472254">
    <w:abstractNumId w:val="7"/>
  </w:num>
  <w:num w:numId="5" w16cid:durableId="73859934">
    <w:abstractNumId w:val="4"/>
  </w:num>
  <w:num w:numId="6" w16cid:durableId="680624106">
    <w:abstractNumId w:val="12"/>
  </w:num>
  <w:num w:numId="7" w16cid:durableId="400371923">
    <w:abstractNumId w:val="2"/>
  </w:num>
  <w:num w:numId="8" w16cid:durableId="1111630928">
    <w:abstractNumId w:val="10"/>
  </w:num>
  <w:num w:numId="9" w16cid:durableId="1566334310">
    <w:abstractNumId w:val="3"/>
  </w:num>
  <w:num w:numId="10" w16cid:durableId="236481820">
    <w:abstractNumId w:val="9"/>
  </w:num>
  <w:num w:numId="11" w16cid:durableId="2090494553">
    <w:abstractNumId w:val="22"/>
  </w:num>
  <w:num w:numId="12" w16cid:durableId="533156268">
    <w:abstractNumId w:val="13"/>
  </w:num>
  <w:num w:numId="13" w16cid:durableId="1961448653">
    <w:abstractNumId w:val="21"/>
  </w:num>
  <w:num w:numId="14" w16cid:durableId="523905552">
    <w:abstractNumId w:val="23"/>
  </w:num>
  <w:num w:numId="15" w16cid:durableId="1996564025">
    <w:abstractNumId w:val="18"/>
  </w:num>
  <w:num w:numId="16" w16cid:durableId="468474400">
    <w:abstractNumId w:val="5"/>
  </w:num>
  <w:num w:numId="17" w16cid:durableId="1446078310">
    <w:abstractNumId w:val="19"/>
  </w:num>
  <w:num w:numId="18" w16cid:durableId="102843196">
    <w:abstractNumId w:val="15"/>
  </w:num>
  <w:num w:numId="19" w16cid:durableId="291520922">
    <w:abstractNumId w:val="1"/>
  </w:num>
  <w:num w:numId="20" w16cid:durableId="463040352">
    <w:abstractNumId w:val="11"/>
  </w:num>
  <w:num w:numId="21" w16cid:durableId="1999379195">
    <w:abstractNumId w:val="16"/>
  </w:num>
  <w:num w:numId="22" w16cid:durableId="367609925">
    <w:abstractNumId w:val="6"/>
  </w:num>
  <w:num w:numId="23" w16cid:durableId="888998175">
    <w:abstractNumId w:val="20"/>
  </w:num>
  <w:num w:numId="24" w16cid:durableId="60827128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S1NDcyNLe0sDQ0NbNU0lEKTi0uzszPAykwMqoFAGLXmZUtAAAA"/>
  </w:docVars>
  <w:rsids>
    <w:rsidRoot w:val="00F92E1C"/>
    <w:rsid w:val="0000000E"/>
    <w:rsid w:val="00000467"/>
    <w:rsid w:val="00000585"/>
    <w:rsid w:val="0000114E"/>
    <w:rsid w:val="00001316"/>
    <w:rsid w:val="00002E8F"/>
    <w:rsid w:val="000045D9"/>
    <w:rsid w:val="000057A5"/>
    <w:rsid w:val="00005FE0"/>
    <w:rsid w:val="00007A07"/>
    <w:rsid w:val="00011069"/>
    <w:rsid w:val="00011BE0"/>
    <w:rsid w:val="000123BD"/>
    <w:rsid w:val="0001397E"/>
    <w:rsid w:val="00013B67"/>
    <w:rsid w:val="000166AF"/>
    <w:rsid w:val="00016A4F"/>
    <w:rsid w:val="00016D33"/>
    <w:rsid w:val="00017308"/>
    <w:rsid w:val="000176B9"/>
    <w:rsid w:val="000206C7"/>
    <w:rsid w:val="00021AE9"/>
    <w:rsid w:val="00022456"/>
    <w:rsid w:val="00025A44"/>
    <w:rsid w:val="00025F63"/>
    <w:rsid w:val="00027E23"/>
    <w:rsid w:val="00030430"/>
    <w:rsid w:val="000305A1"/>
    <w:rsid w:val="000308A2"/>
    <w:rsid w:val="00031216"/>
    <w:rsid w:val="00032C9A"/>
    <w:rsid w:val="00032FF5"/>
    <w:rsid w:val="0003518E"/>
    <w:rsid w:val="0003693F"/>
    <w:rsid w:val="00036F8E"/>
    <w:rsid w:val="00043733"/>
    <w:rsid w:val="00044CFF"/>
    <w:rsid w:val="000454F1"/>
    <w:rsid w:val="000457FB"/>
    <w:rsid w:val="00045BD9"/>
    <w:rsid w:val="00046D18"/>
    <w:rsid w:val="00046ED2"/>
    <w:rsid w:val="0005008B"/>
    <w:rsid w:val="00051DF2"/>
    <w:rsid w:val="000524CA"/>
    <w:rsid w:val="0005362A"/>
    <w:rsid w:val="00054E33"/>
    <w:rsid w:val="00055F35"/>
    <w:rsid w:val="00056724"/>
    <w:rsid w:val="000600FF"/>
    <w:rsid w:val="000610D5"/>
    <w:rsid w:val="000612DC"/>
    <w:rsid w:val="00062657"/>
    <w:rsid w:val="00066149"/>
    <w:rsid w:val="00066A25"/>
    <w:rsid w:val="00067EDD"/>
    <w:rsid w:val="00067F65"/>
    <w:rsid w:val="000706B4"/>
    <w:rsid w:val="00070E60"/>
    <w:rsid w:val="000726EF"/>
    <w:rsid w:val="00075192"/>
    <w:rsid w:val="00076121"/>
    <w:rsid w:val="0007669C"/>
    <w:rsid w:val="0007673B"/>
    <w:rsid w:val="000814AD"/>
    <w:rsid w:val="000855C2"/>
    <w:rsid w:val="00086AF4"/>
    <w:rsid w:val="00086EB1"/>
    <w:rsid w:val="00087D59"/>
    <w:rsid w:val="00087F12"/>
    <w:rsid w:val="000906E0"/>
    <w:rsid w:val="000922BF"/>
    <w:rsid w:val="000925CF"/>
    <w:rsid w:val="00094535"/>
    <w:rsid w:val="000946D7"/>
    <w:rsid w:val="00094DF7"/>
    <w:rsid w:val="00095747"/>
    <w:rsid w:val="000A098D"/>
    <w:rsid w:val="000A1814"/>
    <w:rsid w:val="000A19C8"/>
    <w:rsid w:val="000A4D8E"/>
    <w:rsid w:val="000A511A"/>
    <w:rsid w:val="000A68D3"/>
    <w:rsid w:val="000A7D51"/>
    <w:rsid w:val="000B1EE0"/>
    <w:rsid w:val="000B3353"/>
    <w:rsid w:val="000B4CE7"/>
    <w:rsid w:val="000B52B1"/>
    <w:rsid w:val="000B6FC0"/>
    <w:rsid w:val="000B713E"/>
    <w:rsid w:val="000C058E"/>
    <w:rsid w:val="000C0A84"/>
    <w:rsid w:val="000C2711"/>
    <w:rsid w:val="000C28F0"/>
    <w:rsid w:val="000C3856"/>
    <w:rsid w:val="000C4F4F"/>
    <w:rsid w:val="000D13A2"/>
    <w:rsid w:val="000D16FC"/>
    <w:rsid w:val="000D1801"/>
    <w:rsid w:val="000D225F"/>
    <w:rsid w:val="000D2A01"/>
    <w:rsid w:val="000D4ACB"/>
    <w:rsid w:val="000D5103"/>
    <w:rsid w:val="000D5F73"/>
    <w:rsid w:val="000D6C30"/>
    <w:rsid w:val="000D6E4D"/>
    <w:rsid w:val="000D7262"/>
    <w:rsid w:val="000D7526"/>
    <w:rsid w:val="000E2833"/>
    <w:rsid w:val="000E2885"/>
    <w:rsid w:val="000E2A6D"/>
    <w:rsid w:val="000E59D1"/>
    <w:rsid w:val="000E6D3C"/>
    <w:rsid w:val="000E7329"/>
    <w:rsid w:val="000E77F7"/>
    <w:rsid w:val="000E784F"/>
    <w:rsid w:val="000F1B3D"/>
    <w:rsid w:val="000F2D5E"/>
    <w:rsid w:val="000F30DD"/>
    <w:rsid w:val="000F3181"/>
    <w:rsid w:val="000F3AA0"/>
    <w:rsid w:val="000F444A"/>
    <w:rsid w:val="000F4EA7"/>
    <w:rsid w:val="000F56AD"/>
    <w:rsid w:val="000F5894"/>
    <w:rsid w:val="000F5D5E"/>
    <w:rsid w:val="000F5DB1"/>
    <w:rsid w:val="001002D7"/>
    <w:rsid w:val="001014F4"/>
    <w:rsid w:val="001047A0"/>
    <w:rsid w:val="0010483F"/>
    <w:rsid w:val="00104DE6"/>
    <w:rsid w:val="00104E3E"/>
    <w:rsid w:val="00104EF3"/>
    <w:rsid w:val="00106156"/>
    <w:rsid w:val="00106C43"/>
    <w:rsid w:val="00110CAB"/>
    <w:rsid w:val="00110F03"/>
    <w:rsid w:val="00111008"/>
    <w:rsid w:val="001113C9"/>
    <w:rsid w:val="001121EC"/>
    <w:rsid w:val="0011311E"/>
    <w:rsid w:val="00113B5C"/>
    <w:rsid w:val="00114154"/>
    <w:rsid w:val="00114939"/>
    <w:rsid w:val="00115378"/>
    <w:rsid w:val="00115BD8"/>
    <w:rsid w:val="00116A7F"/>
    <w:rsid w:val="00116C73"/>
    <w:rsid w:val="00121C34"/>
    <w:rsid w:val="00122282"/>
    <w:rsid w:val="00123E05"/>
    <w:rsid w:val="00124352"/>
    <w:rsid w:val="0012668D"/>
    <w:rsid w:val="00127768"/>
    <w:rsid w:val="00132F33"/>
    <w:rsid w:val="00134008"/>
    <w:rsid w:val="00134899"/>
    <w:rsid w:val="00134C94"/>
    <w:rsid w:val="00136DFA"/>
    <w:rsid w:val="00140BAA"/>
    <w:rsid w:val="00141204"/>
    <w:rsid w:val="00141222"/>
    <w:rsid w:val="00141F29"/>
    <w:rsid w:val="00141F89"/>
    <w:rsid w:val="001433C1"/>
    <w:rsid w:val="001434A7"/>
    <w:rsid w:val="001451C1"/>
    <w:rsid w:val="001463A8"/>
    <w:rsid w:val="001506AE"/>
    <w:rsid w:val="00150962"/>
    <w:rsid w:val="0015167D"/>
    <w:rsid w:val="00151C60"/>
    <w:rsid w:val="00151D8E"/>
    <w:rsid w:val="001522AE"/>
    <w:rsid w:val="00152583"/>
    <w:rsid w:val="00152664"/>
    <w:rsid w:val="00153D3D"/>
    <w:rsid w:val="00153EDA"/>
    <w:rsid w:val="00155C2C"/>
    <w:rsid w:val="00156E4E"/>
    <w:rsid w:val="001573F3"/>
    <w:rsid w:val="00157FCC"/>
    <w:rsid w:val="001624BB"/>
    <w:rsid w:val="00162833"/>
    <w:rsid w:val="00165A49"/>
    <w:rsid w:val="001660ED"/>
    <w:rsid w:val="00166839"/>
    <w:rsid w:val="001678A7"/>
    <w:rsid w:val="0017020C"/>
    <w:rsid w:val="001712E6"/>
    <w:rsid w:val="0017171B"/>
    <w:rsid w:val="00171B8F"/>
    <w:rsid w:val="001727D3"/>
    <w:rsid w:val="00172E88"/>
    <w:rsid w:val="0017389C"/>
    <w:rsid w:val="001744EB"/>
    <w:rsid w:val="00174FCA"/>
    <w:rsid w:val="00175A70"/>
    <w:rsid w:val="001767DA"/>
    <w:rsid w:val="00180D30"/>
    <w:rsid w:val="00182640"/>
    <w:rsid w:val="00184882"/>
    <w:rsid w:val="001859D4"/>
    <w:rsid w:val="00185EBD"/>
    <w:rsid w:val="0018665A"/>
    <w:rsid w:val="00186B46"/>
    <w:rsid w:val="0019004D"/>
    <w:rsid w:val="00190BF9"/>
    <w:rsid w:val="00191A85"/>
    <w:rsid w:val="00192D50"/>
    <w:rsid w:val="001931B4"/>
    <w:rsid w:val="00193999"/>
    <w:rsid w:val="00194D95"/>
    <w:rsid w:val="001976EB"/>
    <w:rsid w:val="001A045A"/>
    <w:rsid w:val="001A2917"/>
    <w:rsid w:val="001A3DFF"/>
    <w:rsid w:val="001A4521"/>
    <w:rsid w:val="001A6978"/>
    <w:rsid w:val="001A78B5"/>
    <w:rsid w:val="001B0511"/>
    <w:rsid w:val="001B2001"/>
    <w:rsid w:val="001B2526"/>
    <w:rsid w:val="001B4A32"/>
    <w:rsid w:val="001B4ACE"/>
    <w:rsid w:val="001B5B16"/>
    <w:rsid w:val="001B6355"/>
    <w:rsid w:val="001B7E7D"/>
    <w:rsid w:val="001C00D9"/>
    <w:rsid w:val="001C2B55"/>
    <w:rsid w:val="001C4610"/>
    <w:rsid w:val="001C52FB"/>
    <w:rsid w:val="001C6186"/>
    <w:rsid w:val="001C7D78"/>
    <w:rsid w:val="001D0628"/>
    <w:rsid w:val="001D1CFE"/>
    <w:rsid w:val="001D36B4"/>
    <w:rsid w:val="001D37F4"/>
    <w:rsid w:val="001D3C51"/>
    <w:rsid w:val="001D42CE"/>
    <w:rsid w:val="001E1735"/>
    <w:rsid w:val="001E253A"/>
    <w:rsid w:val="001E3FC6"/>
    <w:rsid w:val="001E4421"/>
    <w:rsid w:val="001E61F3"/>
    <w:rsid w:val="001E6BDA"/>
    <w:rsid w:val="001F0773"/>
    <w:rsid w:val="001F397C"/>
    <w:rsid w:val="001F4C35"/>
    <w:rsid w:val="001F4DBC"/>
    <w:rsid w:val="001F6A79"/>
    <w:rsid w:val="00200B11"/>
    <w:rsid w:val="0020190E"/>
    <w:rsid w:val="00201A01"/>
    <w:rsid w:val="0020489D"/>
    <w:rsid w:val="00205385"/>
    <w:rsid w:val="0020542A"/>
    <w:rsid w:val="00205DF9"/>
    <w:rsid w:val="00206ADD"/>
    <w:rsid w:val="00207993"/>
    <w:rsid w:val="002105E0"/>
    <w:rsid w:val="00211D45"/>
    <w:rsid w:val="002123CD"/>
    <w:rsid w:val="00213565"/>
    <w:rsid w:val="00214FDD"/>
    <w:rsid w:val="00215BBB"/>
    <w:rsid w:val="002162D1"/>
    <w:rsid w:val="002222C0"/>
    <w:rsid w:val="00223571"/>
    <w:rsid w:val="0022574D"/>
    <w:rsid w:val="00226EC9"/>
    <w:rsid w:val="00227ED5"/>
    <w:rsid w:val="002308C0"/>
    <w:rsid w:val="00231607"/>
    <w:rsid w:val="00231E51"/>
    <w:rsid w:val="00232666"/>
    <w:rsid w:val="002338A9"/>
    <w:rsid w:val="00233A11"/>
    <w:rsid w:val="00233F7B"/>
    <w:rsid w:val="00235DC4"/>
    <w:rsid w:val="002363AC"/>
    <w:rsid w:val="00236592"/>
    <w:rsid w:val="002425D9"/>
    <w:rsid w:val="00243FE0"/>
    <w:rsid w:val="002443A0"/>
    <w:rsid w:val="00244644"/>
    <w:rsid w:val="002454DA"/>
    <w:rsid w:val="00245794"/>
    <w:rsid w:val="0024605D"/>
    <w:rsid w:val="00246467"/>
    <w:rsid w:val="00246DF7"/>
    <w:rsid w:val="002473D8"/>
    <w:rsid w:val="00252D89"/>
    <w:rsid w:val="00252E6B"/>
    <w:rsid w:val="0025434E"/>
    <w:rsid w:val="0025512C"/>
    <w:rsid w:val="0025707A"/>
    <w:rsid w:val="0025737E"/>
    <w:rsid w:val="00257BB9"/>
    <w:rsid w:val="002614CF"/>
    <w:rsid w:val="00261674"/>
    <w:rsid w:val="00261971"/>
    <w:rsid w:val="00262F42"/>
    <w:rsid w:val="0026433F"/>
    <w:rsid w:val="002649C1"/>
    <w:rsid w:val="00265FF5"/>
    <w:rsid w:val="002669F2"/>
    <w:rsid w:val="00267E6C"/>
    <w:rsid w:val="00270B23"/>
    <w:rsid w:val="002737E7"/>
    <w:rsid w:val="00275421"/>
    <w:rsid w:val="00277205"/>
    <w:rsid w:val="0028246F"/>
    <w:rsid w:val="00282B4D"/>
    <w:rsid w:val="00285DEB"/>
    <w:rsid w:val="00286219"/>
    <w:rsid w:val="0028635E"/>
    <w:rsid w:val="00286451"/>
    <w:rsid w:val="00286615"/>
    <w:rsid w:val="00287964"/>
    <w:rsid w:val="00290468"/>
    <w:rsid w:val="00290682"/>
    <w:rsid w:val="00291055"/>
    <w:rsid w:val="0029213A"/>
    <w:rsid w:val="00295474"/>
    <w:rsid w:val="002965F1"/>
    <w:rsid w:val="00297AB3"/>
    <w:rsid w:val="002A004C"/>
    <w:rsid w:val="002A0292"/>
    <w:rsid w:val="002A0480"/>
    <w:rsid w:val="002A197A"/>
    <w:rsid w:val="002A19D2"/>
    <w:rsid w:val="002A37FA"/>
    <w:rsid w:val="002A4566"/>
    <w:rsid w:val="002A5252"/>
    <w:rsid w:val="002A5E5F"/>
    <w:rsid w:val="002A61AC"/>
    <w:rsid w:val="002A62CA"/>
    <w:rsid w:val="002A6E7E"/>
    <w:rsid w:val="002A7F31"/>
    <w:rsid w:val="002B0040"/>
    <w:rsid w:val="002B0A79"/>
    <w:rsid w:val="002B0EB5"/>
    <w:rsid w:val="002B2118"/>
    <w:rsid w:val="002B23EC"/>
    <w:rsid w:val="002B3150"/>
    <w:rsid w:val="002B43DC"/>
    <w:rsid w:val="002B5291"/>
    <w:rsid w:val="002B75AA"/>
    <w:rsid w:val="002B7A6D"/>
    <w:rsid w:val="002C0037"/>
    <w:rsid w:val="002C0394"/>
    <w:rsid w:val="002C192A"/>
    <w:rsid w:val="002C1B3B"/>
    <w:rsid w:val="002C56DE"/>
    <w:rsid w:val="002C60FF"/>
    <w:rsid w:val="002C68FE"/>
    <w:rsid w:val="002C7602"/>
    <w:rsid w:val="002C77A7"/>
    <w:rsid w:val="002C7EB9"/>
    <w:rsid w:val="002D17E6"/>
    <w:rsid w:val="002D2454"/>
    <w:rsid w:val="002D2699"/>
    <w:rsid w:val="002D4774"/>
    <w:rsid w:val="002D496C"/>
    <w:rsid w:val="002D589D"/>
    <w:rsid w:val="002D6D49"/>
    <w:rsid w:val="002D6E5C"/>
    <w:rsid w:val="002E122F"/>
    <w:rsid w:val="002E143E"/>
    <w:rsid w:val="002E1D32"/>
    <w:rsid w:val="002E3C4B"/>
    <w:rsid w:val="002E4BBB"/>
    <w:rsid w:val="002E4C54"/>
    <w:rsid w:val="002F014D"/>
    <w:rsid w:val="002F0E6E"/>
    <w:rsid w:val="002F252F"/>
    <w:rsid w:val="002F27B4"/>
    <w:rsid w:val="002F3446"/>
    <w:rsid w:val="002F351D"/>
    <w:rsid w:val="002F364C"/>
    <w:rsid w:val="002F4384"/>
    <w:rsid w:val="002F4744"/>
    <w:rsid w:val="002F5B2E"/>
    <w:rsid w:val="002F7439"/>
    <w:rsid w:val="00301661"/>
    <w:rsid w:val="0030232E"/>
    <w:rsid w:val="003048C2"/>
    <w:rsid w:val="00305EA2"/>
    <w:rsid w:val="003077A2"/>
    <w:rsid w:val="00307D96"/>
    <w:rsid w:val="00310689"/>
    <w:rsid w:val="00311512"/>
    <w:rsid w:val="0031266E"/>
    <w:rsid w:val="00312A57"/>
    <w:rsid w:val="00312AFE"/>
    <w:rsid w:val="003130AE"/>
    <w:rsid w:val="00313FC1"/>
    <w:rsid w:val="00314C1B"/>
    <w:rsid w:val="0031583A"/>
    <w:rsid w:val="00315DD4"/>
    <w:rsid w:val="003163AB"/>
    <w:rsid w:val="00316DD4"/>
    <w:rsid w:val="003202E8"/>
    <w:rsid w:val="00321071"/>
    <w:rsid w:val="00321631"/>
    <w:rsid w:val="00323AE4"/>
    <w:rsid w:val="0032454D"/>
    <w:rsid w:val="00325DF7"/>
    <w:rsid w:val="0033033D"/>
    <w:rsid w:val="003307A3"/>
    <w:rsid w:val="00331A61"/>
    <w:rsid w:val="003331FC"/>
    <w:rsid w:val="003332AD"/>
    <w:rsid w:val="003333ED"/>
    <w:rsid w:val="0033672C"/>
    <w:rsid w:val="0033729F"/>
    <w:rsid w:val="00337B4F"/>
    <w:rsid w:val="00337EE8"/>
    <w:rsid w:val="00340ADD"/>
    <w:rsid w:val="00340D39"/>
    <w:rsid w:val="00340EF3"/>
    <w:rsid w:val="00344E9C"/>
    <w:rsid w:val="00344FA3"/>
    <w:rsid w:val="003450F2"/>
    <w:rsid w:val="00345AFD"/>
    <w:rsid w:val="0034623F"/>
    <w:rsid w:val="003462F7"/>
    <w:rsid w:val="0034669D"/>
    <w:rsid w:val="003468F1"/>
    <w:rsid w:val="00350322"/>
    <w:rsid w:val="0035163B"/>
    <w:rsid w:val="00353317"/>
    <w:rsid w:val="00353E6F"/>
    <w:rsid w:val="00353F1D"/>
    <w:rsid w:val="0035408F"/>
    <w:rsid w:val="00354630"/>
    <w:rsid w:val="00355683"/>
    <w:rsid w:val="00355D2A"/>
    <w:rsid w:val="0035601E"/>
    <w:rsid w:val="0035668A"/>
    <w:rsid w:val="003578F1"/>
    <w:rsid w:val="00360505"/>
    <w:rsid w:val="00363EC7"/>
    <w:rsid w:val="0036450D"/>
    <w:rsid w:val="003660B1"/>
    <w:rsid w:val="003661FA"/>
    <w:rsid w:val="003728B0"/>
    <w:rsid w:val="00372994"/>
    <w:rsid w:val="00374651"/>
    <w:rsid w:val="00375649"/>
    <w:rsid w:val="00377372"/>
    <w:rsid w:val="00377505"/>
    <w:rsid w:val="00377AAB"/>
    <w:rsid w:val="00381154"/>
    <w:rsid w:val="0038125B"/>
    <w:rsid w:val="0038245A"/>
    <w:rsid w:val="00382EF7"/>
    <w:rsid w:val="00383920"/>
    <w:rsid w:val="0038536D"/>
    <w:rsid w:val="00387C13"/>
    <w:rsid w:val="003911ED"/>
    <w:rsid w:val="00392003"/>
    <w:rsid w:val="0039272F"/>
    <w:rsid w:val="00394863"/>
    <w:rsid w:val="00394D7A"/>
    <w:rsid w:val="0039501C"/>
    <w:rsid w:val="00395266"/>
    <w:rsid w:val="00395ACE"/>
    <w:rsid w:val="003973E0"/>
    <w:rsid w:val="0039742E"/>
    <w:rsid w:val="0039743F"/>
    <w:rsid w:val="00397A03"/>
    <w:rsid w:val="003A1B4C"/>
    <w:rsid w:val="003A2CC5"/>
    <w:rsid w:val="003A4F4F"/>
    <w:rsid w:val="003A57AF"/>
    <w:rsid w:val="003A5AA6"/>
    <w:rsid w:val="003A6349"/>
    <w:rsid w:val="003A6546"/>
    <w:rsid w:val="003A662B"/>
    <w:rsid w:val="003A667C"/>
    <w:rsid w:val="003A7DD7"/>
    <w:rsid w:val="003B017D"/>
    <w:rsid w:val="003B166B"/>
    <w:rsid w:val="003B192F"/>
    <w:rsid w:val="003B23D3"/>
    <w:rsid w:val="003B2A03"/>
    <w:rsid w:val="003B3083"/>
    <w:rsid w:val="003B3905"/>
    <w:rsid w:val="003B48AB"/>
    <w:rsid w:val="003B518A"/>
    <w:rsid w:val="003B5567"/>
    <w:rsid w:val="003B7011"/>
    <w:rsid w:val="003B7B32"/>
    <w:rsid w:val="003B7C51"/>
    <w:rsid w:val="003C32B7"/>
    <w:rsid w:val="003C3739"/>
    <w:rsid w:val="003C42D4"/>
    <w:rsid w:val="003C5372"/>
    <w:rsid w:val="003C615A"/>
    <w:rsid w:val="003C6E44"/>
    <w:rsid w:val="003D0497"/>
    <w:rsid w:val="003D16D3"/>
    <w:rsid w:val="003D183F"/>
    <w:rsid w:val="003D23E6"/>
    <w:rsid w:val="003D3A32"/>
    <w:rsid w:val="003D3C40"/>
    <w:rsid w:val="003D3D50"/>
    <w:rsid w:val="003D4EE5"/>
    <w:rsid w:val="003D573B"/>
    <w:rsid w:val="003D626E"/>
    <w:rsid w:val="003D6361"/>
    <w:rsid w:val="003D69DC"/>
    <w:rsid w:val="003E104B"/>
    <w:rsid w:val="003E178E"/>
    <w:rsid w:val="003E17B6"/>
    <w:rsid w:val="003E1A4C"/>
    <w:rsid w:val="003E3017"/>
    <w:rsid w:val="003E4011"/>
    <w:rsid w:val="003E5CE3"/>
    <w:rsid w:val="003E60BD"/>
    <w:rsid w:val="003E63CF"/>
    <w:rsid w:val="003F12E2"/>
    <w:rsid w:val="003F16B7"/>
    <w:rsid w:val="003F2964"/>
    <w:rsid w:val="003F5C3C"/>
    <w:rsid w:val="003F7483"/>
    <w:rsid w:val="00400171"/>
    <w:rsid w:val="00400294"/>
    <w:rsid w:val="004004E5"/>
    <w:rsid w:val="00401180"/>
    <w:rsid w:val="004015B1"/>
    <w:rsid w:val="00401EC1"/>
    <w:rsid w:val="00404D34"/>
    <w:rsid w:val="00406DF4"/>
    <w:rsid w:val="00407474"/>
    <w:rsid w:val="004077FD"/>
    <w:rsid w:val="00413581"/>
    <w:rsid w:val="0041637D"/>
    <w:rsid w:val="00417183"/>
    <w:rsid w:val="00417DBA"/>
    <w:rsid w:val="00420137"/>
    <w:rsid w:val="00422507"/>
    <w:rsid w:val="0042297A"/>
    <w:rsid w:val="0042669B"/>
    <w:rsid w:val="00427459"/>
    <w:rsid w:val="0042770C"/>
    <w:rsid w:val="00430996"/>
    <w:rsid w:val="0043107E"/>
    <w:rsid w:val="00433AD8"/>
    <w:rsid w:val="00433F5B"/>
    <w:rsid w:val="00434B90"/>
    <w:rsid w:val="00434DB4"/>
    <w:rsid w:val="004365B6"/>
    <w:rsid w:val="00440ED5"/>
    <w:rsid w:val="0044308A"/>
    <w:rsid w:val="00444D37"/>
    <w:rsid w:val="0044576B"/>
    <w:rsid w:val="00446030"/>
    <w:rsid w:val="004467E0"/>
    <w:rsid w:val="00446909"/>
    <w:rsid w:val="00447149"/>
    <w:rsid w:val="0044760E"/>
    <w:rsid w:val="0045174B"/>
    <w:rsid w:val="00451902"/>
    <w:rsid w:val="00451AA4"/>
    <w:rsid w:val="004521AB"/>
    <w:rsid w:val="00454BFD"/>
    <w:rsid w:val="00454D3A"/>
    <w:rsid w:val="00455A24"/>
    <w:rsid w:val="00460C71"/>
    <w:rsid w:val="00461569"/>
    <w:rsid w:val="0046158D"/>
    <w:rsid w:val="00461C0A"/>
    <w:rsid w:val="0046207C"/>
    <w:rsid w:val="004635A8"/>
    <w:rsid w:val="004643F8"/>
    <w:rsid w:val="00465119"/>
    <w:rsid w:val="0046528F"/>
    <w:rsid w:val="00465B64"/>
    <w:rsid w:val="0046651D"/>
    <w:rsid w:val="00467CCC"/>
    <w:rsid w:val="004705C5"/>
    <w:rsid w:val="00470A11"/>
    <w:rsid w:val="004731F7"/>
    <w:rsid w:val="00473CA4"/>
    <w:rsid w:val="00474DC3"/>
    <w:rsid w:val="00475D48"/>
    <w:rsid w:val="00477AD5"/>
    <w:rsid w:val="00481BEA"/>
    <w:rsid w:val="00481E40"/>
    <w:rsid w:val="00483877"/>
    <w:rsid w:val="00483C94"/>
    <w:rsid w:val="004843E2"/>
    <w:rsid w:val="00486EC8"/>
    <w:rsid w:val="00490252"/>
    <w:rsid w:val="00491C8C"/>
    <w:rsid w:val="00492EF2"/>
    <w:rsid w:val="00493EA6"/>
    <w:rsid w:val="004945F5"/>
    <w:rsid w:val="00497E1C"/>
    <w:rsid w:val="004A0423"/>
    <w:rsid w:val="004A0A76"/>
    <w:rsid w:val="004A546D"/>
    <w:rsid w:val="004A5553"/>
    <w:rsid w:val="004A6D16"/>
    <w:rsid w:val="004A7187"/>
    <w:rsid w:val="004A7963"/>
    <w:rsid w:val="004A7D9D"/>
    <w:rsid w:val="004B0AEB"/>
    <w:rsid w:val="004B10AC"/>
    <w:rsid w:val="004B1DE7"/>
    <w:rsid w:val="004B2844"/>
    <w:rsid w:val="004B30C6"/>
    <w:rsid w:val="004B3A1B"/>
    <w:rsid w:val="004B4E92"/>
    <w:rsid w:val="004B5734"/>
    <w:rsid w:val="004B597B"/>
    <w:rsid w:val="004C0A19"/>
    <w:rsid w:val="004C0E8A"/>
    <w:rsid w:val="004C2D2C"/>
    <w:rsid w:val="004C4589"/>
    <w:rsid w:val="004C6287"/>
    <w:rsid w:val="004C6B10"/>
    <w:rsid w:val="004C6C0B"/>
    <w:rsid w:val="004D04B5"/>
    <w:rsid w:val="004D1207"/>
    <w:rsid w:val="004D58F2"/>
    <w:rsid w:val="004D6FD1"/>
    <w:rsid w:val="004D71CE"/>
    <w:rsid w:val="004E18F8"/>
    <w:rsid w:val="004E1DAA"/>
    <w:rsid w:val="004E214A"/>
    <w:rsid w:val="004E2F1A"/>
    <w:rsid w:val="004E3E62"/>
    <w:rsid w:val="004E6D7E"/>
    <w:rsid w:val="004E72D9"/>
    <w:rsid w:val="004E7F32"/>
    <w:rsid w:val="004F0012"/>
    <w:rsid w:val="004F19A5"/>
    <w:rsid w:val="004F20DE"/>
    <w:rsid w:val="004F24BC"/>
    <w:rsid w:val="004F27A4"/>
    <w:rsid w:val="004F3B71"/>
    <w:rsid w:val="004F3B94"/>
    <w:rsid w:val="004F61FE"/>
    <w:rsid w:val="004F661B"/>
    <w:rsid w:val="004F780E"/>
    <w:rsid w:val="00500D18"/>
    <w:rsid w:val="00500DD1"/>
    <w:rsid w:val="0050150F"/>
    <w:rsid w:val="005026B0"/>
    <w:rsid w:val="00502A6F"/>
    <w:rsid w:val="00504A76"/>
    <w:rsid w:val="00506F11"/>
    <w:rsid w:val="00507566"/>
    <w:rsid w:val="00507907"/>
    <w:rsid w:val="005110E0"/>
    <w:rsid w:val="00511BCD"/>
    <w:rsid w:val="00512018"/>
    <w:rsid w:val="0051206D"/>
    <w:rsid w:val="00512E79"/>
    <w:rsid w:val="00515797"/>
    <w:rsid w:val="0051664A"/>
    <w:rsid w:val="005168AD"/>
    <w:rsid w:val="00517150"/>
    <w:rsid w:val="00520437"/>
    <w:rsid w:val="0052118C"/>
    <w:rsid w:val="005213C0"/>
    <w:rsid w:val="00521DAA"/>
    <w:rsid w:val="00524AAD"/>
    <w:rsid w:val="00526799"/>
    <w:rsid w:val="00526DD9"/>
    <w:rsid w:val="005271BF"/>
    <w:rsid w:val="005311E0"/>
    <w:rsid w:val="005319BB"/>
    <w:rsid w:val="00531E50"/>
    <w:rsid w:val="00533B58"/>
    <w:rsid w:val="00537117"/>
    <w:rsid w:val="005408D8"/>
    <w:rsid w:val="00540A2D"/>
    <w:rsid w:val="00540DA6"/>
    <w:rsid w:val="00540F45"/>
    <w:rsid w:val="00541051"/>
    <w:rsid w:val="005410DD"/>
    <w:rsid w:val="00541E34"/>
    <w:rsid w:val="00542B18"/>
    <w:rsid w:val="00542C68"/>
    <w:rsid w:val="00542EEF"/>
    <w:rsid w:val="00543223"/>
    <w:rsid w:val="005438E4"/>
    <w:rsid w:val="00543CCA"/>
    <w:rsid w:val="00544B91"/>
    <w:rsid w:val="00544E52"/>
    <w:rsid w:val="00546077"/>
    <w:rsid w:val="00546FD3"/>
    <w:rsid w:val="0055008A"/>
    <w:rsid w:val="00552344"/>
    <w:rsid w:val="00552F10"/>
    <w:rsid w:val="0055351C"/>
    <w:rsid w:val="00553A33"/>
    <w:rsid w:val="005569CA"/>
    <w:rsid w:val="00556A29"/>
    <w:rsid w:val="0055773F"/>
    <w:rsid w:val="005579CF"/>
    <w:rsid w:val="0056046E"/>
    <w:rsid w:val="00560DAB"/>
    <w:rsid w:val="00561F1F"/>
    <w:rsid w:val="00562497"/>
    <w:rsid w:val="005641E0"/>
    <w:rsid w:val="0056424B"/>
    <w:rsid w:val="005745B5"/>
    <w:rsid w:val="0057618F"/>
    <w:rsid w:val="00576433"/>
    <w:rsid w:val="00576AC2"/>
    <w:rsid w:val="0057712B"/>
    <w:rsid w:val="00582278"/>
    <w:rsid w:val="00585505"/>
    <w:rsid w:val="00585FCB"/>
    <w:rsid w:val="00586212"/>
    <w:rsid w:val="0058763A"/>
    <w:rsid w:val="00587B99"/>
    <w:rsid w:val="00587CAA"/>
    <w:rsid w:val="00590C43"/>
    <w:rsid w:val="005916DB"/>
    <w:rsid w:val="00591903"/>
    <w:rsid w:val="00592072"/>
    <w:rsid w:val="005926A7"/>
    <w:rsid w:val="00592D68"/>
    <w:rsid w:val="0059370E"/>
    <w:rsid w:val="005938EE"/>
    <w:rsid w:val="005946AB"/>
    <w:rsid w:val="005948EF"/>
    <w:rsid w:val="00594DD7"/>
    <w:rsid w:val="005954B0"/>
    <w:rsid w:val="00595700"/>
    <w:rsid w:val="005970F8"/>
    <w:rsid w:val="005A017A"/>
    <w:rsid w:val="005A0CCE"/>
    <w:rsid w:val="005A1363"/>
    <w:rsid w:val="005A19AC"/>
    <w:rsid w:val="005A1B94"/>
    <w:rsid w:val="005A2D68"/>
    <w:rsid w:val="005A3125"/>
    <w:rsid w:val="005A3E81"/>
    <w:rsid w:val="005A4596"/>
    <w:rsid w:val="005A46D8"/>
    <w:rsid w:val="005A579A"/>
    <w:rsid w:val="005A5B9B"/>
    <w:rsid w:val="005A5CCD"/>
    <w:rsid w:val="005A5DBE"/>
    <w:rsid w:val="005A6E2F"/>
    <w:rsid w:val="005A751C"/>
    <w:rsid w:val="005A7BDC"/>
    <w:rsid w:val="005B2302"/>
    <w:rsid w:val="005B4182"/>
    <w:rsid w:val="005B5A99"/>
    <w:rsid w:val="005B5DDD"/>
    <w:rsid w:val="005B7502"/>
    <w:rsid w:val="005B7615"/>
    <w:rsid w:val="005B7A17"/>
    <w:rsid w:val="005B7AF7"/>
    <w:rsid w:val="005C3498"/>
    <w:rsid w:val="005C3992"/>
    <w:rsid w:val="005C40CD"/>
    <w:rsid w:val="005C4281"/>
    <w:rsid w:val="005C5651"/>
    <w:rsid w:val="005C599C"/>
    <w:rsid w:val="005C6307"/>
    <w:rsid w:val="005C6387"/>
    <w:rsid w:val="005C7D21"/>
    <w:rsid w:val="005D191B"/>
    <w:rsid w:val="005D1D97"/>
    <w:rsid w:val="005D49B5"/>
    <w:rsid w:val="005D56AE"/>
    <w:rsid w:val="005D713D"/>
    <w:rsid w:val="005E079D"/>
    <w:rsid w:val="005E1483"/>
    <w:rsid w:val="005E20E2"/>
    <w:rsid w:val="005E3620"/>
    <w:rsid w:val="005E3F53"/>
    <w:rsid w:val="005E5814"/>
    <w:rsid w:val="005E59D0"/>
    <w:rsid w:val="005E70D6"/>
    <w:rsid w:val="005E771B"/>
    <w:rsid w:val="005E7738"/>
    <w:rsid w:val="005E79CD"/>
    <w:rsid w:val="005E7AE6"/>
    <w:rsid w:val="005F2429"/>
    <w:rsid w:val="005F2EAE"/>
    <w:rsid w:val="005F4F8F"/>
    <w:rsid w:val="005F6187"/>
    <w:rsid w:val="005F64CB"/>
    <w:rsid w:val="005F76BD"/>
    <w:rsid w:val="005F7DE9"/>
    <w:rsid w:val="00600D62"/>
    <w:rsid w:val="00600FA1"/>
    <w:rsid w:val="00602B2B"/>
    <w:rsid w:val="00603585"/>
    <w:rsid w:val="00604390"/>
    <w:rsid w:val="00605914"/>
    <w:rsid w:val="00607F07"/>
    <w:rsid w:val="0061116D"/>
    <w:rsid w:val="00612345"/>
    <w:rsid w:val="00613B5B"/>
    <w:rsid w:val="00614B90"/>
    <w:rsid w:val="00615112"/>
    <w:rsid w:val="00615A9A"/>
    <w:rsid w:val="00616950"/>
    <w:rsid w:val="00616EA5"/>
    <w:rsid w:val="0061735E"/>
    <w:rsid w:val="00617D7F"/>
    <w:rsid w:val="0062008D"/>
    <w:rsid w:val="006209B1"/>
    <w:rsid w:val="00621F93"/>
    <w:rsid w:val="00622525"/>
    <w:rsid w:val="00622869"/>
    <w:rsid w:val="00623F41"/>
    <w:rsid w:val="006242BC"/>
    <w:rsid w:val="0062444F"/>
    <w:rsid w:val="00624BA0"/>
    <w:rsid w:val="00624D56"/>
    <w:rsid w:val="0062680C"/>
    <w:rsid w:val="00626A5F"/>
    <w:rsid w:val="00626D13"/>
    <w:rsid w:val="00627B4D"/>
    <w:rsid w:val="00632F9D"/>
    <w:rsid w:val="00633385"/>
    <w:rsid w:val="0063438A"/>
    <w:rsid w:val="00634CC0"/>
    <w:rsid w:val="00634E8E"/>
    <w:rsid w:val="0063547D"/>
    <w:rsid w:val="006406B2"/>
    <w:rsid w:val="006417CA"/>
    <w:rsid w:val="00642135"/>
    <w:rsid w:val="00644873"/>
    <w:rsid w:val="00644956"/>
    <w:rsid w:val="0064632E"/>
    <w:rsid w:val="0064730C"/>
    <w:rsid w:val="006518DE"/>
    <w:rsid w:val="00652FD2"/>
    <w:rsid w:val="006535EC"/>
    <w:rsid w:val="00653A76"/>
    <w:rsid w:val="00654E97"/>
    <w:rsid w:val="006562AC"/>
    <w:rsid w:val="006604E0"/>
    <w:rsid w:val="00660D88"/>
    <w:rsid w:val="00662396"/>
    <w:rsid w:val="00662D89"/>
    <w:rsid w:val="0066312D"/>
    <w:rsid w:val="00663400"/>
    <w:rsid w:val="006646C5"/>
    <w:rsid w:val="00665679"/>
    <w:rsid w:val="00666357"/>
    <w:rsid w:val="0066636E"/>
    <w:rsid w:val="0066680A"/>
    <w:rsid w:val="00667248"/>
    <w:rsid w:val="00667D6B"/>
    <w:rsid w:val="00667E83"/>
    <w:rsid w:val="00672051"/>
    <w:rsid w:val="00673A3D"/>
    <w:rsid w:val="00674265"/>
    <w:rsid w:val="0067495D"/>
    <w:rsid w:val="0067520A"/>
    <w:rsid w:val="00675213"/>
    <w:rsid w:val="006755C5"/>
    <w:rsid w:val="0067601D"/>
    <w:rsid w:val="00676829"/>
    <w:rsid w:val="00676839"/>
    <w:rsid w:val="00677241"/>
    <w:rsid w:val="00681265"/>
    <w:rsid w:val="00682C01"/>
    <w:rsid w:val="0068322A"/>
    <w:rsid w:val="00683731"/>
    <w:rsid w:val="006839DC"/>
    <w:rsid w:val="00683A1C"/>
    <w:rsid w:val="00685CBB"/>
    <w:rsid w:val="00686F52"/>
    <w:rsid w:val="006900C3"/>
    <w:rsid w:val="006918E4"/>
    <w:rsid w:val="00691A09"/>
    <w:rsid w:val="00693796"/>
    <w:rsid w:val="00693A00"/>
    <w:rsid w:val="0069465E"/>
    <w:rsid w:val="006961DB"/>
    <w:rsid w:val="00696C2A"/>
    <w:rsid w:val="00696E03"/>
    <w:rsid w:val="006977DA"/>
    <w:rsid w:val="006A15E2"/>
    <w:rsid w:val="006A15EB"/>
    <w:rsid w:val="006A1802"/>
    <w:rsid w:val="006A26E6"/>
    <w:rsid w:val="006A2FE7"/>
    <w:rsid w:val="006A386C"/>
    <w:rsid w:val="006A4E7D"/>
    <w:rsid w:val="006A7660"/>
    <w:rsid w:val="006A78B3"/>
    <w:rsid w:val="006A78E4"/>
    <w:rsid w:val="006B0681"/>
    <w:rsid w:val="006B1388"/>
    <w:rsid w:val="006B2FF4"/>
    <w:rsid w:val="006B33AA"/>
    <w:rsid w:val="006B392D"/>
    <w:rsid w:val="006B4C9F"/>
    <w:rsid w:val="006B55F5"/>
    <w:rsid w:val="006B5C62"/>
    <w:rsid w:val="006B796F"/>
    <w:rsid w:val="006C0127"/>
    <w:rsid w:val="006C4254"/>
    <w:rsid w:val="006C6A41"/>
    <w:rsid w:val="006D4D18"/>
    <w:rsid w:val="006D6F68"/>
    <w:rsid w:val="006D71ED"/>
    <w:rsid w:val="006E15FC"/>
    <w:rsid w:val="006E1917"/>
    <w:rsid w:val="006E1EB3"/>
    <w:rsid w:val="006E3DE1"/>
    <w:rsid w:val="006E5EBD"/>
    <w:rsid w:val="006E6CDB"/>
    <w:rsid w:val="006E728C"/>
    <w:rsid w:val="006E7453"/>
    <w:rsid w:val="006E7AF5"/>
    <w:rsid w:val="006F00C5"/>
    <w:rsid w:val="006F0124"/>
    <w:rsid w:val="006F0B70"/>
    <w:rsid w:val="006F19E0"/>
    <w:rsid w:val="006F1F62"/>
    <w:rsid w:val="006F247D"/>
    <w:rsid w:val="006F6D0F"/>
    <w:rsid w:val="006F7CD1"/>
    <w:rsid w:val="00700E99"/>
    <w:rsid w:val="007025FF"/>
    <w:rsid w:val="00702B7C"/>
    <w:rsid w:val="007070AA"/>
    <w:rsid w:val="00711105"/>
    <w:rsid w:val="00711AFB"/>
    <w:rsid w:val="0071221E"/>
    <w:rsid w:val="0071288A"/>
    <w:rsid w:val="0071556B"/>
    <w:rsid w:val="00721B7B"/>
    <w:rsid w:val="00722AB0"/>
    <w:rsid w:val="00722E78"/>
    <w:rsid w:val="007235C9"/>
    <w:rsid w:val="007236C1"/>
    <w:rsid w:val="0072516D"/>
    <w:rsid w:val="00726C58"/>
    <w:rsid w:val="0073028A"/>
    <w:rsid w:val="00730A5B"/>
    <w:rsid w:val="007310CD"/>
    <w:rsid w:val="00731C96"/>
    <w:rsid w:val="00731F7E"/>
    <w:rsid w:val="00734245"/>
    <w:rsid w:val="007345CE"/>
    <w:rsid w:val="00734A79"/>
    <w:rsid w:val="00735C48"/>
    <w:rsid w:val="0073662C"/>
    <w:rsid w:val="007412E7"/>
    <w:rsid w:val="00742404"/>
    <w:rsid w:val="0074277A"/>
    <w:rsid w:val="00742A45"/>
    <w:rsid w:val="00745767"/>
    <w:rsid w:val="0074678D"/>
    <w:rsid w:val="00747FD7"/>
    <w:rsid w:val="0075176D"/>
    <w:rsid w:val="0075244C"/>
    <w:rsid w:val="00752506"/>
    <w:rsid w:val="007527D5"/>
    <w:rsid w:val="00756285"/>
    <w:rsid w:val="007569A4"/>
    <w:rsid w:val="00757098"/>
    <w:rsid w:val="00760678"/>
    <w:rsid w:val="00761303"/>
    <w:rsid w:val="007623AC"/>
    <w:rsid w:val="007629C1"/>
    <w:rsid w:val="00763229"/>
    <w:rsid w:val="00763B55"/>
    <w:rsid w:val="007644D2"/>
    <w:rsid w:val="00764778"/>
    <w:rsid w:val="00764FC0"/>
    <w:rsid w:val="00765107"/>
    <w:rsid w:val="00766F58"/>
    <w:rsid w:val="00767E0A"/>
    <w:rsid w:val="00770B2A"/>
    <w:rsid w:val="00773F90"/>
    <w:rsid w:val="007746B6"/>
    <w:rsid w:val="007746E8"/>
    <w:rsid w:val="007755F5"/>
    <w:rsid w:val="0077566B"/>
    <w:rsid w:val="00775A7E"/>
    <w:rsid w:val="00775B6E"/>
    <w:rsid w:val="007762FA"/>
    <w:rsid w:val="00776E55"/>
    <w:rsid w:val="00777569"/>
    <w:rsid w:val="00780E49"/>
    <w:rsid w:val="007819B2"/>
    <w:rsid w:val="00783D5C"/>
    <w:rsid w:val="00784789"/>
    <w:rsid w:val="00784A1C"/>
    <w:rsid w:val="007865AF"/>
    <w:rsid w:val="007868D9"/>
    <w:rsid w:val="00787E21"/>
    <w:rsid w:val="0079050B"/>
    <w:rsid w:val="00792470"/>
    <w:rsid w:val="0079271C"/>
    <w:rsid w:val="007949F6"/>
    <w:rsid w:val="00795680"/>
    <w:rsid w:val="00795FDC"/>
    <w:rsid w:val="0079603E"/>
    <w:rsid w:val="00796F92"/>
    <w:rsid w:val="007974B0"/>
    <w:rsid w:val="00797AC9"/>
    <w:rsid w:val="00797DA8"/>
    <w:rsid w:val="007A1580"/>
    <w:rsid w:val="007A2CED"/>
    <w:rsid w:val="007A435A"/>
    <w:rsid w:val="007A49F7"/>
    <w:rsid w:val="007A58A7"/>
    <w:rsid w:val="007A6386"/>
    <w:rsid w:val="007A6420"/>
    <w:rsid w:val="007A7DDF"/>
    <w:rsid w:val="007A7F03"/>
    <w:rsid w:val="007B4205"/>
    <w:rsid w:val="007B64D4"/>
    <w:rsid w:val="007B661A"/>
    <w:rsid w:val="007B6EF4"/>
    <w:rsid w:val="007B6F06"/>
    <w:rsid w:val="007C0B22"/>
    <w:rsid w:val="007C278E"/>
    <w:rsid w:val="007C3D42"/>
    <w:rsid w:val="007C4178"/>
    <w:rsid w:val="007C5FE4"/>
    <w:rsid w:val="007C7821"/>
    <w:rsid w:val="007C7BB6"/>
    <w:rsid w:val="007C7D72"/>
    <w:rsid w:val="007D1D17"/>
    <w:rsid w:val="007D5C76"/>
    <w:rsid w:val="007D5D25"/>
    <w:rsid w:val="007D69A8"/>
    <w:rsid w:val="007D773D"/>
    <w:rsid w:val="007E3BC4"/>
    <w:rsid w:val="007E3D26"/>
    <w:rsid w:val="007E629C"/>
    <w:rsid w:val="007E6AA7"/>
    <w:rsid w:val="007E79B6"/>
    <w:rsid w:val="007F2E95"/>
    <w:rsid w:val="007F36CD"/>
    <w:rsid w:val="007F3AED"/>
    <w:rsid w:val="007F5642"/>
    <w:rsid w:val="007F58B5"/>
    <w:rsid w:val="007F5B47"/>
    <w:rsid w:val="007F65E2"/>
    <w:rsid w:val="00800185"/>
    <w:rsid w:val="00800DEC"/>
    <w:rsid w:val="0080119D"/>
    <w:rsid w:val="00802E6A"/>
    <w:rsid w:val="0080413D"/>
    <w:rsid w:val="00804A31"/>
    <w:rsid w:val="008075A6"/>
    <w:rsid w:val="00807B8C"/>
    <w:rsid w:val="00811F78"/>
    <w:rsid w:val="008124FE"/>
    <w:rsid w:val="008142B6"/>
    <w:rsid w:val="00814AC9"/>
    <w:rsid w:val="00817277"/>
    <w:rsid w:val="00817719"/>
    <w:rsid w:val="008202C0"/>
    <w:rsid w:val="00820BEF"/>
    <w:rsid w:val="008225DE"/>
    <w:rsid w:val="008227B4"/>
    <w:rsid w:val="00823088"/>
    <w:rsid w:val="00823723"/>
    <w:rsid w:val="008245BA"/>
    <w:rsid w:val="00824FC4"/>
    <w:rsid w:val="008315AF"/>
    <w:rsid w:val="008319E0"/>
    <w:rsid w:val="008324DC"/>
    <w:rsid w:val="00833B38"/>
    <w:rsid w:val="00834306"/>
    <w:rsid w:val="00834A56"/>
    <w:rsid w:val="00834E70"/>
    <w:rsid w:val="00836F4F"/>
    <w:rsid w:val="00841B3F"/>
    <w:rsid w:val="00841B98"/>
    <w:rsid w:val="0084209D"/>
    <w:rsid w:val="008425CD"/>
    <w:rsid w:val="00844145"/>
    <w:rsid w:val="0084452D"/>
    <w:rsid w:val="008455D3"/>
    <w:rsid w:val="0084796E"/>
    <w:rsid w:val="0085071C"/>
    <w:rsid w:val="00850B30"/>
    <w:rsid w:val="00851412"/>
    <w:rsid w:val="00851FAA"/>
    <w:rsid w:val="00852013"/>
    <w:rsid w:val="00852364"/>
    <w:rsid w:val="00852368"/>
    <w:rsid w:val="0085251C"/>
    <w:rsid w:val="00852AE6"/>
    <w:rsid w:val="00852C99"/>
    <w:rsid w:val="00852DC6"/>
    <w:rsid w:val="00853457"/>
    <w:rsid w:val="00854824"/>
    <w:rsid w:val="008548AF"/>
    <w:rsid w:val="00855A3F"/>
    <w:rsid w:val="008600CE"/>
    <w:rsid w:val="008602F0"/>
    <w:rsid w:val="00861AE9"/>
    <w:rsid w:val="00861DA1"/>
    <w:rsid w:val="00862EE3"/>
    <w:rsid w:val="00863773"/>
    <w:rsid w:val="00864BCB"/>
    <w:rsid w:val="00865BEA"/>
    <w:rsid w:val="00866C68"/>
    <w:rsid w:val="00867B9E"/>
    <w:rsid w:val="00871FB2"/>
    <w:rsid w:val="00872C1F"/>
    <w:rsid w:val="00872F52"/>
    <w:rsid w:val="008731ED"/>
    <w:rsid w:val="00873C8B"/>
    <w:rsid w:val="00874000"/>
    <w:rsid w:val="00874251"/>
    <w:rsid w:val="008744E1"/>
    <w:rsid w:val="00874D06"/>
    <w:rsid w:val="00875032"/>
    <w:rsid w:val="008759C3"/>
    <w:rsid w:val="00876FCC"/>
    <w:rsid w:val="00877C70"/>
    <w:rsid w:val="0088064C"/>
    <w:rsid w:val="00880986"/>
    <w:rsid w:val="00881359"/>
    <w:rsid w:val="008815D4"/>
    <w:rsid w:val="00881EC5"/>
    <w:rsid w:val="00882AA9"/>
    <w:rsid w:val="00882C9B"/>
    <w:rsid w:val="00885128"/>
    <w:rsid w:val="008852B8"/>
    <w:rsid w:val="00886255"/>
    <w:rsid w:val="00886532"/>
    <w:rsid w:val="00886573"/>
    <w:rsid w:val="00887F37"/>
    <w:rsid w:val="008907DD"/>
    <w:rsid w:val="00890F6E"/>
    <w:rsid w:val="00892282"/>
    <w:rsid w:val="0089254D"/>
    <w:rsid w:val="00892B99"/>
    <w:rsid w:val="00892EA7"/>
    <w:rsid w:val="00892F35"/>
    <w:rsid w:val="00894667"/>
    <w:rsid w:val="008948C1"/>
    <w:rsid w:val="008951BF"/>
    <w:rsid w:val="0089582D"/>
    <w:rsid w:val="00895CB5"/>
    <w:rsid w:val="00895D22"/>
    <w:rsid w:val="008962EF"/>
    <w:rsid w:val="00896A92"/>
    <w:rsid w:val="008973B6"/>
    <w:rsid w:val="008A092C"/>
    <w:rsid w:val="008A0A55"/>
    <w:rsid w:val="008A1251"/>
    <w:rsid w:val="008A2658"/>
    <w:rsid w:val="008A2BF8"/>
    <w:rsid w:val="008A2C67"/>
    <w:rsid w:val="008A328C"/>
    <w:rsid w:val="008A3783"/>
    <w:rsid w:val="008A3B38"/>
    <w:rsid w:val="008A406F"/>
    <w:rsid w:val="008A5739"/>
    <w:rsid w:val="008A6A9B"/>
    <w:rsid w:val="008A797A"/>
    <w:rsid w:val="008B070E"/>
    <w:rsid w:val="008B0725"/>
    <w:rsid w:val="008B17E6"/>
    <w:rsid w:val="008B3D71"/>
    <w:rsid w:val="008B3ECE"/>
    <w:rsid w:val="008B442C"/>
    <w:rsid w:val="008B6522"/>
    <w:rsid w:val="008B6785"/>
    <w:rsid w:val="008C14EC"/>
    <w:rsid w:val="008C2000"/>
    <w:rsid w:val="008C2FB2"/>
    <w:rsid w:val="008C3AE3"/>
    <w:rsid w:val="008C3CCA"/>
    <w:rsid w:val="008C67DF"/>
    <w:rsid w:val="008C756D"/>
    <w:rsid w:val="008D582B"/>
    <w:rsid w:val="008D7123"/>
    <w:rsid w:val="008D7B08"/>
    <w:rsid w:val="008D7D1A"/>
    <w:rsid w:val="008E0CD6"/>
    <w:rsid w:val="008E0CE3"/>
    <w:rsid w:val="008E17E5"/>
    <w:rsid w:val="008E2410"/>
    <w:rsid w:val="008E2634"/>
    <w:rsid w:val="008E2FBA"/>
    <w:rsid w:val="008E4585"/>
    <w:rsid w:val="008E590D"/>
    <w:rsid w:val="008E732A"/>
    <w:rsid w:val="008F10C9"/>
    <w:rsid w:val="008F1F12"/>
    <w:rsid w:val="008F2964"/>
    <w:rsid w:val="008F396F"/>
    <w:rsid w:val="008F4FF2"/>
    <w:rsid w:val="008F5DEC"/>
    <w:rsid w:val="008F65FD"/>
    <w:rsid w:val="008F741D"/>
    <w:rsid w:val="008F7E33"/>
    <w:rsid w:val="008F7EA6"/>
    <w:rsid w:val="00901095"/>
    <w:rsid w:val="00901EAE"/>
    <w:rsid w:val="00903240"/>
    <w:rsid w:val="009065CD"/>
    <w:rsid w:val="0090699F"/>
    <w:rsid w:val="00907F84"/>
    <w:rsid w:val="0091092A"/>
    <w:rsid w:val="00910FDD"/>
    <w:rsid w:val="00911569"/>
    <w:rsid w:val="00911961"/>
    <w:rsid w:val="00913797"/>
    <w:rsid w:val="009145BE"/>
    <w:rsid w:val="0091588A"/>
    <w:rsid w:val="00915A45"/>
    <w:rsid w:val="00915AC8"/>
    <w:rsid w:val="0091663C"/>
    <w:rsid w:val="00916CAB"/>
    <w:rsid w:val="00917FD8"/>
    <w:rsid w:val="00920571"/>
    <w:rsid w:val="009206F5"/>
    <w:rsid w:val="00920CA8"/>
    <w:rsid w:val="00925412"/>
    <w:rsid w:val="00925810"/>
    <w:rsid w:val="00926476"/>
    <w:rsid w:val="00927132"/>
    <w:rsid w:val="0092771A"/>
    <w:rsid w:val="00927D48"/>
    <w:rsid w:val="00927D95"/>
    <w:rsid w:val="00927EFC"/>
    <w:rsid w:val="009303C4"/>
    <w:rsid w:val="0093238F"/>
    <w:rsid w:val="00932B39"/>
    <w:rsid w:val="00934FE3"/>
    <w:rsid w:val="00936300"/>
    <w:rsid w:val="00936884"/>
    <w:rsid w:val="00936BC7"/>
    <w:rsid w:val="00937301"/>
    <w:rsid w:val="009373DE"/>
    <w:rsid w:val="00937748"/>
    <w:rsid w:val="009377CD"/>
    <w:rsid w:val="00940B7E"/>
    <w:rsid w:val="00941DF6"/>
    <w:rsid w:val="00941E23"/>
    <w:rsid w:val="00941F31"/>
    <w:rsid w:val="00942720"/>
    <w:rsid w:val="0094394A"/>
    <w:rsid w:val="009439D3"/>
    <w:rsid w:val="00944067"/>
    <w:rsid w:val="00945E9F"/>
    <w:rsid w:val="00946528"/>
    <w:rsid w:val="0094765B"/>
    <w:rsid w:val="0094793C"/>
    <w:rsid w:val="009507F7"/>
    <w:rsid w:val="009511D4"/>
    <w:rsid w:val="009514E4"/>
    <w:rsid w:val="0095181F"/>
    <w:rsid w:val="00951BDC"/>
    <w:rsid w:val="00952324"/>
    <w:rsid w:val="00952CDC"/>
    <w:rsid w:val="00952EC9"/>
    <w:rsid w:val="00952FC1"/>
    <w:rsid w:val="00956775"/>
    <w:rsid w:val="00962223"/>
    <w:rsid w:val="00962240"/>
    <w:rsid w:val="009630D8"/>
    <w:rsid w:val="0097196B"/>
    <w:rsid w:val="00971FCF"/>
    <w:rsid w:val="00973348"/>
    <w:rsid w:val="00974A41"/>
    <w:rsid w:val="00974D76"/>
    <w:rsid w:val="0097512C"/>
    <w:rsid w:val="00975EF2"/>
    <w:rsid w:val="00976D98"/>
    <w:rsid w:val="00977CB3"/>
    <w:rsid w:val="00980039"/>
    <w:rsid w:val="0098021F"/>
    <w:rsid w:val="0098248A"/>
    <w:rsid w:val="00983F3D"/>
    <w:rsid w:val="00984C77"/>
    <w:rsid w:val="009867EB"/>
    <w:rsid w:val="00986A75"/>
    <w:rsid w:val="009873F7"/>
    <w:rsid w:val="00987915"/>
    <w:rsid w:val="00987B4E"/>
    <w:rsid w:val="009903D9"/>
    <w:rsid w:val="0099091D"/>
    <w:rsid w:val="009909BC"/>
    <w:rsid w:val="009909E7"/>
    <w:rsid w:val="00992A14"/>
    <w:rsid w:val="00992DAB"/>
    <w:rsid w:val="009950ED"/>
    <w:rsid w:val="00995AD2"/>
    <w:rsid w:val="00995D72"/>
    <w:rsid w:val="00996E1E"/>
    <w:rsid w:val="00997049"/>
    <w:rsid w:val="0099712A"/>
    <w:rsid w:val="00997738"/>
    <w:rsid w:val="00997D47"/>
    <w:rsid w:val="009A05EE"/>
    <w:rsid w:val="009A283C"/>
    <w:rsid w:val="009A41E4"/>
    <w:rsid w:val="009A4816"/>
    <w:rsid w:val="009A6202"/>
    <w:rsid w:val="009A646C"/>
    <w:rsid w:val="009A6C2C"/>
    <w:rsid w:val="009A75B1"/>
    <w:rsid w:val="009B05A3"/>
    <w:rsid w:val="009B1661"/>
    <w:rsid w:val="009B2106"/>
    <w:rsid w:val="009B3D1C"/>
    <w:rsid w:val="009B4D07"/>
    <w:rsid w:val="009B5021"/>
    <w:rsid w:val="009B574E"/>
    <w:rsid w:val="009B61D3"/>
    <w:rsid w:val="009B7236"/>
    <w:rsid w:val="009C1A7E"/>
    <w:rsid w:val="009C1DE3"/>
    <w:rsid w:val="009C2133"/>
    <w:rsid w:val="009C2902"/>
    <w:rsid w:val="009C38BF"/>
    <w:rsid w:val="009C45C4"/>
    <w:rsid w:val="009C4A1A"/>
    <w:rsid w:val="009C5A1C"/>
    <w:rsid w:val="009C763E"/>
    <w:rsid w:val="009C767C"/>
    <w:rsid w:val="009C76F2"/>
    <w:rsid w:val="009D021B"/>
    <w:rsid w:val="009D113D"/>
    <w:rsid w:val="009D4445"/>
    <w:rsid w:val="009D4C7E"/>
    <w:rsid w:val="009D5280"/>
    <w:rsid w:val="009D5530"/>
    <w:rsid w:val="009D5E75"/>
    <w:rsid w:val="009D600A"/>
    <w:rsid w:val="009D6F77"/>
    <w:rsid w:val="009D7C03"/>
    <w:rsid w:val="009E1B3C"/>
    <w:rsid w:val="009E4346"/>
    <w:rsid w:val="009E44FA"/>
    <w:rsid w:val="009E7537"/>
    <w:rsid w:val="009E787D"/>
    <w:rsid w:val="009E7C08"/>
    <w:rsid w:val="009F1E15"/>
    <w:rsid w:val="009F1EB7"/>
    <w:rsid w:val="009F6492"/>
    <w:rsid w:val="009F6748"/>
    <w:rsid w:val="00A00CD0"/>
    <w:rsid w:val="00A01986"/>
    <w:rsid w:val="00A0257A"/>
    <w:rsid w:val="00A033F0"/>
    <w:rsid w:val="00A04346"/>
    <w:rsid w:val="00A05F11"/>
    <w:rsid w:val="00A06370"/>
    <w:rsid w:val="00A07329"/>
    <w:rsid w:val="00A10AFA"/>
    <w:rsid w:val="00A11054"/>
    <w:rsid w:val="00A1127F"/>
    <w:rsid w:val="00A11835"/>
    <w:rsid w:val="00A12963"/>
    <w:rsid w:val="00A13305"/>
    <w:rsid w:val="00A16508"/>
    <w:rsid w:val="00A165A0"/>
    <w:rsid w:val="00A167AE"/>
    <w:rsid w:val="00A21C7F"/>
    <w:rsid w:val="00A221EB"/>
    <w:rsid w:val="00A22202"/>
    <w:rsid w:val="00A2411B"/>
    <w:rsid w:val="00A251CB"/>
    <w:rsid w:val="00A25C14"/>
    <w:rsid w:val="00A26B51"/>
    <w:rsid w:val="00A26D9B"/>
    <w:rsid w:val="00A27945"/>
    <w:rsid w:val="00A3122E"/>
    <w:rsid w:val="00A3169E"/>
    <w:rsid w:val="00A32AB8"/>
    <w:rsid w:val="00A336A1"/>
    <w:rsid w:val="00A33E99"/>
    <w:rsid w:val="00A33FD8"/>
    <w:rsid w:val="00A34FA8"/>
    <w:rsid w:val="00A35328"/>
    <w:rsid w:val="00A35600"/>
    <w:rsid w:val="00A41360"/>
    <w:rsid w:val="00A438BD"/>
    <w:rsid w:val="00A457EC"/>
    <w:rsid w:val="00A46E8E"/>
    <w:rsid w:val="00A472ED"/>
    <w:rsid w:val="00A47F20"/>
    <w:rsid w:val="00A532DB"/>
    <w:rsid w:val="00A53D10"/>
    <w:rsid w:val="00A5432D"/>
    <w:rsid w:val="00A55E24"/>
    <w:rsid w:val="00A5636D"/>
    <w:rsid w:val="00A603F9"/>
    <w:rsid w:val="00A61439"/>
    <w:rsid w:val="00A630B5"/>
    <w:rsid w:val="00A63BDC"/>
    <w:rsid w:val="00A63F7C"/>
    <w:rsid w:val="00A64660"/>
    <w:rsid w:val="00A648E2"/>
    <w:rsid w:val="00A65FBD"/>
    <w:rsid w:val="00A6631A"/>
    <w:rsid w:val="00A66F0D"/>
    <w:rsid w:val="00A70421"/>
    <w:rsid w:val="00A70EE5"/>
    <w:rsid w:val="00A710C8"/>
    <w:rsid w:val="00A72C8E"/>
    <w:rsid w:val="00A73279"/>
    <w:rsid w:val="00A75F9E"/>
    <w:rsid w:val="00A768D8"/>
    <w:rsid w:val="00A777A3"/>
    <w:rsid w:val="00A77EFD"/>
    <w:rsid w:val="00A80795"/>
    <w:rsid w:val="00A80994"/>
    <w:rsid w:val="00A83CFD"/>
    <w:rsid w:val="00A83D8A"/>
    <w:rsid w:val="00A8409C"/>
    <w:rsid w:val="00A84361"/>
    <w:rsid w:val="00A85A9F"/>
    <w:rsid w:val="00A85F1A"/>
    <w:rsid w:val="00A87611"/>
    <w:rsid w:val="00A87D40"/>
    <w:rsid w:val="00A87E3E"/>
    <w:rsid w:val="00A87E97"/>
    <w:rsid w:val="00A90289"/>
    <w:rsid w:val="00A90895"/>
    <w:rsid w:val="00A910EB"/>
    <w:rsid w:val="00A918DB"/>
    <w:rsid w:val="00A92F39"/>
    <w:rsid w:val="00A936B9"/>
    <w:rsid w:val="00A94361"/>
    <w:rsid w:val="00A94C39"/>
    <w:rsid w:val="00A95E69"/>
    <w:rsid w:val="00A971F4"/>
    <w:rsid w:val="00AA12C4"/>
    <w:rsid w:val="00AA259B"/>
    <w:rsid w:val="00AA3AF0"/>
    <w:rsid w:val="00AA3D82"/>
    <w:rsid w:val="00AA57A9"/>
    <w:rsid w:val="00AA72E3"/>
    <w:rsid w:val="00AA74B6"/>
    <w:rsid w:val="00AA7DB3"/>
    <w:rsid w:val="00AB0F39"/>
    <w:rsid w:val="00AB12C8"/>
    <w:rsid w:val="00AB2778"/>
    <w:rsid w:val="00AB4BD5"/>
    <w:rsid w:val="00AB5513"/>
    <w:rsid w:val="00AB61E6"/>
    <w:rsid w:val="00AB6B96"/>
    <w:rsid w:val="00AB6DBB"/>
    <w:rsid w:val="00AC0180"/>
    <w:rsid w:val="00AC01F3"/>
    <w:rsid w:val="00AC048E"/>
    <w:rsid w:val="00AC1A3A"/>
    <w:rsid w:val="00AC2025"/>
    <w:rsid w:val="00AC2552"/>
    <w:rsid w:val="00AC29D2"/>
    <w:rsid w:val="00AC3A5C"/>
    <w:rsid w:val="00AC3B42"/>
    <w:rsid w:val="00AC3B82"/>
    <w:rsid w:val="00AC46FD"/>
    <w:rsid w:val="00AD1263"/>
    <w:rsid w:val="00AD20DA"/>
    <w:rsid w:val="00AD2932"/>
    <w:rsid w:val="00AD2B7B"/>
    <w:rsid w:val="00AD2E2A"/>
    <w:rsid w:val="00AD4D8D"/>
    <w:rsid w:val="00AD51B6"/>
    <w:rsid w:val="00AD655E"/>
    <w:rsid w:val="00AD7DB9"/>
    <w:rsid w:val="00AE09F6"/>
    <w:rsid w:val="00AE0E1B"/>
    <w:rsid w:val="00AE13BD"/>
    <w:rsid w:val="00AE13FB"/>
    <w:rsid w:val="00AE1A4B"/>
    <w:rsid w:val="00AE1BB6"/>
    <w:rsid w:val="00AE3310"/>
    <w:rsid w:val="00AE38D5"/>
    <w:rsid w:val="00AE4E4E"/>
    <w:rsid w:val="00AE5511"/>
    <w:rsid w:val="00AF170D"/>
    <w:rsid w:val="00AF2555"/>
    <w:rsid w:val="00AF2B41"/>
    <w:rsid w:val="00AF34C6"/>
    <w:rsid w:val="00AF36B7"/>
    <w:rsid w:val="00AF36C6"/>
    <w:rsid w:val="00AF4B18"/>
    <w:rsid w:val="00B00256"/>
    <w:rsid w:val="00B01806"/>
    <w:rsid w:val="00B0237B"/>
    <w:rsid w:val="00B03B3A"/>
    <w:rsid w:val="00B05A11"/>
    <w:rsid w:val="00B0738D"/>
    <w:rsid w:val="00B07B2E"/>
    <w:rsid w:val="00B105AF"/>
    <w:rsid w:val="00B1081A"/>
    <w:rsid w:val="00B13B19"/>
    <w:rsid w:val="00B15591"/>
    <w:rsid w:val="00B1602B"/>
    <w:rsid w:val="00B16991"/>
    <w:rsid w:val="00B2322B"/>
    <w:rsid w:val="00B232A1"/>
    <w:rsid w:val="00B247F1"/>
    <w:rsid w:val="00B25452"/>
    <w:rsid w:val="00B25999"/>
    <w:rsid w:val="00B26349"/>
    <w:rsid w:val="00B26740"/>
    <w:rsid w:val="00B274B5"/>
    <w:rsid w:val="00B300F1"/>
    <w:rsid w:val="00B31817"/>
    <w:rsid w:val="00B33962"/>
    <w:rsid w:val="00B35499"/>
    <w:rsid w:val="00B36BBD"/>
    <w:rsid w:val="00B375CB"/>
    <w:rsid w:val="00B37F11"/>
    <w:rsid w:val="00B37F76"/>
    <w:rsid w:val="00B406CF"/>
    <w:rsid w:val="00B41D60"/>
    <w:rsid w:val="00B429F5"/>
    <w:rsid w:val="00B458CE"/>
    <w:rsid w:val="00B46EBF"/>
    <w:rsid w:val="00B47BDF"/>
    <w:rsid w:val="00B50902"/>
    <w:rsid w:val="00B52CDE"/>
    <w:rsid w:val="00B540B0"/>
    <w:rsid w:val="00B56EE5"/>
    <w:rsid w:val="00B603D6"/>
    <w:rsid w:val="00B60933"/>
    <w:rsid w:val="00B60E07"/>
    <w:rsid w:val="00B6248E"/>
    <w:rsid w:val="00B627D5"/>
    <w:rsid w:val="00B62C69"/>
    <w:rsid w:val="00B62ECF"/>
    <w:rsid w:val="00B6406E"/>
    <w:rsid w:val="00B6445F"/>
    <w:rsid w:val="00B65930"/>
    <w:rsid w:val="00B67729"/>
    <w:rsid w:val="00B7129F"/>
    <w:rsid w:val="00B71A32"/>
    <w:rsid w:val="00B72F41"/>
    <w:rsid w:val="00B74337"/>
    <w:rsid w:val="00B777EA"/>
    <w:rsid w:val="00B778D5"/>
    <w:rsid w:val="00B80383"/>
    <w:rsid w:val="00B80736"/>
    <w:rsid w:val="00B808FB"/>
    <w:rsid w:val="00B817C2"/>
    <w:rsid w:val="00B81D0D"/>
    <w:rsid w:val="00B83EB9"/>
    <w:rsid w:val="00B84224"/>
    <w:rsid w:val="00B84E64"/>
    <w:rsid w:val="00B869FB"/>
    <w:rsid w:val="00B86AAC"/>
    <w:rsid w:val="00B86B4F"/>
    <w:rsid w:val="00B87B1A"/>
    <w:rsid w:val="00B907D7"/>
    <w:rsid w:val="00B92D5D"/>
    <w:rsid w:val="00B95C54"/>
    <w:rsid w:val="00B95D78"/>
    <w:rsid w:val="00B961DE"/>
    <w:rsid w:val="00B965AD"/>
    <w:rsid w:val="00B96641"/>
    <w:rsid w:val="00B9736A"/>
    <w:rsid w:val="00BA0EC6"/>
    <w:rsid w:val="00BA1193"/>
    <w:rsid w:val="00BA48D6"/>
    <w:rsid w:val="00BA521C"/>
    <w:rsid w:val="00BA7225"/>
    <w:rsid w:val="00BB22C0"/>
    <w:rsid w:val="00BB3FF3"/>
    <w:rsid w:val="00BB443A"/>
    <w:rsid w:val="00BB4D7C"/>
    <w:rsid w:val="00BB4FA8"/>
    <w:rsid w:val="00BB51E0"/>
    <w:rsid w:val="00BC033B"/>
    <w:rsid w:val="00BC06B9"/>
    <w:rsid w:val="00BC13B2"/>
    <w:rsid w:val="00BC29F1"/>
    <w:rsid w:val="00BC2A3C"/>
    <w:rsid w:val="00BC2E78"/>
    <w:rsid w:val="00BC4D40"/>
    <w:rsid w:val="00BD07EB"/>
    <w:rsid w:val="00BD0DB3"/>
    <w:rsid w:val="00BD2C3E"/>
    <w:rsid w:val="00BD4095"/>
    <w:rsid w:val="00BE1EB3"/>
    <w:rsid w:val="00BE6866"/>
    <w:rsid w:val="00BE752F"/>
    <w:rsid w:val="00BF15DF"/>
    <w:rsid w:val="00BF1E25"/>
    <w:rsid w:val="00BF2A78"/>
    <w:rsid w:val="00BF32CE"/>
    <w:rsid w:val="00BF4375"/>
    <w:rsid w:val="00BF573F"/>
    <w:rsid w:val="00BF5D52"/>
    <w:rsid w:val="00BF64BB"/>
    <w:rsid w:val="00BF6710"/>
    <w:rsid w:val="00BF722C"/>
    <w:rsid w:val="00C00B10"/>
    <w:rsid w:val="00C01B3F"/>
    <w:rsid w:val="00C03655"/>
    <w:rsid w:val="00C03789"/>
    <w:rsid w:val="00C042BD"/>
    <w:rsid w:val="00C05227"/>
    <w:rsid w:val="00C05F49"/>
    <w:rsid w:val="00C06615"/>
    <w:rsid w:val="00C07FD2"/>
    <w:rsid w:val="00C101E8"/>
    <w:rsid w:val="00C10C7C"/>
    <w:rsid w:val="00C11BD0"/>
    <w:rsid w:val="00C12712"/>
    <w:rsid w:val="00C15B9B"/>
    <w:rsid w:val="00C16279"/>
    <w:rsid w:val="00C164EB"/>
    <w:rsid w:val="00C1678D"/>
    <w:rsid w:val="00C1730E"/>
    <w:rsid w:val="00C20262"/>
    <w:rsid w:val="00C20D72"/>
    <w:rsid w:val="00C2217E"/>
    <w:rsid w:val="00C24A2E"/>
    <w:rsid w:val="00C25C54"/>
    <w:rsid w:val="00C30140"/>
    <w:rsid w:val="00C32C6F"/>
    <w:rsid w:val="00C32CC2"/>
    <w:rsid w:val="00C35CAB"/>
    <w:rsid w:val="00C3716B"/>
    <w:rsid w:val="00C41A90"/>
    <w:rsid w:val="00C42530"/>
    <w:rsid w:val="00C42908"/>
    <w:rsid w:val="00C430BB"/>
    <w:rsid w:val="00C433DC"/>
    <w:rsid w:val="00C44EB2"/>
    <w:rsid w:val="00C4550D"/>
    <w:rsid w:val="00C456C9"/>
    <w:rsid w:val="00C46602"/>
    <w:rsid w:val="00C470B5"/>
    <w:rsid w:val="00C504AB"/>
    <w:rsid w:val="00C508C7"/>
    <w:rsid w:val="00C52212"/>
    <w:rsid w:val="00C52B84"/>
    <w:rsid w:val="00C52F51"/>
    <w:rsid w:val="00C531C6"/>
    <w:rsid w:val="00C53817"/>
    <w:rsid w:val="00C54C03"/>
    <w:rsid w:val="00C54DA7"/>
    <w:rsid w:val="00C569BA"/>
    <w:rsid w:val="00C56ADF"/>
    <w:rsid w:val="00C6065C"/>
    <w:rsid w:val="00C61C08"/>
    <w:rsid w:val="00C62DA7"/>
    <w:rsid w:val="00C63527"/>
    <w:rsid w:val="00C64EAF"/>
    <w:rsid w:val="00C6628E"/>
    <w:rsid w:val="00C66379"/>
    <w:rsid w:val="00C667D3"/>
    <w:rsid w:val="00C71128"/>
    <w:rsid w:val="00C71511"/>
    <w:rsid w:val="00C74B6C"/>
    <w:rsid w:val="00C75861"/>
    <w:rsid w:val="00C76E9E"/>
    <w:rsid w:val="00C802DF"/>
    <w:rsid w:val="00C80E09"/>
    <w:rsid w:val="00C817D7"/>
    <w:rsid w:val="00C82EF8"/>
    <w:rsid w:val="00C84628"/>
    <w:rsid w:val="00C846A7"/>
    <w:rsid w:val="00C8473F"/>
    <w:rsid w:val="00C84A19"/>
    <w:rsid w:val="00C84C38"/>
    <w:rsid w:val="00C84F68"/>
    <w:rsid w:val="00C876B4"/>
    <w:rsid w:val="00C87DE6"/>
    <w:rsid w:val="00C87E63"/>
    <w:rsid w:val="00C911BD"/>
    <w:rsid w:val="00C94FDA"/>
    <w:rsid w:val="00C95917"/>
    <w:rsid w:val="00C975F8"/>
    <w:rsid w:val="00CA079E"/>
    <w:rsid w:val="00CA1689"/>
    <w:rsid w:val="00CA2195"/>
    <w:rsid w:val="00CA27A0"/>
    <w:rsid w:val="00CA4209"/>
    <w:rsid w:val="00CA51F5"/>
    <w:rsid w:val="00CA5765"/>
    <w:rsid w:val="00CA6A4C"/>
    <w:rsid w:val="00CA75AB"/>
    <w:rsid w:val="00CB1951"/>
    <w:rsid w:val="00CB296A"/>
    <w:rsid w:val="00CB2FAB"/>
    <w:rsid w:val="00CB6911"/>
    <w:rsid w:val="00CB6CDD"/>
    <w:rsid w:val="00CC0494"/>
    <w:rsid w:val="00CC0962"/>
    <w:rsid w:val="00CC3B0F"/>
    <w:rsid w:val="00CC4AFB"/>
    <w:rsid w:val="00CC58E5"/>
    <w:rsid w:val="00CC7203"/>
    <w:rsid w:val="00CC7C96"/>
    <w:rsid w:val="00CC7F2E"/>
    <w:rsid w:val="00CD1B53"/>
    <w:rsid w:val="00CD2640"/>
    <w:rsid w:val="00CD26A3"/>
    <w:rsid w:val="00CD340E"/>
    <w:rsid w:val="00CD4F60"/>
    <w:rsid w:val="00CD54BB"/>
    <w:rsid w:val="00CD6347"/>
    <w:rsid w:val="00CD7746"/>
    <w:rsid w:val="00CE0912"/>
    <w:rsid w:val="00CE2CE8"/>
    <w:rsid w:val="00CE3FD1"/>
    <w:rsid w:val="00CE5127"/>
    <w:rsid w:val="00CE58FD"/>
    <w:rsid w:val="00CE5CF2"/>
    <w:rsid w:val="00CE7F73"/>
    <w:rsid w:val="00CF0B76"/>
    <w:rsid w:val="00CF103F"/>
    <w:rsid w:val="00CF3378"/>
    <w:rsid w:val="00CF35DB"/>
    <w:rsid w:val="00CF5EE4"/>
    <w:rsid w:val="00CF63BA"/>
    <w:rsid w:val="00CF75B4"/>
    <w:rsid w:val="00CF7D18"/>
    <w:rsid w:val="00D006DB"/>
    <w:rsid w:val="00D00934"/>
    <w:rsid w:val="00D00D13"/>
    <w:rsid w:val="00D023DF"/>
    <w:rsid w:val="00D024EC"/>
    <w:rsid w:val="00D0262F"/>
    <w:rsid w:val="00D02959"/>
    <w:rsid w:val="00D02DE6"/>
    <w:rsid w:val="00D047AE"/>
    <w:rsid w:val="00D0523B"/>
    <w:rsid w:val="00D05A72"/>
    <w:rsid w:val="00D06ABD"/>
    <w:rsid w:val="00D07449"/>
    <w:rsid w:val="00D1020A"/>
    <w:rsid w:val="00D1075B"/>
    <w:rsid w:val="00D12F2C"/>
    <w:rsid w:val="00D13219"/>
    <w:rsid w:val="00D13455"/>
    <w:rsid w:val="00D137C6"/>
    <w:rsid w:val="00D139B5"/>
    <w:rsid w:val="00D142F8"/>
    <w:rsid w:val="00D14DFA"/>
    <w:rsid w:val="00D15A3E"/>
    <w:rsid w:val="00D165B3"/>
    <w:rsid w:val="00D169C6"/>
    <w:rsid w:val="00D16E7F"/>
    <w:rsid w:val="00D20069"/>
    <w:rsid w:val="00D21572"/>
    <w:rsid w:val="00D22D76"/>
    <w:rsid w:val="00D231D7"/>
    <w:rsid w:val="00D232D0"/>
    <w:rsid w:val="00D23A6E"/>
    <w:rsid w:val="00D24E5E"/>
    <w:rsid w:val="00D25A63"/>
    <w:rsid w:val="00D27673"/>
    <w:rsid w:val="00D27D46"/>
    <w:rsid w:val="00D31080"/>
    <w:rsid w:val="00D328BD"/>
    <w:rsid w:val="00D34F70"/>
    <w:rsid w:val="00D35F6B"/>
    <w:rsid w:val="00D363A0"/>
    <w:rsid w:val="00D363F2"/>
    <w:rsid w:val="00D36DAE"/>
    <w:rsid w:val="00D40913"/>
    <w:rsid w:val="00D418F8"/>
    <w:rsid w:val="00D428E6"/>
    <w:rsid w:val="00D42C10"/>
    <w:rsid w:val="00D46EA4"/>
    <w:rsid w:val="00D47567"/>
    <w:rsid w:val="00D47833"/>
    <w:rsid w:val="00D5002F"/>
    <w:rsid w:val="00D506A3"/>
    <w:rsid w:val="00D51CAE"/>
    <w:rsid w:val="00D51F96"/>
    <w:rsid w:val="00D5245B"/>
    <w:rsid w:val="00D52A08"/>
    <w:rsid w:val="00D52AA8"/>
    <w:rsid w:val="00D52B7A"/>
    <w:rsid w:val="00D53135"/>
    <w:rsid w:val="00D535AB"/>
    <w:rsid w:val="00D5492B"/>
    <w:rsid w:val="00D54AA2"/>
    <w:rsid w:val="00D561FC"/>
    <w:rsid w:val="00D57A1A"/>
    <w:rsid w:val="00D60DCB"/>
    <w:rsid w:val="00D6277B"/>
    <w:rsid w:val="00D62E76"/>
    <w:rsid w:val="00D63B53"/>
    <w:rsid w:val="00D640F6"/>
    <w:rsid w:val="00D65CCB"/>
    <w:rsid w:val="00D679AA"/>
    <w:rsid w:val="00D702C0"/>
    <w:rsid w:val="00D7162D"/>
    <w:rsid w:val="00D717A5"/>
    <w:rsid w:val="00D71C34"/>
    <w:rsid w:val="00D74035"/>
    <w:rsid w:val="00D754E2"/>
    <w:rsid w:val="00D75D0D"/>
    <w:rsid w:val="00D768C2"/>
    <w:rsid w:val="00D76C63"/>
    <w:rsid w:val="00D80445"/>
    <w:rsid w:val="00D80783"/>
    <w:rsid w:val="00D81168"/>
    <w:rsid w:val="00D83AEE"/>
    <w:rsid w:val="00D83EA9"/>
    <w:rsid w:val="00D84E4C"/>
    <w:rsid w:val="00D91548"/>
    <w:rsid w:val="00D92246"/>
    <w:rsid w:val="00D932F9"/>
    <w:rsid w:val="00D93750"/>
    <w:rsid w:val="00D950D1"/>
    <w:rsid w:val="00D96C06"/>
    <w:rsid w:val="00DA10F9"/>
    <w:rsid w:val="00DA1C77"/>
    <w:rsid w:val="00DA2A03"/>
    <w:rsid w:val="00DA4CFB"/>
    <w:rsid w:val="00DA75E9"/>
    <w:rsid w:val="00DA7722"/>
    <w:rsid w:val="00DB1EB3"/>
    <w:rsid w:val="00DB330A"/>
    <w:rsid w:val="00DB4416"/>
    <w:rsid w:val="00DB4B4D"/>
    <w:rsid w:val="00DB6531"/>
    <w:rsid w:val="00DB6F7A"/>
    <w:rsid w:val="00DC154F"/>
    <w:rsid w:val="00DC18A1"/>
    <w:rsid w:val="00DC3A59"/>
    <w:rsid w:val="00DC447D"/>
    <w:rsid w:val="00DC4712"/>
    <w:rsid w:val="00DC47D8"/>
    <w:rsid w:val="00DC4DB1"/>
    <w:rsid w:val="00DC5B05"/>
    <w:rsid w:val="00DC5C86"/>
    <w:rsid w:val="00DC5E01"/>
    <w:rsid w:val="00DC64C7"/>
    <w:rsid w:val="00DC6AAF"/>
    <w:rsid w:val="00DC74CD"/>
    <w:rsid w:val="00DD33FD"/>
    <w:rsid w:val="00DD45DF"/>
    <w:rsid w:val="00DD5A90"/>
    <w:rsid w:val="00DD5B1C"/>
    <w:rsid w:val="00DD6372"/>
    <w:rsid w:val="00DE0CF6"/>
    <w:rsid w:val="00DE0EF5"/>
    <w:rsid w:val="00DE2012"/>
    <w:rsid w:val="00DE3A37"/>
    <w:rsid w:val="00DE555A"/>
    <w:rsid w:val="00DE5C5F"/>
    <w:rsid w:val="00DE6D9E"/>
    <w:rsid w:val="00DE7CBF"/>
    <w:rsid w:val="00DF219D"/>
    <w:rsid w:val="00DF2609"/>
    <w:rsid w:val="00DF26CC"/>
    <w:rsid w:val="00DF2782"/>
    <w:rsid w:val="00DF2840"/>
    <w:rsid w:val="00DF3173"/>
    <w:rsid w:val="00DF75B9"/>
    <w:rsid w:val="00E001FB"/>
    <w:rsid w:val="00E00A54"/>
    <w:rsid w:val="00E014F7"/>
    <w:rsid w:val="00E02682"/>
    <w:rsid w:val="00E03CAF"/>
    <w:rsid w:val="00E07E3E"/>
    <w:rsid w:val="00E101D8"/>
    <w:rsid w:val="00E11576"/>
    <w:rsid w:val="00E122A2"/>
    <w:rsid w:val="00E130DB"/>
    <w:rsid w:val="00E13CFD"/>
    <w:rsid w:val="00E14560"/>
    <w:rsid w:val="00E14F75"/>
    <w:rsid w:val="00E154D4"/>
    <w:rsid w:val="00E156C8"/>
    <w:rsid w:val="00E161EA"/>
    <w:rsid w:val="00E1701B"/>
    <w:rsid w:val="00E226F5"/>
    <w:rsid w:val="00E24660"/>
    <w:rsid w:val="00E251C4"/>
    <w:rsid w:val="00E25744"/>
    <w:rsid w:val="00E3124E"/>
    <w:rsid w:val="00E327E4"/>
    <w:rsid w:val="00E32D7B"/>
    <w:rsid w:val="00E34CB2"/>
    <w:rsid w:val="00E352E6"/>
    <w:rsid w:val="00E35FE2"/>
    <w:rsid w:val="00E3661B"/>
    <w:rsid w:val="00E3721C"/>
    <w:rsid w:val="00E37245"/>
    <w:rsid w:val="00E37690"/>
    <w:rsid w:val="00E41C60"/>
    <w:rsid w:val="00E41FA1"/>
    <w:rsid w:val="00E43532"/>
    <w:rsid w:val="00E43858"/>
    <w:rsid w:val="00E4413C"/>
    <w:rsid w:val="00E44951"/>
    <w:rsid w:val="00E45F13"/>
    <w:rsid w:val="00E469D4"/>
    <w:rsid w:val="00E46BEF"/>
    <w:rsid w:val="00E50950"/>
    <w:rsid w:val="00E516CB"/>
    <w:rsid w:val="00E543F1"/>
    <w:rsid w:val="00E56549"/>
    <w:rsid w:val="00E574A0"/>
    <w:rsid w:val="00E57A0F"/>
    <w:rsid w:val="00E625C3"/>
    <w:rsid w:val="00E628B1"/>
    <w:rsid w:val="00E62CD3"/>
    <w:rsid w:val="00E655E6"/>
    <w:rsid w:val="00E65BC4"/>
    <w:rsid w:val="00E67543"/>
    <w:rsid w:val="00E67910"/>
    <w:rsid w:val="00E7058F"/>
    <w:rsid w:val="00E7098F"/>
    <w:rsid w:val="00E719D4"/>
    <w:rsid w:val="00E724D7"/>
    <w:rsid w:val="00E74ADE"/>
    <w:rsid w:val="00E753FF"/>
    <w:rsid w:val="00E82F95"/>
    <w:rsid w:val="00E8359F"/>
    <w:rsid w:val="00E83956"/>
    <w:rsid w:val="00E842EB"/>
    <w:rsid w:val="00E84B64"/>
    <w:rsid w:val="00E85559"/>
    <w:rsid w:val="00E85B35"/>
    <w:rsid w:val="00E905F2"/>
    <w:rsid w:val="00E90619"/>
    <w:rsid w:val="00E92857"/>
    <w:rsid w:val="00E92E54"/>
    <w:rsid w:val="00E976B8"/>
    <w:rsid w:val="00EA0F76"/>
    <w:rsid w:val="00EA1A4C"/>
    <w:rsid w:val="00EA1A61"/>
    <w:rsid w:val="00EA1B10"/>
    <w:rsid w:val="00EA34EA"/>
    <w:rsid w:val="00EA45A2"/>
    <w:rsid w:val="00EA491E"/>
    <w:rsid w:val="00EA5CD2"/>
    <w:rsid w:val="00EA6101"/>
    <w:rsid w:val="00EA617E"/>
    <w:rsid w:val="00EA6C23"/>
    <w:rsid w:val="00EA7D3E"/>
    <w:rsid w:val="00EB0F48"/>
    <w:rsid w:val="00EB3631"/>
    <w:rsid w:val="00EB7FD4"/>
    <w:rsid w:val="00EC0B59"/>
    <w:rsid w:val="00EC11C6"/>
    <w:rsid w:val="00EC23B8"/>
    <w:rsid w:val="00EC2844"/>
    <w:rsid w:val="00EC3655"/>
    <w:rsid w:val="00EC507E"/>
    <w:rsid w:val="00EC6645"/>
    <w:rsid w:val="00EC7B23"/>
    <w:rsid w:val="00ED3108"/>
    <w:rsid w:val="00ED4E09"/>
    <w:rsid w:val="00ED68A0"/>
    <w:rsid w:val="00ED742E"/>
    <w:rsid w:val="00EE1365"/>
    <w:rsid w:val="00EE1E7C"/>
    <w:rsid w:val="00EE1E89"/>
    <w:rsid w:val="00EE2298"/>
    <w:rsid w:val="00EE312A"/>
    <w:rsid w:val="00EE38A8"/>
    <w:rsid w:val="00EE538F"/>
    <w:rsid w:val="00EE58FF"/>
    <w:rsid w:val="00EE5F5F"/>
    <w:rsid w:val="00EE66D5"/>
    <w:rsid w:val="00EE7299"/>
    <w:rsid w:val="00EF3592"/>
    <w:rsid w:val="00EF5300"/>
    <w:rsid w:val="00EF7090"/>
    <w:rsid w:val="00EF770E"/>
    <w:rsid w:val="00F006FC"/>
    <w:rsid w:val="00F01481"/>
    <w:rsid w:val="00F0232A"/>
    <w:rsid w:val="00F02928"/>
    <w:rsid w:val="00F02C00"/>
    <w:rsid w:val="00F0420C"/>
    <w:rsid w:val="00F0443C"/>
    <w:rsid w:val="00F04768"/>
    <w:rsid w:val="00F05816"/>
    <w:rsid w:val="00F05B2D"/>
    <w:rsid w:val="00F07445"/>
    <w:rsid w:val="00F1009D"/>
    <w:rsid w:val="00F10180"/>
    <w:rsid w:val="00F113CD"/>
    <w:rsid w:val="00F1236F"/>
    <w:rsid w:val="00F13999"/>
    <w:rsid w:val="00F1572E"/>
    <w:rsid w:val="00F15884"/>
    <w:rsid w:val="00F15E46"/>
    <w:rsid w:val="00F16252"/>
    <w:rsid w:val="00F2024E"/>
    <w:rsid w:val="00F20511"/>
    <w:rsid w:val="00F206BF"/>
    <w:rsid w:val="00F20D6A"/>
    <w:rsid w:val="00F211E8"/>
    <w:rsid w:val="00F238E3"/>
    <w:rsid w:val="00F23BF5"/>
    <w:rsid w:val="00F2417A"/>
    <w:rsid w:val="00F24C4B"/>
    <w:rsid w:val="00F267F7"/>
    <w:rsid w:val="00F27F43"/>
    <w:rsid w:val="00F3090E"/>
    <w:rsid w:val="00F32633"/>
    <w:rsid w:val="00F3480F"/>
    <w:rsid w:val="00F3483A"/>
    <w:rsid w:val="00F34B9E"/>
    <w:rsid w:val="00F35022"/>
    <w:rsid w:val="00F354D2"/>
    <w:rsid w:val="00F35DB4"/>
    <w:rsid w:val="00F37BA1"/>
    <w:rsid w:val="00F37C98"/>
    <w:rsid w:val="00F40525"/>
    <w:rsid w:val="00F40D74"/>
    <w:rsid w:val="00F41AB6"/>
    <w:rsid w:val="00F41CBA"/>
    <w:rsid w:val="00F4392F"/>
    <w:rsid w:val="00F45746"/>
    <w:rsid w:val="00F45BE9"/>
    <w:rsid w:val="00F51106"/>
    <w:rsid w:val="00F51E7A"/>
    <w:rsid w:val="00F52DE2"/>
    <w:rsid w:val="00F55D8D"/>
    <w:rsid w:val="00F55EBC"/>
    <w:rsid w:val="00F5669E"/>
    <w:rsid w:val="00F56BDA"/>
    <w:rsid w:val="00F5722B"/>
    <w:rsid w:val="00F57C0A"/>
    <w:rsid w:val="00F60397"/>
    <w:rsid w:val="00F61201"/>
    <w:rsid w:val="00F61D0F"/>
    <w:rsid w:val="00F62D43"/>
    <w:rsid w:val="00F643C5"/>
    <w:rsid w:val="00F6573D"/>
    <w:rsid w:val="00F673E1"/>
    <w:rsid w:val="00F73562"/>
    <w:rsid w:val="00F7396B"/>
    <w:rsid w:val="00F75098"/>
    <w:rsid w:val="00F76DAA"/>
    <w:rsid w:val="00F81A48"/>
    <w:rsid w:val="00F81AD6"/>
    <w:rsid w:val="00F86224"/>
    <w:rsid w:val="00F87CD3"/>
    <w:rsid w:val="00F92533"/>
    <w:rsid w:val="00F92E1C"/>
    <w:rsid w:val="00F92E50"/>
    <w:rsid w:val="00F92F8E"/>
    <w:rsid w:val="00F954D6"/>
    <w:rsid w:val="00F9628E"/>
    <w:rsid w:val="00F96E81"/>
    <w:rsid w:val="00FA0759"/>
    <w:rsid w:val="00FA0905"/>
    <w:rsid w:val="00FA29A6"/>
    <w:rsid w:val="00FA2CFB"/>
    <w:rsid w:val="00FA429A"/>
    <w:rsid w:val="00FA6EB6"/>
    <w:rsid w:val="00FA7200"/>
    <w:rsid w:val="00FA7890"/>
    <w:rsid w:val="00FB01CB"/>
    <w:rsid w:val="00FB0719"/>
    <w:rsid w:val="00FB0BDF"/>
    <w:rsid w:val="00FB2991"/>
    <w:rsid w:val="00FB2AF8"/>
    <w:rsid w:val="00FB31C7"/>
    <w:rsid w:val="00FB3A46"/>
    <w:rsid w:val="00FB4475"/>
    <w:rsid w:val="00FB63C8"/>
    <w:rsid w:val="00FB6AD2"/>
    <w:rsid w:val="00FB71B8"/>
    <w:rsid w:val="00FC0526"/>
    <w:rsid w:val="00FC1403"/>
    <w:rsid w:val="00FC194D"/>
    <w:rsid w:val="00FC23E0"/>
    <w:rsid w:val="00FC3B1E"/>
    <w:rsid w:val="00FC62A1"/>
    <w:rsid w:val="00FC7985"/>
    <w:rsid w:val="00FD0AE6"/>
    <w:rsid w:val="00FD1163"/>
    <w:rsid w:val="00FD3467"/>
    <w:rsid w:val="00FD38EE"/>
    <w:rsid w:val="00FD4B65"/>
    <w:rsid w:val="00FD4D8E"/>
    <w:rsid w:val="00FD5A7E"/>
    <w:rsid w:val="00FD64C6"/>
    <w:rsid w:val="00FD67A2"/>
    <w:rsid w:val="00FD7D33"/>
    <w:rsid w:val="00FE160B"/>
    <w:rsid w:val="00FE3C56"/>
    <w:rsid w:val="00FE4307"/>
    <w:rsid w:val="00FE510A"/>
    <w:rsid w:val="00FE5433"/>
    <w:rsid w:val="00FE6016"/>
    <w:rsid w:val="00FE6033"/>
    <w:rsid w:val="00FF0280"/>
    <w:rsid w:val="00FF058C"/>
    <w:rsid w:val="00FF1880"/>
    <w:rsid w:val="00FF2734"/>
    <w:rsid w:val="00FF293D"/>
    <w:rsid w:val="00FF2B86"/>
    <w:rsid w:val="00FF2C9A"/>
    <w:rsid w:val="00FF35EB"/>
    <w:rsid w:val="00FF463D"/>
    <w:rsid w:val="00FF4A18"/>
    <w:rsid w:val="00FF6780"/>
    <w:rsid w:val="00FF68EC"/>
    <w:rsid w:val="00FF77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B4E1F"/>
  <w15:docId w15:val="{FFE5FA46-86D3-4835-8CDE-4999EE4E6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eastAsia="Garamond" w:hAnsi="Garamond" w:cs="Garamond"/>
      <w:lang w:val="pt-PT"/>
    </w:rPr>
  </w:style>
  <w:style w:type="paragraph" w:styleId="Heading1">
    <w:name w:val="heading 1"/>
    <w:basedOn w:val="Normal"/>
    <w:uiPriority w:val="9"/>
    <w:qFormat/>
    <w:pPr>
      <w:spacing w:before="81"/>
      <w:ind w:left="582"/>
      <w:outlineLvl w:val="0"/>
    </w:pPr>
    <w:rPr>
      <w:b/>
      <w:bCs/>
      <w:sz w:val="28"/>
      <w:szCs w:val="28"/>
    </w:rPr>
  </w:style>
  <w:style w:type="paragraph" w:styleId="Heading2">
    <w:name w:val="heading 2"/>
    <w:basedOn w:val="Normal"/>
    <w:uiPriority w:val="9"/>
    <w:unhideWhenUsed/>
    <w:qFormat/>
    <w:pPr>
      <w:ind w:left="1091" w:hanging="510"/>
      <w:outlineLvl w:val="1"/>
    </w:pPr>
    <w:rPr>
      <w:b/>
      <w:bCs/>
      <w:i/>
      <w:sz w:val="25"/>
      <w:szCs w:val="25"/>
    </w:rPr>
  </w:style>
  <w:style w:type="paragraph" w:styleId="Heading3">
    <w:name w:val="heading 3"/>
    <w:basedOn w:val="Normal"/>
    <w:uiPriority w:val="9"/>
    <w:unhideWhenUsed/>
    <w:qFormat/>
    <w:pPr>
      <w:ind w:left="933" w:hanging="352"/>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58"/>
      <w:ind w:left="582"/>
    </w:pPr>
    <w:rPr>
      <w:b/>
      <w:bCs/>
    </w:rPr>
  </w:style>
  <w:style w:type="paragraph" w:styleId="TOC2">
    <w:name w:val="toc 2"/>
    <w:basedOn w:val="Normal"/>
    <w:uiPriority w:val="39"/>
    <w:qFormat/>
    <w:pPr>
      <w:spacing w:before="36"/>
      <w:ind w:left="1126" w:hanging="305"/>
    </w:pPr>
  </w:style>
  <w:style w:type="paragraph" w:styleId="TOC3">
    <w:name w:val="toc 3"/>
    <w:basedOn w:val="Normal"/>
    <w:uiPriority w:val="39"/>
    <w:qFormat/>
    <w:pPr>
      <w:spacing w:before="34"/>
      <w:ind w:left="1061"/>
    </w:pPr>
    <w:rPr>
      <w:sz w:val="20"/>
      <w:szCs w:val="20"/>
    </w:rPr>
  </w:style>
  <w:style w:type="paragraph" w:styleId="TOC4">
    <w:name w:val="toc 4"/>
    <w:basedOn w:val="Normal"/>
    <w:uiPriority w:val="1"/>
    <w:qFormat/>
    <w:pPr>
      <w:spacing w:before="36"/>
      <w:ind w:left="1474" w:hanging="414"/>
    </w:pPr>
    <w:rPr>
      <w:i/>
      <w:sz w:val="20"/>
      <w:szCs w:val="20"/>
    </w:rPr>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line="1109" w:lineRule="exact"/>
      <w:ind w:left="113"/>
    </w:pPr>
    <w:rPr>
      <w:rFonts w:ascii="Gill Sans MT" w:eastAsia="Gill Sans MT" w:hAnsi="Gill Sans MT" w:cs="Gill Sans MT"/>
      <w:b/>
      <w:bCs/>
      <w:sz w:val="96"/>
      <w:szCs w:val="96"/>
    </w:rPr>
  </w:style>
  <w:style w:type="paragraph" w:styleId="ListParagraph">
    <w:name w:val="List Paragraph"/>
    <w:basedOn w:val="Normal"/>
    <w:link w:val="ListParagraphChar"/>
    <w:uiPriority w:val="34"/>
    <w:qFormat/>
    <w:pPr>
      <w:ind w:left="1126" w:hanging="305"/>
    </w:pPr>
  </w:style>
  <w:style w:type="paragraph" w:customStyle="1" w:styleId="TableParagraph">
    <w:name w:val="Table Paragraph"/>
    <w:basedOn w:val="Normal"/>
    <w:uiPriority w:val="1"/>
    <w:qFormat/>
    <w:pPr>
      <w:jc w:val="center"/>
    </w:pPr>
  </w:style>
  <w:style w:type="paragraph" w:styleId="TOCHeading">
    <w:name w:val="TOC Heading"/>
    <w:basedOn w:val="Heading1"/>
    <w:next w:val="Normal"/>
    <w:uiPriority w:val="39"/>
    <w:unhideWhenUsed/>
    <w:qFormat/>
    <w:rsid w:val="00261674"/>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character" w:styleId="Hyperlink">
    <w:name w:val="Hyperlink"/>
    <w:basedOn w:val="DefaultParagraphFont"/>
    <w:uiPriority w:val="99"/>
    <w:unhideWhenUsed/>
    <w:rsid w:val="00261674"/>
    <w:rPr>
      <w:color w:val="0000FF" w:themeColor="hyperlink"/>
      <w:u w:val="single"/>
    </w:rPr>
  </w:style>
  <w:style w:type="paragraph" w:customStyle="1" w:styleId="Estilo1">
    <w:name w:val="Estilo1"/>
    <w:basedOn w:val="Normal"/>
    <w:link w:val="Estilo1Carcter"/>
    <w:qFormat/>
    <w:rsid w:val="0071221E"/>
    <w:pPr>
      <w:widowControl/>
      <w:autoSpaceDE/>
      <w:autoSpaceDN/>
      <w:spacing w:line="360" w:lineRule="auto"/>
      <w:jc w:val="both"/>
      <w:outlineLvl w:val="0"/>
    </w:pPr>
    <w:rPr>
      <w:rFonts w:ascii="Times New Roman" w:eastAsiaTheme="minorEastAsia" w:hAnsi="Times New Roman" w:cs="Times New Roman"/>
      <w:b/>
      <w:sz w:val="28"/>
      <w:szCs w:val="28"/>
    </w:rPr>
  </w:style>
  <w:style w:type="character" w:customStyle="1" w:styleId="Estilo1Carcter">
    <w:name w:val="Estilo1 Carácter"/>
    <w:basedOn w:val="DefaultParagraphFont"/>
    <w:link w:val="Estilo1"/>
    <w:rsid w:val="0071221E"/>
    <w:rPr>
      <w:rFonts w:ascii="Times New Roman" w:eastAsiaTheme="minorEastAsia" w:hAnsi="Times New Roman" w:cs="Times New Roman"/>
      <w:b/>
      <w:sz w:val="28"/>
      <w:szCs w:val="28"/>
      <w:lang w:val="pt-PT"/>
    </w:rPr>
  </w:style>
  <w:style w:type="table" w:styleId="TableGrid">
    <w:name w:val="Table Grid"/>
    <w:basedOn w:val="TableNormal"/>
    <w:uiPriority w:val="39"/>
    <w:rsid w:val="0025707A"/>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5707A"/>
    <w:pPr>
      <w:spacing w:after="200"/>
    </w:pPr>
    <w:rPr>
      <w:i/>
      <w:iCs/>
      <w:color w:val="1F497D" w:themeColor="text2"/>
      <w:sz w:val="18"/>
      <w:szCs w:val="18"/>
    </w:rPr>
  </w:style>
  <w:style w:type="paragraph" w:customStyle="1" w:styleId="Orientadores">
    <w:name w:val="Orientadores"/>
    <w:basedOn w:val="Normal"/>
    <w:rsid w:val="00E82F95"/>
    <w:pPr>
      <w:widowControl/>
      <w:autoSpaceDE/>
      <w:autoSpaceDN/>
      <w:spacing w:line="288" w:lineRule="auto"/>
    </w:pPr>
    <w:rPr>
      <w:b/>
      <w:sz w:val="24"/>
      <w:szCs w:val="24"/>
      <w:lang w:eastAsia="pt-PT"/>
    </w:rPr>
  </w:style>
  <w:style w:type="character" w:styleId="PlaceholderText">
    <w:name w:val="Placeholder Text"/>
    <w:basedOn w:val="DefaultParagraphFont"/>
    <w:uiPriority w:val="99"/>
    <w:semiHidden/>
    <w:rsid w:val="00EE5F5F"/>
    <w:rPr>
      <w:color w:val="808080"/>
    </w:rPr>
  </w:style>
  <w:style w:type="character" w:customStyle="1" w:styleId="doi">
    <w:name w:val="doi"/>
    <w:basedOn w:val="DefaultParagraphFont"/>
    <w:rsid w:val="00877C70"/>
  </w:style>
  <w:style w:type="character" w:styleId="UnresolvedMention">
    <w:name w:val="Unresolved Mention"/>
    <w:basedOn w:val="DefaultParagraphFont"/>
    <w:uiPriority w:val="99"/>
    <w:semiHidden/>
    <w:unhideWhenUsed/>
    <w:rsid w:val="00877C70"/>
    <w:rPr>
      <w:color w:val="605E5C"/>
      <w:shd w:val="clear" w:color="auto" w:fill="E1DFDD"/>
    </w:rPr>
  </w:style>
  <w:style w:type="character" w:styleId="FollowedHyperlink">
    <w:name w:val="FollowedHyperlink"/>
    <w:basedOn w:val="DefaultParagraphFont"/>
    <w:uiPriority w:val="99"/>
    <w:semiHidden/>
    <w:unhideWhenUsed/>
    <w:rsid w:val="00877C70"/>
    <w:rPr>
      <w:color w:val="800080" w:themeColor="followedHyperlink"/>
      <w:u w:val="single"/>
    </w:rPr>
  </w:style>
  <w:style w:type="character" w:customStyle="1" w:styleId="anchor-text">
    <w:name w:val="anchor-text"/>
    <w:basedOn w:val="DefaultParagraphFont"/>
    <w:rsid w:val="00685CBB"/>
  </w:style>
  <w:style w:type="character" w:customStyle="1" w:styleId="ListParagraphChar">
    <w:name w:val="List Paragraph Char"/>
    <w:basedOn w:val="DefaultParagraphFont"/>
    <w:link w:val="ListParagraph"/>
    <w:uiPriority w:val="34"/>
    <w:rsid w:val="00AC1A3A"/>
    <w:rPr>
      <w:rFonts w:ascii="Garamond" w:eastAsia="Garamond" w:hAnsi="Garamond" w:cs="Garamond"/>
      <w:lang w:val="pt-PT"/>
    </w:rPr>
  </w:style>
  <w:style w:type="paragraph" w:styleId="Header">
    <w:name w:val="header"/>
    <w:basedOn w:val="Normal"/>
    <w:link w:val="HeaderChar"/>
    <w:uiPriority w:val="99"/>
    <w:unhideWhenUsed/>
    <w:rsid w:val="00D561FC"/>
    <w:pPr>
      <w:tabs>
        <w:tab w:val="center" w:pos="4513"/>
        <w:tab w:val="right" w:pos="9026"/>
      </w:tabs>
    </w:pPr>
  </w:style>
  <w:style w:type="character" w:customStyle="1" w:styleId="HeaderChar">
    <w:name w:val="Header Char"/>
    <w:basedOn w:val="DefaultParagraphFont"/>
    <w:link w:val="Header"/>
    <w:uiPriority w:val="99"/>
    <w:rsid w:val="00D561FC"/>
    <w:rPr>
      <w:rFonts w:ascii="Garamond" w:eastAsia="Garamond" w:hAnsi="Garamond" w:cs="Garamond"/>
      <w:lang w:val="pt-PT"/>
    </w:rPr>
  </w:style>
  <w:style w:type="paragraph" w:styleId="Footer">
    <w:name w:val="footer"/>
    <w:basedOn w:val="Normal"/>
    <w:link w:val="FooterChar"/>
    <w:uiPriority w:val="99"/>
    <w:unhideWhenUsed/>
    <w:rsid w:val="00D561FC"/>
    <w:pPr>
      <w:tabs>
        <w:tab w:val="center" w:pos="4513"/>
        <w:tab w:val="right" w:pos="9026"/>
      </w:tabs>
    </w:pPr>
  </w:style>
  <w:style w:type="character" w:customStyle="1" w:styleId="FooterChar">
    <w:name w:val="Footer Char"/>
    <w:basedOn w:val="DefaultParagraphFont"/>
    <w:link w:val="Footer"/>
    <w:uiPriority w:val="99"/>
    <w:rsid w:val="00D561FC"/>
    <w:rPr>
      <w:rFonts w:ascii="Garamond" w:eastAsia="Garamond" w:hAnsi="Garamond" w:cs="Garamond"/>
      <w:lang w:val="pt-PT"/>
    </w:rPr>
  </w:style>
  <w:style w:type="character" w:customStyle="1" w:styleId="BodyTextChar">
    <w:name w:val="Body Text Char"/>
    <w:basedOn w:val="DefaultParagraphFont"/>
    <w:link w:val="BodyText"/>
    <w:uiPriority w:val="1"/>
    <w:rsid w:val="00DD45DF"/>
    <w:rPr>
      <w:rFonts w:ascii="Garamond" w:eastAsia="Garamond" w:hAnsi="Garamond" w:cs="Garamond"/>
      <w:sz w:val="24"/>
      <w:szCs w:val="24"/>
      <w:lang w:val="pt-PT"/>
    </w:rPr>
  </w:style>
  <w:style w:type="character" w:styleId="CommentReference">
    <w:name w:val="annotation reference"/>
    <w:basedOn w:val="DefaultParagraphFont"/>
    <w:uiPriority w:val="99"/>
    <w:semiHidden/>
    <w:unhideWhenUsed/>
    <w:rsid w:val="00483C94"/>
    <w:rPr>
      <w:sz w:val="16"/>
      <w:szCs w:val="16"/>
    </w:rPr>
  </w:style>
  <w:style w:type="paragraph" w:styleId="CommentText">
    <w:name w:val="annotation text"/>
    <w:basedOn w:val="Normal"/>
    <w:link w:val="CommentTextChar"/>
    <w:uiPriority w:val="99"/>
    <w:unhideWhenUsed/>
    <w:rsid w:val="00483C94"/>
    <w:rPr>
      <w:sz w:val="20"/>
      <w:szCs w:val="20"/>
    </w:rPr>
  </w:style>
  <w:style w:type="character" w:customStyle="1" w:styleId="CommentTextChar">
    <w:name w:val="Comment Text Char"/>
    <w:basedOn w:val="DefaultParagraphFont"/>
    <w:link w:val="CommentText"/>
    <w:uiPriority w:val="99"/>
    <w:rsid w:val="00483C94"/>
    <w:rPr>
      <w:rFonts w:ascii="Garamond" w:eastAsia="Garamond" w:hAnsi="Garamond" w:cs="Garamond"/>
      <w:sz w:val="20"/>
      <w:szCs w:val="20"/>
      <w:lang w:val="pt-PT"/>
    </w:rPr>
  </w:style>
  <w:style w:type="paragraph" w:styleId="CommentSubject">
    <w:name w:val="annotation subject"/>
    <w:basedOn w:val="CommentText"/>
    <w:next w:val="CommentText"/>
    <w:link w:val="CommentSubjectChar"/>
    <w:uiPriority w:val="99"/>
    <w:semiHidden/>
    <w:unhideWhenUsed/>
    <w:rsid w:val="00483C94"/>
    <w:rPr>
      <w:b/>
      <w:bCs/>
    </w:rPr>
  </w:style>
  <w:style w:type="character" w:customStyle="1" w:styleId="CommentSubjectChar">
    <w:name w:val="Comment Subject Char"/>
    <w:basedOn w:val="CommentTextChar"/>
    <w:link w:val="CommentSubject"/>
    <w:uiPriority w:val="99"/>
    <w:semiHidden/>
    <w:rsid w:val="00483C94"/>
    <w:rPr>
      <w:rFonts w:ascii="Garamond" w:eastAsia="Garamond" w:hAnsi="Garamond" w:cs="Garamond"/>
      <w:b/>
      <w:bCs/>
      <w:sz w:val="20"/>
      <w:szCs w:val="20"/>
      <w:lang w:val="pt-PT"/>
    </w:rPr>
  </w:style>
  <w:style w:type="paragraph" w:styleId="BalloonText">
    <w:name w:val="Balloon Text"/>
    <w:basedOn w:val="Normal"/>
    <w:link w:val="BalloonTextChar"/>
    <w:uiPriority w:val="99"/>
    <w:semiHidden/>
    <w:unhideWhenUsed/>
    <w:rsid w:val="00483C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3C94"/>
    <w:rPr>
      <w:rFonts w:ascii="Segoe UI" w:eastAsia="Garamond" w:hAnsi="Segoe UI" w:cs="Segoe UI"/>
      <w:sz w:val="18"/>
      <w:szCs w:val="18"/>
      <w:lang w:val="pt-PT"/>
    </w:rPr>
  </w:style>
  <w:style w:type="paragraph" w:styleId="Subtitle">
    <w:name w:val="Subtitle"/>
    <w:basedOn w:val="Normal"/>
    <w:link w:val="SubtitleChar"/>
    <w:qFormat/>
    <w:rsid w:val="00A918DB"/>
    <w:pPr>
      <w:widowControl/>
      <w:autoSpaceDE/>
      <w:autoSpaceDN/>
      <w:jc w:val="center"/>
    </w:pPr>
    <w:rPr>
      <w:rFonts w:ascii="Times New Roman" w:eastAsia="Times New Roman" w:hAnsi="Times New Roman" w:cs="Times New Roman"/>
      <w:b/>
      <w:bCs/>
      <w:sz w:val="32"/>
      <w:szCs w:val="24"/>
      <w:lang w:val="en-US"/>
    </w:rPr>
  </w:style>
  <w:style w:type="character" w:customStyle="1" w:styleId="SubtitleChar">
    <w:name w:val="Subtitle Char"/>
    <w:basedOn w:val="DefaultParagraphFont"/>
    <w:link w:val="Subtitle"/>
    <w:rsid w:val="00A918DB"/>
    <w:rPr>
      <w:rFonts w:ascii="Times New Roman" w:eastAsia="Times New Roman" w:hAnsi="Times New Roman" w:cs="Times New Roman"/>
      <w:b/>
      <w:bCs/>
      <w:sz w:val="32"/>
      <w:szCs w:val="24"/>
    </w:rPr>
  </w:style>
  <w:style w:type="character" w:styleId="HTMLCite">
    <w:name w:val="HTML Cite"/>
    <w:basedOn w:val="DefaultParagraphFont"/>
    <w:uiPriority w:val="99"/>
    <w:semiHidden/>
    <w:unhideWhenUsed/>
    <w:rsid w:val="00F60397"/>
    <w:rPr>
      <w:i/>
      <w:iCs/>
    </w:rPr>
  </w:style>
  <w:style w:type="paragraph" w:customStyle="1" w:styleId="BasicParagraph">
    <w:name w:val="[Basic Paragraph]"/>
    <w:basedOn w:val="Normal"/>
    <w:uiPriority w:val="99"/>
    <w:rsid w:val="00874D06"/>
    <w:pPr>
      <w:adjustRightInd w:val="0"/>
      <w:spacing w:line="288" w:lineRule="auto"/>
      <w:textAlignment w:val="center"/>
    </w:pPr>
    <w:rPr>
      <w:rFonts w:ascii="MinionPro-Regular" w:eastAsiaTheme="minorEastAsia" w:hAnsi="MinionPro-Regular" w:cs="MinionPro-Regular"/>
      <w:color w:val="000000"/>
      <w:sz w:val="24"/>
      <w:szCs w:val="24"/>
      <w:lang w:val="en-GB"/>
    </w:rPr>
  </w:style>
  <w:style w:type="paragraph" w:styleId="FootnoteText">
    <w:name w:val="footnote text"/>
    <w:basedOn w:val="Normal"/>
    <w:link w:val="FootnoteTextChar"/>
    <w:uiPriority w:val="99"/>
    <w:semiHidden/>
    <w:unhideWhenUsed/>
    <w:rsid w:val="00770B2A"/>
    <w:rPr>
      <w:sz w:val="20"/>
      <w:szCs w:val="20"/>
    </w:rPr>
  </w:style>
  <w:style w:type="character" w:customStyle="1" w:styleId="FootnoteTextChar">
    <w:name w:val="Footnote Text Char"/>
    <w:basedOn w:val="DefaultParagraphFont"/>
    <w:link w:val="FootnoteText"/>
    <w:uiPriority w:val="99"/>
    <w:semiHidden/>
    <w:rsid w:val="00770B2A"/>
    <w:rPr>
      <w:rFonts w:ascii="Garamond" w:eastAsia="Garamond" w:hAnsi="Garamond" w:cs="Garamond"/>
      <w:sz w:val="20"/>
      <w:szCs w:val="20"/>
      <w:lang w:val="pt-PT"/>
    </w:rPr>
  </w:style>
  <w:style w:type="character" w:styleId="FootnoteReference">
    <w:name w:val="footnote reference"/>
    <w:basedOn w:val="DefaultParagraphFont"/>
    <w:uiPriority w:val="99"/>
    <w:semiHidden/>
    <w:unhideWhenUsed/>
    <w:rsid w:val="00770B2A"/>
    <w:rPr>
      <w:vertAlign w:val="superscript"/>
    </w:rPr>
  </w:style>
  <w:style w:type="character" w:customStyle="1" w:styleId="c-bibliographic-informationvalue">
    <w:name w:val="c-bibliographic-information__value"/>
    <w:basedOn w:val="DefaultParagraphFont"/>
    <w:rsid w:val="00EB0F48"/>
  </w:style>
  <w:style w:type="character" w:customStyle="1" w:styleId="value">
    <w:name w:val="value"/>
    <w:basedOn w:val="DefaultParagraphFont"/>
    <w:rsid w:val="002D58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81272">
      <w:bodyDiv w:val="1"/>
      <w:marLeft w:val="0"/>
      <w:marRight w:val="0"/>
      <w:marTop w:val="0"/>
      <w:marBottom w:val="0"/>
      <w:divBdr>
        <w:top w:val="none" w:sz="0" w:space="0" w:color="auto"/>
        <w:left w:val="none" w:sz="0" w:space="0" w:color="auto"/>
        <w:bottom w:val="none" w:sz="0" w:space="0" w:color="auto"/>
        <w:right w:val="none" w:sz="0" w:space="0" w:color="auto"/>
      </w:divBdr>
    </w:div>
    <w:div w:id="93717510">
      <w:bodyDiv w:val="1"/>
      <w:marLeft w:val="0"/>
      <w:marRight w:val="0"/>
      <w:marTop w:val="0"/>
      <w:marBottom w:val="0"/>
      <w:divBdr>
        <w:top w:val="none" w:sz="0" w:space="0" w:color="auto"/>
        <w:left w:val="none" w:sz="0" w:space="0" w:color="auto"/>
        <w:bottom w:val="none" w:sz="0" w:space="0" w:color="auto"/>
        <w:right w:val="none" w:sz="0" w:space="0" w:color="auto"/>
      </w:divBdr>
    </w:div>
    <w:div w:id="164517218">
      <w:bodyDiv w:val="1"/>
      <w:marLeft w:val="0"/>
      <w:marRight w:val="0"/>
      <w:marTop w:val="0"/>
      <w:marBottom w:val="0"/>
      <w:divBdr>
        <w:top w:val="none" w:sz="0" w:space="0" w:color="auto"/>
        <w:left w:val="none" w:sz="0" w:space="0" w:color="auto"/>
        <w:bottom w:val="none" w:sz="0" w:space="0" w:color="auto"/>
        <w:right w:val="none" w:sz="0" w:space="0" w:color="auto"/>
      </w:divBdr>
      <w:divsChild>
        <w:div w:id="1825853596">
          <w:marLeft w:val="0"/>
          <w:marRight w:val="0"/>
          <w:marTop w:val="0"/>
          <w:marBottom w:val="0"/>
          <w:divBdr>
            <w:top w:val="none" w:sz="0" w:space="0" w:color="auto"/>
            <w:left w:val="none" w:sz="0" w:space="0" w:color="auto"/>
            <w:bottom w:val="none" w:sz="0" w:space="0" w:color="auto"/>
            <w:right w:val="none" w:sz="0" w:space="0" w:color="auto"/>
          </w:divBdr>
        </w:div>
      </w:divsChild>
    </w:div>
    <w:div w:id="185023954">
      <w:bodyDiv w:val="1"/>
      <w:marLeft w:val="0"/>
      <w:marRight w:val="0"/>
      <w:marTop w:val="0"/>
      <w:marBottom w:val="0"/>
      <w:divBdr>
        <w:top w:val="none" w:sz="0" w:space="0" w:color="auto"/>
        <w:left w:val="none" w:sz="0" w:space="0" w:color="auto"/>
        <w:bottom w:val="none" w:sz="0" w:space="0" w:color="auto"/>
        <w:right w:val="none" w:sz="0" w:space="0" w:color="auto"/>
      </w:divBdr>
    </w:div>
    <w:div w:id="253708622">
      <w:bodyDiv w:val="1"/>
      <w:marLeft w:val="0"/>
      <w:marRight w:val="0"/>
      <w:marTop w:val="0"/>
      <w:marBottom w:val="0"/>
      <w:divBdr>
        <w:top w:val="none" w:sz="0" w:space="0" w:color="auto"/>
        <w:left w:val="none" w:sz="0" w:space="0" w:color="auto"/>
        <w:bottom w:val="none" w:sz="0" w:space="0" w:color="auto"/>
        <w:right w:val="none" w:sz="0" w:space="0" w:color="auto"/>
      </w:divBdr>
    </w:div>
    <w:div w:id="390419998">
      <w:bodyDiv w:val="1"/>
      <w:marLeft w:val="0"/>
      <w:marRight w:val="0"/>
      <w:marTop w:val="0"/>
      <w:marBottom w:val="0"/>
      <w:divBdr>
        <w:top w:val="none" w:sz="0" w:space="0" w:color="auto"/>
        <w:left w:val="none" w:sz="0" w:space="0" w:color="auto"/>
        <w:bottom w:val="none" w:sz="0" w:space="0" w:color="auto"/>
        <w:right w:val="none" w:sz="0" w:space="0" w:color="auto"/>
      </w:divBdr>
    </w:div>
    <w:div w:id="476802890">
      <w:bodyDiv w:val="1"/>
      <w:marLeft w:val="0"/>
      <w:marRight w:val="0"/>
      <w:marTop w:val="0"/>
      <w:marBottom w:val="0"/>
      <w:divBdr>
        <w:top w:val="none" w:sz="0" w:space="0" w:color="auto"/>
        <w:left w:val="none" w:sz="0" w:space="0" w:color="auto"/>
        <w:bottom w:val="none" w:sz="0" w:space="0" w:color="auto"/>
        <w:right w:val="none" w:sz="0" w:space="0" w:color="auto"/>
      </w:divBdr>
    </w:div>
    <w:div w:id="484516432">
      <w:bodyDiv w:val="1"/>
      <w:marLeft w:val="0"/>
      <w:marRight w:val="0"/>
      <w:marTop w:val="0"/>
      <w:marBottom w:val="0"/>
      <w:divBdr>
        <w:top w:val="none" w:sz="0" w:space="0" w:color="auto"/>
        <w:left w:val="none" w:sz="0" w:space="0" w:color="auto"/>
        <w:bottom w:val="none" w:sz="0" w:space="0" w:color="auto"/>
        <w:right w:val="none" w:sz="0" w:space="0" w:color="auto"/>
      </w:divBdr>
    </w:div>
    <w:div w:id="582032758">
      <w:bodyDiv w:val="1"/>
      <w:marLeft w:val="0"/>
      <w:marRight w:val="0"/>
      <w:marTop w:val="0"/>
      <w:marBottom w:val="0"/>
      <w:divBdr>
        <w:top w:val="none" w:sz="0" w:space="0" w:color="auto"/>
        <w:left w:val="none" w:sz="0" w:space="0" w:color="auto"/>
        <w:bottom w:val="none" w:sz="0" w:space="0" w:color="auto"/>
        <w:right w:val="none" w:sz="0" w:space="0" w:color="auto"/>
      </w:divBdr>
      <w:divsChild>
        <w:div w:id="1385182523">
          <w:marLeft w:val="0"/>
          <w:marRight w:val="0"/>
          <w:marTop w:val="0"/>
          <w:marBottom w:val="0"/>
          <w:divBdr>
            <w:top w:val="none" w:sz="0" w:space="0" w:color="auto"/>
            <w:left w:val="none" w:sz="0" w:space="0" w:color="auto"/>
            <w:bottom w:val="none" w:sz="0" w:space="0" w:color="auto"/>
            <w:right w:val="none" w:sz="0" w:space="0" w:color="auto"/>
          </w:divBdr>
        </w:div>
      </w:divsChild>
    </w:div>
    <w:div w:id="594755067">
      <w:bodyDiv w:val="1"/>
      <w:marLeft w:val="0"/>
      <w:marRight w:val="0"/>
      <w:marTop w:val="0"/>
      <w:marBottom w:val="0"/>
      <w:divBdr>
        <w:top w:val="none" w:sz="0" w:space="0" w:color="auto"/>
        <w:left w:val="none" w:sz="0" w:space="0" w:color="auto"/>
        <w:bottom w:val="none" w:sz="0" w:space="0" w:color="auto"/>
        <w:right w:val="none" w:sz="0" w:space="0" w:color="auto"/>
      </w:divBdr>
    </w:div>
    <w:div w:id="625084844">
      <w:bodyDiv w:val="1"/>
      <w:marLeft w:val="0"/>
      <w:marRight w:val="0"/>
      <w:marTop w:val="0"/>
      <w:marBottom w:val="0"/>
      <w:divBdr>
        <w:top w:val="none" w:sz="0" w:space="0" w:color="auto"/>
        <w:left w:val="none" w:sz="0" w:space="0" w:color="auto"/>
        <w:bottom w:val="none" w:sz="0" w:space="0" w:color="auto"/>
        <w:right w:val="none" w:sz="0" w:space="0" w:color="auto"/>
      </w:divBdr>
      <w:divsChild>
        <w:div w:id="947935412">
          <w:marLeft w:val="0"/>
          <w:marRight w:val="0"/>
          <w:marTop w:val="0"/>
          <w:marBottom w:val="0"/>
          <w:divBdr>
            <w:top w:val="none" w:sz="0" w:space="0" w:color="auto"/>
            <w:left w:val="none" w:sz="0" w:space="0" w:color="auto"/>
            <w:bottom w:val="none" w:sz="0" w:space="0" w:color="auto"/>
            <w:right w:val="none" w:sz="0" w:space="0" w:color="auto"/>
          </w:divBdr>
        </w:div>
      </w:divsChild>
    </w:div>
    <w:div w:id="652418665">
      <w:bodyDiv w:val="1"/>
      <w:marLeft w:val="0"/>
      <w:marRight w:val="0"/>
      <w:marTop w:val="0"/>
      <w:marBottom w:val="0"/>
      <w:divBdr>
        <w:top w:val="none" w:sz="0" w:space="0" w:color="auto"/>
        <w:left w:val="none" w:sz="0" w:space="0" w:color="auto"/>
        <w:bottom w:val="none" w:sz="0" w:space="0" w:color="auto"/>
        <w:right w:val="none" w:sz="0" w:space="0" w:color="auto"/>
      </w:divBdr>
    </w:div>
    <w:div w:id="677536205">
      <w:bodyDiv w:val="1"/>
      <w:marLeft w:val="0"/>
      <w:marRight w:val="0"/>
      <w:marTop w:val="0"/>
      <w:marBottom w:val="0"/>
      <w:divBdr>
        <w:top w:val="none" w:sz="0" w:space="0" w:color="auto"/>
        <w:left w:val="none" w:sz="0" w:space="0" w:color="auto"/>
        <w:bottom w:val="none" w:sz="0" w:space="0" w:color="auto"/>
        <w:right w:val="none" w:sz="0" w:space="0" w:color="auto"/>
      </w:divBdr>
    </w:div>
    <w:div w:id="680666719">
      <w:bodyDiv w:val="1"/>
      <w:marLeft w:val="0"/>
      <w:marRight w:val="0"/>
      <w:marTop w:val="0"/>
      <w:marBottom w:val="0"/>
      <w:divBdr>
        <w:top w:val="none" w:sz="0" w:space="0" w:color="auto"/>
        <w:left w:val="none" w:sz="0" w:space="0" w:color="auto"/>
        <w:bottom w:val="none" w:sz="0" w:space="0" w:color="auto"/>
        <w:right w:val="none" w:sz="0" w:space="0" w:color="auto"/>
      </w:divBdr>
    </w:div>
    <w:div w:id="969897909">
      <w:bodyDiv w:val="1"/>
      <w:marLeft w:val="0"/>
      <w:marRight w:val="0"/>
      <w:marTop w:val="0"/>
      <w:marBottom w:val="0"/>
      <w:divBdr>
        <w:top w:val="none" w:sz="0" w:space="0" w:color="auto"/>
        <w:left w:val="none" w:sz="0" w:space="0" w:color="auto"/>
        <w:bottom w:val="none" w:sz="0" w:space="0" w:color="auto"/>
        <w:right w:val="none" w:sz="0" w:space="0" w:color="auto"/>
      </w:divBdr>
    </w:div>
    <w:div w:id="1060908855">
      <w:bodyDiv w:val="1"/>
      <w:marLeft w:val="0"/>
      <w:marRight w:val="0"/>
      <w:marTop w:val="0"/>
      <w:marBottom w:val="0"/>
      <w:divBdr>
        <w:top w:val="none" w:sz="0" w:space="0" w:color="auto"/>
        <w:left w:val="none" w:sz="0" w:space="0" w:color="auto"/>
        <w:bottom w:val="none" w:sz="0" w:space="0" w:color="auto"/>
        <w:right w:val="none" w:sz="0" w:space="0" w:color="auto"/>
      </w:divBdr>
      <w:divsChild>
        <w:div w:id="1223835370">
          <w:marLeft w:val="0"/>
          <w:marRight w:val="0"/>
          <w:marTop w:val="0"/>
          <w:marBottom w:val="0"/>
          <w:divBdr>
            <w:top w:val="none" w:sz="0" w:space="0" w:color="auto"/>
            <w:left w:val="none" w:sz="0" w:space="0" w:color="auto"/>
            <w:bottom w:val="none" w:sz="0" w:space="0" w:color="auto"/>
            <w:right w:val="none" w:sz="0" w:space="0" w:color="auto"/>
          </w:divBdr>
        </w:div>
      </w:divsChild>
    </w:div>
    <w:div w:id="1166900812">
      <w:bodyDiv w:val="1"/>
      <w:marLeft w:val="0"/>
      <w:marRight w:val="0"/>
      <w:marTop w:val="0"/>
      <w:marBottom w:val="0"/>
      <w:divBdr>
        <w:top w:val="none" w:sz="0" w:space="0" w:color="auto"/>
        <w:left w:val="none" w:sz="0" w:space="0" w:color="auto"/>
        <w:bottom w:val="none" w:sz="0" w:space="0" w:color="auto"/>
        <w:right w:val="none" w:sz="0" w:space="0" w:color="auto"/>
      </w:divBdr>
      <w:divsChild>
        <w:div w:id="819808883">
          <w:marLeft w:val="0"/>
          <w:marRight w:val="0"/>
          <w:marTop w:val="0"/>
          <w:marBottom w:val="0"/>
          <w:divBdr>
            <w:top w:val="none" w:sz="0" w:space="0" w:color="auto"/>
            <w:left w:val="none" w:sz="0" w:space="0" w:color="auto"/>
            <w:bottom w:val="none" w:sz="0" w:space="0" w:color="auto"/>
            <w:right w:val="none" w:sz="0" w:space="0" w:color="auto"/>
          </w:divBdr>
        </w:div>
      </w:divsChild>
    </w:div>
    <w:div w:id="1214735677">
      <w:bodyDiv w:val="1"/>
      <w:marLeft w:val="0"/>
      <w:marRight w:val="0"/>
      <w:marTop w:val="0"/>
      <w:marBottom w:val="0"/>
      <w:divBdr>
        <w:top w:val="none" w:sz="0" w:space="0" w:color="auto"/>
        <w:left w:val="none" w:sz="0" w:space="0" w:color="auto"/>
        <w:bottom w:val="none" w:sz="0" w:space="0" w:color="auto"/>
        <w:right w:val="none" w:sz="0" w:space="0" w:color="auto"/>
      </w:divBdr>
    </w:div>
    <w:div w:id="1230265830">
      <w:bodyDiv w:val="1"/>
      <w:marLeft w:val="0"/>
      <w:marRight w:val="0"/>
      <w:marTop w:val="0"/>
      <w:marBottom w:val="0"/>
      <w:divBdr>
        <w:top w:val="none" w:sz="0" w:space="0" w:color="auto"/>
        <w:left w:val="none" w:sz="0" w:space="0" w:color="auto"/>
        <w:bottom w:val="none" w:sz="0" w:space="0" w:color="auto"/>
        <w:right w:val="none" w:sz="0" w:space="0" w:color="auto"/>
      </w:divBdr>
    </w:div>
    <w:div w:id="1458987432">
      <w:bodyDiv w:val="1"/>
      <w:marLeft w:val="0"/>
      <w:marRight w:val="0"/>
      <w:marTop w:val="0"/>
      <w:marBottom w:val="0"/>
      <w:divBdr>
        <w:top w:val="none" w:sz="0" w:space="0" w:color="auto"/>
        <w:left w:val="none" w:sz="0" w:space="0" w:color="auto"/>
        <w:bottom w:val="none" w:sz="0" w:space="0" w:color="auto"/>
        <w:right w:val="none" w:sz="0" w:space="0" w:color="auto"/>
      </w:divBdr>
    </w:div>
    <w:div w:id="1520124512">
      <w:bodyDiv w:val="1"/>
      <w:marLeft w:val="0"/>
      <w:marRight w:val="0"/>
      <w:marTop w:val="0"/>
      <w:marBottom w:val="0"/>
      <w:divBdr>
        <w:top w:val="none" w:sz="0" w:space="0" w:color="auto"/>
        <w:left w:val="none" w:sz="0" w:space="0" w:color="auto"/>
        <w:bottom w:val="none" w:sz="0" w:space="0" w:color="auto"/>
        <w:right w:val="none" w:sz="0" w:space="0" w:color="auto"/>
      </w:divBdr>
      <w:divsChild>
        <w:div w:id="1447769227">
          <w:marLeft w:val="0"/>
          <w:marRight w:val="0"/>
          <w:marTop w:val="0"/>
          <w:marBottom w:val="0"/>
          <w:divBdr>
            <w:top w:val="none" w:sz="0" w:space="0" w:color="auto"/>
            <w:left w:val="none" w:sz="0" w:space="0" w:color="auto"/>
            <w:bottom w:val="none" w:sz="0" w:space="0" w:color="auto"/>
            <w:right w:val="none" w:sz="0" w:space="0" w:color="auto"/>
          </w:divBdr>
        </w:div>
      </w:divsChild>
    </w:div>
    <w:div w:id="1612589858">
      <w:bodyDiv w:val="1"/>
      <w:marLeft w:val="0"/>
      <w:marRight w:val="0"/>
      <w:marTop w:val="0"/>
      <w:marBottom w:val="0"/>
      <w:divBdr>
        <w:top w:val="none" w:sz="0" w:space="0" w:color="auto"/>
        <w:left w:val="none" w:sz="0" w:space="0" w:color="auto"/>
        <w:bottom w:val="none" w:sz="0" w:space="0" w:color="auto"/>
        <w:right w:val="none" w:sz="0" w:space="0" w:color="auto"/>
      </w:divBdr>
    </w:div>
    <w:div w:id="1682506496">
      <w:bodyDiv w:val="1"/>
      <w:marLeft w:val="0"/>
      <w:marRight w:val="0"/>
      <w:marTop w:val="0"/>
      <w:marBottom w:val="0"/>
      <w:divBdr>
        <w:top w:val="none" w:sz="0" w:space="0" w:color="auto"/>
        <w:left w:val="none" w:sz="0" w:space="0" w:color="auto"/>
        <w:bottom w:val="none" w:sz="0" w:space="0" w:color="auto"/>
        <w:right w:val="none" w:sz="0" w:space="0" w:color="auto"/>
      </w:divBdr>
    </w:div>
    <w:div w:id="1699044318">
      <w:bodyDiv w:val="1"/>
      <w:marLeft w:val="0"/>
      <w:marRight w:val="0"/>
      <w:marTop w:val="0"/>
      <w:marBottom w:val="0"/>
      <w:divBdr>
        <w:top w:val="none" w:sz="0" w:space="0" w:color="auto"/>
        <w:left w:val="none" w:sz="0" w:space="0" w:color="auto"/>
        <w:bottom w:val="none" w:sz="0" w:space="0" w:color="auto"/>
        <w:right w:val="none" w:sz="0" w:space="0" w:color="auto"/>
      </w:divBdr>
      <w:divsChild>
        <w:div w:id="47845123">
          <w:marLeft w:val="0"/>
          <w:marRight w:val="0"/>
          <w:marTop w:val="0"/>
          <w:marBottom w:val="0"/>
          <w:divBdr>
            <w:top w:val="none" w:sz="0" w:space="0" w:color="auto"/>
            <w:left w:val="none" w:sz="0" w:space="0" w:color="auto"/>
            <w:bottom w:val="none" w:sz="0" w:space="0" w:color="auto"/>
            <w:right w:val="none" w:sz="0" w:space="0" w:color="auto"/>
          </w:divBdr>
        </w:div>
      </w:divsChild>
    </w:div>
    <w:div w:id="1707633891">
      <w:bodyDiv w:val="1"/>
      <w:marLeft w:val="0"/>
      <w:marRight w:val="0"/>
      <w:marTop w:val="0"/>
      <w:marBottom w:val="0"/>
      <w:divBdr>
        <w:top w:val="none" w:sz="0" w:space="0" w:color="auto"/>
        <w:left w:val="none" w:sz="0" w:space="0" w:color="auto"/>
        <w:bottom w:val="none" w:sz="0" w:space="0" w:color="auto"/>
        <w:right w:val="none" w:sz="0" w:space="0" w:color="auto"/>
      </w:divBdr>
    </w:div>
    <w:div w:id="1736005595">
      <w:bodyDiv w:val="1"/>
      <w:marLeft w:val="0"/>
      <w:marRight w:val="0"/>
      <w:marTop w:val="0"/>
      <w:marBottom w:val="0"/>
      <w:divBdr>
        <w:top w:val="none" w:sz="0" w:space="0" w:color="auto"/>
        <w:left w:val="none" w:sz="0" w:space="0" w:color="auto"/>
        <w:bottom w:val="none" w:sz="0" w:space="0" w:color="auto"/>
        <w:right w:val="none" w:sz="0" w:space="0" w:color="auto"/>
      </w:divBdr>
    </w:div>
    <w:div w:id="1861627894">
      <w:bodyDiv w:val="1"/>
      <w:marLeft w:val="0"/>
      <w:marRight w:val="0"/>
      <w:marTop w:val="0"/>
      <w:marBottom w:val="0"/>
      <w:divBdr>
        <w:top w:val="none" w:sz="0" w:space="0" w:color="auto"/>
        <w:left w:val="none" w:sz="0" w:space="0" w:color="auto"/>
        <w:bottom w:val="none" w:sz="0" w:space="0" w:color="auto"/>
        <w:right w:val="none" w:sz="0" w:space="0" w:color="auto"/>
      </w:divBdr>
    </w:div>
    <w:div w:id="1980763005">
      <w:bodyDiv w:val="1"/>
      <w:marLeft w:val="0"/>
      <w:marRight w:val="0"/>
      <w:marTop w:val="0"/>
      <w:marBottom w:val="0"/>
      <w:divBdr>
        <w:top w:val="none" w:sz="0" w:space="0" w:color="auto"/>
        <w:left w:val="none" w:sz="0" w:space="0" w:color="auto"/>
        <w:bottom w:val="none" w:sz="0" w:space="0" w:color="auto"/>
        <w:right w:val="none" w:sz="0" w:space="0" w:color="auto"/>
      </w:divBdr>
    </w:div>
    <w:div w:id="2013020776">
      <w:bodyDiv w:val="1"/>
      <w:marLeft w:val="0"/>
      <w:marRight w:val="0"/>
      <w:marTop w:val="0"/>
      <w:marBottom w:val="0"/>
      <w:divBdr>
        <w:top w:val="none" w:sz="0" w:space="0" w:color="auto"/>
        <w:left w:val="none" w:sz="0" w:space="0" w:color="auto"/>
        <w:bottom w:val="none" w:sz="0" w:space="0" w:color="auto"/>
        <w:right w:val="none" w:sz="0" w:space="0" w:color="auto"/>
      </w:divBdr>
      <w:divsChild>
        <w:div w:id="846210421">
          <w:marLeft w:val="0"/>
          <w:marRight w:val="0"/>
          <w:marTop w:val="0"/>
          <w:marBottom w:val="0"/>
          <w:divBdr>
            <w:top w:val="none" w:sz="0" w:space="0" w:color="auto"/>
            <w:left w:val="none" w:sz="0" w:space="0" w:color="auto"/>
            <w:bottom w:val="none" w:sz="0" w:space="0" w:color="auto"/>
            <w:right w:val="none" w:sz="0" w:space="0" w:color="auto"/>
          </w:divBdr>
        </w:div>
        <w:div w:id="60062949">
          <w:marLeft w:val="0"/>
          <w:marRight w:val="0"/>
          <w:marTop w:val="0"/>
          <w:marBottom w:val="0"/>
          <w:divBdr>
            <w:top w:val="none" w:sz="0" w:space="0" w:color="auto"/>
            <w:left w:val="none" w:sz="0" w:space="0" w:color="auto"/>
            <w:bottom w:val="none" w:sz="0" w:space="0" w:color="auto"/>
            <w:right w:val="none" w:sz="0" w:space="0" w:color="auto"/>
          </w:divBdr>
        </w:div>
        <w:div w:id="18045887">
          <w:marLeft w:val="0"/>
          <w:marRight w:val="0"/>
          <w:marTop w:val="0"/>
          <w:marBottom w:val="0"/>
          <w:divBdr>
            <w:top w:val="none" w:sz="0" w:space="0" w:color="auto"/>
            <w:left w:val="none" w:sz="0" w:space="0" w:color="auto"/>
            <w:bottom w:val="none" w:sz="0" w:space="0" w:color="auto"/>
            <w:right w:val="none" w:sz="0" w:space="0" w:color="auto"/>
          </w:divBdr>
        </w:div>
        <w:div w:id="1329945547">
          <w:marLeft w:val="0"/>
          <w:marRight w:val="0"/>
          <w:marTop w:val="0"/>
          <w:marBottom w:val="0"/>
          <w:divBdr>
            <w:top w:val="none" w:sz="0" w:space="0" w:color="auto"/>
            <w:left w:val="none" w:sz="0" w:space="0" w:color="auto"/>
            <w:bottom w:val="none" w:sz="0" w:space="0" w:color="auto"/>
            <w:right w:val="none" w:sz="0" w:space="0" w:color="auto"/>
          </w:divBdr>
        </w:div>
        <w:div w:id="308902273">
          <w:marLeft w:val="0"/>
          <w:marRight w:val="0"/>
          <w:marTop w:val="0"/>
          <w:marBottom w:val="0"/>
          <w:divBdr>
            <w:top w:val="none" w:sz="0" w:space="0" w:color="auto"/>
            <w:left w:val="none" w:sz="0" w:space="0" w:color="auto"/>
            <w:bottom w:val="none" w:sz="0" w:space="0" w:color="auto"/>
            <w:right w:val="none" w:sz="0" w:space="0" w:color="auto"/>
          </w:divBdr>
        </w:div>
        <w:div w:id="595660">
          <w:marLeft w:val="0"/>
          <w:marRight w:val="0"/>
          <w:marTop w:val="0"/>
          <w:marBottom w:val="0"/>
          <w:divBdr>
            <w:top w:val="none" w:sz="0" w:space="0" w:color="auto"/>
            <w:left w:val="none" w:sz="0" w:space="0" w:color="auto"/>
            <w:bottom w:val="none" w:sz="0" w:space="0" w:color="auto"/>
            <w:right w:val="none" w:sz="0" w:space="0" w:color="auto"/>
          </w:divBdr>
        </w:div>
        <w:div w:id="70899509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5.jpeg"/><Relationship Id="rId42" Type="http://schemas.openxmlformats.org/officeDocument/2006/relationships/image" Target="media/image23.emf"/><Relationship Id="rId47" Type="http://schemas.openxmlformats.org/officeDocument/2006/relationships/hyperlink" Target="https://doi.org/10.1016/0165-1765(93)00300-D" TargetMode="External"/><Relationship Id="rId63" Type="http://schemas.openxmlformats.org/officeDocument/2006/relationships/hyperlink" Target="https://www.gee.gov.pt/RePEc/WorkingPapers/GEE_PAPERS_145.pdf" TargetMode="External"/><Relationship Id="rId68" Type="http://schemas.openxmlformats.org/officeDocument/2006/relationships/hyperlink" Target="https://doi.org/10.1007/s13132-023-01106-1" TargetMode="External"/><Relationship Id="rId84" Type="http://schemas.openxmlformats.org/officeDocument/2006/relationships/hyperlink" Target="https://doi.org/10.1007/s10663-014-9263-1" TargetMode="External"/><Relationship Id="rId89" Type="http://schemas.openxmlformats.org/officeDocument/2006/relationships/hyperlink" Target="https://doi.org/10.1556/032.2022.00010" TargetMode="External"/><Relationship Id="rId16" Type="http://schemas.openxmlformats.org/officeDocument/2006/relationships/header" Target="header2.xml"/><Relationship Id="rId11" Type="http://schemas.openxmlformats.org/officeDocument/2006/relationships/image" Target="media/image4.png"/><Relationship Id="rId32" Type="http://schemas.openxmlformats.org/officeDocument/2006/relationships/image" Target="media/image14.png"/><Relationship Id="rId37" Type="http://schemas.openxmlformats.org/officeDocument/2006/relationships/image" Target="media/image19.png"/><Relationship Id="rId53" Type="http://schemas.openxmlformats.org/officeDocument/2006/relationships/hyperlink" Target="https://doi.org/10.1007/BF02296590" TargetMode="External"/><Relationship Id="rId58" Type="http://schemas.openxmlformats.org/officeDocument/2006/relationships/hyperlink" Target="https://doi.org/10.3790/ccm.54.3.319" TargetMode="External"/><Relationship Id="rId74" Type="http://schemas.openxmlformats.org/officeDocument/2006/relationships/hyperlink" Target="https://doi.org/10.1016/j.jebo.2004.11.011" TargetMode="External"/><Relationship Id="rId79" Type="http://schemas.openxmlformats.org/officeDocument/2006/relationships/hyperlink" Target="https://doi.org/10.1111/1467-999X.00129" TargetMode="External"/><Relationship Id="rId5" Type="http://schemas.openxmlformats.org/officeDocument/2006/relationships/webSettings" Target="webSettings.xml"/><Relationship Id="rId90" Type="http://schemas.openxmlformats.org/officeDocument/2006/relationships/hyperlink" Target="https://doi.org/10.1080/09538259.2022.2105139" TargetMode="External"/><Relationship Id="rId95" Type="http://schemas.openxmlformats.org/officeDocument/2006/relationships/hyperlink" Target="https://doi.org/10.1016/j.strueco.2019.06.010" TargetMode="External"/><Relationship Id="rId22" Type="http://schemas.openxmlformats.org/officeDocument/2006/relationships/image" Target="media/image7.png"/><Relationship Id="rId27" Type="http://schemas.openxmlformats.org/officeDocument/2006/relationships/image" Target="media/image9.png"/><Relationship Id="rId43" Type="http://schemas.openxmlformats.org/officeDocument/2006/relationships/image" Target="media/image24.png"/><Relationship Id="rId48" Type="http://schemas.openxmlformats.org/officeDocument/2006/relationships/hyperlink" Target="https://www.jstor.org/stable/1811174" TargetMode="External"/><Relationship Id="rId64" Type="http://schemas.openxmlformats.org/officeDocument/2006/relationships/hyperlink" Target="https://doi.org/10.1111/j.1467-937X.2006.00389.x" TargetMode="External"/><Relationship Id="rId69" Type="http://schemas.openxmlformats.org/officeDocument/2006/relationships/hyperlink" Target="https://doi.org/10.1111/j.1468-0084.2012.00718.x" TargetMode="External"/><Relationship Id="rId80" Type="http://schemas.openxmlformats.org/officeDocument/2006/relationships/hyperlink" Target="https://doi.org/10.1111/1467-6419.00163" TargetMode="External"/><Relationship Id="rId85" Type="http://schemas.openxmlformats.org/officeDocument/2006/relationships/hyperlink" Target="http://dx.doi.org/10.2753/PKE0160-3477350106" TargetMode="Externa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hyperlink" Target="https://doi.org/10.1080/01603477.2017.1401902" TargetMode="External"/><Relationship Id="rId59" Type="http://schemas.openxmlformats.org/officeDocument/2006/relationships/hyperlink" Target="https://doi.org/10.2307/3585159" TargetMode="External"/><Relationship Id="rId67" Type="http://schemas.openxmlformats.org/officeDocument/2006/relationships/hyperlink" Target="https://doi.org/10.1007/s11187-015-9631-7" TargetMode="External"/><Relationship Id="rId20" Type="http://schemas.openxmlformats.org/officeDocument/2006/relationships/footer" Target="footer3.xml"/><Relationship Id="rId41" Type="http://schemas.openxmlformats.org/officeDocument/2006/relationships/image" Target="media/image22.emf"/><Relationship Id="rId54" Type="http://schemas.openxmlformats.org/officeDocument/2006/relationships/hyperlink" Target="https://doi.org/10.1002/asmb.436" TargetMode="External"/><Relationship Id="rId62" Type="http://schemas.openxmlformats.org/officeDocument/2006/relationships/hyperlink" Target="https://doi.org/10.1016/j.euroecorev.2020.103474" TargetMode="External"/><Relationship Id="rId70" Type="http://schemas.openxmlformats.org/officeDocument/2006/relationships/hyperlink" Target="https://doi.org/10.1016/j.ejor.2010.12.021" TargetMode="External"/><Relationship Id="rId75" Type="http://schemas.openxmlformats.org/officeDocument/2006/relationships/hyperlink" Target="https://doi.org/10.1016/j.jmoneco.2023.04.003" TargetMode="External"/><Relationship Id="rId83" Type="http://schemas.openxmlformats.org/officeDocument/2006/relationships/hyperlink" Target="https://doi.org/10.1111/j.1467-999X.2012.04159.x" TargetMode="External"/><Relationship Id="rId88" Type="http://schemas.openxmlformats.org/officeDocument/2006/relationships/hyperlink" Target="https://doi.org/10.1007/s11786-022-00523-w" TargetMode="External"/><Relationship Id="rId91" Type="http://schemas.openxmlformats.org/officeDocument/2006/relationships/hyperlink" Target="https://www.oecd.org/sdd/leading-indicators/businesstendencysurveysahandbook.htm" TargetMode="External"/><Relationship Id="rId96"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hyperlink" Target="https://doi.org/10.2307/2937860" TargetMode="External"/><Relationship Id="rId57" Type="http://schemas.openxmlformats.org/officeDocument/2006/relationships/hyperlink" Target="https://doi.org/10.1016/j.jebo.2020.03.030" TargetMode="External"/><Relationship Id="rId10" Type="http://schemas.openxmlformats.org/officeDocument/2006/relationships/image" Target="media/image3.png"/><Relationship Id="rId31" Type="http://schemas.openxmlformats.org/officeDocument/2006/relationships/image" Target="media/image13.png"/><Relationship Id="rId44" Type="http://schemas.openxmlformats.org/officeDocument/2006/relationships/chart" Target="charts/chart1.xml"/><Relationship Id="rId52" Type="http://schemas.openxmlformats.org/officeDocument/2006/relationships/hyperlink" Target="https://doi.org/10.1111/1467-9485.00132" TargetMode="External"/><Relationship Id="rId60" Type="http://schemas.openxmlformats.org/officeDocument/2006/relationships/hyperlink" Target="https://doi.org/10.1111/1468-0297.00022" TargetMode="External"/><Relationship Id="rId65" Type="http://schemas.openxmlformats.org/officeDocument/2006/relationships/hyperlink" Target="https://doi:10.1017/S0266267100005113" TargetMode="External"/><Relationship Id="rId73" Type="http://schemas.openxmlformats.org/officeDocument/2006/relationships/hyperlink" Target="https://doi.org/10.1098/rspl.1884.0062" TargetMode="External"/><Relationship Id="rId78" Type="http://schemas.openxmlformats.org/officeDocument/2006/relationships/hyperlink" Target="https://doi.org/10.1515/jbnst-1994-0505" TargetMode="External"/><Relationship Id="rId81" Type="http://schemas.openxmlformats.org/officeDocument/2006/relationships/hyperlink" Target="https://doi.org/10.1016/j.econmod.2007.04.011" TargetMode="External"/><Relationship Id="rId86" Type="http://schemas.openxmlformats.org/officeDocument/2006/relationships/hyperlink" Target="https://doi.org/10.1515/snde-2019-0135" TargetMode="External"/><Relationship Id="rId94" Type="http://schemas.openxmlformats.org/officeDocument/2006/relationships/hyperlink" Target="https://doi.org/10.1111/roiw.12009" TargetMode="External"/><Relationship Id="rId99" Type="http://schemas.openxmlformats.org/officeDocument/2006/relationships/footer" Target="footer9.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oter" Target="footer2.xml"/><Relationship Id="rId39" Type="http://schemas.openxmlformats.org/officeDocument/2006/relationships/image" Target="media/image21.wmf"/><Relationship Id="rId34" Type="http://schemas.openxmlformats.org/officeDocument/2006/relationships/image" Target="media/image16.png"/><Relationship Id="rId50" Type="http://schemas.openxmlformats.org/officeDocument/2006/relationships/hyperlink" Target="https://doi.org/10.1016/j.econmod.2015.06.022" TargetMode="External"/><Relationship Id="rId55" Type="http://schemas.openxmlformats.org/officeDocument/2006/relationships/hyperlink" Target="https://doi.org/10.1111/meca.12000" TargetMode="External"/><Relationship Id="rId76" Type="http://schemas.openxmlformats.org/officeDocument/2006/relationships/hyperlink" Target="https://doi.org/10.1111/j.1475-4991.2009.00345.x" TargetMode="External"/><Relationship Id="rId97" Type="http://schemas.openxmlformats.org/officeDocument/2006/relationships/hyperlink" Target="https://www.oecd.org/sti/ind/1943301.pdf" TargetMode="External"/><Relationship Id="rId7" Type="http://schemas.openxmlformats.org/officeDocument/2006/relationships/endnotes" Target="endnotes.xml"/><Relationship Id="rId71" Type="http://schemas.openxmlformats.org/officeDocument/2006/relationships/hyperlink" Target="https://doi.org/10.2307/2937845" TargetMode="External"/><Relationship Id="rId92" Type="http://schemas.openxmlformats.org/officeDocument/2006/relationships/hyperlink" Target="https://doi.org/10.2307/2297545" TargetMode="External"/><Relationship Id="rId2" Type="http://schemas.openxmlformats.org/officeDocument/2006/relationships/numbering" Target="numbering.xml"/><Relationship Id="rId29" Type="http://schemas.openxmlformats.org/officeDocument/2006/relationships/image" Target="media/image11.png"/><Relationship Id="rId24" Type="http://schemas.openxmlformats.org/officeDocument/2006/relationships/footer" Target="footer5.xml"/><Relationship Id="rId40" Type="http://schemas.openxmlformats.org/officeDocument/2006/relationships/oleObject" Target="embeddings/oleObject1.bin"/><Relationship Id="rId45" Type="http://schemas.openxmlformats.org/officeDocument/2006/relationships/footer" Target="footer7.xml"/><Relationship Id="rId66" Type="http://schemas.openxmlformats.org/officeDocument/2006/relationships/hyperlink" Target="https://doi.org/10.1257/jep.36.3.29" TargetMode="External"/><Relationship Id="rId87" Type="http://schemas.openxmlformats.org/officeDocument/2006/relationships/hyperlink" Target="https://doi.org/10.1007/s11786-020-00471-3" TargetMode="External"/><Relationship Id="rId61" Type="http://schemas.openxmlformats.org/officeDocument/2006/relationships/hyperlink" Target="http://dx.doi.org/10.1080/10438599.2015.1076197" TargetMode="External"/><Relationship Id="rId82" Type="http://schemas.openxmlformats.org/officeDocument/2006/relationships/hyperlink" Target="https://doi.org/10.1016/j.jeca.2022.e00286" TargetMode="External"/><Relationship Id="rId19" Type="http://schemas.openxmlformats.org/officeDocument/2006/relationships/header" Target="header3.xml"/><Relationship Id="rId14" Type="http://schemas.openxmlformats.org/officeDocument/2006/relationships/image" Target="media/image4.jpeg"/><Relationship Id="rId30" Type="http://schemas.openxmlformats.org/officeDocument/2006/relationships/image" Target="media/image12.png"/><Relationship Id="rId35" Type="http://schemas.openxmlformats.org/officeDocument/2006/relationships/image" Target="media/image17.png"/><Relationship Id="rId56" Type="http://schemas.openxmlformats.org/officeDocument/2006/relationships/hyperlink" Target="https://dx.doi.org/10.2139/ssrn.3445832" TargetMode="External"/><Relationship Id="rId77" Type="http://schemas.openxmlformats.org/officeDocument/2006/relationships/hyperlink" Target="https://doi.org/10.1016/j.econlet.2005.08.026" TargetMode="External"/><Relationship Id="rId100"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doi.org/10.1016/j.jbankfin.2020.105776" TargetMode="External"/><Relationship Id="rId72" Type="http://schemas.openxmlformats.org/officeDocument/2006/relationships/hyperlink" Target="https://dx.doi.org/10.1257/jep.6.1.107" TargetMode="External"/><Relationship Id="rId93" Type="http://schemas.openxmlformats.org/officeDocument/2006/relationships/hyperlink" Target="https://doi.org/10.2307/2171721" TargetMode="External"/><Relationship Id="rId98" Type="http://schemas.openxmlformats.org/officeDocument/2006/relationships/header" Target="header4.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p201\Desktop\resultados%20tese_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Sheet1!$C$5</c:f>
              <c:strCache>
                <c:ptCount val="1"/>
                <c:pt idx="0">
                  <c:v>Tangible investment</c:v>
                </c:pt>
              </c:strCache>
            </c:strRef>
          </c:tx>
          <c:spPr>
            <a:solidFill>
              <a:schemeClr val="bg1">
                <a:lumMod val="65000"/>
              </a:schemeClr>
            </a:solidFill>
            <a:ln>
              <a:noFill/>
            </a:ln>
            <a:effectLst/>
          </c:spPr>
          <c:invertIfNegative val="0"/>
          <c:cat>
            <c:strRef>
              <c:f>Sheet1!$B$6:$B$11</c:f>
              <c:strCache>
                <c:ptCount val="6"/>
                <c:pt idx="0">
                  <c:v>France</c:v>
                </c:pt>
                <c:pt idx="1">
                  <c:v>Germany</c:v>
                </c:pt>
                <c:pt idx="2">
                  <c:v>Italy</c:v>
                </c:pt>
                <c:pt idx="3">
                  <c:v>Japan</c:v>
                </c:pt>
                <c:pt idx="4">
                  <c:v>UK</c:v>
                </c:pt>
                <c:pt idx="5">
                  <c:v>US</c:v>
                </c:pt>
              </c:strCache>
            </c:strRef>
          </c:cat>
          <c:val>
            <c:numRef>
              <c:f>Sheet1!$C$6:$C$11</c:f>
              <c:numCache>
                <c:formatCode>General</c:formatCode>
                <c:ptCount val="6"/>
                <c:pt idx="0">
                  <c:v>0.158</c:v>
                </c:pt>
                <c:pt idx="1">
                  <c:v>3.2000000000000001E-2</c:v>
                </c:pt>
                <c:pt idx="2">
                  <c:v>0.14199999999999999</c:v>
                </c:pt>
                <c:pt idx="3">
                  <c:v>0.14799999999999999</c:v>
                </c:pt>
                <c:pt idx="4">
                  <c:v>0.16</c:v>
                </c:pt>
                <c:pt idx="5">
                  <c:v>0.156</c:v>
                </c:pt>
              </c:numCache>
            </c:numRef>
          </c:val>
          <c:extLst>
            <c:ext xmlns:c16="http://schemas.microsoft.com/office/drawing/2014/chart" uri="{C3380CC4-5D6E-409C-BE32-E72D297353CC}">
              <c16:uniqueId val="{00000000-A143-48C8-BA80-1B5B19E6CBAB}"/>
            </c:ext>
          </c:extLst>
        </c:ser>
        <c:ser>
          <c:idx val="1"/>
          <c:order val="1"/>
          <c:tx>
            <c:strRef>
              <c:f>Sheet1!$D$5</c:f>
              <c:strCache>
                <c:ptCount val="1"/>
                <c:pt idx="0">
                  <c:v>Intangible investment</c:v>
                </c:pt>
              </c:strCache>
            </c:strRef>
          </c:tx>
          <c:spPr>
            <a:solidFill>
              <a:schemeClr val="tx1">
                <a:lumMod val="65000"/>
                <a:lumOff val="35000"/>
              </a:schemeClr>
            </a:solidFill>
            <a:ln>
              <a:noFill/>
            </a:ln>
            <a:effectLst/>
          </c:spPr>
          <c:invertIfNegative val="0"/>
          <c:cat>
            <c:strRef>
              <c:f>Sheet1!$B$6:$B$11</c:f>
              <c:strCache>
                <c:ptCount val="6"/>
                <c:pt idx="0">
                  <c:v>France</c:v>
                </c:pt>
                <c:pt idx="1">
                  <c:v>Germany</c:v>
                </c:pt>
                <c:pt idx="2">
                  <c:v>Italy</c:v>
                </c:pt>
                <c:pt idx="3">
                  <c:v>Japan</c:v>
                </c:pt>
                <c:pt idx="4">
                  <c:v>UK</c:v>
                </c:pt>
                <c:pt idx="5">
                  <c:v>US</c:v>
                </c:pt>
              </c:strCache>
            </c:strRef>
          </c:cat>
          <c:val>
            <c:numRef>
              <c:f>Sheet1!$D$6:$D$11</c:f>
              <c:numCache>
                <c:formatCode>General</c:formatCode>
                <c:ptCount val="6"/>
                <c:pt idx="0">
                  <c:v>0.36199999999999999</c:v>
                </c:pt>
                <c:pt idx="1">
                  <c:v>0.23400000000000001</c:v>
                </c:pt>
                <c:pt idx="2">
                  <c:v>0.186</c:v>
                </c:pt>
                <c:pt idx="3">
                  <c:v>0.14799999999999999</c:v>
                </c:pt>
                <c:pt idx="4">
                  <c:v>0.16</c:v>
                </c:pt>
                <c:pt idx="5">
                  <c:v>0.19600000000000001</c:v>
                </c:pt>
              </c:numCache>
            </c:numRef>
          </c:val>
          <c:extLst>
            <c:ext xmlns:c16="http://schemas.microsoft.com/office/drawing/2014/chart" uri="{C3380CC4-5D6E-409C-BE32-E72D297353CC}">
              <c16:uniqueId val="{00000001-A143-48C8-BA80-1B5B19E6CBAB}"/>
            </c:ext>
          </c:extLst>
        </c:ser>
        <c:dLbls>
          <c:showLegendKey val="0"/>
          <c:showVal val="0"/>
          <c:showCatName val="0"/>
          <c:showSerName val="0"/>
          <c:showPercent val="0"/>
          <c:showBubbleSize val="0"/>
        </c:dLbls>
        <c:gapWidth val="150"/>
        <c:axId val="1095377855"/>
        <c:axId val="1095381695"/>
      </c:barChart>
      <c:catAx>
        <c:axId val="10953778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5381695"/>
        <c:crosses val="autoZero"/>
        <c:auto val="1"/>
        <c:lblAlgn val="ctr"/>
        <c:lblOffset val="100"/>
        <c:noMultiLvlLbl val="0"/>
      </c:catAx>
      <c:valAx>
        <c:axId val="10953816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5377855"/>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73662-4444-44FC-9802-2ED699281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1031</TotalTime>
  <Pages>62</Pages>
  <Words>12403</Words>
  <Characters>70702</Characters>
  <Application>Microsoft Office Word</Application>
  <DocSecurity>0</DocSecurity>
  <Lines>589</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Rodrigo Soares</dc:creator>
  <cp:lastModifiedBy>Rodrigo Andrade Ribeirinho Soares</cp:lastModifiedBy>
  <cp:revision>45</cp:revision>
  <cp:lastPrinted>2023-07-02T20:01:00Z</cp:lastPrinted>
  <dcterms:created xsi:type="dcterms:W3CDTF">2023-07-01T15:41:00Z</dcterms:created>
  <dcterms:modified xsi:type="dcterms:W3CDTF">2023-07-02T20:05:00Z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2023-02-09T00:00:00Z</vt:filetime>
  </property>
</Properties>
</file>