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9687B" w14:textId="77777777" w:rsidR="00550630" w:rsidRPr="000C71A6" w:rsidRDefault="00550630" w:rsidP="00906DFA">
      <w:pPr>
        <w:spacing w:after="0" w:line="276" w:lineRule="auto"/>
        <w:ind w:firstLine="0"/>
        <w:rPr>
          <w:rFonts w:cs="Arial"/>
        </w:rPr>
      </w:pPr>
      <w:bookmarkStart w:id="0" w:name="_GoBack"/>
      <w:bookmarkEnd w:id="0"/>
      <w:r w:rsidRPr="000C71A6">
        <w:rPr>
          <w:rFonts w:cs="Arial"/>
          <w:noProof/>
          <w:lang w:val="pt-PT" w:eastAsia="pt-PT"/>
        </w:rPr>
        <w:drawing>
          <wp:inline distT="0" distB="0" distL="0" distR="0" wp14:anchorId="48B96995" wp14:editId="48B96996">
            <wp:extent cx="1964267" cy="8249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4900" cy="837846"/>
                    </a:xfrm>
                    <a:prstGeom prst="rect">
                      <a:avLst/>
                    </a:prstGeom>
                    <a:noFill/>
                    <a:ln>
                      <a:noFill/>
                    </a:ln>
                  </pic:spPr>
                </pic:pic>
              </a:graphicData>
            </a:graphic>
          </wp:inline>
        </w:drawing>
      </w:r>
    </w:p>
    <w:p w14:paraId="48B9687C" w14:textId="77777777" w:rsidR="00550630" w:rsidRPr="000C71A6" w:rsidRDefault="00550630" w:rsidP="00906DFA">
      <w:pPr>
        <w:spacing w:after="0" w:line="276" w:lineRule="auto"/>
        <w:ind w:firstLine="0"/>
        <w:jc w:val="center"/>
        <w:rPr>
          <w:rFonts w:cs="Arial"/>
        </w:rPr>
      </w:pPr>
    </w:p>
    <w:p w14:paraId="48B9687D" w14:textId="77777777" w:rsidR="00550630" w:rsidRPr="000C71A6" w:rsidRDefault="00550630" w:rsidP="00906DFA">
      <w:pPr>
        <w:spacing w:after="0" w:line="276" w:lineRule="auto"/>
        <w:ind w:firstLine="0"/>
        <w:jc w:val="center"/>
        <w:rPr>
          <w:rFonts w:cs="Arial"/>
        </w:rPr>
      </w:pPr>
    </w:p>
    <w:p w14:paraId="48B9687E" w14:textId="77777777" w:rsidR="00550630" w:rsidRPr="000C71A6" w:rsidRDefault="00550630" w:rsidP="00906DFA">
      <w:pPr>
        <w:spacing w:after="0" w:line="276" w:lineRule="auto"/>
        <w:ind w:firstLine="0"/>
        <w:jc w:val="center"/>
        <w:rPr>
          <w:rFonts w:cs="Arial"/>
        </w:rPr>
      </w:pPr>
    </w:p>
    <w:p w14:paraId="48B9687F" w14:textId="77777777" w:rsidR="00550630" w:rsidRPr="000C71A6" w:rsidRDefault="00550630" w:rsidP="00906DFA">
      <w:pPr>
        <w:spacing w:after="0" w:line="276" w:lineRule="auto"/>
        <w:ind w:firstLine="0"/>
        <w:jc w:val="center"/>
        <w:rPr>
          <w:rFonts w:cs="Arial"/>
        </w:rPr>
      </w:pPr>
    </w:p>
    <w:p w14:paraId="48B96880" w14:textId="77777777" w:rsidR="00550630" w:rsidRPr="000B629D" w:rsidRDefault="00550630" w:rsidP="00906DFA">
      <w:pPr>
        <w:spacing w:after="0" w:line="276" w:lineRule="auto"/>
        <w:ind w:firstLine="0"/>
        <w:jc w:val="center"/>
        <w:rPr>
          <w:rFonts w:cs="Arial"/>
          <w:sz w:val="28"/>
          <w:szCs w:val="28"/>
          <w:lang w:val="pt-PT"/>
        </w:rPr>
      </w:pPr>
      <w:r w:rsidRPr="000B629D">
        <w:rPr>
          <w:rFonts w:cs="Arial"/>
          <w:sz w:val="28"/>
          <w:szCs w:val="28"/>
          <w:lang w:val="pt-PT"/>
        </w:rPr>
        <w:t>Relatório Final de Estágio</w:t>
      </w:r>
    </w:p>
    <w:p w14:paraId="48B96881" w14:textId="77777777" w:rsidR="00550630" w:rsidRPr="000B629D" w:rsidRDefault="00550630" w:rsidP="00906DFA">
      <w:pPr>
        <w:spacing w:after="0" w:line="276" w:lineRule="auto"/>
        <w:ind w:firstLine="0"/>
        <w:jc w:val="center"/>
        <w:rPr>
          <w:rFonts w:cs="Arial"/>
          <w:sz w:val="28"/>
          <w:szCs w:val="28"/>
          <w:lang w:val="pt-PT"/>
        </w:rPr>
      </w:pPr>
      <w:r w:rsidRPr="000B629D">
        <w:rPr>
          <w:rFonts w:cs="Arial"/>
          <w:sz w:val="28"/>
          <w:szCs w:val="28"/>
          <w:lang w:val="pt-PT"/>
        </w:rPr>
        <w:t>Mestrado Integrado em Medicina Veterinária</w:t>
      </w:r>
    </w:p>
    <w:p w14:paraId="48B96882" w14:textId="77777777" w:rsidR="00550630" w:rsidRPr="000B629D" w:rsidRDefault="00550630" w:rsidP="00906DFA">
      <w:pPr>
        <w:spacing w:after="0" w:line="276" w:lineRule="auto"/>
        <w:ind w:firstLine="0"/>
        <w:jc w:val="center"/>
        <w:rPr>
          <w:rFonts w:cs="Arial"/>
          <w:sz w:val="28"/>
          <w:szCs w:val="28"/>
          <w:lang w:val="pt-PT"/>
        </w:rPr>
      </w:pPr>
    </w:p>
    <w:p w14:paraId="48B96883" w14:textId="77777777" w:rsidR="00550630" w:rsidRPr="000B629D" w:rsidRDefault="00550630" w:rsidP="00906DFA">
      <w:pPr>
        <w:spacing w:after="0" w:line="276" w:lineRule="auto"/>
        <w:ind w:firstLine="0"/>
        <w:jc w:val="center"/>
        <w:rPr>
          <w:rFonts w:cs="Arial"/>
          <w:sz w:val="28"/>
          <w:szCs w:val="28"/>
          <w:lang w:val="pt-PT"/>
        </w:rPr>
      </w:pPr>
    </w:p>
    <w:p w14:paraId="48B96884" w14:textId="77777777" w:rsidR="00550630" w:rsidRPr="000B629D" w:rsidRDefault="00550630" w:rsidP="00906DFA">
      <w:pPr>
        <w:spacing w:after="0" w:line="276" w:lineRule="auto"/>
        <w:ind w:firstLine="0"/>
        <w:jc w:val="center"/>
        <w:rPr>
          <w:rFonts w:cs="Arial"/>
          <w:sz w:val="28"/>
          <w:szCs w:val="28"/>
          <w:lang w:val="pt-PT"/>
        </w:rPr>
      </w:pPr>
    </w:p>
    <w:p w14:paraId="48B96885" w14:textId="77777777" w:rsidR="00550630" w:rsidRPr="000B629D" w:rsidRDefault="00550630" w:rsidP="00906DFA">
      <w:pPr>
        <w:spacing w:after="0" w:line="276" w:lineRule="auto"/>
        <w:ind w:firstLine="0"/>
        <w:jc w:val="center"/>
        <w:rPr>
          <w:rFonts w:cs="Arial"/>
          <w:sz w:val="28"/>
          <w:szCs w:val="28"/>
          <w:lang w:val="pt-PT"/>
        </w:rPr>
      </w:pPr>
    </w:p>
    <w:p w14:paraId="48B96886" w14:textId="77777777" w:rsidR="00550630" w:rsidRPr="000B629D" w:rsidRDefault="00550630" w:rsidP="00906DFA">
      <w:pPr>
        <w:spacing w:after="0" w:line="276" w:lineRule="auto"/>
        <w:ind w:firstLine="0"/>
        <w:jc w:val="center"/>
        <w:rPr>
          <w:rFonts w:cs="Arial"/>
          <w:sz w:val="28"/>
          <w:szCs w:val="28"/>
          <w:lang w:val="pt-PT"/>
        </w:rPr>
      </w:pPr>
    </w:p>
    <w:p w14:paraId="48B96887" w14:textId="77777777" w:rsidR="00550630" w:rsidRPr="000B629D" w:rsidRDefault="00550630" w:rsidP="00906DFA">
      <w:pPr>
        <w:spacing w:after="0" w:line="276" w:lineRule="auto"/>
        <w:ind w:firstLine="0"/>
        <w:jc w:val="center"/>
        <w:rPr>
          <w:rFonts w:cs="Arial"/>
          <w:sz w:val="28"/>
          <w:szCs w:val="28"/>
          <w:lang w:val="pt-PT"/>
        </w:rPr>
      </w:pPr>
    </w:p>
    <w:p w14:paraId="48B96888" w14:textId="77777777" w:rsidR="00550630" w:rsidRPr="000B629D" w:rsidRDefault="00550630" w:rsidP="00906DFA">
      <w:pPr>
        <w:spacing w:after="0" w:line="276" w:lineRule="auto"/>
        <w:ind w:firstLine="0"/>
        <w:jc w:val="center"/>
        <w:rPr>
          <w:rFonts w:cs="Arial"/>
          <w:sz w:val="28"/>
          <w:szCs w:val="28"/>
          <w:lang w:val="pt-PT"/>
        </w:rPr>
      </w:pPr>
    </w:p>
    <w:p w14:paraId="65630246" w14:textId="6CEADFC5" w:rsidR="00FB7730" w:rsidRPr="00FB7730" w:rsidRDefault="003E2A28" w:rsidP="00906DFA">
      <w:pPr>
        <w:spacing w:after="0" w:line="276" w:lineRule="auto"/>
        <w:ind w:firstLine="0"/>
        <w:jc w:val="center"/>
        <w:rPr>
          <w:rFonts w:cs="Arial"/>
          <w:b/>
          <w:sz w:val="28"/>
          <w:szCs w:val="28"/>
        </w:rPr>
      </w:pPr>
      <w:r>
        <w:rPr>
          <w:rFonts w:cs="Arial"/>
          <w:b/>
          <w:sz w:val="28"/>
          <w:szCs w:val="28"/>
        </w:rPr>
        <w:t>Evaluation of the</w:t>
      </w:r>
      <w:r w:rsidRPr="00D15F0B">
        <w:rPr>
          <w:rFonts w:cs="Arial"/>
          <w:b/>
          <w:sz w:val="28"/>
          <w:szCs w:val="28"/>
        </w:rPr>
        <w:t xml:space="preserve"> immune response elicited in cattle through combined mucosal and systemic immunization with </w:t>
      </w:r>
      <w:r w:rsidRPr="00D15F0B">
        <w:rPr>
          <w:rFonts w:cs="Arial"/>
          <w:b/>
          <w:i/>
          <w:iCs/>
          <w:sz w:val="28"/>
          <w:szCs w:val="28"/>
        </w:rPr>
        <w:t>Neospora caninum</w:t>
      </w:r>
      <w:r w:rsidRPr="00D15F0B">
        <w:rPr>
          <w:rFonts w:cs="Arial"/>
          <w:b/>
          <w:sz w:val="28"/>
          <w:szCs w:val="28"/>
        </w:rPr>
        <w:t xml:space="preserve"> membrane antigens </w:t>
      </w:r>
    </w:p>
    <w:p w14:paraId="48B9688B" w14:textId="77777777" w:rsidR="00550630" w:rsidRPr="00D15F0B" w:rsidRDefault="00550630" w:rsidP="00906DFA">
      <w:pPr>
        <w:spacing w:after="0" w:line="276" w:lineRule="auto"/>
        <w:ind w:firstLine="0"/>
        <w:jc w:val="center"/>
        <w:rPr>
          <w:rFonts w:cs="Arial"/>
          <w:b/>
          <w:sz w:val="28"/>
          <w:szCs w:val="28"/>
        </w:rPr>
      </w:pPr>
    </w:p>
    <w:p w14:paraId="48B9688D" w14:textId="4DB08651" w:rsidR="00550630" w:rsidRDefault="00284C75" w:rsidP="00284C75">
      <w:pPr>
        <w:spacing w:after="0" w:line="276" w:lineRule="auto"/>
        <w:ind w:firstLine="0"/>
        <w:jc w:val="center"/>
        <w:rPr>
          <w:rFonts w:cs="Arial"/>
          <w:sz w:val="24"/>
          <w:szCs w:val="28"/>
          <w:lang w:val="pt-PT"/>
        </w:rPr>
      </w:pPr>
      <w:r>
        <w:rPr>
          <w:rFonts w:cs="Arial"/>
          <w:sz w:val="24"/>
          <w:szCs w:val="28"/>
          <w:lang w:val="pt-PT"/>
        </w:rPr>
        <w:t>Carolina Gomes Pinto</w:t>
      </w:r>
    </w:p>
    <w:p w14:paraId="081DA3A0" w14:textId="77777777" w:rsidR="00284C75" w:rsidRPr="000B629D" w:rsidRDefault="00284C75" w:rsidP="00284C75">
      <w:pPr>
        <w:spacing w:after="0" w:line="276" w:lineRule="auto"/>
        <w:ind w:firstLine="0"/>
        <w:jc w:val="center"/>
        <w:rPr>
          <w:rFonts w:cs="Arial"/>
          <w:sz w:val="24"/>
          <w:szCs w:val="28"/>
          <w:lang w:val="pt-PT"/>
        </w:rPr>
      </w:pPr>
    </w:p>
    <w:p w14:paraId="48B9688E" w14:textId="77777777" w:rsidR="00550630" w:rsidRPr="000B629D" w:rsidRDefault="00550630" w:rsidP="00906DFA">
      <w:pPr>
        <w:spacing w:after="0" w:line="276" w:lineRule="auto"/>
        <w:ind w:firstLine="0"/>
        <w:jc w:val="center"/>
        <w:rPr>
          <w:rFonts w:cs="Arial"/>
          <w:sz w:val="24"/>
          <w:szCs w:val="28"/>
          <w:lang w:val="pt-PT"/>
        </w:rPr>
      </w:pPr>
    </w:p>
    <w:p w14:paraId="48B9688F" w14:textId="77777777" w:rsidR="00550630" w:rsidRPr="000B629D" w:rsidRDefault="00550630" w:rsidP="00906DFA">
      <w:pPr>
        <w:spacing w:after="0" w:line="276" w:lineRule="auto"/>
        <w:ind w:firstLine="0"/>
        <w:jc w:val="center"/>
        <w:rPr>
          <w:rFonts w:cs="Arial"/>
          <w:sz w:val="24"/>
          <w:szCs w:val="28"/>
          <w:lang w:val="pt-PT"/>
        </w:rPr>
      </w:pPr>
    </w:p>
    <w:p w14:paraId="48B96890" w14:textId="77777777" w:rsidR="00550630" w:rsidRPr="000B629D" w:rsidRDefault="00550630" w:rsidP="00906DFA">
      <w:pPr>
        <w:spacing w:after="0" w:line="276" w:lineRule="auto"/>
        <w:ind w:firstLine="0"/>
        <w:jc w:val="center"/>
        <w:rPr>
          <w:rFonts w:cs="Arial"/>
          <w:sz w:val="24"/>
          <w:szCs w:val="28"/>
          <w:lang w:val="pt-PT"/>
        </w:rPr>
      </w:pPr>
    </w:p>
    <w:p w14:paraId="48B96891" w14:textId="77777777" w:rsidR="00550630" w:rsidRPr="000B629D" w:rsidRDefault="00550630" w:rsidP="00906DFA">
      <w:pPr>
        <w:spacing w:after="0" w:line="276" w:lineRule="auto"/>
        <w:ind w:firstLine="0"/>
        <w:jc w:val="center"/>
        <w:rPr>
          <w:rFonts w:cs="Arial"/>
          <w:sz w:val="24"/>
          <w:szCs w:val="28"/>
          <w:lang w:val="pt-PT"/>
        </w:rPr>
      </w:pPr>
    </w:p>
    <w:p w14:paraId="48B96892" w14:textId="77777777" w:rsidR="00550630" w:rsidRPr="000B629D" w:rsidRDefault="00550630" w:rsidP="00906DFA">
      <w:pPr>
        <w:spacing w:after="0" w:line="276" w:lineRule="auto"/>
        <w:ind w:firstLine="0"/>
        <w:jc w:val="center"/>
        <w:rPr>
          <w:rFonts w:cs="Arial"/>
          <w:sz w:val="24"/>
          <w:szCs w:val="28"/>
          <w:lang w:val="pt-PT"/>
        </w:rPr>
      </w:pPr>
    </w:p>
    <w:p w14:paraId="48B96893" w14:textId="77777777" w:rsidR="00550630" w:rsidRPr="000B629D" w:rsidRDefault="00550630" w:rsidP="00906DFA">
      <w:pPr>
        <w:spacing w:after="0" w:line="276" w:lineRule="auto"/>
        <w:ind w:firstLine="0"/>
        <w:jc w:val="center"/>
        <w:rPr>
          <w:rFonts w:cs="Arial"/>
          <w:sz w:val="24"/>
          <w:szCs w:val="28"/>
          <w:lang w:val="pt-PT"/>
        </w:rPr>
      </w:pPr>
    </w:p>
    <w:p w14:paraId="48B96894" w14:textId="77777777" w:rsidR="00550630" w:rsidRPr="000B629D" w:rsidRDefault="00550630" w:rsidP="00906DFA">
      <w:pPr>
        <w:spacing w:after="0" w:line="276" w:lineRule="auto"/>
        <w:ind w:firstLine="0"/>
        <w:rPr>
          <w:rFonts w:cs="Arial"/>
          <w:sz w:val="24"/>
          <w:szCs w:val="28"/>
          <w:lang w:val="pt-PT"/>
        </w:rPr>
      </w:pPr>
      <w:r w:rsidRPr="000B629D">
        <w:rPr>
          <w:rFonts w:cs="Arial"/>
          <w:b/>
          <w:sz w:val="24"/>
          <w:szCs w:val="28"/>
          <w:lang w:val="pt-PT"/>
        </w:rPr>
        <w:t xml:space="preserve">Orientadora: </w:t>
      </w:r>
      <w:r w:rsidRPr="000B629D">
        <w:rPr>
          <w:rFonts w:cs="Arial"/>
          <w:sz w:val="24"/>
          <w:szCs w:val="28"/>
          <w:lang w:val="pt-PT"/>
        </w:rPr>
        <w:t>Isabel Alexandra Duarte Ferreira Lopes Correia</w:t>
      </w:r>
    </w:p>
    <w:p w14:paraId="48B96895" w14:textId="77777777" w:rsidR="00550630" w:rsidRPr="000B629D" w:rsidRDefault="00550630" w:rsidP="00906DFA">
      <w:pPr>
        <w:spacing w:after="0" w:line="276" w:lineRule="auto"/>
        <w:ind w:firstLine="0"/>
        <w:rPr>
          <w:rFonts w:cs="Arial"/>
          <w:sz w:val="24"/>
          <w:szCs w:val="28"/>
          <w:lang w:val="pt-PT"/>
        </w:rPr>
      </w:pPr>
    </w:p>
    <w:p w14:paraId="48B96896" w14:textId="77777777" w:rsidR="00550630" w:rsidRPr="000B629D" w:rsidRDefault="00550630" w:rsidP="00906DFA">
      <w:pPr>
        <w:spacing w:after="0" w:line="276" w:lineRule="auto"/>
        <w:ind w:firstLine="0"/>
        <w:rPr>
          <w:rFonts w:cs="Arial"/>
          <w:sz w:val="24"/>
          <w:szCs w:val="28"/>
          <w:lang w:val="pt-PT"/>
        </w:rPr>
      </w:pPr>
      <w:r w:rsidRPr="000B629D">
        <w:rPr>
          <w:rFonts w:cs="Arial"/>
          <w:b/>
          <w:sz w:val="24"/>
          <w:szCs w:val="28"/>
          <w:lang w:val="pt-PT"/>
        </w:rPr>
        <w:t xml:space="preserve">Coorientadora: </w:t>
      </w:r>
      <w:r w:rsidRPr="000B629D">
        <w:rPr>
          <w:rFonts w:cs="Arial"/>
          <w:sz w:val="24"/>
          <w:szCs w:val="28"/>
          <w:lang w:val="pt-PT"/>
        </w:rPr>
        <w:t>Margarida Duarte Cerqueira Martins de Araújo</w:t>
      </w:r>
    </w:p>
    <w:p w14:paraId="48B96897" w14:textId="77777777" w:rsidR="00550630" w:rsidRPr="000B629D" w:rsidRDefault="00550630" w:rsidP="00906DFA">
      <w:pPr>
        <w:spacing w:after="0" w:line="276" w:lineRule="auto"/>
        <w:ind w:firstLine="0"/>
        <w:rPr>
          <w:rFonts w:cs="Arial"/>
          <w:sz w:val="24"/>
          <w:szCs w:val="28"/>
          <w:lang w:val="pt-PT"/>
        </w:rPr>
      </w:pPr>
    </w:p>
    <w:p w14:paraId="48B96898" w14:textId="77777777" w:rsidR="00550630" w:rsidRPr="000B629D" w:rsidRDefault="00550630" w:rsidP="00906DFA">
      <w:pPr>
        <w:spacing w:after="0" w:line="276" w:lineRule="auto"/>
        <w:ind w:firstLine="0"/>
        <w:rPr>
          <w:rFonts w:cs="Arial"/>
          <w:sz w:val="24"/>
          <w:szCs w:val="28"/>
          <w:lang w:val="pt-PT"/>
        </w:rPr>
      </w:pPr>
    </w:p>
    <w:p w14:paraId="48B96899" w14:textId="77777777" w:rsidR="00550630" w:rsidRPr="000B629D" w:rsidRDefault="00550630" w:rsidP="00906DFA">
      <w:pPr>
        <w:spacing w:after="0" w:line="276" w:lineRule="auto"/>
        <w:ind w:firstLine="0"/>
        <w:rPr>
          <w:rFonts w:cs="Arial"/>
          <w:sz w:val="24"/>
          <w:szCs w:val="28"/>
          <w:lang w:val="pt-PT"/>
        </w:rPr>
      </w:pPr>
    </w:p>
    <w:p w14:paraId="48B9689A" w14:textId="77777777" w:rsidR="00550630" w:rsidRPr="000B629D" w:rsidRDefault="00550630" w:rsidP="00906DFA">
      <w:pPr>
        <w:spacing w:after="0" w:line="276" w:lineRule="auto"/>
        <w:ind w:firstLine="0"/>
        <w:rPr>
          <w:rFonts w:cs="Arial"/>
          <w:sz w:val="24"/>
          <w:szCs w:val="28"/>
          <w:lang w:val="pt-PT"/>
        </w:rPr>
      </w:pPr>
    </w:p>
    <w:p w14:paraId="48B9689B" w14:textId="77777777" w:rsidR="00550630" w:rsidRPr="000B629D" w:rsidRDefault="00550630" w:rsidP="00906DFA">
      <w:pPr>
        <w:spacing w:after="0" w:line="276" w:lineRule="auto"/>
        <w:ind w:firstLine="0"/>
        <w:rPr>
          <w:rFonts w:cs="Arial"/>
          <w:sz w:val="24"/>
          <w:szCs w:val="28"/>
          <w:lang w:val="pt-PT"/>
        </w:rPr>
      </w:pPr>
    </w:p>
    <w:p w14:paraId="48B9689C" w14:textId="77777777" w:rsidR="00550630" w:rsidRPr="000B629D" w:rsidRDefault="00550630" w:rsidP="00906DFA">
      <w:pPr>
        <w:spacing w:after="0" w:line="276" w:lineRule="auto"/>
        <w:ind w:firstLine="0"/>
        <w:rPr>
          <w:rFonts w:cs="Arial"/>
          <w:sz w:val="24"/>
          <w:szCs w:val="28"/>
          <w:lang w:val="pt-PT"/>
        </w:rPr>
      </w:pPr>
    </w:p>
    <w:p w14:paraId="48B9689E" w14:textId="77777777" w:rsidR="00550630" w:rsidRPr="000B629D" w:rsidRDefault="00550630" w:rsidP="00906DFA">
      <w:pPr>
        <w:spacing w:after="0" w:line="276" w:lineRule="auto"/>
        <w:ind w:firstLine="0"/>
        <w:rPr>
          <w:rFonts w:cs="Arial"/>
          <w:sz w:val="24"/>
          <w:szCs w:val="28"/>
          <w:lang w:val="pt-PT"/>
        </w:rPr>
      </w:pPr>
    </w:p>
    <w:p w14:paraId="48B9689F" w14:textId="77777777" w:rsidR="00550630" w:rsidRPr="000B629D" w:rsidRDefault="00550630" w:rsidP="00906DFA">
      <w:pPr>
        <w:spacing w:after="0" w:line="276" w:lineRule="auto"/>
        <w:ind w:firstLine="0"/>
        <w:rPr>
          <w:rFonts w:cs="Arial"/>
          <w:sz w:val="24"/>
          <w:szCs w:val="28"/>
          <w:lang w:val="pt-PT"/>
        </w:rPr>
      </w:pPr>
    </w:p>
    <w:p w14:paraId="48B968A0" w14:textId="77777777" w:rsidR="00550630" w:rsidRPr="000C71A6" w:rsidRDefault="00550630" w:rsidP="00906DFA">
      <w:pPr>
        <w:spacing w:after="0" w:line="276" w:lineRule="auto"/>
        <w:ind w:firstLine="0"/>
        <w:jc w:val="center"/>
        <w:rPr>
          <w:rFonts w:cs="Arial"/>
          <w:b/>
          <w:sz w:val="24"/>
          <w:szCs w:val="28"/>
        </w:rPr>
      </w:pPr>
      <w:r w:rsidRPr="000C71A6">
        <w:rPr>
          <w:rFonts w:cs="Arial"/>
          <w:b/>
          <w:sz w:val="24"/>
          <w:szCs w:val="28"/>
        </w:rPr>
        <w:t>Porto, 2022</w:t>
      </w:r>
    </w:p>
    <w:p w14:paraId="48B968A1" w14:textId="77777777" w:rsidR="00550630" w:rsidRPr="000C71A6" w:rsidRDefault="00550630" w:rsidP="00906DFA">
      <w:pPr>
        <w:spacing w:after="0" w:line="276" w:lineRule="auto"/>
        <w:ind w:firstLine="0"/>
        <w:rPr>
          <w:rFonts w:cs="Arial"/>
        </w:rPr>
      </w:pPr>
      <w:r w:rsidRPr="000C71A6">
        <w:rPr>
          <w:rFonts w:cs="Arial"/>
          <w:noProof/>
          <w:lang w:val="pt-PT" w:eastAsia="pt-PT"/>
        </w:rPr>
        <w:lastRenderedPageBreak/>
        <w:drawing>
          <wp:inline distT="0" distB="0" distL="0" distR="0" wp14:anchorId="48B96997" wp14:editId="48B96998">
            <wp:extent cx="1964267" cy="8249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4900" cy="837846"/>
                    </a:xfrm>
                    <a:prstGeom prst="rect">
                      <a:avLst/>
                    </a:prstGeom>
                    <a:noFill/>
                    <a:ln>
                      <a:noFill/>
                    </a:ln>
                  </pic:spPr>
                </pic:pic>
              </a:graphicData>
            </a:graphic>
          </wp:inline>
        </w:drawing>
      </w:r>
    </w:p>
    <w:p w14:paraId="48B968A2" w14:textId="77777777" w:rsidR="00550630" w:rsidRPr="000C71A6" w:rsidRDefault="00550630" w:rsidP="00906DFA">
      <w:pPr>
        <w:spacing w:after="0" w:line="276" w:lineRule="auto"/>
        <w:ind w:firstLine="0"/>
        <w:jc w:val="center"/>
        <w:rPr>
          <w:rFonts w:cs="Arial"/>
        </w:rPr>
      </w:pPr>
    </w:p>
    <w:p w14:paraId="48B968A3" w14:textId="77777777" w:rsidR="00550630" w:rsidRPr="000C71A6" w:rsidRDefault="00550630" w:rsidP="00906DFA">
      <w:pPr>
        <w:spacing w:after="0" w:line="276" w:lineRule="auto"/>
        <w:ind w:firstLine="0"/>
        <w:jc w:val="center"/>
        <w:rPr>
          <w:rFonts w:cs="Arial"/>
        </w:rPr>
      </w:pPr>
    </w:p>
    <w:p w14:paraId="48B968A4" w14:textId="77777777" w:rsidR="00550630" w:rsidRPr="000C71A6" w:rsidRDefault="00550630" w:rsidP="00906DFA">
      <w:pPr>
        <w:spacing w:after="0" w:line="276" w:lineRule="auto"/>
        <w:ind w:firstLine="0"/>
        <w:jc w:val="center"/>
        <w:rPr>
          <w:rFonts w:cs="Arial"/>
        </w:rPr>
      </w:pPr>
    </w:p>
    <w:p w14:paraId="48B968A5" w14:textId="77777777" w:rsidR="00550630" w:rsidRPr="000C71A6" w:rsidRDefault="00550630" w:rsidP="00906DFA">
      <w:pPr>
        <w:spacing w:after="0" w:line="276" w:lineRule="auto"/>
        <w:ind w:firstLine="0"/>
        <w:jc w:val="center"/>
        <w:rPr>
          <w:rFonts w:cs="Arial"/>
        </w:rPr>
      </w:pPr>
    </w:p>
    <w:p w14:paraId="48B968A6" w14:textId="77777777" w:rsidR="00550630" w:rsidRPr="000B629D" w:rsidRDefault="00550630" w:rsidP="00906DFA">
      <w:pPr>
        <w:spacing w:after="0" w:line="276" w:lineRule="auto"/>
        <w:ind w:firstLine="0"/>
        <w:jc w:val="center"/>
        <w:rPr>
          <w:rFonts w:cs="Arial"/>
          <w:sz w:val="28"/>
          <w:szCs w:val="28"/>
          <w:lang w:val="pt-PT"/>
        </w:rPr>
      </w:pPr>
      <w:r w:rsidRPr="000B629D">
        <w:rPr>
          <w:rFonts w:cs="Arial"/>
          <w:sz w:val="28"/>
          <w:szCs w:val="28"/>
          <w:lang w:val="pt-PT"/>
        </w:rPr>
        <w:t>Relatório Final de Estágio</w:t>
      </w:r>
    </w:p>
    <w:p w14:paraId="48B968A7" w14:textId="77777777" w:rsidR="00550630" w:rsidRPr="000B629D" w:rsidRDefault="00550630" w:rsidP="00906DFA">
      <w:pPr>
        <w:spacing w:after="0" w:line="276" w:lineRule="auto"/>
        <w:ind w:firstLine="0"/>
        <w:jc w:val="center"/>
        <w:rPr>
          <w:rFonts w:cs="Arial"/>
          <w:sz w:val="28"/>
          <w:szCs w:val="28"/>
          <w:lang w:val="pt-PT"/>
        </w:rPr>
      </w:pPr>
      <w:r w:rsidRPr="000B629D">
        <w:rPr>
          <w:rFonts w:cs="Arial"/>
          <w:sz w:val="28"/>
          <w:szCs w:val="28"/>
          <w:lang w:val="pt-PT"/>
        </w:rPr>
        <w:t>Mestrado Integrado em Medicina Veterinária</w:t>
      </w:r>
    </w:p>
    <w:p w14:paraId="48B968A8" w14:textId="77777777" w:rsidR="00550630" w:rsidRPr="000B629D" w:rsidRDefault="00550630" w:rsidP="00906DFA">
      <w:pPr>
        <w:spacing w:after="0" w:line="276" w:lineRule="auto"/>
        <w:ind w:firstLine="0"/>
        <w:jc w:val="center"/>
        <w:rPr>
          <w:rFonts w:cs="Arial"/>
          <w:sz w:val="28"/>
          <w:szCs w:val="28"/>
          <w:lang w:val="pt-PT"/>
        </w:rPr>
      </w:pPr>
    </w:p>
    <w:p w14:paraId="48B968A9" w14:textId="77777777" w:rsidR="00550630" w:rsidRPr="000B629D" w:rsidRDefault="00550630" w:rsidP="00906DFA">
      <w:pPr>
        <w:spacing w:after="0" w:line="276" w:lineRule="auto"/>
        <w:ind w:firstLine="0"/>
        <w:jc w:val="center"/>
        <w:rPr>
          <w:rFonts w:cs="Arial"/>
          <w:sz w:val="28"/>
          <w:szCs w:val="28"/>
          <w:lang w:val="pt-PT"/>
        </w:rPr>
      </w:pPr>
    </w:p>
    <w:p w14:paraId="48B968AA" w14:textId="77777777" w:rsidR="00550630" w:rsidRPr="000B629D" w:rsidRDefault="00550630" w:rsidP="00906DFA">
      <w:pPr>
        <w:spacing w:after="0" w:line="276" w:lineRule="auto"/>
        <w:ind w:firstLine="0"/>
        <w:jc w:val="center"/>
        <w:rPr>
          <w:rFonts w:cs="Arial"/>
          <w:sz w:val="28"/>
          <w:szCs w:val="28"/>
          <w:lang w:val="pt-PT"/>
        </w:rPr>
      </w:pPr>
    </w:p>
    <w:p w14:paraId="48B968AB" w14:textId="77777777" w:rsidR="00550630" w:rsidRPr="000B629D" w:rsidRDefault="00550630" w:rsidP="00906DFA">
      <w:pPr>
        <w:spacing w:after="0" w:line="276" w:lineRule="auto"/>
        <w:ind w:firstLine="0"/>
        <w:jc w:val="center"/>
        <w:rPr>
          <w:rFonts w:cs="Arial"/>
          <w:sz w:val="28"/>
          <w:szCs w:val="28"/>
          <w:lang w:val="pt-PT"/>
        </w:rPr>
      </w:pPr>
    </w:p>
    <w:p w14:paraId="48B968AC" w14:textId="77777777" w:rsidR="00550630" w:rsidRPr="000B629D" w:rsidRDefault="00550630" w:rsidP="00906DFA">
      <w:pPr>
        <w:spacing w:after="0" w:line="276" w:lineRule="auto"/>
        <w:ind w:firstLine="0"/>
        <w:jc w:val="center"/>
        <w:rPr>
          <w:rFonts w:cs="Arial"/>
          <w:sz w:val="28"/>
          <w:szCs w:val="28"/>
          <w:lang w:val="pt-PT"/>
        </w:rPr>
      </w:pPr>
    </w:p>
    <w:p w14:paraId="48B968AD" w14:textId="77777777" w:rsidR="00550630" w:rsidRPr="000B629D" w:rsidRDefault="00550630" w:rsidP="00906DFA">
      <w:pPr>
        <w:spacing w:after="0" w:line="276" w:lineRule="auto"/>
        <w:ind w:firstLine="0"/>
        <w:jc w:val="center"/>
        <w:rPr>
          <w:rFonts w:cs="Arial"/>
          <w:sz w:val="28"/>
          <w:szCs w:val="28"/>
          <w:lang w:val="pt-PT"/>
        </w:rPr>
      </w:pPr>
    </w:p>
    <w:p w14:paraId="48B968AE" w14:textId="77777777" w:rsidR="00550630" w:rsidRPr="000B629D" w:rsidRDefault="00550630" w:rsidP="00906DFA">
      <w:pPr>
        <w:spacing w:after="0" w:line="276" w:lineRule="auto"/>
        <w:ind w:firstLine="0"/>
        <w:jc w:val="center"/>
        <w:rPr>
          <w:rFonts w:cs="Arial"/>
          <w:sz w:val="28"/>
          <w:szCs w:val="28"/>
          <w:lang w:val="pt-PT"/>
        </w:rPr>
      </w:pPr>
    </w:p>
    <w:p w14:paraId="7AB9757C" w14:textId="77777777" w:rsidR="00FB7730" w:rsidRPr="00D15F0B" w:rsidRDefault="00FB7730" w:rsidP="00FB7730">
      <w:pPr>
        <w:spacing w:after="0" w:line="276" w:lineRule="auto"/>
        <w:ind w:firstLine="0"/>
        <w:jc w:val="center"/>
        <w:rPr>
          <w:rFonts w:cs="Arial"/>
          <w:b/>
          <w:sz w:val="28"/>
          <w:szCs w:val="28"/>
        </w:rPr>
      </w:pPr>
      <w:r>
        <w:rPr>
          <w:rFonts w:cs="Arial"/>
          <w:b/>
          <w:sz w:val="28"/>
          <w:szCs w:val="28"/>
        </w:rPr>
        <w:t>Evaluation of the</w:t>
      </w:r>
      <w:r w:rsidRPr="00D15F0B">
        <w:rPr>
          <w:rFonts w:cs="Arial"/>
          <w:b/>
          <w:sz w:val="28"/>
          <w:szCs w:val="28"/>
        </w:rPr>
        <w:t xml:space="preserve"> immune response elicited in cattle through combined mucosal and systemic immunization with </w:t>
      </w:r>
      <w:r w:rsidRPr="00D15F0B">
        <w:rPr>
          <w:rFonts w:cs="Arial"/>
          <w:b/>
          <w:i/>
          <w:iCs/>
          <w:sz w:val="28"/>
          <w:szCs w:val="28"/>
        </w:rPr>
        <w:t>Neospora caninum</w:t>
      </w:r>
      <w:r w:rsidRPr="00D15F0B">
        <w:rPr>
          <w:rFonts w:cs="Arial"/>
          <w:b/>
          <w:sz w:val="28"/>
          <w:szCs w:val="28"/>
        </w:rPr>
        <w:t xml:space="preserve"> membrane antigens </w:t>
      </w:r>
    </w:p>
    <w:p w14:paraId="48B968B1" w14:textId="77777777" w:rsidR="00550630" w:rsidRPr="00C819CE" w:rsidRDefault="00550630" w:rsidP="00906DFA">
      <w:pPr>
        <w:spacing w:after="0" w:line="276" w:lineRule="auto"/>
        <w:ind w:firstLine="0"/>
        <w:jc w:val="center"/>
        <w:rPr>
          <w:rFonts w:cs="Arial"/>
          <w:b/>
          <w:sz w:val="28"/>
          <w:szCs w:val="28"/>
        </w:rPr>
      </w:pPr>
    </w:p>
    <w:p w14:paraId="48B968B2" w14:textId="77777777" w:rsidR="00550630" w:rsidRPr="000B629D" w:rsidRDefault="00550630" w:rsidP="00906DFA">
      <w:pPr>
        <w:spacing w:after="0" w:line="276" w:lineRule="auto"/>
        <w:ind w:firstLine="0"/>
        <w:jc w:val="center"/>
        <w:rPr>
          <w:rFonts w:cs="Arial"/>
          <w:sz w:val="24"/>
          <w:szCs w:val="28"/>
          <w:lang w:val="pt-PT"/>
        </w:rPr>
      </w:pPr>
      <w:r w:rsidRPr="000B629D">
        <w:rPr>
          <w:rFonts w:cs="Arial"/>
          <w:sz w:val="24"/>
          <w:szCs w:val="28"/>
          <w:lang w:val="pt-PT"/>
        </w:rPr>
        <w:t>Carolina Gomes Pinto</w:t>
      </w:r>
    </w:p>
    <w:p w14:paraId="48B968B3" w14:textId="77777777" w:rsidR="00550630" w:rsidRPr="000B629D" w:rsidRDefault="00550630" w:rsidP="00906DFA">
      <w:pPr>
        <w:spacing w:after="0" w:line="276" w:lineRule="auto"/>
        <w:ind w:firstLine="0"/>
        <w:jc w:val="center"/>
        <w:rPr>
          <w:rFonts w:cs="Arial"/>
          <w:sz w:val="24"/>
          <w:szCs w:val="28"/>
          <w:lang w:val="pt-PT"/>
        </w:rPr>
      </w:pPr>
    </w:p>
    <w:p w14:paraId="48B968B4" w14:textId="77777777" w:rsidR="00550630" w:rsidRPr="000B629D" w:rsidRDefault="00550630" w:rsidP="00906DFA">
      <w:pPr>
        <w:spacing w:after="0" w:line="276" w:lineRule="auto"/>
        <w:ind w:firstLine="0"/>
        <w:jc w:val="center"/>
        <w:rPr>
          <w:rFonts w:cs="Arial"/>
          <w:sz w:val="24"/>
          <w:szCs w:val="28"/>
          <w:lang w:val="pt-PT"/>
        </w:rPr>
      </w:pPr>
    </w:p>
    <w:p w14:paraId="48B968B5" w14:textId="77777777" w:rsidR="00550630" w:rsidRPr="000B629D" w:rsidRDefault="00550630" w:rsidP="00906DFA">
      <w:pPr>
        <w:spacing w:after="0" w:line="276" w:lineRule="auto"/>
        <w:ind w:firstLine="0"/>
        <w:jc w:val="center"/>
        <w:rPr>
          <w:rFonts w:cs="Arial"/>
          <w:sz w:val="24"/>
          <w:szCs w:val="28"/>
          <w:lang w:val="pt-PT"/>
        </w:rPr>
      </w:pPr>
    </w:p>
    <w:p w14:paraId="48B968B6" w14:textId="77777777" w:rsidR="00550630" w:rsidRPr="000B629D" w:rsidRDefault="00550630" w:rsidP="00906DFA">
      <w:pPr>
        <w:spacing w:after="0" w:line="276" w:lineRule="auto"/>
        <w:ind w:firstLine="0"/>
        <w:jc w:val="center"/>
        <w:rPr>
          <w:rFonts w:cs="Arial"/>
          <w:sz w:val="24"/>
          <w:szCs w:val="28"/>
          <w:lang w:val="pt-PT"/>
        </w:rPr>
      </w:pPr>
    </w:p>
    <w:p w14:paraId="48B968B7" w14:textId="77777777" w:rsidR="00550630" w:rsidRPr="000B629D" w:rsidRDefault="00550630" w:rsidP="00906DFA">
      <w:pPr>
        <w:spacing w:after="0" w:line="276" w:lineRule="auto"/>
        <w:ind w:firstLine="0"/>
        <w:jc w:val="center"/>
        <w:rPr>
          <w:rFonts w:cs="Arial"/>
          <w:sz w:val="24"/>
          <w:szCs w:val="28"/>
          <w:lang w:val="pt-PT"/>
        </w:rPr>
      </w:pPr>
    </w:p>
    <w:p w14:paraId="48B968B8" w14:textId="77777777" w:rsidR="00550630" w:rsidRPr="000B629D" w:rsidRDefault="00550630" w:rsidP="00906DFA">
      <w:pPr>
        <w:spacing w:after="0" w:line="276" w:lineRule="auto"/>
        <w:ind w:firstLine="0"/>
        <w:jc w:val="center"/>
        <w:rPr>
          <w:rFonts w:cs="Arial"/>
          <w:sz w:val="24"/>
          <w:szCs w:val="28"/>
          <w:lang w:val="pt-PT"/>
        </w:rPr>
      </w:pPr>
    </w:p>
    <w:p w14:paraId="48B968B9" w14:textId="77777777" w:rsidR="00550630" w:rsidRPr="000B629D" w:rsidRDefault="00550630" w:rsidP="00906DFA">
      <w:pPr>
        <w:spacing w:after="0" w:line="276" w:lineRule="auto"/>
        <w:ind w:firstLine="0"/>
        <w:jc w:val="center"/>
        <w:rPr>
          <w:rFonts w:cs="Arial"/>
          <w:sz w:val="24"/>
          <w:szCs w:val="28"/>
          <w:lang w:val="pt-PT"/>
        </w:rPr>
      </w:pPr>
    </w:p>
    <w:p w14:paraId="48B968BA" w14:textId="77777777" w:rsidR="00550630" w:rsidRPr="000B629D" w:rsidRDefault="00550630" w:rsidP="00906DFA">
      <w:pPr>
        <w:spacing w:after="0" w:line="276" w:lineRule="auto"/>
        <w:ind w:firstLine="0"/>
        <w:rPr>
          <w:rFonts w:cs="Arial"/>
          <w:sz w:val="24"/>
          <w:szCs w:val="28"/>
          <w:lang w:val="pt-PT"/>
        </w:rPr>
      </w:pPr>
      <w:r w:rsidRPr="000B629D">
        <w:rPr>
          <w:rFonts w:cs="Arial"/>
          <w:b/>
          <w:sz w:val="24"/>
          <w:szCs w:val="28"/>
          <w:lang w:val="pt-PT"/>
        </w:rPr>
        <w:t xml:space="preserve">Orientadora: </w:t>
      </w:r>
      <w:r w:rsidRPr="000B629D">
        <w:rPr>
          <w:rFonts w:cs="Arial"/>
          <w:sz w:val="24"/>
          <w:szCs w:val="28"/>
          <w:lang w:val="pt-PT"/>
        </w:rPr>
        <w:t>Isabel Alexandra Duarte Ferreira Lopes Correia</w:t>
      </w:r>
    </w:p>
    <w:p w14:paraId="48B968BB" w14:textId="77777777" w:rsidR="00550630" w:rsidRPr="000B629D" w:rsidRDefault="00550630" w:rsidP="00906DFA">
      <w:pPr>
        <w:spacing w:after="0" w:line="276" w:lineRule="auto"/>
        <w:ind w:firstLine="0"/>
        <w:rPr>
          <w:rFonts w:cs="Arial"/>
          <w:sz w:val="24"/>
          <w:szCs w:val="28"/>
          <w:lang w:val="pt-PT"/>
        </w:rPr>
      </w:pPr>
    </w:p>
    <w:p w14:paraId="48B968BC" w14:textId="77777777" w:rsidR="00550630" w:rsidRPr="000B629D" w:rsidRDefault="00550630" w:rsidP="00906DFA">
      <w:pPr>
        <w:spacing w:after="0" w:line="276" w:lineRule="auto"/>
        <w:ind w:firstLine="0"/>
        <w:rPr>
          <w:rFonts w:cs="Arial"/>
          <w:sz w:val="24"/>
          <w:szCs w:val="28"/>
          <w:lang w:val="pt-PT"/>
        </w:rPr>
      </w:pPr>
      <w:r w:rsidRPr="000B629D">
        <w:rPr>
          <w:rFonts w:cs="Arial"/>
          <w:b/>
          <w:sz w:val="24"/>
          <w:szCs w:val="28"/>
          <w:lang w:val="pt-PT"/>
        </w:rPr>
        <w:t xml:space="preserve">Coorientadora: </w:t>
      </w:r>
      <w:r w:rsidRPr="000B629D">
        <w:rPr>
          <w:rFonts w:cs="Arial"/>
          <w:sz w:val="24"/>
          <w:szCs w:val="28"/>
          <w:lang w:val="pt-PT"/>
        </w:rPr>
        <w:t>Margarida Duarte Cerqueira Martins de Araújo</w:t>
      </w:r>
    </w:p>
    <w:p w14:paraId="48B968BD" w14:textId="77777777" w:rsidR="00550630" w:rsidRPr="000B629D" w:rsidRDefault="00550630" w:rsidP="00906DFA">
      <w:pPr>
        <w:spacing w:after="0" w:line="276" w:lineRule="auto"/>
        <w:ind w:firstLine="0"/>
        <w:rPr>
          <w:rFonts w:cs="Arial"/>
          <w:sz w:val="24"/>
          <w:szCs w:val="28"/>
          <w:lang w:val="pt-PT"/>
        </w:rPr>
      </w:pPr>
    </w:p>
    <w:p w14:paraId="48B968BE" w14:textId="77777777" w:rsidR="00550630" w:rsidRPr="000B629D" w:rsidRDefault="00550630" w:rsidP="00906DFA">
      <w:pPr>
        <w:spacing w:after="0" w:line="276" w:lineRule="auto"/>
        <w:ind w:firstLine="0"/>
        <w:rPr>
          <w:rFonts w:cs="Arial"/>
          <w:sz w:val="24"/>
          <w:szCs w:val="28"/>
          <w:lang w:val="pt-PT"/>
        </w:rPr>
      </w:pPr>
    </w:p>
    <w:p w14:paraId="48B968BF" w14:textId="77777777" w:rsidR="00550630" w:rsidRPr="000B629D" w:rsidRDefault="00550630" w:rsidP="00906DFA">
      <w:pPr>
        <w:spacing w:after="0" w:line="276" w:lineRule="auto"/>
        <w:ind w:firstLine="0"/>
        <w:rPr>
          <w:rFonts w:cs="Arial"/>
          <w:sz w:val="24"/>
          <w:szCs w:val="28"/>
          <w:lang w:val="pt-PT"/>
        </w:rPr>
      </w:pPr>
    </w:p>
    <w:p w14:paraId="48B968C0" w14:textId="77777777" w:rsidR="00550630" w:rsidRPr="000B629D" w:rsidRDefault="00550630" w:rsidP="00906DFA">
      <w:pPr>
        <w:spacing w:after="0" w:line="276" w:lineRule="auto"/>
        <w:ind w:firstLine="0"/>
        <w:rPr>
          <w:rFonts w:cs="Arial"/>
          <w:sz w:val="24"/>
          <w:szCs w:val="28"/>
          <w:lang w:val="pt-PT"/>
        </w:rPr>
      </w:pPr>
    </w:p>
    <w:p w14:paraId="48B968C1" w14:textId="77777777" w:rsidR="00550630" w:rsidRPr="000B629D" w:rsidRDefault="00550630" w:rsidP="00906DFA">
      <w:pPr>
        <w:spacing w:after="0" w:line="276" w:lineRule="auto"/>
        <w:ind w:firstLine="0"/>
        <w:rPr>
          <w:rFonts w:cs="Arial"/>
          <w:sz w:val="24"/>
          <w:szCs w:val="28"/>
          <w:lang w:val="pt-PT"/>
        </w:rPr>
      </w:pPr>
    </w:p>
    <w:p w14:paraId="48B968C2" w14:textId="77777777" w:rsidR="00550630" w:rsidRPr="000B629D" w:rsidRDefault="00550630" w:rsidP="00906DFA">
      <w:pPr>
        <w:spacing w:after="0" w:line="276" w:lineRule="auto"/>
        <w:ind w:firstLine="0"/>
        <w:rPr>
          <w:rFonts w:cs="Arial"/>
          <w:sz w:val="24"/>
          <w:szCs w:val="28"/>
          <w:lang w:val="pt-PT"/>
        </w:rPr>
      </w:pPr>
    </w:p>
    <w:p w14:paraId="48B968C3" w14:textId="77777777" w:rsidR="00550630" w:rsidRPr="000B629D" w:rsidRDefault="00550630" w:rsidP="00906DFA">
      <w:pPr>
        <w:spacing w:after="0" w:line="276" w:lineRule="auto"/>
        <w:ind w:firstLine="0"/>
        <w:rPr>
          <w:rFonts w:cs="Arial"/>
          <w:sz w:val="24"/>
          <w:szCs w:val="28"/>
          <w:lang w:val="pt-PT"/>
        </w:rPr>
      </w:pPr>
    </w:p>
    <w:p w14:paraId="48B968C4" w14:textId="77777777" w:rsidR="00550630" w:rsidRPr="000B629D" w:rsidRDefault="00550630" w:rsidP="00906DFA">
      <w:pPr>
        <w:spacing w:after="0" w:line="276" w:lineRule="auto"/>
        <w:ind w:firstLine="0"/>
        <w:rPr>
          <w:rFonts w:cs="Arial"/>
          <w:sz w:val="24"/>
          <w:szCs w:val="28"/>
          <w:lang w:val="pt-PT"/>
        </w:rPr>
      </w:pPr>
    </w:p>
    <w:p w14:paraId="48B968C7" w14:textId="4F16832B" w:rsidR="00550630" w:rsidRPr="000B629D" w:rsidRDefault="00550630" w:rsidP="004228AB">
      <w:pPr>
        <w:spacing w:after="0" w:line="276" w:lineRule="auto"/>
        <w:ind w:firstLine="0"/>
        <w:jc w:val="center"/>
        <w:rPr>
          <w:rFonts w:cs="Arial"/>
          <w:b/>
          <w:sz w:val="24"/>
          <w:szCs w:val="28"/>
          <w:lang w:val="pt-PT"/>
        </w:rPr>
      </w:pPr>
      <w:r w:rsidRPr="000B629D">
        <w:rPr>
          <w:rFonts w:cs="Arial"/>
          <w:b/>
          <w:sz w:val="24"/>
          <w:szCs w:val="28"/>
          <w:lang w:val="pt-PT"/>
        </w:rPr>
        <w:t>Porto, 2022</w:t>
      </w:r>
    </w:p>
    <w:p w14:paraId="48B968C9" w14:textId="4CFE40AB" w:rsidR="00550630" w:rsidRPr="000B629D" w:rsidRDefault="00727D10" w:rsidP="003946C3">
      <w:pPr>
        <w:spacing w:before="480" w:after="240"/>
        <w:ind w:firstLine="0"/>
        <w:jc w:val="left"/>
        <w:rPr>
          <w:lang w:val="pt-PT"/>
        </w:rPr>
      </w:pPr>
      <w:bookmarkStart w:id="1" w:name="_Toc111229783"/>
      <w:bookmarkStart w:id="2" w:name="_Toc111229821"/>
      <w:r w:rsidRPr="000B629D">
        <w:rPr>
          <w:b/>
          <w:sz w:val="28"/>
          <w:szCs w:val="28"/>
          <w:lang w:val="pt-PT"/>
        </w:rPr>
        <w:lastRenderedPageBreak/>
        <w:t>Resumo</w:t>
      </w:r>
      <w:bookmarkEnd w:id="1"/>
      <w:bookmarkEnd w:id="2"/>
    </w:p>
    <w:p w14:paraId="4E6D82BE" w14:textId="6A4D30B1" w:rsidR="00EB4116" w:rsidRDefault="00E14B85" w:rsidP="006F6BBC">
      <w:pPr>
        <w:ind w:firstLine="708"/>
        <w:rPr>
          <w:lang w:val="pt-PT"/>
        </w:rPr>
      </w:pPr>
      <w:r w:rsidRPr="00E14B85">
        <w:rPr>
          <w:i/>
          <w:lang w:val="pt-PT"/>
        </w:rPr>
        <w:t xml:space="preserve">Neospora caninum </w:t>
      </w:r>
      <w:r w:rsidRPr="00E14B85">
        <w:rPr>
          <w:lang w:val="pt-PT"/>
        </w:rPr>
        <w:t xml:space="preserve">é um protozoário </w:t>
      </w:r>
      <w:r>
        <w:rPr>
          <w:lang w:val="pt-PT"/>
        </w:rPr>
        <w:t>intracelular obrigatório que está na origem d</w:t>
      </w:r>
      <w:r w:rsidR="008A6622">
        <w:rPr>
          <w:lang w:val="pt-PT"/>
        </w:rPr>
        <w:t>a doença</w:t>
      </w:r>
      <w:r w:rsidR="00AE078B">
        <w:rPr>
          <w:lang w:val="pt-PT"/>
        </w:rPr>
        <w:t xml:space="preserve"> </w:t>
      </w:r>
      <w:r>
        <w:rPr>
          <w:lang w:val="pt-PT"/>
        </w:rPr>
        <w:t xml:space="preserve">neosporose. </w:t>
      </w:r>
      <w:r w:rsidR="00CB43F5">
        <w:rPr>
          <w:lang w:val="pt-PT"/>
        </w:rPr>
        <w:t xml:space="preserve">Os bovinos são hospedeiros intermediários do parasita que se destacam </w:t>
      </w:r>
      <w:r w:rsidR="006F6BBC">
        <w:rPr>
          <w:lang w:val="pt-PT"/>
        </w:rPr>
        <w:t>pela</w:t>
      </w:r>
      <w:r>
        <w:rPr>
          <w:lang w:val="pt-PT"/>
        </w:rPr>
        <w:t xml:space="preserve"> imp</w:t>
      </w:r>
      <w:r w:rsidR="00992F65">
        <w:rPr>
          <w:lang w:val="pt-PT"/>
        </w:rPr>
        <w:t xml:space="preserve">ortância </w:t>
      </w:r>
      <w:r w:rsidR="006F6BBC">
        <w:rPr>
          <w:lang w:val="pt-PT"/>
        </w:rPr>
        <w:t>d</w:t>
      </w:r>
      <w:r w:rsidR="00992F65">
        <w:rPr>
          <w:lang w:val="pt-PT"/>
        </w:rPr>
        <w:t xml:space="preserve">a doença clínica </w:t>
      </w:r>
      <w:r>
        <w:rPr>
          <w:lang w:val="pt-PT"/>
        </w:rPr>
        <w:t>nesta espécie.</w:t>
      </w:r>
      <w:r w:rsidR="00A83118">
        <w:rPr>
          <w:lang w:val="pt-PT"/>
        </w:rPr>
        <w:t xml:space="preserve"> </w:t>
      </w:r>
      <w:r w:rsidR="00536E06" w:rsidRPr="00536E06">
        <w:rPr>
          <w:lang w:val="pt-PT"/>
        </w:rPr>
        <w:t xml:space="preserve">Quando os bovinos são infetados, o parasita dissemina-se extensivamente antes de </w:t>
      </w:r>
      <w:r w:rsidR="000352E3">
        <w:rPr>
          <w:lang w:val="pt-PT"/>
        </w:rPr>
        <w:t>enquistar</w:t>
      </w:r>
      <w:r w:rsidR="00536E06" w:rsidRPr="00536E06">
        <w:rPr>
          <w:lang w:val="pt-PT"/>
        </w:rPr>
        <w:t xml:space="preserve"> e ser estabelecida uma infeção crónica. Os animais infetados sofrem aborto frequentemente e </w:t>
      </w:r>
      <w:r w:rsidR="00536E06" w:rsidRPr="006F6BBC">
        <w:rPr>
          <w:i/>
          <w:iCs/>
          <w:lang w:val="pt-PT"/>
        </w:rPr>
        <w:t>N. caninum</w:t>
      </w:r>
      <w:r w:rsidR="00536E06" w:rsidRPr="00536E06">
        <w:rPr>
          <w:lang w:val="pt-PT"/>
        </w:rPr>
        <w:t xml:space="preserve"> pode ser transmitido à descendência durante a gestação. Dado o </w:t>
      </w:r>
      <w:r w:rsidR="006F6BBC">
        <w:rPr>
          <w:lang w:val="pt-PT"/>
        </w:rPr>
        <w:t>elevado</w:t>
      </w:r>
      <w:r w:rsidR="00536E06" w:rsidRPr="00536E06">
        <w:rPr>
          <w:lang w:val="pt-PT"/>
        </w:rPr>
        <w:t xml:space="preserve"> impacto económico da doença, as medidas preventivas são essenciais. </w:t>
      </w:r>
      <w:r w:rsidR="00954BEF">
        <w:rPr>
          <w:lang w:val="pt-PT"/>
        </w:rPr>
        <w:t>A</w:t>
      </w:r>
      <w:r w:rsidR="00536E06" w:rsidRPr="00536E06">
        <w:rPr>
          <w:lang w:val="pt-PT"/>
        </w:rPr>
        <w:t xml:space="preserve"> vacinação é considerada a medida mais </w:t>
      </w:r>
      <w:r w:rsidR="00834FCE">
        <w:rPr>
          <w:lang w:val="pt-PT"/>
        </w:rPr>
        <w:t>rentável</w:t>
      </w:r>
      <w:r w:rsidR="00954BEF">
        <w:rPr>
          <w:lang w:val="pt-PT"/>
        </w:rPr>
        <w:t>, c</w:t>
      </w:r>
      <w:r w:rsidR="00536E06">
        <w:rPr>
          <w:lang w:val="pt-PT"/>
        </w:rPr>
        <w:t xml:space="preserve">ontudo, </w:t>
      </w:r>
      <w:r w:rsidR="00180BCB">
        <w:rPr>
          <w:lang w:val="pt-PT"/>
        </w:rPr>
        <w:t>não existe</w:t>
      </w:r>
      <w:r w:rsidR="000352E3">
        <w:rPr>
          <w:lang w:val="pt-PT"/>
        </w:rPr>
        <w:t>m</w:t>
      </w:r>
      <w:r w:rsidR="00180BCB">
        <w:rPr>
          <w:lang w:val="pt-PT"/>
        </w:rPr>
        <w:t xml:space="preserve"> </w:t>
      </w:r>
      <w:r w:rsidR="00536E06">
        <w:rPr>
          <w:lang w:val="pt-PT"/>
        </w:rPr>
        <w:t xml:space="preserve">atualmente </w:t>
      </w:r>
      <w:r w:rsidR="00180BCB">
        <w:rPr>
          <w:lang w:val="pt-PT"/>
        </w:rPr>
        <w:t>vacina</w:t>
      </w:r>
      <w:r w:rsidR="000352E3">
        <w:rPr>
          <w:lang w:val="pt-PT"/>
        </w:rPr>
        <w:t>s</w:t>
      </w:r>
      <w:r w:rsidR="00180BCB">
        <w:rPr>
          <w:lang w:val="pt-PT"/>
        </w:rPr>
        <w:t xml:space="preserve"> </w:t>
      </w:r>
      <w:r w:rsidR="000352E3">
        <w:rPr>
          <w:lang w:val="pt-PT"/>
        </w:rPr>
        <w:t xml:space="preserve">comerciais </w:t>
      </w:r>
      <w:r w:rsidR="00180BCB">
        <w:rPr>
          <w:lang w:val="pt-PT"/>
        </w:rPr>
        <w:t>disponíve</w:t>
      </w:r>
      <w:r w:rsidR="000352E3">
        <w:rPr>
          <w:lang w:val="pt-PT"/>
        </w:rPr>
        <w:t>is</w:t>
      </w:r>
      <w:r w:rsidR="00A64CB8">
        <w:rPr>
          <w:lang w:val="pt-PT"/>
        </w:rPr>
        <w:t xml:space="preserve">. </w:t>
      </w:r>
    </w:p>
    <w:p w14:paraId="6BE8E591" w14:textId="4A5190DE" w:rsidR="00992F65" w:rsidRPr="00A83118" w:rsidRDefault="00D96A1F" w:rsidP="00F61668">
      <w:pPr>
        <w:rPr>
          <w:lang w:val="pt-PT"/>
        </w:rPr>
      </w:pPr>
      <w:r>
        <w:rPr>
          <w:lang w:val="pt-PT"/>
        </w:rPr>
        <w:t>Neste trabalho</w:t>
      </w:r>
      <w:r w:rsidR="00992F65">
        <w:rPr>
          <w:lang w:val="pt-PT"/>
        </w:rPr>
        <w:t>, pretende</w:t>
      </w:r>
      <w:r>
        <w:rPr>
          <w:lang w:val="pt-PT"/>
        </w:rPr>
        <w:t>u-se</w:t>
      </w:r>
      <w:r w:rsidR="00992F65">
        <w:rPr>
          <w:lang w:val="pt-PT"/>
        </w:rPr>
        <w:t xml:space="preserve"> </w:t>
      </w:r>
      <w:r w:rsidR="00D15F0B">
        <w:rPr>
          <w:lang w:val="pt-PT"/>
        </w:rPr>
        <w:t xml:space="preserve">estudar a resposta </w:t>
      </w:r>
      <w:r w:rsidR="000D0742">
        <w:rPr>
          <w:lang w:val="pt-PT"/>
        </w:rPr>
        <w:t>imunitária</w:t>
      </w:r>
      <w:r>
        <w:rPr>
          <w:lang w:val="pt-PT"/>
        </w:rPr>
        <w:t xml:space="preserve"> e</w:t>
      </w:r>
      <w:r w:rsidR="00D15F0B">
        <w:rPr>
          <w:lang w:val="pt-PT"/>
        </w:rPr>
        <w:t xml:space="preserve"> proteção</w:t>
      </w:r>
      <w:r w:rsidR="00FB7730">
        <w:rPr>
          <w:lang w:val="pt-PT"/>
        </w:rPr>
        <w:t xml:space="preserve"> do hospedeiro contra a infeção </w:t>
      </w:r>
      <w:r w:rsidR="000D0742">
        <w:rPr>
          <w:lang w:val="pt-PT"/>
        </w:rPr>
        <w:t>com</w:t>
      </w:r>
      <w:r w:rsidR="00FB7730">
        <w:rPr>
          <w:lang w:val="pt-PT"/>
        </w:rPr>
        <w:t xml:space="preserve"> </w:t>
      </w:r>
      <w:r w:rsidR="00FB7730">
        <w:rPr>
          <w:i/>
          <w:lang w:val="pt-PT"/>
        </w:rPr>
        <w:t>N. caninum</w:t>
      </w:r>
      <w:r w:rsidR="00D15F0B">
        <w:rPr>
          <w:lang w:val="pt-PT"/>
        </w:rPr>
        <w:t>,</w:t>
      </w:r>
      <w:r w:rsidR="00992F65">
        <w:rPr>
          <w:lang w:val="pt-PT"/>
        </w:rPr>
        <w:t xml:space="preserve"> </w:t>
      </w:r>
      <w:r>
        <w:rPr>
          <w:lang w:val="pt-PT"/>
        </w:rPr>
        <w:t>resultantes de</w:t>
      </w:r>
      <w:r w:rsidR="00992F65">
        <w:rPr>
          <w:lang w:val="pt-PT"/>
        </w:rPr>
        <w:t xml:space="preserve"> uma vacina </w:t>
      </w:r>
      <w:r w:rsidR="00FE315E">
        <w:rPr>
          <w:lang w:val="pt-PT"/>
        </w:rPr>
        <w:t xml:space="preserve">contra a neosporose bovina </w:t>
      </w:r>
      <w:r w:rsidR="004228AB">
        <w:rPr>
          <w:lang w:val="pt-PT"/>
        </w:rPr>
        <w:t xml:space="preserve">que </w:t>
      </w:r>
      <w:r w:rsidR="00FC21FE">
        <w:rPr>
          <w:lang w:val="pt-PT"/>
        </w:rPr>
        <w:t>está a ser</w:t>
      </w:r>
      <w:r w:rsidR="00992F65">
        <w:rPr>
          <w:lang w:val="pt-PT"/>
        </w:rPr>
        <w:t xml:space="preserve"> </w:t>
      </w:r>
      <w:r w:rsidR="00FC21FE">
        <w:rPr>
          <w:lang w:val="pt-PT"/>
        </w:rPr>
        <w:t xml:space="preserve">desenvolvida </w:t>
      </w:r>
      <w:r w:rsidR="00992F65">
        <w:rPr>
          <w:lang w:val="pt-PT"/>
        </w:rPr>
        <w:t>pelo grupo de Imunobiologia.</w:t>
      </w:r>
    </w:p>
    <w:p w14:paraId="0ACE492D" w14:textId="040F9461" w:rsidR="005C6003" w:rsidRPr="00C5068C" w:rsidRDefault="007C5C22" w:rsidP="005C6003">
      <w:pPr>
        <w:rPr>
          <w:bCs/>
          <w:lang w:val="pt-PT"/>
        </w:rPr>
      </w:pPr>
      <w:r>
        <w:rPr>
          <w:bCs/>
          <w:lang w:val="pt-PT"/>
        </w:rPr>
        <w:t>Vitelas Holstein-Friesian</w:t>
      </w:r>
      <w:r w:rsidRPr="00426903">
        <w:rPr>
          <w:bCs/>
          <w:lang w:val="pt-PT"/>
        </w:rPr>
        <w:t xml:space="preserve"> </w:t>
      </w:r>
      <w:r w:rsidR="005C6003" w:rsidRPr="00C5068C">
        <w:rPr>
          <w:bCs/>
          <w:lang w:val="pt-PT"/>
        </w:rPr>
        <w:t>foram imunizad</w:t>
      </w:r>
      <w:r>
        <w:rPr>
          <w:bCs/>
          <w:lang w:val="pt-PT"/>
        </w:rPr>
        <w:t>a</w:t>
      </w:r>
      <w:r w:rsidR="005C6003" w:rsidRPr="00C5068C">
        <w:rPr>
          <w:bCs/>
          <w:lang w:val="pt-PT"/>
        </w:rPr>
        <w:t xml:space="preserve">s </w:t>
      </w:r>
      <w:r>
        <w:rPr>
          <w:bCs/>
          <w:lang w:val="pt-PT"/>
        </w:rPr>
        <w:t>com</w:t>
      </w:r>
      <w:r w:rsidR="005C6003" w:rsidRPr="00C5068C">
        <w:rPr>
          <w:bCs/>
          <w:lang w:val="pt-PT"/>
        </w:rPr>
        <w:t xml:space="preserve"> uma combinação de administrações subcutâneas e intranasa</w:t>
      </w:r>
      <w:r>
        <w:rPr>
          <w:bCs/>
          <w:lang w:val="pt-PT"/>
        </w:rPr>
        <w:t>l</w:t>
      </w:r>
      <w:r w:rsidR="005C6003" w:rsidRPr="00C5068C">
        <w:rPr>
          <w:bCs/>
          <w:lang w:val="pt-PT"/>
        </w:rPr>
        <w:t xml:space="preserve"> de proteínas de membrana de </w:t>
      </w:r>
      <w:r w:rsidR="005C6003" w:rsidRPr="00C5068C">
        <w:rPr>
          <w:bCs/>
          <w:i/>
          <w:iCs/>
          <w:lang w:val="pt-PT"/>
        </w:rPr>
        <w:t>N. caninum</w:t>
      </w:r>
      <w:r w:rsidR="005C6003" w:rsidRPr="00C5068C">
        <w:rPr>
          <w:bCs/>
          <w:lang w:val="pt-PT"/>
        </w:rPr>
        <w:t xml:space="preserve"> (NcMP) </w:t>
      </w:r>
      <w:r>
        <w:rPr>
          <w:bCs/>
          <w:lang w:val="pt-PT"/>
        </w:rPr>
        <w:t>e os</w:t>
      </w:r>
      <w:r w:rsidR="005C6003" w:rsidRPr="00C5068C">
        <w:rPr>
          <w:bCs/>
          <w:lang w:val="pt-PT"/>
        </w:rPr>
        <w:t xml:space="preserve"> adjuvantes CpG e Resiquimod. O adjuvante Carbigen™ foi adicionalmente incluído na administração intranasal. </w:t>
      </w:r>
      <w:r>
        <w:rPr>
          <w:bCs/>
          <w:lang w:val="pt-PT"/>
        </w:rPr>
        <w:t>A</w:t>
      </w:r>
      <w:r w:rsidR="005C6003" w:rsidRPr="00C5068C">
        <w:rPr>
          <w:bCs/>
          <w:lang w:val="pt-PT"/>
        </w:rPr>
        <w:t>s vitel</w:t>
      </w:r>
      <w:r>
        <w:rPr>
          <w:bCs/>
          <w:lang w:val="pt-PT"/>
        </w:rPr>
        <w:t>as</w:t>
      </w:r>
      <w:r w:rsidR="005C6003" w:rsidRPr="00C5068C">
        <w:rPr>
          <w:bCs/>
          <w:lang w:val="pt-PT"/>
        </w:rPr>
        <w:t xml:space="preserve"> controlo </w:t>
      </w:r>
      <w:r w:rsidR="00954BEF">
        <w:rPr>
          <w:bCs/>
          <w:lang w:val="pt-PT"/>
        </w:rPr>
        <w:t>receberam</w:t>
      </w:r>
      <w:r w:rsidR="005C6003" w:rsidRPr="00C5068C">
        <w:rPr>
          <w:bCs/>
          <w:lang w:val="pt-PT"/>
        </w:rPr>
        <w:t xml:space="preserve"> apenas os adjuvantes.</w:t>
      </w:r>
    </w:p>
    <w:p w14:paraId="26D9E704" w14:textId="5CB893E9" w:rsidR="005C6003" w:rsidRPr="00C5068C" w:rsidRDefault="007C5C22" w:rsidP="00A64CB8">
      <w:pPr>
        <w:rPr>
          <w:bCs/>
          <w:lang w:val="pt-PT"/>
        </w:rPr>
      </w:pPr>
      <w:r>
        <w:rPr>
          <w:bCs/>
          <w:lang w:val="pt-PT"/>
        </w:rPr>
        <w:t xml:space="preserve">As vitelas </w:t>
      </w:r>
      <w:r w:rsidR="005C6003" w:rsidRPr="00C5068C">
        <w:rPr>
          <w:bCs/>
          <w:lang w:val="pt-PT"/>
        </w:rPr>
        <w:t>imunizad</w:t>
      </w:r>
      <w:r>
        <w:rPr>
          <w:bCs/>
          <w:lang w:val="pt-PT"/>
        </w:rPr>
        <w:t>a</w:t>
      </w:r>
      <w:r w:rsidR="005C6003" w:rsidRPr="00C5068C">
        <w:rPr>
          <w:bCs/>
          <w:lang w:val="pt-PT"/>
        </w:rPr>
        <w:t xml:space="preserve">s apresentaram níveis elevados de </w:t>
      </w:r>
      <w:r w:rsidR="008A11F6">
        <w:rPr>
          <w:bCs/>
          <w:lang w:val="pt-PT"/>
        </w:rPr>
        <w:t>IgG e IgG1</w:t>
      </w:r>
      <w:r w:rsidR="005C6003" w:rsidRPr="00C5068C">
        <w:rPr>
          <w:bCs/>
          <w:lang w:val="pt-PT"/>
        </w:rPr>
        <w:t xml:space="preserve"> </w:t>
      </w:r>
      <w:r w:rsidRPr="009C0DB2">
        <w:rPr>
          <w:bCs/>
          <w:lang w:val="pt-PT"/>
        </w:rPr>
        <w:t>específicos</w:t>
      </w:r>
      <w:r w:rsidRPr="007C5C22">
        <w:rPr>
          <w:bCs/>
          <w:lang w:val="pt-PT"/>
        </w:rPr>
        <w:t xml:space="preserve"> </w:t>
      </w:r>
      <w:r>
        <w:rPr>
          <w:bCs/>
          <w:lang w:val="pt-PT"/>
        </w:rPr>
        <w:t xml:space="preserve">para o </w:t>
      </w:r>
      <w:r w:rsidR="005C6003" w:rsidRPr="00C5068C">
        <w:rPr>
          <w:bCs/>
          <w:lang w:val="pt-PT"/>
        </w:rPr>
        <w:t xml:space="preserve">parasita, que aumentaram após a infeção </w:t>
      </w:r>
      <w:r w:rsidR="00A64CB8" w:rsidRPr="00C5068C">
        <w:rPr>
          <w:bCs/>
          <w:lang w:val="pt-PT"/>
        </w:rPr>
        <w:t xml:space="preserve">com taquizoítos de </w:t>
      </w:r>
      <w:r w:rsidR="00A64CB8" w:rsidRPr="00C5068C">
        <w:rPr>
          <w:bCs/>
          <w:i/>
          <w:iCs/>
          <w:lang w:val="pt-PT"/>
        </w:rPr>
        <w:t>N. caninum</w:t>
      </w:r>
      <w:r w:rsidR="00A64CB8">
        <w:rPr>
          <w:bCs/>
          <w:iCs/>
          <w:lang w:val="pt-PT"/>
        </w:rPr>
        <w:t>.</w:t>
      </w:r>
      <w:r w:rsidR="00A64CB8">
        <w:rPr>
          <w:bCs/>
          <w:lang w:val="pt-PT"/>
        </w:rPr>
        <w:t xml:space="preserve"> </w:t>
      </w:r>
      <w:r w:rsidR="006801A1">
        <w:rPr>
          <w:bCs/>
          <w:lang w:val="pt-PT"/>
        </w:rPr>
        <w:t xml:space="preserve">A imunização induziu ainda </w:t>
      </w:r>
      <w:r w:rsidR="00931670">
        <w:rPr>
          <w:bCs/>
          <w:lang w:val="pt-PT"/>
        </w:rPr>
        <w:t>maior</w:t>
      </w:r>
      <w:r w:rsidR="006801A1">
        <w:rPr>
          <w:bCs/>
          <w:lang w:val="pt-PT"/>
        </w:rPr>
        <w:t xml:space="preserve"> proliferação da</w:t>
      </w:r>
      <w:r w:rsidR="006801A1" w:rsidRPr="00D96A1F">
        <w:rPr>
          <w:bCs/>
          <w:lang w:val="pt-PT"/>
        </w:rPr>
        <w:t xml:space="preserve">s células T </w:t>
      </w:r>
      <w:r w:rsidR="006801A1">
        <w:rPr>
          <w:bCs/>
          <w:lang w:val="pt-PT"/>
        </w:rPr>
        <w:t>circulantes</w:t>
      </w:r>
      <w:r w:rsidR="00D96A1F">
        <w:rPr>
          <w:bCs/>
          <w:lang w:val="pt-PT"/>
        </w:rPr>
        <w:t>.</w:t>
      </w:r>
      <w:r w:rsidR="00D96A1F" w:rsidRPr="00D96A1F">
        <w:rPr>
          <w:bCs/>
          <w:lang w:val="pt-PT"/>
        </w:rPr>
        <w:t xml:space="preserve"> </w:t>
      </w:r>
      <w:r w:rsidR="00A64CB8">
        <w:rPr>
          <w:bCs/>
          <w:lang w:val="pt-PT"/>
        </w:rPr>
        <w:t>A</w:t>
      </w:r>
      <w:r w:rsidR="005C6003" w:rsidRPr="00C5068C">
        <w:rPr>
          <w:bCs/>
          <w:lang w:val="pt-PT"/>
        </w:rPr>
        <w:t>pós a infeção, não foram encontradas diferenças na proliferação de células T, produção de citocinas ou expressão de genes que codificam os fatores de transcrição T-bet e RORγt entre animais imunizados e control</w:t>
      </w:r>
      <w:r w:rsidR="00275F07">
        <w:rPr>
          <w:bCs/>
          <w:lang w:val="pt-PT"/>
        </w:rPr>
        <w:t>o</w:t>
      </w:r>
      <w:r w:rsidR="005C6003" w:rsidRPr="00C5068C">
        <w:rPr>
          <w:bCs/>
          <w:lang w:val="pt-PT"/>
        </w:rPr>
        <w:t xml:space="preserve">. </w:t>
      </w:r>
      <w:r w:rsidR="00A64CB8">
        <w:rPr>
          <w:bCs/>
          <w:lang w:val="pt-PT"/>
        </w:rPr>
        <w:t>Os resultados da</w:t>
      </w:r>
      <w:r w:rsidR="005C6003" w:rsidRPr="00C5068C">
        <w:rPr>
          <w:bCs/>
          <w:lang w:val="pt-PT"/>
        </w:rPr>
        <w:t xml:space="preserve"> quantificação do DNA parasitário por PCR</w:t>
      </w:r>
      <w:r w:rsidR="00A64CB8">
        <w:rPr>
          <w:bCs/>
          <w:lang w:val="pt-PT"/>
        </w:rPr>
        <w:t xml:space="preserve"> </w:t>
      </w:r>
      <w:r w:rsidR="005C6003" w:rsidRPr="00C5068C">
        <w:rPr>
          <w:bCs/>
          <w:lang w:val="pt-PT"/>
        </w:rPr>
        <w:t xml:space="preserve">foram inconsistentes e </w:t>
      </w:r>
      <w:r w:rsidR="00275F07">
        <w:rPr>
          <w:bCs/>
          <w:lang w:val="pt-PT"/>
        </w:rPr>
        <w:t>será</w:t>
      </w:r>
      <w:r w:rsidR="00275F07" w:rsidRPr="00280699">
        <w:rPr>
          <w:bCs/>
          <w:lang w:val="pt-PT"/>
        </w:rPr>
        <w:t xml:space="preserve"> necessária </w:t>
      </w:r>
      <w:r w:rsidR="005C6003" w:rsidRPr="00C5068C">
        <w:rPr>
          <w:bCs/>
          <w:lang w:val="pt-PT"/>
        </w:rPr>
        <w:t xml:space="preserve">uma otimização da técnica para avaliar com precisão a </w:t>
      </w:r>
      <w:r w:rsidR="00A64CB8">
        <w:rPr>
          <w:bCs/>
          <w:lang w:val="pt-PT"/>
        </w:rPr>
        <w:t xml:space="preserve">proteção </w:t>
      </w:r>
      <w:r w:rsidR="008A11F6">
        <w:rPr>
          <w:bCs/>
          <w:lang w:val="pt-PT"/>
        </w:rPr>
        <w:t>conferida pela vacina</w:t>
      </w:r>
      <w:r w:rsidR="00A64CB8">
        <w:rPr>
          <w:bCs/>
          <w:lang w:val="pt-PT"/>
        </w:rPr>
        <w:t>.</w:t>
      </w:r>
    </w:p>
    <w:p w14:paraId="64A179AD" w14:textId="7F6AA60C" w:rsidR="005C6003" w:rsidRPr="00C5068C" w:rsidRDefault="00275F07" w:rsidP="005C6003">
      <w:pPr>
        <w:rPr>
          <w:bCs/>
          <w:lang w:val="pt-PT"/>
        </w:rPr>
      </w:pPr>
      <w:r>
        <w:rPr>
          <w:bCs/>
          <w:lang w:val="pt-PT"/>
        </w:rPr>
        <w:t>Os</w:t>
      </w:r>
      <w:r w:rsidR="005C6003" w:rsidRPr="00C5068C">
        <w:rPr>
          <w:bCs/>
          <w:lang w:val="pt-PT"/>
        </w:rPr>
        <w:t xml:space="preserve"> resultados mostram que a estratégia de imunização utilizada induz imunidade humoral e celular específica </w:t>
      </w:r>
      <w:r>
        <w:rPr>
          <w:bCs/>
          <w:lang w:val="pt-PT"/>
        </w:rPr>
        <w:t>para o</w:t>
      </w:r>
      <w:r w:rsidR="005C6003" w:rsidRPr="00C5068C">
        <w:rPr>
          <w:bCs/>
          <w:lang w:val="pt-PT"/>
        </w:rPr>
        <w:t xml:space="preserve"> parasita no hospedeiro bovino. </w:t>
      </w:r>
      <w:r>
        <w:rPr>
          <w:bCs/>
          <w:lang w:val="pt-PT"/>
        </w:rPr>
        <w:t xml:space="preserve">No entanto, a avaliação da proteção </w:t>
      </w:r>
      <w:r w:rsidRPr="003D7F33">
        <w:rPr>
          <w:bCs/>
          <w:lang w:val="pt-PT"/>
        </w:rPr>
        <w:t xml:space="preserve">contra a neosporose </w:t>
      </w:r>
      <w:r>
        <w:rPr>
          <w:bCs/>
          <w:lang w:val="pt-PT"/>
        </w:rPr>
        <w:t>em</w:t>
      </w:r>
      <w:r w:rsidR="005C6003" w:rsidRPr="00C5068C">
        <w:rPr>
          <w:bCs/>
          <w:lang w:val="pt-PT"/>
        </w:rPr>
        <w:t xml:space="preserve"> animais imunizados </w:t>
      </w:r>
      <w:r>
        <w:rPr>
          <w:bCs/>
          <w:lang w:val="pt-PT"/>
        </w:rPr>
        <w:t>está</w:t>
      </w:r>
      <w:r w:rsidR="005C6003" w:rsidRPr="00C5068C">
        <w:rPr>
          <w:bCs/>
          <w:lang w:val="pt-PT"/>
        </w:rPr>
        <w:t xml:space="preserve"> ainda em estudo.</w:t>
      </w:r>
    </w:p>
    <w:p w14:paraId="48B968D5" w14:textId="77777777" w:rsidR="00727D10" w:rsidRPr="000B629D" w:rsidRDefault="00727D10" w:rsidP="004228AB">
      <w:pPr>
        <w:spacing w:after="0"/>
        <w:rPr>
          <w:rFonts w:cs="Arial"/>
          <w:sz w:val="24"/>
          <w:szCs w:val="28"/>
          <w:lang w:val="pt-PT"/>
        </w:rPr>
      </w:pPr>
    </w:p>
    <w:p w14:paraId="48B968E1" w14:textId="5F57C326" w:rsidR="00727D10" w:rsidRPr="004228AB" w:rsidRDefault="00727D10" w:rsidP="004228AB">
      <w:pPr>
        <w:ind w:firstLine="0"/>
        <w:rPr>
          <w:lang w:val="pt-PT"/>
        </w:rPr>
      </w:pPr>
      <w:bookmarkStart w:id="3" w:name="_Toc111229784"/>
      <w:bookmarkStart w:id="4" w:name="_Toc111229822"/>
      <w:r w:rsidRPr="004228AB">
        <w:rPr>
          <w:b/>
          <w:sz w:val="28"/>
          <w:szCs w:val="28"/>
          <w:lang w:val="pt-PT"/>
        </w:rPr>
        <w:t>Palavras-chave:</w:t>
      </w:r>
      <w:bookmarkEnd w:id="3"/>
      <w:bookmarkEnd w:id="4"/>
      <w:r w:rsidR="004228AB" w:rsidRPr="004228AB">
        <w:rPr>
          <w:b/>
          <w:sz w:val="28"/>
          <w:szCs w:val="28"/>
          <w:lang w:val="pt-PT"/>
        </w:rPr>
        <w:t xml:space="preserve"> </w:t>
      </w:r>
      <w:r w:rsidR="004228AB">
        <w:rPr>
          <w:i/>
          <w:lang w:val="pt-PT"/>
        </w:rPr>
        <w:t>Neospora caninum</w:t>
      </w:r>
      <w:r w:rsidR="004228AB">
        <w:rPr>
          <w:lang w:val="pt-PT"/>
        </w:rPr>
        <w:t xml:space="preserve">; transmissão </w:t>
      </w:r>
      <w:r w:rsidR="005C6003">
        <w:rPr>
          <w:lang w:val="pt-PT"/>
        </w:rPr>
        <w:t xml:space="preserve">horizontal e </w:t>
      </w:r>
      <w:r w:rsidR="004228AB">
        <w:rPr>
          <w:lang w:val="pt-PT"/>
        </w:rPr>
        <w:t>vertical; vacina</w:t>
      </w:r>
      <w:r w:rsidR="005C6003">
        <w:rPr>
          <w:lang w:val="pt-PT"/>
        </w:rPr>
        <w:t xml:space="preserve"> combinada subcutânea e</w:t>
      </w:r>
      <w:r w:rsidR="004228AB">
        <w:rPr>
          <w:lang w:val="pt-PT"/>
        </w:rPr>
        <w:t xml:space="preserve"> intranasa</w:t>
      </w:r>
      <w:r w:rsidR="005C6003">
        <w:rPr>
          <w:lang w:val="pt-PT"/>
        </w:rPr>
        <w:t>l</w:t>
      </w:r>
      <w:r w:rsidR="004228AB">
        <w:rPr>
          <w:lang w:val="pt-PT"/>
        </w:rPr>
        <w:t>; imunidade mediada por células; imunidade humoral</w:t>
      </w:r>
    </w:p>
    <w:p w14:paraId="48B968E2" w14:textId="3F1EA5F2" w:rsidR="004228AB" w:rsidRPr="000B629D" w:rsidRDefault="004228AB">
      <w:pPr>
        <w:spacing w:line="259" w:lineRule="auto"/>
        <w:ind w:firstLine="0"/>
        <w:jc w:val="left"/>
        <w:rPr>
          <w:rFonts w:cs="Arial"/>
          <w:sz w:val="24"/>
          <w:szCs w:val="28"/>
          <w:lang w:val="pt-PT"/>
        </w:rPr>
      </w:pPr>
      <w:r w:rsidRPr="000B629D">
        <w:rPr>
          <w:rFonts w:cs="Arial"/>
          <w:sz w:val="24"/>
          <w:szCs w:val="28"/>
          <w:lang w:val="pt-PT"/>
        </w:rPr>
        <w:br w:type="page"/>
      </w:r>
    </w:p>
    <w:p w14:paraId="3658AE2F" w14:textId="6049F2EB" w:rsidR="00B23A02" w:rsidRPr="007F1130" w:rsidRDefault="004228AB" w:rsidP="003946C3">
      <w:pPr>
        <w:spacing w:before="480" w:after="240"/>
        <w:ind w:firstLine="0"/>
        <w:jc w:val="left"/>
        <w:rPr>
          <w:rFonts w:cs="Arial"/>
          <w:b/>
          <w:sz w:val="28"/>
          <w:szCs w:val="28"/>
        </w:rPr>
      </w:pPr>
      <w:r w:rsidRPr="00CE391F">
        <w:rPr>
          <w:b/>
          <w:sz w:val="28"/>
          <w:szCs w:val="28"/>
        </w:rPr>
        <w:lastRenderedPageBreak/>
        <w:t>Abstract</w:t>
      </w:r>
    </w:p>
    <w:p w14:paraId="17037E89" w14:textId="634B656E" w:rsidR="007F1130" w:rsidRPr="007F1130" w:rsidRDefault="004228AB" w:rsidP="00B23A02">
      <w:pPr>
        <w:ind w:firstLine="708"/>
      </w:pPr>
      <w:bookmarkStart w:id="5" w:name="_Hlk114911504"/>
      <w:r w:rsidRPr="007F1130">
        <w:rPr>
          <w:i/>
        </w:rPr>
        <w:t xml:space="preserve">Neospora caninum </w:t>
      </w:r>
      <w:r w:rsidRPr="007F1130">
        <w:t>is an obligate intracellular protozoan that cause</w:t>
      </w:r>
      <w:r w:rsidR="006B7A55">
        <w:t>s</w:t>
      </w:r>
      <w:r w:rsidRPr="007F1130">
        <w:t xml:space="preserve"> </w:t>
      </w:r>
      <w:r w:rsidR="00632DD2" w:rsidRPr="007F1130">
        <w:t xml:space="preserve">neosporosis. </w:t>
      </w:r>
      <w:r w:rsidR="00CB43F5">
        <w:t xml:space="preserve">Bovines are </w:t>
      </w:r>
      <w:r w:rsidR="00A64CB8">
        <w:t xml:space="preserve">intermediary hosts of the parasite that stand out </w:t>
      </w:r>
      <w:r w:rsidR="00632DD2" w:rsidRPr="007F1130">
        <w:t>due to the importance of the clinical disease in this species.</w:t>
      </w:r>
      <w:r w:rsidR="00650251">
        <w:t xml:space="preserve"> </w:t>
      </w:r>
      <w:r w:rsidR="006B7A55" w:rsidRPr="006B7A55">
        <w:t xml:space="preserve">When bovines get infected, the parasite disseminates extensively before forming cysts </w:t>
      </w:r>
      <w:r w:rsidR="001648C8">
        <w:t>and establish</w:t>
      </w:r>
      <w:r w:rsidR="006B7A55" w:rsidRPr="006B7A55">
        <w:t xml:space="preserve"> a chronic infection throughout the host’s life. Infected animals are more prone to abortion and </w:t>
      </w:r>
      <w:r w:rsidR="006B7A55" w:rsidRPr="006B7A55">
        <w:rPr>
          <w:i/>
          <w:iCs/>
        </w:rPr>
        <w:t>N. caninum</w:t>
      </w:r>
      <w:r w:rsidR="006B7A55" w:rsidRPr="006B7A55">
        <w:t xml:space="preserve"> can be transmitted to the offspring during pregnancy. Considering </w:t>
      </w:r>
      <w:r w:rsidR="00B23A02">
        <w:t>the high economic impact of the disease</w:t>
      </w:r>
      <w:r w:rsidR="006B7A55" w:rsidRPr="006B7A55">
        <w:t xml:space="preserve">, effective preventive measures are </w:t>
      </w:r>
      <w:r w:rsidR="001648C8">
        <w:t>crucial</w:t>
      </w:r>
      <w:r w:rsidR="006B7A55" w:rsidRPr="006B7A55">
        <w:t xml:space="preserve">. Biosecurity and animal handling are important </w:t>
      </w:r>
      <w:r w:rsidR="007E6969">
        <w:t xml:space="preserve">preventive </w:t>
      </w:r>
      <w:r w:rsidR="00B23A02">
        <w:t>measures</w:t>
      </w:r>
      <w:r w:rsidR="006B7A55" w:rsidRPr="006B7A55">
        <w:t xml:space="preserve">, but </w:t>
      </w:r>
      <w:r w:rsidR="00B23A02">
        <w:t xml:space="preserve">vaccination is considered the most cost-effective </w:t>
      </w:r>
      <w:r w:rsidR="007E6969">
        <w:t>approach</w:t>
      </w:r>
      <w:r w:rsidR="006B7A55" w:rsidRPr="006B7A55">
        <w:t>.</w:t>
      </w:r>
      <w:r w:rsidR="00B23A02">
        <w:t xml:space="preserve"> However, c</w:t>
      </w:r>
      <w:r w:rsidR="00E97B05">
        <w:t>urrently there are no commercially available vaccines</w:t>
      </w:r>
      <w:r w:rsidR="006B7A55" w:rsidRPr="006B7A55">
        <w:t>.</w:t>
      </w:r>
    </w:p>
    <w:bookmarkEnd w:id="5"/>
    <w:p w14:paraId="2C1EC236" w14:textId="5E7F1748" w:rsidR="00C94CFA" w:rsidRDefault="006B7A55" w:rsidP="00BD5539">
      <w:r>
        <w:t xml:space="preserve">In this work, we </w:t>
      </w:r>
      <w:r w:rsidR="007F1130" w:rsidRPr="007F1130">
        <w:t>intend</w:t>
      </w:r>
      <w:r>
        <w:t>ed</w:t>
      </w:r>
      <w:r w:rsidR="007F1130" w:rsidRPr="007F1130">
        <w:t xml:space="preserve"> to </w:t>
      </w:r>
      <w:r w:rsidR="00D15F0B">
        <w:t xml:space="preserve">study </w:t>
      </w:r>
      <w:r w:rsidR="00955390">
        <w:t>the immune response</w:t>
      </w:r>
      <w:r w:rsidR="00BD5539">
        <w:t xml:space="preserve"> and</w:t>
      </w:r>
      <w:r w:rsidR="00955390">
        <w:t xml:space="preserve"> protecti</w:t>
      </w:r>
      <w:r w:rsidR="001648C8">
        <w:t>on conferred by</w:t>
      </w:r>
      <w:r w:rsidR="00BD5539">
        <w:t xml:space="preserve"> </w:t>
      </w:r>
      <w:r w:rsidR="00BD5539" w:rsidRPr="007F1130">
        <w:t xml:space="preserve">a vaccine </w:t>
      </w:r>
      <w:r w:rsidR="00010647">
        <w:t xml:space="preserve">against </w:t>
      </w:r>
      <w:r w:rsidR="00010647" w:rsidRPr="00C5068C">
        <w:rPr>
          <w:iCs/>
        </w:rPr>
        <w:t>bovine neosporosis</w:t>
      </w:r>
      <w:r>
        <w:rPr>
          <w:iCs/>
        </w:rPr>
        <w:t xml:space="preserve"> that is being developed at the </w:t>
      </w:r>
      <w:r w:rsidR="007E6969">
        <w:rPr>
          <w:iCs/>
        </w:rPr>
        <w:t xml:space="preserve">Immunobiology </w:t>
      </w:r>
      <w:r>
        <w:rPr>
          <w:iCs/>
        </w:rPr>
        <w:t>group</w:t>
      </w:r>
      <w:r w:rsidR="00BD5539">
        <w:t>.</w:t>
      </w:r>
      <w:r w:rsidR="00955390">
        <w:t xml:space="preserve"> </w:t>
      </w:r>
    </w:p>
    <w:p w14:paraId="748E4D0D" w14:textId="78512CD7" w:rsidR="003E2A9F" w:rsidRDefault="00485C31" w:rsidP="003E2A9F">
      <w:r>
        <w:t>Holstein</w:t>
      </w:r>
      <w:r w:rsidR="007C5C22">
        <w:t>-Friesian</w:t>
      </w:r>
      <w:r>
        <w:t xml:space="preserve"> calves were immunized by a combination of subcutaneous and intranasal administrations of </w:t>
      </w:r>
      <w:r w:rsidRPr="00C5068C">
        <w:rPr>
          <w:i/>
          <w:iCs/>
        </w:rPr>
        <w:t>N. caninum</w:t>
      </w:r>
      <w:r w:rsidRPr="00485C31">
        <w:t xml:space="preserve"> membrane </w:t>
      </w:r>
      <w:r w:rsidR="0078245B">
        <w:t>proteins</w:t>
      </w:r>
      <w:r w:rsidRPr="00485C31">
        <w:t xml:space="preserve"> (NcMP) plus CpG</w:t>
      </w:r>
      <w:r>
        <w:t xml:space="preserve"> and Resiquimod adjuvants. Carbigen</w:t>
      </w:r>
      <w:r>
        <w:rPr>
          <w:rFonts w:cs="Arial"/>
        </w:rPr>
        <w:t>™</w:t>
      </w:r>
      <w:r>
        <w:t xml:space="preserve"> adjuvant was additionally included </w:t>
      </w:r>
      <w:r w:rsidR="003E2A9F">
        <w:t>i</w:t>
      </w:r>
      <w:r>
        <w:t xml:space="preserve">n the intranasal administration. </w:t>
      </w:r>
      <w:r w:rsidR="003E2A9F">
        <w:t xml:space="preserve">Control calves were sham-immunized using only the adjuvants. </w:t>
      </w:r>
    </w:p>
    <w:p w14:paraId="3FB4CF10" w14:textId="569F98A7" w:rsidR="00485C31" w:rsidRDefault="003E2A9F" w:rsidP="008A11F6">
      <w:r>
        <w:t>Immunized calves presented elevated levels of parasite-specific IgG and IgG1, that were further increased after infection</w:t>
      </w:r>
      <w:r w:rsidR="008A11F6">
        <w:t xml:space="preserve"> with </w:t>
      </w:r>
      <w:r w:rsidR="008A11F6" w:rsidRPr="00C5068C">
        <w:rPr>
          <w:i/>
          <w:iCs/>
        </w:rPr>
        <w:t>N. caninum</w:t>
      </w:r>
      <w:r w:rsidR="008A11F6">
        <w:t xml:space="preserve"> tachyzoites. </w:t>
      </w:r>
      <w:r w:rsidR="00172E26">
        <w:t xml:space="preserve">Higher T cell proliferation was </w:t>
      </w:r>
      <w:r w:rsidR="00F023E0">
        <w:t xml:space="preserve">also </w:t>
      </w:r>
      <w:r w:rsidR="00172E26">
        <w:t>observed in PBMC from immunized calves before infection. A</w:t>
      </w:r>
      <w:r w:rsidR="00411EB0">
        <w:t xml:space="preserve">fter infection, no differences could be found in T cell proliferation, </w:t>
      </w:r>
      <w:r w:rsidR="00CE2980">
        <w:t>cytokine</w:t>
      </w:r>
      <w:r w:rsidR="00411EB0">
        <w:t xml:space="preserve"> production </w:t>
      </w:r>
      <w:r w:rsidR="00CE2980">
        <w:t>or expression of genes encoding the transcription factors T-bet and ROR</w:t>
      </w:r>
      <w:r w:rsidR="00CE2980" w:rsidRPr="00C5068C">
        <w:rPr>
          <w:rFonts w:cs="Arial"/>
        </w:rPr>
        <w:t>γ</w:t>
      </w:r>
      <w:r w:rsidR="00CE2980" w:rsidRPr="00CE2980">
        <w:rPr>
          <w:rFonts w:cs="Arial"/>
        </w:rPr>
        <w:t>t</w:t>
      </w:r>
      <w:r w:rsidR="00CE2980">
        <w:t xml:space="preserve"> between immunized and control animals.</w:t>
      </w:r>
      <w:r w:rsidR="00485C31">
        <w:t xml:space="preserve"> </w:t>
      </w:r>
      <w:r w:rsidR="008A11F6">
        <w:t xml:space="preserve">Results of parasitic DNA quantification </w:t>
      </w:r>
      <w:r w:rsidR="00CF64AF">
        <w:t xml:space="preserve">in the organs of infected animals </w:t>
      </w:r>
      <w:r w:rsidR="00A12A70">
        <w:t>by PCR</w:t>
      </w:r>
      <w:r w:rsidR="008A11F6">
        <w:t xml:space="preserve"> </w:t>
      </w:r>
      <w:r w:rsidR="00A12A70">
        <w:t xml:space="preserve">were found inconsistent and further optimization of the technique is needed to accurately assess </w:t>
      </w:r>
      <w:r w:rsidR="008A11F6">
        <w:t>host protection</w:t>
      </w:r>
      <w:r w:rsidR="00A12A70">
        <w:t>.</w:t>
      </w:r>
    </w:p>
    <w:p w14:paraId="5E27A92D" w14:textId="448F6997" w:rsidR="007F1130" w:rsidRPr="00955390" w:rsidRDefault="00485C31" w:rsidP="00485C31">
      <w:r>
        <w:t>These results show that the used immunization strategy induces parasite-specific humoral and cellular immunity in the</w:t>
      </w:r>
      <w:r w:rsidR="00A12A70">
        <w:t xml:space="preserve"> </w:t>
      </w:r>
      <w:r>
        <w:t xml:space="preserve">bovine host. </w:t>
      </w:r>
      <w:r w:rsidR="00A12A70">
        <w:t>Whether these responses in the immunized animals could result in protection against neosporosis is still under study.</w:t>
      </w:r>
    </w:p>
    <w:p w14:paraId="7A93A035" w14:textId="77777777" w:rsidR="007F1130" w:rsidRPr="007F1130" w:rsidRDefault="007F1130" w:rsidP="004228AB">
      <w:pPr>
        <w:spacing w:after="0"/>
      </w:pPr>
    </w:p>
    <w:p w14:paraId="1C3355BF" w14:textId="04E53A8A" w:rsidR="004228AB" w:rsidRPr="007F1130" w:rsidRDefault="007F1130" w:rsidP="007F1130">
      <w:pPr>
        <w:ind w:firstLine="0"/>
      </w:pPr>
      <w:r w:rsidRPr="007F1130">
        <w:rPr>
          <w:b/>
          <w:sz w:val="28"/>
        </w:rPr>
        <w:t xml:space="preserve">Keywords: </w:t>
      </w:r>
      <w:r w:rsidRPr="007F1130">
        <w:rPr>
          <w:i/>
        </w:rPr>
        <w:t>Neospora caninum</w:t>
      </w:r>
      <w:r w:rsidRPr="007F1130">
        <w:t>;</w:t>
      </w:r>
      <w:r w:rsidR="005C6003">
        <w:t xml:space="preserve"> combined subcutaneous and</w:t>
      </w:r>
      <w:r w:rsidRPr="007F1130">
        <w:t xml:space="preserve"> </w:t>
      </w:r>
      <w:r w:rsidR="00C94CFA" w:rsidRPr="007F1130">
        <w:t>intranasal vac</w:t>
      </w:r>
      <w:r w:rsidR="00C94CFA">
        <w:t>c</w:t>
      </w:r>
      <w:r w:rsidR="00C94CFA" w:rsidRPr="007F1130">
        <w:t>ine</w:t>
      </w:r>
      <w:r w:rsidR="00C94CFA">
        <w:t xml:space="preserve">; horizontal and </w:t>
      </w:r>
      <w:r w:rsidRPr="007F1130">
        <w:t xml:space="preserve">vertical transmission; </w:t>
      </w:r>
      <w:r w:rsidR="00122F40">
        <w:t>cell mediated immunity; humoral immunity</w:t>
      </w:r>
    </w:p>
    <w:p w14:paraId="5D2D63DE" w14:textId="77777777" w:rsidR="001778C8" w:rsidRDefault="00727D10" w:rsidP="004B3F6D">
      <w:pPr>
        <w:spacing w:line="259" w:lineRule="auto"/>
        <w:ind w:firstLine="0"/>
        <w:jc w:val="left"/>
      </w:pPr>
      <w:r w:rsidRPr="007F1130">
        <w:br w:type="page"/>
      </w:r>
    </w:p>
    <w:p w14:paraId="48751950" w14:textId="66B4008B" w:rsidR="001778C8" w:rsidRPr="004B3F6D" w:rsidRDefault="001778C8" w:rsidP="003946C3">
      <w:pPr>
        <w:spacing w:before="480" w:after="240"/>
        <w:ind w:firstLine="0"/>
        <w:jc w:val="left"/>
        <w:rPr>
          <w:lang w:val="pt-PT"/>
        </w:rPr>
      </w:pPr>
      <w:r w:rsidRPr="003946C3">
        <w:rPr>
          <w:b/>
          <w:sz w:val="28"/>
          <w:szCs w:val="28"/>
          <w:lang w:val="pt-PT"/>
        </w:rPr>
        <w:lastRenderedPageBreak/>
        <w:t>Agradecimentos</w:t>
      </w:r>
    </w:p>
    <w:p w14:paraId="1B21B544" w14:textId="046D4B36" w:rsidR="00F61D30" w:rsidRDefault="001778C8" w:rsidP="004B3F6D">
      <w:pPr>
        <w:rPr>
          <w:lang w:val="pt-PT"/>
        </w:rPr>
      </w:pPr>
      <w:r w:rsidRPr="004B3F6D">
        <w:rPr>
          <w:lang w:val="pt-PT"/>
        </w:rPr>
        <w:t>À Professora Doutora Alexandra Correia</w:t>
      </w:r>
      <w:r w:rsidR="004B3F6D">
        <w:rPr>
          <w:lang w:val="pt-PT"/>
        </w:rPr>
        <w:t xml:space="preserve">, pela sua disponibilidade e orientação no decorrer deste projeto, e à Professora Doutora Margarida Araújo, por toda a sua ajuda e encorajamento, sem as quais esta nova etapa e a realização deste relatório não teriam sido possíveis. </w:t>
      </w:r>
      <w:r w:rsidR="00B212B5">
        <w:rPr>
          <w:lang w:val="pt-PT"/>
        </w:rPr>
        <w:t xml:space="preserve"> </w:t>
      </w:r>
    </w:p>
    <w:p w14:paraId="1AAF2187" w14:textId="3B896D6B" w:rsidR="004B3F6D" w:rsidRDefault="00F61D30" w:rsidP="004B3F6D">
      <w:pPr>
        <w:rPr>
          <w:lang w:val="pt-PT"/>
        </w:rPr>
      </w:pPr>
      <w:r>
        <w:rPr>
          <w:lang w:val="pt-PT"/>
        </w:rPr>
        <w:t xml:space="preserve">Aos colegas de laboratório, </w:t>
      </w:r>
      <w:r w:rsidR="004B3F6D">
        <w:rPr>
          <w:lang w:val="pt-PT"/>
        </w:rPr>
        <w:t>por me acolherem</w:t>
      </w:r>
      <w:r w:rsidR="00E70CF9">
        <w:rPr>
          <w:lang w:val="pt-PT"/>
        </w:rPr>
        <w:t xml:space="preserve"> e ensinarem</w:t>
      </w:r>
      <w:r w:rsidR="004B3F6D">
        <w:rPr>
          <w:lang w:val="pt-PT"/>
        </w:rPr>
        <w:t xml:space="preserve">. </w:t>
      </w:r>
    </w:p>
    <w:p w14:paraId="0B1515F8" w14:textId="5D7F0D38" w:rsidR="00760006" w:rsidRDefault="00760006" w:rsidP="004B3F6D">
      <w:pPr>
        <w:rPr>
          <w:lang w:val="pt-PT"/>
        </w:rPr>
      </w:pPr>
      <w:r>
        <w:rPr>
          <w:lang w:val="pt-PT"/>
        </w:rPr>
        <w:t xml:space="preserve">À minha família, como não podia deixar de ser, pelo carinho e apoio incondicional. </w:t>
      </w:r>
    </w:p>
    <w:p w14:paraId="09CC69EF" w14:textId="77777777" w:rsidR="00CE391F" w:rsidRPr="00CE391F" w:rsidRDefault="00CE391F" w:rsidP="00CE391F">
      <w:pPr>
        <w:rPr>
          <w:lang w:val="pt-PT"/>
        </w:rPr>
      </w:pPr>
    </w:p>
    <w:p w14:paraId="02089A18" w14:textId="5C4F3F4A" w:rsidR="00CE391F" w:rsidRDefault="00CE391F" w:rsidP="00CE391F">
      <w:pPr>
        <w:rPr>
          <w:lang w:val="pt-PT"/>
        </w:rPr>
      </w:pPr>
    </w:p>
    <w:p w14:paraId="673BDA8A" w14:textId="7E3BC61B" w:rsidR="00CE391F" w:rsidRDefault="00CE391F" w:rsidP="00CE391F">
      <w:pPr>
        <w:rPr>
          <w:lang w:val="pt-PT"/>
        </w:rPr>
      </w:pPr>
    </w:p>
    <w:p w14:paraId="562C022D" w14:textId="715C68AA" w:rsidR="00CE391F" w:rsidRDefault="00CE391F" w:rsidP="00CE391F">
      <w:pPr>
        <w:rPr>
          <w:lang w:val="pt-PT"/>
        </w:rPr>
      </w:pPr>
    </w:p>
    <w:p w14:paraId="01282651" w14:textId="7C529BE8" w:rsidR="00CE391F" w:rsidRDefault="00CE391F" w:rsidP="00CE391F">
      <w:pPr>
        <w:rPr>
          <w:lang w:val="pt-PT"/>
        </w:rPr>
      </w:pPr>
    </w:p>
    <w:p w14:paraId="0834131D" w14:textId="77777777" w:rsidR="00CE391F" w:rsidRDefault="00CE391F" w:rsidP="00CE391F">
      <w:pPr>
        <w:rPr>
          <w:lang w:val="pt-PT"/>
        </w:rPr>
      </w:pPr>
    </w:p>
    <w:p w14:paraId="7A0E9AED" w14:textId="1D5A6658" w:rsidR="00CE391F" w:rsidRDefault="00CE391F" w:rsidP="00CE391F">
      <w:pPr>
        <w:rPr>
          <w:lang w:val="pt-PT"/>
        </w:rPr>
      </w:pPr>
    </w:p>
    <w:p w14:paraId="3014F558" w14:textId="77777777" w:rsidR="00CE391F" w:rsidRPr="00CE391F" w:rsidRDefault="00CE391F" w:rsidP="00CE391F">
      <w:pPr>
        <w:rPr>
          <w:lang w:val="pt-PT"/>
        </w:rPr>
      </w:pPr>
    </w:p>
    <w:p w14:paraId="1F0C3AE6" w14:textId="77777777" w:rsidR="00CE391F" w:rsidRPr="00CE391F" w:rsidRDefault="00CE391F" w:rsidP="00CE391F">
      <w:r w:rsidRPr="00CE391F">
        <w:t xml:space="preserve">The present work was funded by FEDER through COMPETE 2020 and by Portuguese Funds through FCT – PTDC/CVT-CVT/31020/2017.  </w:t>
      </w:r>
    </w:p>
    <w:p w14:paraId="7BD1476C" w14:textId="6D437FD3" w:rsidR="00727D10" w:rsidRPr="00CE391F" w:rsidRDefault="00CE391F" w:rsidP="004B3F6D">
      <w:r w:rsidRPr="00D33CC3">
        <w:rPr>
          <w:rFonts w:ascii="Times New Roman" w:hAnsi="Times New Roman" w:cs="Times New Roman"/>
          <w:noProof/>
          <w:lang w:val="pt-PT" w:eastAsia="pt-PT"/>
        </w:rPr>
        <w:drawing>
          <wp:anchor distT="0" distB="0" distL="114300" distR="114300" simplePos="0" relativeHeight="251669504" behindDoc="1" locked="0" layoutInCell="1" allowOverlap="1" wp14:anchorId="19D8FA9E" wp14:editId="485396E7">
            <wp:simplePos x="0" y="0"/>
            <wp:positionH relativeFrom="margin">
              <wp:posOffset>19050</wp:posOffset>
            </wp:positionH>
            <wp:positionV relativeFrom="paragraph">
              <wp:posOffset>581025</wp:posOffset>
            </wp:positionV>
            <wp:extent cx="5593080" cy="684530"/>
            <wp:effectExtent l="0" t="0" r="7620" b="1270"/>
            <wp:wrapTight wrapText="bothSides">
              <wp:wrapPolygon edited="0">
                <wp:start x="4782" y="0"/>
                <wp:lineTo x="0" y="1202"/>
                <wp:lineTo x="0" y="20438"/>
                <wp:lineTo x="4782" y="21039"/>
                <wp:lineTo x="21556" y="21039"/>
                <wp:lineTo x="21556" y="0"/>
                <wp:lineTo x="478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3080" cy="684530"/>
                    </a:xfrm>
                    <a:prstGeom prst="rect">
                      <a:avLst/>
                    </a:prstGeom>
                    <a:noFill/>
                  </pic:spPr>
                </pic:pic>
              </a:graphicData>
            </a:graphic>
            <wp14:sizeRelH relativeFrom="margin">
              <wp14:pctWidth>0</wp14:pctWidth>
            </wp14:sizeRelH>
            <wp14:sizeRelV relativeFrom="margin">
              <wp14:pctHeight>0</wp14:pctHeight>
            </wp14:sizeRelV>
          </wp:anchor>
        </w:drawing>
      </w:r>
      <w:r w:rsidR="001778C8" w:rsidRPr="00CE391F">
        <w:br w:type="page"/>
      </w:r>
    </w:p>
    <w:p w14:paraId="6BF4049C" w14:textId="4A59C4B4" w:rsidR="00A11A26" w:rsidRPr="008B1069" w:rsidRDefault="008B1069" w:rsidP="003946C3">
      <w:pPr>
        <w:spacing w:before="480" w:after="240"/>
        <w:ind w:firstLine="0"/>
        <w:jc w:val="left"/>
        <w:rPr>
          <w:b/>
          <w:sz w:val="28"/>
          <w:szCs w:val="28"/>
        </w:rPr>
      </w:pPr>
      <w:r w:rsidRPr="003946C3">
        <w:rPr>
          <w:b/>
          <w:sz w:val="28"/>
          <w:szCs w:val="28"/>
          <w:lang w:val="pt-PT"/>
        </w:rPr>
        <w:lastRenderedPageBreak/>
        <w:t>Index</w:t>
      </w:r>
    </w:p>
    <w:p w14:paraId="655857C8" w14:textId="45883FE6" w:rsidR="00D31293" w:rsidRDefault="008B1069">
      <w:pPr>
        <w:pStyle w:val="ndice1"/>
        <w:rPr>
          <w:rFonts w:asciiTheme="minorHAnsi" w:eastAsiaTheme="minorEastAsia" w:hAnsiTheme="minorHAnsi"/>
          <w:noProof/>
          <w:lang w:val="pt-PT" w:eastAsia="pt-PT"/>
        </w:rPr>
      </w:pPr>
      <w:r>
        <w:fldChar w:fldCharType="begin"/>
      </w:r>
      <w:r>
        <w:instrText xml:space="preserve"> TOC \o "1-3" \h \z \u </w:instrText>
      </w:r>
      <w:r>
        <w:fldChar w:fldCharType="separate"/>
      </w:r>
      <w:hyperlink w:anchor="_Toc115037805" w:history="1">
        <w:r w:rsidR="00D31293" w:rsidRPr="005C11AE">
          <w:rPr>
            <w:rStyle w:val="Hiperligao"/>
            <w:noProof/>
          </w:rPr>
          <w:t>1. Introduction</w:t>
        </w:r>
        <w:r w:rsidR="00D31293">
          <w:rPr>
            <w:noProof/>
            <w:webHidden/>
          </w:rPr>
          <w:tab/>
        </w:r>
        <w:r w:rsidR="00D31293">
          <w:rPr>
            <w:noProof/>
            <w:webHidden/>
          </w:rPr>
          <w:fldChar w:fldCharType="begin"/>
        </w:r>
        <w:r w:rsidR="00D31293">
          <w:rPr>
            <w:noProof/>
            <w:webHidden/>
          </w:rPr>
          <w:instrText xml:space="preserve"> PAGEREF _Toc115037805 \h </w:instrText>
        </w:r>
        <w:r w:rsidR="00D31293">
          <w:rPr>
            <w:noProof/>
            <w:webHidden/>
          </w:rPr>
        </w:r>
        <w:r w:rsidR="00D31293">
          <w:rPr>
            <w:noProof/>
            <w:webHidden/>
          </w:rPr>
          <w:fldChar w:fldCharType="separate"/>
        </w:r>
        <w:r w:rsidR="00184C64">
          <w:rPr>
            <w:noProof/>
            <w:webHidden/>
          </w:rPr>
          <w:t>1</w:t>
        </w:r>
        <w:r w:rsidR="00D31293">
          <w:rPr>
            <w:noProof/>
            <w:webHidden/>
          </w:rPr>
          <w:fldChar w:fldCharType="end"/>
        </w:r>
      </w:hyperlink>
    </w:p>
    <w:p w14:paraId="092C821B" w14:textId="1479827B" w:rsidR="00D31293" w:rsidRDefault="00922093">
      <w:pPr>
        <w:pStyle w:val="ndice2"/>
        <w:tabs>
          <w:tab w:val="right" w:leader="dot" w:pos="8777"/>
        </w:tabs>
        <w:rPr>
          <w:rFonts w:asciiTheme="minorHAnsi" w:eastAsiaTheme="minorEastAsia" w:hAnsiTheme="minorHAnsi"/>
          <w:noProof/>
          <w:lang w:val="pt-PT" w:eastAsia="pt-PT"/>
        </w:rPr>
      </w:pPr>
      <w:hyperlink w:anchor="_Toc115037806" w:history="1">
        <w:r w:rsidR="00D31293" w:rsidRPr="005C11AE">
          <w:rPr>
            <w:rStyle w:val="Hiperligao"/>
            <w:noProof/>
          </w:rPr>
          <w:t>1.1. Neosporosis: agent, hosts and transmission cycle</w:t>
        </w:r>
        <w:r w:rsidR="00D31293">
          <w:rPr>
            <w:noProof/>
            <w:webHidden/>
          </w:rPr>
          <w:tab/>
        </w:r>
        <w:r w:rsidR="00D31293">
          <w:rPr>
            <w:noProof/>
            <w:webHidden/>
          </w:rPr>
          <w:fldChar w:fldCharType="begin"/>
        </w:r>
        <w:r w:rsidR="00D31293">
          <w:rPr>
            <w:noProof/>
            <w:webHidden/>
          </w:rPr>
          <w:instrText xml:space="preserve"> PAGEREF _Toc115037806 \h </w:instrText>
        </w:r>
        <w:r w:rsidR="00D31293">
          <w:rPr>
            <w:noProof/>
            <w:webHidden/>
          </w:rPr>
        </w:r>
        <w:r w:rsidR="00D31293">
          <w:rPr>
            <w:noProof/>
            <w:webHidden/>
          </w:rPr>
          <w:fldChar w:fldCharType="separate"/>
        </w:r>
        <w:r w:rsidR="00184C64">
          <w:rPr>
            <w:noProof/>
            <w:webHidden/>
          </w:rPr>
          <w:t>1</w:t>
        </w:r>
        <w:r w:rsidR="00D31293">
          <w:rPr>
            <w:noProof/>
            <w:webHidden/>
          </w:rPr>
          <w:fldChar w:fldCharType="end"/>
        </w:r>
      </w:hyperlink>
    </w:p>
    <w:p w14:paraId="0B87EF3F" w14:textId="5EF412D8" w:rsidR="00D31293" w:rsidRDefault="00922093">
      <w:pPr>
        <w:pStyle w:val="ndice2"/>
        <w:tabs>
          <w:tab w:val="right" w:leader="dot" w:pos="8777"/>
        </w:tabs>
        <w:rPr>
          <w:rFonts w:asciiTheme="minorHAnsi" w:eastAsiaTheme="minorEastAsia" w:hAnsiTheme="minorHAnsi"/>
          <w:noProof/>
          <w:lang w:val="pt-PT" w:eastAsia="pt-PT"/>
        </w:rPr>
      </w:pPr>
      <w:hyperlink w:anchor="_Toc115037807" w:history="1">
        <w:r w:rsidR="00D31293" w:rsidRPr="005C11AE">
          <w:rPr>
            <w:rStyle w:val="Hiperligao"/>
            <w:noProof/>
          </w:rPr>
          <w:t>1.2. Host immune response</w:t>
        </w:r>
        <w:r w:rsidR="00D31293">
          <w:rPr>
            <w:noProof/>
            <w:webHidden/>
          </w:rPr>
          <w:tab/>
        </w:r>
        <w:r w:rsidR="00D31293">
          <w:rPr>
            <w:noProof/>
            <w:webHidden/>
          </w:rPr>
          <w:fldChar w:fldCharType="begin"/>
        </w:r>
        <w:r w:rsidR="00D31293">
          <w:rPr>
            <w:noProof/>
            <w:webHidden/>
          </w:rPr>
          <w:instrText xml:space="preserve"> PAGEREF _Toc115037807 \h </w:instrText>
        </w:r>
        <w:r w:rsidR="00D31293">
          <w:rPr>
            <w:noProof/>
            <w:webHidden/>
          </w:rPr>
        </w:r>
        <w:r w:rsidR="00D31293">
          <w:rPr>
            <w:noProof/>
            <w:webHidden/>
          </w:rPr>
          <w:fldChar w:fldCharType="separate"/>
        </w:r>
        <w:r w:rsidR="00184C64">
          <w:rPr>
            <w:noProof/>
            <w:webHidden/>
          </w:rPr>
          <w:t>3</w:t>
        </w:r>
        <w:r w:rsidR="00D31293">
          <w:rPr>
            <w:noProof/>
            <w:webHidden/>
          </w:rPr>
          <w:fldChar w:fldCharType="end"/>
        </w:r>
      </w:hyperlink>
    </w:p>
    <w:p w14:paraId="78F20885" w14:textId="5FC4AB38" w:rsidR="00D31293" w:rsidRDefault="00922093">
      <w:pPr>
        <w:pStyle w:val="ndice2"/>
        <w:tabs>
          <w:tab w:val="right" w:leader="dot" w:pos="8777"/>
        </w:tabs>
        <w:rPr>
          <w:rFonts w:asciiTheme="minorHAnsi" w:eastAsiaTheme="minorEastAsia" w:hAnsiTheme="minorHAnsi"/>
          <w:noProof/>
          <w:lang w:val="pt-PT" w:eastAsia="pt-PT"/>
        </w:rPr>
      </w:pPr>
      <w:hyperlink w:anchor="_Toc115037808" w:history="1">
        <w:r w:rsidR="00D31293" w:rsidRPr="005C11AE">
          <w:rPr>
            <w:rStyle w:val="Hiperligao"/>
            <w:noProof/>
          </w:rPr>
          <w:t>1.3. Immunization strategies</w:t>
        </w:r>
        <w:r w:rsidR="00D31293">
          <w:rPr>
            <w:noProof/>
            <w:webHidden/>
          </w:rPr>
          <w:tab/>
        </w:r>
        <w:r w:rsidR="00D31293">
          <w:rPr>
            <w:noProof/>
            <w:webHidden/>
          </w:rPr>
          <w:fldChar w:fldCharType="begin"/>
        </w:r>
        <w:r w:rsidR="00D31293">
          <w:rPr>
            <w:noProof/>
            <w:webHidden/>
          </w:rPr>
          <w:instrText xml:space="preserve"> PAGEREF _Toc115037808 \h </w:instrText>
        </w:r>
        <w:r w:rsidR="00D31293">
          <w:rPr>
            <w:noProof/>
            <w:webHidden/>
          </w:rPr>
        </w:r>
        <w:r w:rsidR="00D31293">
          <w:rPr>
            <w:noProof/>
            <w:webHidden/>
          </w:rPr>
          <w:fldChar w:fldCharType="separate"/>
        </w:r>
        <w:r w:rsidR="00184C64">
          <w:rPr>
            <w:noProof/>
            <w:webHidden/>
          </w:rPr>
          <w:t>5</w:t>
        </w:r>
        <w:r w:rsidR="00D31293">
          <w:rPr>
            <w:noProof/>
            <w:webHidden/>
          </w:rPr>
          <w:fldChar w:fldCharType="end"/>
        </w:r>
      </w:hyperlink>
    </w:p>
    <w:p w14:paraId="783DBED7" w14:textId="1606D371" w:rsidR="00D31293" w:rsidRDefault="00922093">
      <w:pPr>
        <w:pStyle w:val="ndice2"/>
        <w:tabs>
          <w:tab w:val="right" w:leader="dot" w:pos="8777"/>
        </w:tabs>
        <w:rPr>
          <w:rFonts w:asciiTheme="minorHAnsi" w:eastAsiaTheme="minorEastAsia" w:hAnsiTheme="minorHAnsi"/>
          <w:noProof/>
          <w:lang w:val="pt-PT" w:eastAsia="pt-PT"/>
        </w:rPr>
      </w:pPr>
      <w:hyperlink w:anchor="_Toc115037809" w:history="1">
        <w:r w:rsidR="00D31293" w:rsidRPr="005C11AE">
          <w:rPr>
            <w:rStyle w:val="Hiperligao"/>
            <w:noProof/>
          </w:rPr>
          <w:t>1.4. A combined mucosal and systemic immunization strategy approach</w:t>
        </w:r>
        <w:r w:rsidR="00D31293">
          <w:rPr>
            <w:noProof/>
            <w:webHidden/>
          </w:rPr>
          <w:tab/>
        </w:r>
        <w:r w:rsidR="00D31293">
          <w:rPr>
            <w:noProof/>
            <w:webHidden/>
          </w:rPr>
          <w:fldChar w:fldCharType="begin"/>
        </w:r>
        <w:r w:rsidR="00D31293">
          <w:rPr>
            <w:noProof/>
            <w:webHidden/>
          </w:rPr>
          <w:instrText xml:space="preserve"> PAGEREF _Toc115037809 \h </w:instrText>
        </w:r>
        <w:r w:rsidR="00D31293">
          <w:rPr>
            <w:noProof/>
            <w:webHidden/>
          </w:rPr>
        </w:r>
        <w:r w:rsidR="00D31293">
          <w:rPr>
            <w:noProof/>
            <w:webHidden/>
          </w:rPr>
          <w:fldChar w:fldCharType="separate"/>
        </w:r>
        <w:r w:rsidR="00184C64">
          <w:rPr>
            <w:noProof/>
            <w:webHidden/>
          </w:rPr>
          <w:t>7</w:t>
        </w:r>
        <w:r w:rsidR="00D31293">
          <w:rPr>
            <w:noProof/>
            <w:webHidden/>
          </w:rPr>
          <w:fldChar w:fldCharType="end"/>
        </w:r>
      </w:hyperlink>
    </w:p>
    <w:p w14:paraId="73CF26ED" w14:textId="1E3BA466" w:rsidR="00D31293" w:rsidRDefault="00922093">
      <w:pPr>
        <w:pStyle w:val="ndice1"/>
        <w:rPr>
          <w:rFonts w:asciiTheme="minorHAnsi" w:eastAsiaTheme="minorEastAsia" w:hAnsiTheme="minorHAnsi"/>
          <w:noProof/>
          <w:lang w:val="pt-PT" w:eastAsia="pt-PT"/>
        </w:rPr>
      </w:pPr>
      <w:hyperlink w:anchor="_Toc115037810" w:history="1">
        <w:r w:rsidR="00D31293" w:rsidRPr="005C11AE">
          <w:rPr>
            <w:rStyle w:val="Hiperligao"/>
            <w:noProof/>
          </w:rPr>
          <w:t>2. Objectives</w:t>
        </w:r>
        <w:r w:rsidR="00D31293">
          <w:rPr>
            <w:noProof/>
            <w:webHidden/>
          </w:rPr>
          <w:tab/>
        </w:r>
        <w:r w:rsidR="00D31293">
          <w:rPr>
            <w:noProof/>
            <w:webHidden/>
          </w:rPr>
          <w:fldChar w:fldCharType="begin"/>
        </w:r>
        <w:r w:rsidR="00D31293">
          <w:rPr>
            <w:noProof/>
            <w:webHidden/>
          </w:rPr>
          <w:instrText xml:space="preserve"> PAGEREF _Toc115037810 \h </w:instrText>
        </w:r>
        <w:r w:rsidR="00D31293">
          <w:rPr>
            <w:noProof/>
            <w:webHidden/>
          </w:rPr>
        </w:r>
        <w:r w:rsidR="00D31293">
          <w:rPr>
            <w:noProof/>
            <w:webHidden/>
          </w:rPr>
          <w:fldChar w:fldCharType="separate"/>
        </w:r>
        <w:r w:rsidR="00184C64">
          <w:rPr>
            <w:noProof/>
            <w:webHidden/>
          </w:rPr>
          <w:t>8</w:t>
        </w:r>
        <w:r w:rsidR="00D31293">
          <w:rPr>
            <w:noProof/>
            <w:webHidden/>
          </w:rPr>
          <w:fldChar w:fldCharType="end"/>
        </w:r>
      </w:hyperlink>
    </w:p>
    <w:p w14:paraId="6D1556CB" w14:textId="3C2B681F" w:rsidR="00D31293" w:rsidRDefault="00922093">
      <w:pPr>
        <w:pStyle w:val="ndice1"/>
        <w:rPr>
          <w:rFonts w:asciiTheme="minorHAnsi" w:eastAsiaTheme="minorEastAsia" w:hAnsiTheme="minorHAnsi"/>
          <w:noProof/>
          <w:lang w:val="pt-PT" w:eastAsia="pt-PT"/>
        </w:rPr>
      </w:pPr>
      <w:hyperlink w:anchor="_Toc115037811" w:history="1">
        <w:r w:rsidR="00D31293" w:rsidRPr="005C11AE">
          <w:rPr>
            <w:rStyle w:val="Hiperligao"/>
            <w:noProof/>
          </w:rPr>
          <w:t>2. Materials and Methods</w:t>
        </w:r>
        <w:r w:rsidR="00D31293">
          <w:rPr>
            <w:noProof/>
            <w:webHidden/>
          </w:rPr>
          <w:tab/>
        </w:r>
        <w:r w:rsidR="00D31293">
          <w:rPr>
            <w:noProof/>
            <w:webHidden/>
          </w:rPr>
          <w:fldChar w:fldCharType="begin"/>
        </w:r>
        <w:r w:rsidR="00D31293">
          <w:rPr>
            <w:noProof/>
            <w:webHidden/>
          </w:rPr>
          <w:instrText xml:space="preserve"> PAGEREF _Toc115037811 \h </w:instrText>
        </w:r>
        <w:r w:rsidR="00D31293">
          <w:rPr>
            <w:noProof/>
            <w:webHidden/>
          </w:rPr>
        </w:r>
        <w:r w:rsidR="00D31293">
          <w:rPr>
            <w:noProof/>
            <w:webHidden/>
          </w:rPr>
          <w:fldChar w:fldCharType="separate"/>
        </w:r>
        <w:r w:rsidR="00184C64">
          <w:rPr>
            <w:noProof/>
            <w:webHidden/>
          </w:rPr>
          <w:t>9</w:t>
        </w:r>
        <w:r w:rsidR="00D31293">
          <w:rPr>
            <w:noProof/>
            <w:webHidden/>
          </w:rPr>
          <w:fldChar w:fldCharType="end"/>
        </w:r>
      </w:hyperlink>
    </w:p>
    <w:p w14:paraId="66AF9DF5" w14:textId="6C2AF638" w:rsidR="00D31293" w:rsidRDefault="00922093">
      <w:pPr>
        <w:pStyle w:val="ndice2"/>
        <w:tabs>
          <w:tab w:val="right" w:leader="dot" w:pos="8777"/>
        </w:tabs>
        <w:rPr>
          <w:rFonts w:asciiTheme="minorHAnsi" w:eastAsiaTheme="minorEastAsia" w:hAnsiTheme="minorHAnsi"/>
          <w:noProof/>
          <w:lang w:val="pt-PT" w:eastAsia="pt-PT"/>
        </w:rPr>
      </w:pPr>
      <w:hyperlink w:anchor="_Toc115037812" w:history="1">
        <w:r w:rsidR="00D31293" w:rsidRPr="005C11AE">
          <w:rPr>
            <w:rStyle w:val="Hiperligao"/>
            <w:noProof/>
          </w:rPr>
          <w:t>2.1. Parasites</w:t>
        </w:r>
        <w:r w:rsidR="00D31293">
          <w:rPr>
            <w:noProof/>
            <w:webHidden/>
          </w:rPr>
          <w:tab/>
        </w:r>
        <w:r w:rsidR="00D31293">
          <w:rPr>
            <w:noProof/>
            <w:webHidden/>
          </w:rPr>
          <w:fldChar w:fldCharType="begin"/>
        </w:r>
        <w:r w:rsidR="00D31293">
          <w:rPr>
            <w:noProof/>
            <w:webHidden/>
          </w:rPr>
          <w:instrText xml:space="preserve"> PAGEREF _Toc115037812 \h </w:instrText>
        </w:r>
        <w:r w:rsidR="00D31293">
          <w:rPr>
            <w:noProof/>
            <w:webHidden/>
          </w:rPr>
        </w:r>
        <w:r w:rsidR="00D31293">
          <w:rPr>
            <w:noProof/>
            <w:webHidden/>
          </w:rPr>
          <w:fldChar w:fldCharType="separate"/>
        </w:r>
        <w:r w:rsidR="00184C64">
          <w:rPr>
            <w:noProof/>
            <w:webHidden/>
          </w:rPr>
          <w:t>9</w:t>
        </w:r>
        <w:r w:rsidR="00D31293">
          <w:rPr>
            <w:noProof/>
            <w:webHidden/>
          </w:rPr>
          <w:fldChar w:fldCharType="end"/>
        </w:r>
      </w:hyperlink>
    </w:p>
    <w:p w14:paraId="7A4BB5B7" w14:textId="48F3C1D6" w:rsidR="00D31293" w:rsidRDefault="00922093">
      <w:pPr>
        <w:pStyle w:val="ndice2"/>
        <w:tabs>
          <w:tab w:val="right" w:leader="dot" w:pos="8777"/>
        </w:tabs>
        <w:rPr>
          <w:rFonts w:asciiTheme="minorHAnsi" w:eastAsiaTheme="minorEastAsia" w:hAnsiTheme="minorHAnsi"/>
          <w:noProof/>
          <w:lang w:val="pt-PT" w:eastAsia="pt-PT"/>
        </w:rPr>
      </w:pPr>
      <w:hyperlink w:anchor="_Toc115037813" w:history="1">
        <w:r w:rsidR="00D31293" w:rsidRPr="005C11AE">
          <w:rPr>
            <w:rStyle w:val="Hiperligao"/>
            <w:noProof/>
          </w:rPr>
          <w:t>2.2. Parasitic membrane proteins extraction</w:t>
        </w:r>
        <w:r w:rsidR="00D31293">
          <w:rPr>
            <w:noProof/>
            <w:webHidden/>
          </w:rPr>
          <w:tab/>
        </w:r>
        <w:r w:rsidR="00D31293">
          <w:rPr>
            <w:noProof/>
            <w:webHidden/>
          </w:rPr>
          <w:fldChar w:fldCharType="begin"/>
        </w:r>
        <w:r w:rsidR="00D31293">
          <w:rPr>
            <w:noProof/>
            <w:webHidden/>
          </w:rPr>
          <w:instrText xml:space="preserve"> PAGEREF _Toc115037813 \h </w:instrText>
        </w:r>
        <w:r w:rsidR="00D31293">
          <w:rPr>
            <w:noProof/>
            <w:webHidden/>
          </w:rPr>
        </w:r>
        <w:r w:rsidR="00D31293">
          <w:rPr>
            <w:noProof/>
            <w:webHidden/>
          </w:rPr>
          <w:fldChar w:fldCharType="separate"/>
        </w:r>
        <w:r w:rsidR="00184C64">
          <w:rPr>
            <w:noProof/>
            <w:webHidden/>
          </w:rPr>
          <w:t>9</w:t>
        </w:r>
        <w:r w:rsidR="00D31293">
          <w:rPr>
            <w:noProof/>
            <w:webHidden/>
          </w:rPr>
          <w:fldChar w:fldCharType="end"/>
        </w:r>
      </w:hyperlink>
    </w:p>
    <w:p w14:paraId="45871508" w14:textId="6355555B" w:rsidR="00D31293" w:rsidRDefault="00922093">
      <w:pPr>
        <w:pStyle w:val="ndice2"/>
        <w:tabs>
          <w:tab w:val="right" w:leader="dot" w:pos="8777"/>
        </w:tabs>
        <w:rPr>
          <w:rFonts w:asciiTheme="minorHAnsi" w:eastAsiaTheme="minorEastAsia" w:hAnsiTheme="minorHAnsi"/>
          <w:noProof/>
          <w:lang w:val="pt-PT" w:eastAsia="pt-PT"/>
        </w:rPr>
      </w:pPr>
      <w:hyperlink w:anchor="_Toc115037814" w:history="1">
        <w:r w:rsidR="00D31293" w:rsidRPr="005C11AE">
          <w:rPr>
            <w:rStyle w:val="Hiperligao"/>
            <w:noProof/>
          </w:rPr>
          <w:t>2.3. Electrophoretic analysis of NcMP</w:t>
        </w:r>
        <w:r w:rsidR="00D31293">
          <w:rPr>
            <w:noProof/>
            <w:webHidden/>
          </w:rPr>
          <w:tab/>
        </w:r>
        <w:r w:rsidR="00D31293">
          <w:rPr>
            <w:noProof/>
            <w:webHidden/>
          </w:rPr>
          <w:fldChar w:fldCharType="begin"/>
        </w:r>
        <w:r w:rsidR="00D31293">
          <w:rPr>
            <w:noProof/>
            <w:webHidden/>
          </w:rPr>
          <w:instrText xml:space="preserve"> PAGEREF _Toc115037814 \h </w:instrText>
        </w:r>
        <w:r w:rsidR="00D31293">
          <w:rPr>
            <w:noProof/>
            <w:webHidden/>
          </w:rPr>
        </w:r>
        <w:r w:rsidR="00D31293">
          <w:rPr>
            <w:noProof/>
            <w:webHidden/>
          </w:rPr>
          <w:fldChar w:fldCharType="separate"/>
        </w:r>
        <w:r w:rsidR="00184C64">
          <w:rPr>
            <w:noProof/>
            <w:webHidden/>
          </w:rPr>
          <w:t>10</w:t>
        </w:r>
        <w:r w:rsidR="00D31293">
          <w:rPr>
            <w:noProof/>
            <w:webHidden/>
          </w:rPr>
          <w:fldChar w:fldCharType="end"/>
        </w:r>
      </w:hyperlink>
    </w:p>
    <w:p w14:paraId="6A3EAEF1" w14:textId="4EE804D5" w:rsidR="00D31293" w:rsidRDefault="00922093">
      <w:pPr>
        <w:pStyle w:val="ndice2"/>
        <w:tabs>
          <w:tab w:val="right" w:leader="dot" w:pos="8777"/>
        </w:tabs>
        <w:rPr>
          <w:rFonts w:asciiTheme="minorHAnsi" w:eastAsiaTheme="minorEastAsia" w:hAnsiTheme="minorHAnsi"/>
          <w:noProof/>
          <w:lang w:val="pt-PT" w:eastAsia="pt-PT"/>
        </w:rPr>
      </w:pPr>
      <w:hyperlink w:anchor="_Toc115037815" w:history="1">
        <w:r w:rsidR="00D31293" w:rsidRPr="005C11AE">
          <w:rPr>
            <w:rStyle w:val="Hiperligao"/>
            <w:noProof/>
          </w:rPr>
          <w:t>2.4. Immunization strategy and collection of biological samples</w:t>
        </w:r>
        <w:r w:rsidR="00D31293">
          <w:rPr>
            <w:noProof/>
            <w:webHidden/>
          </w:rPr>
          <w:tab/>
        </w:r>
        <w:r w:rsidR="00D31293">
          <w:rPr>
            <w:noProof/>
            <w:webHidden/>
          </w:rPr>
          <w:fldChar w:fldCharType="begin"/>
        </w:r>
        <w:r w:rsidR="00D31293">
          <w:rPr>
            <w:noProof/>
            <w:webHidden/>
          </w:rPr>
          <w:instrText xml:space="preserve"> PAGEREF _Toc115037815 \h </w:instrText>
        </w:r>
        <w:r w:rsidR="00D31293">
          <w:rPr>
            <w:noProof/>
            <w:webHidden/>
          </w:rPr>
        </w:r>
        <w:r w:rsidR="00D31293">
          <w:rPr>
            <w:noProof/>
            <w:webHidden/>
          </w:rPr>
          <w:fldChar w:fldCharType="separate"/>
        </w:r>
        <w:r w:rsidR="00184C64">
          <w:rPr>
            <w:noProof/>
            <w:webHidden/>
          </w:rPr>
          <w:t>10</w:t>
        </w:r>
        <w:r w:rsidR="00D31293">
          <w:rPr>
            <w:noProof/>
            <w:webHidden/>
          </w:rPr>
          <w:fldChar w:fldCharType="end"/>
        </w:r>
      </w:hyperlink>
    </w:p>
    <w:p w14:paraId="01CA47FE" w14:textId="5C56B843" w:rsidR="00D31293" w:rsidRDefault="00922093">
      <w:pPr>
        <w:pStyle w:val="ndice2"/>
        <w:tabs>
          <w:tab w:val="right" w:leader="dot" w:pos="8777"/>
        </w:tabs>
        <w:rPr>
          <w:rFonts w:asciiTheme="minorHAnsi" w:eastAsiaTheme="minorEastAsia" w:hAnsiTheme="minorHAnsi"/>
          <w:noProof/>
          <w:lang w:val="pt-PT" w:eastAsia="pt-PT"/>
        </w:rPr>
      </w:pPr>
      <w:hyperlink w:anchor="_Toc115037816" w:history="1">
        <w:r w:rsidR="00D31293" w:rsidRPr="005C11AE">
          <w:rPr>
            <w:rStyle w:val="Hiperligao"/>
            <w:noProof/>
          </w:rPr>
          <w:t>2.5. PBMCs isolation</w:t>
        </w:r>
        <w:r w:rsidR="00D31293">
          <w:rPr>
            <w:noProof/>
            <w:webHidden/>
          </w:rPr>
          <w:tab/>
        </w:r>
        <w:r w:rsidR="00D31293">
          <w:rPr>
            <w:noProof/>
            <w:webHidden/>
          </w:rPr>
          <w:fldChar w:fldCharType="begin"/>
        </w:r>
        <w:r w:rsidR="00D31293">
          <w:rPr>
            <w:noProof/>
            <w:webHidden/>
          </w:rPr>
          <w:instrText xml:space="preserve"> PAGEREF _Toc115037816 \h </w:instrText>
        </w:r>
        <w:r w:rsidR="00D31293">
          <w:rPr>
            <w:noProof/>
            <w:webHidden/>
          </w:rPr>
        </w:r>
        <w:r w:rsidR="00D31293">
          <w:rPr>
            <w:noProof/>
            <w:webHidden/>
          </w:rPr>
          <w:fldChar w:fldCharType="separate"/>
        </w:r>
        <w:r w:rsidR="00184C64">
          <w:rPr>
            <w:noProof/>
            <w:webHidden/>
          </w:rPr>
          <w:t>11</w:t>
        </w:r>
        <w:r w:rsidR="00D31293">
          <w:rPr>
            <w:noProof/>
            <w:webHidden/>
          </w:rPr>
          <w:fldChar w:fldCharType="end"/>
        </w:r>
      </w:hyperlink>
    </w:p>
    <w:p w14:paraId="48389917" w14:textId="28898719" w:rsidR="00D31293" w:rsidRDefault="00922093">
      <w:pPr>
        <w:pStyle w:val="ndice2"/>
        <w:tabs>
          <w:tab w:val="right" w:leader="dot" w:pos="8777"/>
        </w:tabs>
        <w:rPr>
          <w:rFonts w:asciiTheme="minorHAnsi" w:eastAsiaTheme="minorEastAsia" w:hAnsiTheme="minorHAnsi"/>
          <w:noProof/>
          <w:lang w:val="pt-PT" w:eastAsia="pt-PT"/>
        </w:rPr>
      </w:pPr>
      <w:hyperlink w:anchor="_Toc115037817" w:history="1">
        <w:r w:rsidR="00D31293" w:rsidRPr="005C11AE">
          <w:rPr>
            <w:rStyle w:val="Hiperligao"/>
            <w:noProof/>
          </w:rPr>
          <w:t>2.6. RNA extraction and real-time reverse transcription PCR analysis</w:t>
        </w:r>
        <w:r w:rsidR="00D31293">
          <w:rPr>
            <w:noProof/>
            <w:webHidden/>
          </w:rPr>
          <w:tab/>
        </w:r>
        <w:r w:rsidR="00D31293">
          <w:rPr>
            <w:noProof/>
            <w:webHidden/>
          </w:rPr>
          <w:fldChar w:fldCharType="begin"/>
        </w:r>
        <w:r w:rsidR="00D31293">
          <w:rPr>
            <w:noProof/>
            <w:webHidden/>
          </w:rPr>
          <w:instrText xml:space="preserve"> PAGEREF _Toc115037817 \h </w:instrText>
        </w:r>
        <w:r w:rsidR="00D31293">
          <w:rPr>
            <w:noProof/>
            <w:webHidden/>
          </w:rPr>
        </w:r>
        <w:r w:rsidR="00D31293">
          <w:rPr>
            <w:noProof/>
            <w:webHidden/>
          </w:rPr>
          <w:fldChar w:fldCharType="separate"/>
        </w:r>
        <w:r w:rsidR="00184C64">
          <w:rPr>
            <w:noProof/>
            <w:webHidden/>
          </w:rPr>
          <w:t>11</w:t>
        </w:r>
        <w:r w:rsidR="00D31293">
          <w:rPr>
            <w:noProof/>
            <w:webHidden/>
          </w:rPr>
          <w:fldChar w:fldCharType="end"/>
        </w:r>
      </w:hyperlink>
    </w:p>
    <w:p w14:paraId="3E55DB94" w14:textId="7887F347" w:rsidR="00D31293" w:rsidRDefault="00922093">
      <w:pPr>
        <w:pStyle w:val="ndice2"/>
        <w:tabs>
          <w:tab w:val="right" w:leader="dot" w:pos="8777"/>
        </w:tabs>
        <w:rPr>
          <w:rFonts w:asciiTheme="minorHAnsi" w:eastAsiaTheme="minorEastAsia" w:hAnsiTheme="minorHAnsi"/>
          <w:noProof/>
          <w:lang w:val="pt-PT" w:eastAsia="pt-PT"/>
        </w:rPr>
      </w:pPr>
      <w:hyperlink w:anchor="_Toc115037818" w:history="1">
        <w:r w:rsidR="00D31293" w:rsidRPr="005C11AE">
          <w:rPr>
            <w:rStyle w:val="Hiperligao"/>
            <w:noProof/>
          </w:rPr>
          <w:t>2.7. DNA extraction and real time-PCR</w:t>
        </w:r>
        <w:r w:rsidR="00D31293">
          <w:rPr>
            <w:noProof/>
            <w:webHidden/>
          </w:rPr>
          <w:tab/>
        </w:r>
        <w:r w:rsidR="00D31293">
          <w:rPr>
            <w:noProof/>
            <w:webHidden/>
          </w:rPr>
          <w:fldChar w:fldCharType="begin"/>
        </w:r>
        <w:r w:rsidR="00D31293">
          <w:rPr>
            <w:noProof/>
            <w:webHidden/>
          </w:rPr>
          <w:instrText xml:space="preserve"> PAGEREF _Toc115037818 \h </w:instrText>
        </w:r>
        <w:r w:rsidR="00D31293">
          <w:rPr>
            <w:noProof/>
            <w:webHidden/>
          </w:rPr>
        </w:r>
        <w:r w:rsidR="00D31293">
          <w:rPr>
            <w:noProof/>
            <w:webHidden/>
          </w:rPr>
          <w:fldChar w:fldCharType="separate"/>
        </w:r>
        <w:r w:rsidR="00184C64">
          <w:rPr>
            <w:noProof/>
            <w:webHidden/>
          </w:rPr>
          <w:t>12</w:t>
        </w:r>
        <w:r w:rsidR="00D31293">
          <w:rPr>
            <w:noProof/>
            <w:webHidden/>
          </w:rPr>
          <w:fldChar w:fldCharType="end"/>
        </w:r>
      </w:hyperlink>
    </w:p>
    <w:p w14:paraId="7ED58D89" w14:textId="44A41900" w:rsidR="00D31293" w:rsidRDefault="00922093">
      <w:pPr>
        <w:pStyle w:val="ndice2"/>
        <w:tabs>
          <w:tab w:val="right" w:leader="dot" w:pos="8777"/>
        </w:tabs>
        <w:rPr>
          <w:rFonts w:asciiTheme="minorHAnsi" w:eastAsiaTheme="minorEastAsia" w:hAnsiTheme="minorHAnsi"/>
          <w:noProof/>
          <w:lang w:val="pt-PT" w:eastAsia="pt-PT"/>
        </w:rPr>
      </w:pPr>
      <w:hyperlink w:anchor="_Toc115037819" w:history="1">
        <w:r w:rsidR="00D31293" w:rsidRPr="005C11AE">
          <w:rPr>
            <w:rStyle w:val="Hiperligao"/>
            <w:noProof/>
          </w:rPr>
          <w:t>2.8. Serum antibody detection</w:t>
        </w:r>
        <w:r w:rsidR="00D31293">
          <w:rPr>
            <w:noProof/>
            <w:webHidden/>
          </w:rPr>
          <w:tab/>
        </w:r>
        <w:r w:rsidR="00D31293">
          <w:rPr>
            <w:noProof/>
            <w:webHidden/>
          </w:rPr>
          <w:fldChar w:fldCharType="begin"/>
        </w:r>
        <w:r w:rsidR="00D31293">
          <w:rPr>
            <w:noProof/>
            <w:webHidden/>
          </w:rPr>
          <w:instrText xml:space="preserve"> PAGEREF _Toc115037819 \h </w:instrText>
        </w:r>
        <w:r w:rsidR="00D31293">
          <w:rPr>
            <w:noProof/>
            <w:webHidden/>
          </w:rPr>
        </w:r>
        <w:r w:rsidR="00D31293">
          <w:rPr>
            <w:noProof/>
            <w:webHidden/>
          </w:rPr>
          <w:fldChar w:fldCharType="separate"/>
        </w:r>
        <w:r w:rsidR="00184C64">
          <w:rPr>
            <w:noProof/>
            <w:webHidden/>
          </w:rPr>
          <w:t>13</w:t>
        </w:r>
        <w:r w:rsidR="00D31293">
          <w:rPr>
            <w:noProof/>
            <w:webHidden/>
          </w:rPr>
          <w:fldChar w:fldCharType="end"/>
        </w:r>
      </w:hyperlink>
    </w:p>
    <w:p w14:paraId="61A3B9A1" w14:textId="087D29BD" w:rsidR="00D31293" w:rsidRDefault="00922093">
      <w:pPr>
        <w:pStyle w:val="ndice2"/>
        <w:tabs>
          <w:tab w:val="right" w:leader="dot" w:pos="8777"/>
        </w:tabs>
        <w:rPr>
          <w:rFonts w:asciiTheme="minorHAnsi" w:eastAsiaTheme="minorEastAsia" w:hAnsiTheme="minorHAnsi"/>
          <w:noProof/>
          <w:lang w:val="pt-PT" w:eastAsia="pt-PT"/>
        </w:rPr>
      </w:pPr>
      <w:hyperlink w:anchor="_Toc115037820" w:history="1">
        <w:r w:rsidR="00D31293" w:rsidRPr="005C11AE">
          <w:rPr>
            <w:rStyle w:val="Hiperligao"/>
            <w:noProof/>
          </w:rPr>
          <w:t>2.9. Serum cytokine detection</w:t>
        </w:r>
        <w:r w:rsidR="00D31293">
          <w:rPr>
            <w:noProof/>
            <w:webHidden/>
          </w:rPr>
          <w:tab/>
        </w:r>
        <w:r w:rsidR="00D31293">
          <w:rPr>
            <w:noProof/>
            <w:webHidden/>
          </w:rPr>
          <w:fldChar w:fldCharType="begin"/>
        </w:r>
        <w:r w:rsidR="00D31293">
          <w:rPr>
            <w:noProof/>
            <w:webHidden/>
          </w:rPr>
          <w:instrText xml:space="preserve"> PAGEREF _Toc115037820 \h </w:instrText>
        </w:r>
        <w:r w:rsidR="00D31293">
          <w:rPr>
            <w:noProof/>
            <w:webHidden/>
          </w:rPr>
        </w:r>
        <w:r w:rsidR="00D31293">
          <w:rPr>
            <w:noProof/>
            <w:webHidden/>
          </w:rPr>
          <w:fldChar w:fldCharType="separate"/>
        </w:r>
        <w:r w:rsidR="00184C64">
          <w:rPr>
            <w:noProof/>
            <w:webHidden/>
          </w:rPr>
          <w:t>14</w:t>
        </w:r>
        <w:r w:rsidR="00D31293">
          <w:rPr>
            <w:noProof/>
            <w:webHidden/>
          </w:rPr>
          <w:fldChar w:fldCharType="end"/>
        </w:r>
      </w:hyperlink>
    </w:p>
    <w:p w14:paraId="61152EE0" w14:textId="39E5BE30" w:rsidR="00D31293" w:rsidRDefault="00922093">
      <w:pPr>
        <w:pStyle w:val="ndice2"/>
        <w:tabs>
          <w:tab w:val="right" w:leader="dot" w:pos="8777"/>
        </w:tabs>
        <w:rPr>
          <w:rFonts w:asciiTheme="minorHAnsi" w:eastAsiaTheme="minorEastAsia" w:hAnsiTheme="minorHAnsi"/>
          <w:noProof/>
          <w:lang w:val="pt-PT" w:eastAsia="pt-PT"/>
        </w:rPr>
      </w:pPr>
      <w:hyperlink w:anchor="_Toc115037821" w:history="1">
        <w:r w:rsidR="00D31293" w:rsidRPr="005C11AE">
          <w:rPr>
            <w:rStyle w:val="Hiperligao"/>
            <w:noProof/>
          </w:rPr>
          <w:t>2.10. Flow cytometry analysis</w:t>
        </w:r>
        <w:r w:rsidR="00D31293">
          <w:rPr>
            <w:noProof/>
            <w:webHidden/>
          </w:rPr>
          <w:tab/>
        </w:r>
        <w:r w:rsidR="00D31293">
          <w:rPr>
            <w:noProof/>
            <w:webHidden/>
          </w:rPr>
          <w:fldChar w:fldCharType="begin"/>
        </w:r>
        <w:r w:rsidR="00D31293">
          <w:rPr>
            <w:noProof/>
            <w:webHidden/>
          </w:rPr>
          <w:instrText xml:space="preserve"> PAGEREF _Toc115037821 \h </w:instrText>
        </w:r>
        <w:r w:rsidR="00D31293">
          <w:rPr>
            <w:noProof/>
            <w:webHidden/>
          </w:rPr>
        </w:r>
        <w:r w:rsidR="00D31293">
          <w:rPr>
            <w:noProof/>
            <w:webHidden/>
          </w:rPr>
          <w:fldChar w:fldCharType="separate"/>
        </w:r>
        <w:r w:rsidR="00184C64">
          <w:rPr>
            <w:noProof/>
            <w:webHidden/>
          </w:rPr>
          <w:t>15</w:t>
        </w:r>
        <w:r w:rsidR="00D31293">
          <w:rPr>
            <w:noProof/>
            <w:webHidden/>
          </w:rPr>
          <w:fldChar w:fldCharType="end"/>
        </w:r>
      </w:hyperlink>
    </w:p>
    <w:p w14:paraId="04B43BF8" w14:textId="3DF1D641" w:rsidR="00D31293" w:rsidRDefault="00922093">
      <w:pPr>
        <w:pStyle w:val="ndice2"/>
        <w:tabs>
          <w:tab w:val="right" w:leader="dot" w:pos="8777"/>
        </w:tabs>
        <w:rPr>
          <w:rFonts w:asciiTheme="minorHAnsi" w:eastAsiaTheme="minorEastAsia" w:hAnsiTheme="minorHAnsi"/>
          <w:noProof/>
          <w:lang w:val="pt-PT" w:eastAsia="pt-PT"/>
        </w:rPr>
      </w:pPr>
      <w:hyperlink w:anchor="_Toc115037822" w:history="1">
        <w:r w:rsidR="00D31293" w:rsidRPr="005C11AE">
          <w:rPr>
            <w:rStyle w:val="Hiperligao"/>
            <w:noProof/>
          </w:rPr>
          <w:t>2.11. Statistical Analysis</w:t>
        </w:r>
        <w:r w:rsidR="00D31293">
          <w:rPr>
            <w:noProof/>
            <w:webHidden/>
          </w:rPr>
          <w:tab/>
        </w:r>
        <w:r w:rsidR="00D31293">
          <w:rPr>
            <w:noProof/>
            <w:webHidden/>
          </w:rPr>
          <w:fldChar w:fldCharType="begin"/>
        </w:r>
        <w:r w:rsidR="00D31293">
          <w:rPr>
            <w:noProof/>
            <w:webHidden/>
          </w:rPr>
          <w:instrText xml:space="preserve"> PAGEREF _Toc115037822 \h </w:instrText>
        </w:r>
        <w:r w:rsidR="00D31293">
          <w:rPr>
            <w:noProof/>
            <w:webHidden/>
          </w:rPr>
        </w:r>
        <w:r w:rsidR="00D31293">
          <w:rPr>
            <w:noProof/>
            <w:webHidden/>
          </w:rPr>
          <w:fldChar w:fldCharType="separate"/>
        </w:r>
        <w:r w:rsidR="00184C64">
          <w:rPr>
            <w:noProof/>
            <w:webHidden/>
          </w:rPr>
          <w:t>16</w:t>
        </w:r>
        <w:r w:rsidR="00D31293">
          <w:rPr>
            <w:noProof/>
            <w:webHidden/>
          </w:rPr>
          <w:fldChar w:fldCharType="end"/>
        </w:r>
      </w:hyperlink>
    </w:p>
    <w:p w14:paraId="116D3E7C" w14:textId="214C1AF7" w:rsidR="00D31293" w:rsidRDefault="00922093">
      <w:pPr>
        <w:pStyle w:val="ndice1"/>
        <w:rPr>
          <w:rFonts w:asciiTheme="minorHAnsi" w:eastAsiaTheme="minorEastAsia" w:hAnsiTheme="minorHAnsi"/>
          <w:noProof/>
          <w:lang w:val="pt-PT" w:eastAsia="pt-PT"/>
        </w:rPr>
      </w:pPr>
      <w:hyperlink w:anchor="_Toc115037823" w:history="1">
        <w:r w:rsidR="00D31293" w:rsidRPr="005C11AE">
          <w:rPr>
            <w:rStyle w:val="Hiperligao"/>
            <w:noProof/>
          </w:rPr>
          <w:t>3. Results</w:t>
        </w:r>
        <w:r w:rsidR="00D31293">
          <w:rPr>
            <w:noProof/>
            <w:webHidden/>
          </w:rPr>
          <w:tab/>
        </w:r>
        <w:r w:rsidR="00D31293">
          <w:rPr>
            <w:noProof/>
            <w:webHidden/>
          </w:rPr>
          <w:fldChar w:fldCharType="begin"/>
        </w:r>
        <w:r w:rsidR="00D31293">
          <w:rPr>
            <w:noProof/>
            <w:webHidden/>
          </w:rPr>
          <w:instrText xml:space="preserve"> PAGEREF _Toc115037823 \h </w:instrText>
        </w:r>
        <w:r w:rsidR="00D31293">
          <w:rPr>
            <w:noProof/>
            <w:webHidden/>
          </w:rPr>
        </w:r>
        <w:r w:rsidR="00D31293">
          <w:rPr>
            <w:noProof/>
            <w:webHidden/>
          </w:rPr>
          <w:fldChar w:fldCharType="separate"/>
        </w:r>
        <w:r w:rsidR="00184C64">
          <w:rPr>
            <w:noProof/>
            <w:webHidden/>
          </w:rPr>
          <w:t>16</w:t>
        </w:r>
        <w:r w:rsidR="00D31293">
          <w:rPr>
            <w:noProof/>
            <w:webHidden/>
          </w:rPr>
          <w:fldChar w:fldCharType="end"/>
        </w:r>
      </w:hyperlink>
    </w:p>
    <w:p w14:paraId="2702E707" w14:textId="1B26320E" w:rsidR="00D31293" w:rsidRDefault="00922093">
      <w:pPr>
        <w:pStyle w:val="ndice2"/>
        <w:tabs>
          <w:tab w:val="right" w:leader="dot" w:pos="8777"/>
        </w:tabs>
        <w:rPr>
          <w:rFonts w:asciiTheme="minorHAnsi" w:eastAsiaTheme="minorEastAsia" w:hAnsiTheme="minorHAnsi"/>
          <w:noProof/>
          <w:lang w:val="pt-PT" w:eastAsia="pt-PT"/>
        </w:rPr>
      </w:pPr>
      <w:hyperlink w:anchor="_Toc115037824" w:history="1">
        <w:r w:rsidR="00D31293" w:rsidRPr="005C11AE">
          <w:rPr>
            <w:rStyle w:val="Hiperligao"/>
            <w:noProof/>
          </w:rPr>
          <w:t>3.1</w:t>
        </w:r>
        <w:r w:rsidR="00D31293" w:rsidRPr="005C11AE">
          <w:rPr>
            <w:rStyle w:val="Hiperligao"/>
            <w:i/>
            <w:iCs/>
            <w:noProof/>
          </w:rPr>
          <w:t>. Neospora caninum</w:t>
        </w:r>
        <w:r w:rsidR="00D31293" w:rsidRPr="005C11AE">
          <w:rPr>
            <w:rStyle w:val="Hiperligao"/>
            <w:noProof/>
          </w:rPr>
          <w:t xml:space="preserve"> membrane protein extract preparation and electrophoretic analysis</w:t>
        </w:r>
        <w:r w:rsidR="00D31293">
          <w:rPr>
            <w:noProof/>
            <w:webHidden/>
          </w:rPr>
          <w:tab/>
        </w:r>
        <w:r w:rsidR="00D31293">
          <w:rPr>
            <w:noProof/>
            <w:webHidden/>
          </w:rPr>
          <w:fldChar w:fldCharType="begin"/>
        </w:r>
        <w:r w:rsidR="00D31293">
          <w:rPr>
            <w:noProof/>
            <w:webHidden/>
          </w:rPr>
          <w:instrText xml:space="preserve"> PAGEREF _Toc115037824 \h </w:instrText>
        </w:r>
        <w:r w:rsidR="00D31293">
          <w:rPr>
            <w:noProof/>
            <w:webHidden/>
          </w:rPr>
        </w:r>
        <w:r w:rsidR="00D31293">
          <w:rPr>
            <w:noProof/>
            <w:webHidden/>
          </w:rPr>
          <w:fldChar w:fldCharType="separate"/>
        </w:r>
        <w:r w:rsidR="00184C64">
          <w:rPr>
            <w:noProof/>
            <w:webHidden/>
          </w:rPr>
          <w:t>16</w:t>
        </w:r>
        <w:r w:rsidR="00D31293">
          <w:rPr>
            <w:noProof/>
            <w:webHidden/>
          </w:rPr>
          <w:fldChar w:fldCharType="end"/>
        </w:r>
      </w:hyperlink>
    </w:p>
    <w:p w14:paraId="3565B210" w14:textId="766F246D" w:rsidR="00D31293" w:rsidRDefault="00922093">
      <w:pPr>
        <w:pStyle w:val="ndice2"/>
        <w:tabs>
          <w:tab w:val="right" w:leader="dot" w:pos="8777"/>
        </w:tabs>
        <w:rPr>
          <w:rFonts w:asciiTheme="minorHAnsi" w:eastAsiaTheme="minorEastAsia" w:hAnsiTheme="minorHAnsi"/>
          <w:noProof/>
          <w:lang w:val="pt-PT" w:eastAsia="pt-PT"/>
        </w:rPr>
      </w:pPr>
      <w:hyperlink w:anchor="_Toc115037825" w:history="1">
        <w:r w:rsidR="00D31293" w:rsidRPr="005C11AE">
          <w:rPr>
            <w:rStyle w:val="Hiperligao"/>
            <w:noProof/>
          </w:rPr>
          <w:t>3.2. Analysis of the levels of IgG and IgG1 induced by vaccination and infection</w:t>
        </w:r>
        <w:r w:rsidR="00D31293">
          <w:rPr>
            <w:noProof/>
            <w:webHidden/>
          </w:rPr>
          <w:tab/>
        </w:r>
        <w:r w:rsidR="00D31293">
          <w:rPr>
            <w:noProof/>
            <w:webHidden/>
          </w:rPr>
          <w:fldChar w:fldCharType="begin"/>
        </w:r>
        <w:r w:rsidR="00D31293">
          <w:rPr>
            <w:noProof/>
            <w:webHidden/>
          </w:rPr>
          <w:instrText xml:space="preserve"> PAGEREF _Toc115037825 \h </w:instrText>
        </w:r>
        <w:r w:rsidR="00D31293">
          <w:rPr>
            <w:noProof/>
            <w:webHidden/>
          </w:rPr>
        </w:r>
        <w:r w:rsidR="00D31293">
          <w:rPr>
            <w:noProof/>
            <w:webHidden/>
          </w:rPr>
          <w:fldChar w:fldCharType="separate"/>
        </w:r>
        <w:r w:rsidR="00184C64">
          <w:rPr>
            <w:noProof/>
            <w:webHidden/>
          </w:rPr>
          <w:t>17</w:t>
        </w:r>
        <w:r w:rsidR="00D31293">
          <w:rPr>
            <w:noProof/>
            <w:webHidden/>
          </w:rPr>
          <w:fldChar w:fldCharType="end"/>
        </w:r>
      </w:hyperlink>
    </w:p>
    <w:p w14:paraId="196CE456" w14:textId="3500FDF7" w:rsidR="00D31293" w:rsidRDefault="00922093">
      <w:pPr>
        <w:pStyle w:val="ndice2"/>
        <w:tabs>
          <w:tab w:val="right" w:leader="dot" w:pos="8777"/>
        </w:tabs>
        <w:rPr>
          <w:rFonts w:asciiTheme="minorHAnsi" w:eastAsiaTheme="minorEastAsia" w:hAnsiTheme="minorHAnsi"/>
          <w:noProof/>
          <w:lang w:val="pt-PT" w:eastAsia="pt-PT"/>
        </w:rPr>
      </w:pPr>
      <w:hyperlink w:anchor="_Toc115037826" w:history="1">
        <w:r w:rsidR="00D31293" w:rsidRPr="005C11AE">
          <w:rPr>
            <w:rStyle w:val="Hiperligao"/>
            <w:noProof/>
          </w:rPr>
          <w:t>3.3. Assessment of the IL-2, IL-4, IL-17A and IFN-γ levels in the serum of vaccinated and infected animals</w:t>
        </w:r>
        <w:r w:rsidR="00D31293">
          <w:rPr>
            <w:noProof/>
            <w:webHidden/>
          </w:rPr>
          <w:tab/>
        </w:r>
        <w:r w:rsidR="00D31293">
          <w:rPr>
            <w:noProof/>
            <w:webHidden/>
          </w:rPr>
          <w:fldChar w:fldCharType="begin"/>
        </w:r>
        <w:r w:rsidR="00D31293">
          <w:rPr>
            <w:noProof/>
            <w:webHidden/>
          </w:rPr>
          <w:instrText xml:space="preserve"> PAGEREF _Toc115037826 \h </w:instrText>
        </w:r>
        <w:r w:rsidR="00D31293">
          <w:rPr>
            <w:noProof/>
            <w:webHidden/>
          </w:rPr>
        </w:r>
        <w:r w:rsidR="00D31293">
          <w:rPr>
            <w:noProof/>
            <w:webHidden/>
          </w:rPr>
          <w:fldChar w:fldCharType="separate"/>
        </w:r>
        <w:r w:rsidR="00184C64">
          <w:rPr>
            <w:noProof/>
            <w:webHidden/>
          </w:rPr>
          <w:t>18</w:t>
        </w:r>
        <w:r w:rsidR="00D31293">
          <w:rPr>
            <w:noProof/>
            <w:webHidden/>
          </w:rPr>
          <w:fldChar w:fldCharType="end"/>
        </w:r>
      </w:hyperlink>
    </w:p>
    <w:p w14:paraId="01806687" w14:textId="7B422760" w:rsidR="00D31293" w:rsidRDefault="00922093">
      <w:pPr>
        <w:pStyle w:val="ndice2"/>
        <w:tabs>
          <w:tab w:val="right" w:leader="dot" w:pos="8777"/>
        </w:tabs>
        <w:rPr>
          <w:rFonts w:asciiTheme="minorHAnsi" w:eastAsiaTheme="minorEastAsia" w:hAnsiTheme="minorHAnsi"/>
          <w:noProof/>
          <w:lang w:val="pt-PT" w:eastAsia="pt-PT"/>
        </w:rPr>
      </w:pPr>
      <w:hyperlink w:anchor="_Toc115037827" w:history="1">
        <w:r w:rsidR="00D31293" w:rsidRPr="005C11AE">
          <w:rPr>
            <w:rStyle w:val="Hiperligao"/>
            <w:noProof/>
          </w:rPr>
          <w:t>3.4. Analysis of T cell proliferation and cytokine production by Flow Cytometry</w:t>
        </w:r>
        <w:r w:rsidR="00D31293">
          <w:rPr>
            <w:noProof/>
            <w:webHidden/>
          </w:rPr>
          <w:tab/>
        </w:r>
        <w:r w:rsidR="00D31293">
          <w:rPr>
            <w:noProof/>
            <w:webHidden/>
          </w:rPr>
          <w:fldChar w:fldCharType="begin"/>
        </w:r>
        <w:r w:rsidR="00D31293">
          <w:rPr>
            <w:noProof/>
            <w:webHidden/>
          </w:rPr>
          <w:instrText xml:space="preserve"> PAGEREF _Toc115037827 \h </w:instrText>
        </w:r>
        <w:r w:rsidR="00D31293">
          <w:rPr>
            <w:noProof/>
            <w:webHidden/>
          </w:rPr>
        </w:r>
        <w:r w:rsidR="00D31293">
          <w:rPr>
            <w:noProof/>
            <w:webHidden/>
          </w:rPr>
          <w:fldChar w:fldCharType="separate"/>
        </w:r>
        <w:r w:rsidR="00184C64">
          <w:rPr>
            <w:noProof/>
            <w:webHidden/>
          </w:rPr>
          <w:t>20</w:t>
        </w:r>
        <w:r w:rsidR="00D31293">
          <w:rPr>
            <w:noProof/>
            <w:webHidden/>
          </w:rPr>
          <w:fldChar w:fldCharType="end"/>
        </w:r>
      </w:hyperlink>
    </w:p>
    <w:p w14:paraId="35E9EDC2" w14:textId="3C0E96E7" w:rsidR="00D31293" w:rsidRDefault="00922093">
      <w:pPr>
        <w:pStyle w:val="ndice2"/>
        <w:tabs>
          <w:tab w:val="right" w:leader="dot" w:pos="8777"/>
        </w:tabs>
        <w:rPr>
          <w:rFonts w:asciiTheme="minorHAnsi" w:eastAsiaTheme="minorEastAsia" w:hAnsiTheme="minorHAnsi"/>
          <w:noProof/>
          <w:lang w:val="pt-PT" w:eastAsia="pt-PT"/>
        </w:rPr>
      </w:pPr>
      <w:hyperlink w:anchor="_Toc115037828" w:history="1">
        <w:r w:rsidR="00D31293" w:rsidRPr="005C11AE">
          <w:rPr>
            <w:rStyle w:val="Hiperligao"/>
            <w:noProof/>
          </w:rPr>
          <w:t xml:space="preserve">3.5. Evaluation of </w:t>
        </w:r>
        <w:r w:rsidR="00D31293" w:rsidRPr="005C11AE">
          <w:rPr>
            <w:rStyle w:val="Hiperligao"/>
            <w:i/>
            <w:iCs/>
            <w:noProof/>
          </w:rPr>
          <w:t>TBX21</w:t>
        </w:r>
        <w:r w:rsidR="00D31293" w:rsidRPr="005C11AE">
          <w:rPr>
            <w:rStyle w:val="Hiperligao"/>
            <w:noProof/>
          </w:rPr>
          <w:t xml:space="preserve"> and </w:t>
        </w:r>
        <w:r w:rsidR="00D31293" w:rsidRPr="005C11AE">
          <w:rPr>
            <w:rStyle w:val="Hiperligao"/>
            <w:i/>
            <w:iCs/>
            <w:noProof/>
          </w:rPr>
          <w:t>RORC</w:t>
        </w:r>
        <w:r w:rsidR="00D31293" w:rsidRPr="005C11AE">
          <w:rPr>
            <w:rStyle w:val="Hiperligao"/>
            <w:noProof/>
          </w:rPr>
          <w:t xml:space="preserve"> gene expression</w:t>
        </w:r>
        <w:r w:rsidR="00D31293">
          <w:rPr>
            <w:noProof/>
            <w:webHidden/>
          </w:rPr>
          <w:tab/>
        </w:r>
        <w:r w:rsidR="00D31293">
          <w:rPr>
            <w:noProof/>
            <w:webHidden/>
          </w:rPr>
          <w:fldChar w:fldCharType="begin"/>
        </w:r>
        <w:r w:rsidR="00D31293">
          <w:rPr>
            <w:noProof/>
            <w:webHidden/>
          </w:rPr>
          <w:instrText xml:space="preserve"> PAGEREF _Toc115037828 \h </w:instrText>
        </w:r>
        <w:r w:rsidR="00D31293">
          <w:rPr>
            <w:noProof/>
            <w:webHidden/>
          </w:rPr>
        </w:r>
        <w:r w:rsidR="00D31293">
          <w:rPr>
            <w:noProof/>
            <w:webHidden/>
          </w:rPr>
          <w:fldChar w:fldCharType="separate"/>
        </w:r>
        <w:r w:rsidR="00184C64">
          <w:rPr>
            <w:noProof/>
            <w:webHidden/>
          </w:rPr>
          <w:t>24</w:t>
        </w:r>
        <w:r w:rsidR="00D31293">
          <w:rPr>
            <w:noProof/>
            <w:webHidden/>
          </w:rPr>
          <w:fldChar w:fldCharType="end"/>
        </w:r>
      </w:hyperlink>
    </w:p>
    <w:p w14:paraId="6A530577" w14:textId="5D694377" w:rsidR="00D31293" w:rsidRDefault="00922093">
      <w:pPr>
        <w:pStyle w:val="ndice2"/>
        <w:tabs>
          <w:tab w:val="right" w:leader="dot" w:pos="8777"/>
        </w:tabs>
        <w:rPr>
          <w:rFonts w:asciiTheme="minorHAnsi" w:eastAsiaTheme="minorEastAsia" w:hAnsiTheme="minorHAnsi"/>
          <w:noProof/>
          <w:lang w:val="pt-PT" w:eastAsia="pt-PT"/>
        </w:rPr>
      </w:pPr>
      <w:hyperlink w:anchor="_Toc115037829" w:history="1">
        <w:r w:rsidR="00D31293" w:rsidRPr="005C11AE">
          <w:rPr>
            <w:rStyle w:val="Hiperligao"/>
            <w:noProof/>
          </w:rPr>
          <w:t xml:space="preserve">3.6. </w:t>
        </w:r>
        <w:r w:rsidR="00D31293" w:rsidRPr="005C11AE">
          <w:rPr>
            <w:rStyle w:val="Hiperligao"/>
            <w:i/>
            <w:noProof/>
          </w:rPr>
          <w:t xml:space="preserve">Neospora caninum DNA </w:t>
        </w:r>
        <w:r w:rsidR="00D31293" w:rsidRPr="005C11AE">
          <w:rPr>
            <w:rStyle w:val="Hiperligao"/>
            <w:noProof/>
          </w:rPr>
          <w:t>detection in infected control and immunized animals</w:t>
        </w:r>
        <w:r w:rsidR="00D31293">
          <w:rPr>
            <w:noProof/>
            <w:webHidden/>
          </w:rPr>
          <w:tab/>
        </w:r>
        <w:r w:rsidR="00D31293">
          <w:rPr>
            <w:noProof/>
            <w:webHidden/>
          </w:rPr>
          <w:fldChar w:fldCharType="begin"/>
        </w:r>
        <w:r w:rsidR="00D31293">
          <w:rPr>
            <w:noProof/>
            <w:webHidden/>
          </w:rPr>
          <w:instrText xml:space="preserve"> PAGEREF _Toc115037829 \h </w:instrText>
        </w:r>
        <w:r w:rsidR="00D31293">
          <w:rPr>
            <w:noProof/>
            <w:webHidden/>
          </w:rPr>
        </w:r>
        <w:r w:rsidR="00D31293">
          <w:rPr>
            <w:noProof/>
            <w:webHidden/>
          </w:rPr>
          <w:fldChar w:fldCharType="separate"/>
        </w:r>
        <w:r w:rsidR="00184C64">
          <w:rPr>
            <w:noProof/>
            <w:webHidden/>
          </w:rPr>
          <w:t>26</w:t>
        </w:r>
        <w:r w:rsidR="00D31293">
          <w:rPr>
            <w:noProof/>
            <w:webHidden/>
          </w:rPr>
          <w:fldChar w:fldCharType="end"/>
        </w:r>
      </w:hyperlink>
    </w:p>
    <w:p w14:paraId="0E05914E" w14:textId="11B2AB07" w:rsidR="00D31293" w:rsidRDefault="00922093">
      <w:pPr>
        <w:pStyle w:val="ndice1"/>
        <w:rPr>
          <w:rFonts w:asciiTheme="minorHAnsi" w:eastAsiaTheme="minorEastAsia" w:hAnsiTheme="minorHAnsi"/>
          <w:noProof/>
          <w:lang w:val="pt-PT" w:eastAsia="pt-PT"/>
        </w:rPr>
      </w:pPr>
      <w:hyperlink w:anchor="_Toc115037830" w:history="1">
        <w:r w:rsidR="00D31293" w:rsidRPr="005C11AE">
          <w:rPr>
            <w:rStyle w:val="Hiperligao"/>
            <w:noProof/>
          </w:rPr>
          <w:t>4. Discussion</w:t>
        </w:r>
        <w:r w:rsidR="00D31293">
          <w:rPr>
            <w:noProof/>
            <w:webHidden/>
          </w:rPr>
          <w:tab/>
        </w:r>
        <w:r w:rsidR="00D31293">
          <w:rPr>
            <w:noProof/>
            <w:webHidden/>
          </w:rPr>
          <w:fldChar w:fldCharType="begin"/>
        </w:r>
        <w:r w:rsidR="00D31293">
          <w:rPr>
            <w:noProof/>
            <w:webHidden/>
          </w:rPr>
          <w:instrText xml:space="preserve"> PAGEREF _Toc115037830 \h </w:instrText>
        </w:r>
        <w:r w:rsidR="00D31293">
          <w:rPr>
            <w:noProof/>
            <w:webHidden/>
          </w:rPr>
        </w:r>
        <w:r w:rsidR="00D31293">
          <w:rPr>
            <w:noProof/>
            <w:webHidden/>
          </w:rPr>
          <w:fldChar w:fldCharType="separate"/>
        </w:r>
        <w:r w:rsidR="00184C64">
          <w:rPr>
            <w:noProof/>
            <w:webHidden/>
          </w:rPr>
          <w:t>27</w:t>
        </w:r>
        <w:r w:rsidR="00D31293">
          <w:rPr>
            <w:noProof/>
            <w:webHidden/>
          </w:rPr>
          <w:fldChar w:fldCharType="end"/>
        </w:r>
      </w:hyperlink>
    </w:p>
    <w:p w14:paraId="06A42678" w14:textId="5E9A5763" w:rsidR="00D31293" w:rsidRDefault="00922093">
      <w:pPr>
        <w:pStyle w:val="ndice1"/>
        <w:rPr>
          <w:rFonts w:asciiTheme="minorHAnsi" w:eastAsiaTheme="minorEastAsia" w:hAnsiTheme="minorHAnsi"/>
          <w:noProof/>
          <w:lang w:val="pt-PT" w:eastAsia="pt-PT"/>
        </w:rPr>
      </w:pPr>
      <w:hyperlink w:anchor="_Toc115037831" w:history="1">
        <w:r w:rsidR="00D31293" w:rsidRPr="005C11AE">
          <w:rPr>
            <w:rStyle w:val="Hiperligao"/>
            <w:noProof/>
          </w:rPr>
          <w:t>5. Conclusion</w:t>
        </w:r>
        <w:r w:rsidR="00D31293">
          <w:rPr>
            <w:noProof/>
            <w:webHidden/>
          </w:rPr>
          <w:tab/>
        </w:r>
        <w:r w:rsidR="00D31293">
          <w:rPr>
            <w:noProof/>
            <w:webHidden/>
          </w:rPr>
          <w:fldChar w:fldCharType="begin"/>
        </w:r>
        <w:r w:rsidR="00D31293">
          <w:rPr>
            <w:noProof/>
            <w:webHidden/>
          </w:rPr>
          <w:instrText xml:space="preserve"> PAGEREF _Toc115037831 \h </w:instrText>
        </w:r>
        <w:r w:rsidR="00D31293">
          <w:rPr>
            <w:noProof/>
            <w:webHidden/>
          </w:rPr>
        </w:r>
        <w:r w:rsidR="00D31293">
          <w:rPr>
            <w:noProof/>
            <w:webHidden/>
          </w:rPr>
          <w:fldChar w:fldCharType="separate"/>
        </w:r>
        <w:r w:rsidR="00184C64">
          <w:rPr>
            <w:noProof/>
            <w:webHidden/>
          </w:rPr>
          <w:t>30</w:t>
        </w:r>
        <w:r w:rsidR="00D31293">
          <w:rPr>
            <w:noProof/>
            <w:webHidden/>
          </w:rPr>
          <w:fldChar w:fldCharType="end"/>
        </w:r>
      </w:hyperlink>
    </w:p>
    <w:p w14:paraId="626487DB" w14:textId="3751FC52" w:rsidR="00D31293" w:rsidRDefault="00922093">
      <w:pPr>
        <w:pStyle w:val="ndice1"/>
        <w:rPr>
          <w:rFonts w:asciiTheme="minorHAnsi" w:eastAsiaTheme="minorEastAsia" w:hAnsiTheme="minorHAnsi"/>
          <w:noProof/>
          <w:lang w:val="pt-PT" w:eastAsia="pt-PT"/>
        </w:rPr>
      </w:pPr>
      <w:hyperlink w:anchor="_Toc115037832" w:history="1">
        <w:r w:rsidR="00D31293" w:rsidRPr="005C11AE">
          <w:rPr>
            <w:rStyle w:val="Hiperligao"/>
            <w:noProof/>
          </w:rPr>
          <w:t>References</w:t>
        </w:r>
        <w:r w:rsidR="00D31293">
          <w:rPr>
            <w:noProof/>
            <w:webHidden/>
          </w:rPr>
          <w:tab/>
        </w:r>
        <w:r w:rsidR="00D31293">
          <w:rPr>
            <w:noProof/>
            <w:webHidden/>
          </w:rPr>
          <w:fldChar w:fldCharType="begin"/>
        </w:r>
        <w:r w:rsidR="00D31293">
          <w:rPr>
            <w:noProof/>
            <w:webHidden/>
          </w:rPr>
          <w:instrText xml:space="preserve"> PAGEREF _Toc115037832 \h </w:instrText>
        </w:r>
        <w:r w:rsidR="00D31293">
          <w:rPr>
            <w:noProof/>
            <w:webHidden/>
          </w:rPr>
        </w:r>
        <w:r w:rsidR="00D31293">
          <w:rPr>
            <w:noProof/>
            <w:webHidden/>
          </w:rPr>
          <w:fldChar w:fldCharType="separate"/>
        </w:r>
        <w:r w:rsidR="00184C64">
          <w:rPr>
            <w:noProof/>
            <w:webHidden/>
          </w:rPr>
          <w:t>31</w:t>
        </w:r>
        <w:r w:rsidR="00D31293">
          <w:rPr>
            <w:noProof/>
            <w:webHidden/>
          </w:rPr>
          <w:fldChar w:fldCharType="end"/>
        </w:r>
      </w:hyperlink>
    </w:p>
    <w:p w14:paraId="45BCDA97" w14:textId="28C3E696" w:rsidR="00D31293" w:rsidRDefault="00922093">
      <w:pPr>
        <w:pStyle w:val="ndice1"/>
        <w:rPr>
          <w:rFonts w:asciiTheme="minorHAnsi" w:eastAsiaTheme="minorEastAsia" w:hAnsiTheme="minorHAnsi"/>
          <w:noProof/>
          <w:lang w:val="pt-PT" w:eastAsia="pt-PT"/>
        </w:rPr>
      </w:pPr>
      <w:hyperlink w:anchor="_Toc115037833" w:history="1">
        <w:r w:rsidR="00D31293" w:rsidRPr="005C11AE">
          <w:rPr>
            <w:rStyle w:val="Hiperligao"/>
            <w:noProof/>
          </w:rPr>
          <w:t>Annex A. Primers used for PCR</w:t>
        </w:r>
        <w:r w:rsidR="00D31293">
          <w:rPr>
            <w:noProof/>
            <w:webHidden/>
          </w:rPr>
          <w:tab/>
        </w:r>
        <w:r w:rsidR="00D31293">
          <w:rPr>
            <w:noProof/>
            <w:webHidden/>
          </w:rPr>
          <w:fldChar w:fldCharType="begin"/>
        </w:r>
        <w:r w:rsidR="00D31293">
          <w:rPr>
            <w:noProof/>
            <w:webHidden/>
          </w:rPr>
          <w:instrText xml:space="preserve"> PAGEREF _Toc115037833 \h </w:instrText>
        </w:r>
        <w:r w:rsidR="00D31293">
          <w:rPr>
            <w:noProof/>
            <w:webHidden/>
          </w:rPr>
        </w:r>
        <w:r w:rsidR="00D31293">
          <w:rPr>
            <w:noProof/>
            <w:webHidden/>
          </w:rPr>
          <w:fldChar w:fldCharType="separate"/>
        </w:r>
        <w:r w:rsidR="00184C64">
          <w:rPr>
            <w:noProof/>
            <w:webHidden/>
          </w:rPr>
          <w:t>36</w:t>
        </w:r>
        <w:r w:rsidR="00D31293">
          <w:rPr>
            <w:noProof/>
            <w:webHidden/>
          </w:rPr>
          <w:fldChar w:fldCharType="end"/>
        </w:r>
      </w:hyperlink>
    </w:p>
    <w:p w14:paraId="791A9A42" w14:textId="6D3EFF83" w:rsidR="00D31293" w:rsidRDefault="00922093">
      <w:pPr>
        <w:pStyle w:val="ndice1"/>
        <w:rPr>
          <w:rFonts w:asciiTheme="minorHAnsi" w:eastAsiaTheme="minorEastAsia" w:hAnsiTheme="minorHAnsi"/>
          <w:noProof/>
          <w:lang w:val="pt-PT" w:eastAsia="pt-PT"/>
        </w:rPr>
      </w:pPr>
      <w:hyperlink w:anchor="_Toc115037834" w:history="1">
        <w:r w:rsidR="00D31293" w:rsidRPr="005C11AE">
          <w:rPr>
            <w:rStyle w:val="Hiperligao"/>
            <w:noProof/>
          </w:rPr>
          <w:t>Annex B. Flow cytometry antibodies</w:t>
        </w:r>
        <w:r w:rsidR="00D31293">
          <w:rPr>
            <w:noProof/>
            <w:webHidden/>
          </w:rPr>
          <w:tab/>
        </w:r>
        <w:r w:rsidR="00D31293">
          <w:rPr>
            <w:noProof/>
            <w:webHidden/>
          </w:rPr>
          <w:fldChar w:fldCharType="begin"/>
        </w:r>
        <w:r w:rsidR="00D31293">
          <w:rPr>
            <w:noProof/>
            <w:webHidden/>
          </w:rPr>
          <w:instrText xml:space="preserve"> PAGEREF _Toc115037834 \h </w:instrText>
        </w:r>
        <w:r w:rsidR="00D31293">
          <w:rPr>
            <w:noProof/>
            <w:webHidden/>
          </w:rPr>
        </w:r>
        <w:r w:rsidR="00D31293">
          <w:rPr>
            <w:noProof/>
            <w:webHidden/>
          </w:rPr>
          <w:fldChar w:fldCharType="separate"/>
        </w:r>
        <w:r w:rsidR="00184C64">
          <w:rPr>
            <w:noProof/>
            <w:webHidden/>
          </w:rPr>
          <w:t>36</w:t>
        </w:r>
        <w:r w:rsidR="00D31293">
          <w:rPr>
            <w:noProof/>
            <w:webHidden/>
          </w:rPr>
          <w:fldChar w:fldCharType="end"/>
        </w:r>
      </w:hyperlink>
    </w:p>
    <w:p w14:paraId="0C9CDA27" w14:textId="5599C907" w:rsidR="00D31293" w:rsidRDefault="00922093">
      <w:pPr>
        <w:pStyle w:val="ndice1"/>
        <w:rPr>
          <w:rFonts w:asciiTheme="minorHAnsi" w:eastAsiaTheme="minorEastAsia" w:hAnsiTheme="minorHAnsi"/>
          <w:noProof/>
          <w:lang w:val="pt-PT" w:eastAsia="pt-PT"/>
        </w:rPr>
      </w:pPr>
      <w:hyperlink w:anchor="_Toc115037835" w:history="1">
        <w:r w:rsidR="00D31293" w:rsidRPr="005C11AE">
          <w:rPr>
            <w:rStyle w:val="Hiperligao"/>
            <w:noProof/>
          </w:rPr>
          <w:t>Annex C. Flow cytometry gating strategy</w:t>
        </w:r>
        <w:r w:rsidR="00D31293">
          <w:rPr>
            <w:noProof/>
            <w:webHidden/>
          </w:rPr>
          <w:tab/>
        </w:r>
        <w:r w:rsidR="00D31293">
          <w:rPr>
            <w:noProof/>
            <w:webHidden/>
          </w:rPr>
          <w:fldChar w:fldCharType="begin"/>
        </w:r>
        <w:r w:rsidR="00D31293">
          <w:rPr>
            <w:noProof/>
            <w:webHidden/>
          </w:rPr>
          <w:instrText xml:space="preserve"> PAGEREF _Toc115037835 \h </w:instrText>
        </w:r>
        <w:r w:rsidR="00D31293">
          <w:rPr>
            <w:noProof/>
            <w:webHidden/>
          </w:rPr>
        </w:r>
        <w:r w:rsidR="00D31293">
          <w:rPr>
            <w:noProof/>
            <w:webHidden/>
          </w:rPr>
          <w:fldChar w:fldCharType="separate"/>
        </w:r>
        <w:r w:rsidR="00184C64">
          <w:rPr>
            <w:noProof/>
            <w:webHidden/>
          </w:rPr>
          <w:t>37</w:t>
        </w:r>
        <w:r w:rsidR="00D31293">
          <w:rPr>
            <w:noProof/>
            <w:webHidden/>
          </w:rPr>
          <w:fldChar w:fldCharType="end"/>
        </w:r>
      </w:hyperlink>
    </w:p>
    <w:p w14:paraId="6083112C" w14:textId="3F206442" w:rsidR="00A11A26" w:rsidRDefault="008B1069" w:rsidP="00A11A26">
      <w:pPr>
        <w:ind w:firstLine="0"/>
      </w:pPr>
      <w:r>
        <w:fldChar w:fldCharType="end"/>
      </w:r>
    </w:p>
    <w:p w14:paraId="725235E4" w14:textId="77777777" w:rsidR="00F61668" w:rsidRDefault="00F61668">
      <w:pPr>
        <w:spacing w:line="259" w:lineRule="auto"/>
        <w:ind w:firstLine="0"/>
        <w:jc w:val="left"/>
        <w:rPr>
          <w:b/>
          <w:sz w:val="28"/>
          <w:szCs w:val="28"/>
        </w:rPr>
      </w:pPr>
      <w:r>
        <w:rPr>
          <w:b/>
          <w:sz w:val="28"/>
          <w:szCs w:val="28"/>
        </w:rPr>
        <w:br w:type="page"/>
      </w:r>
    </w:p>
    <w:p w14:paraId="5990B89B" w14:textId="52D28C03" w:rsidR="00F61668" w:rsidRPr="00F61668" w:rsidRDefault="00F61668" w:rsidP="003946C3">
      <w:pPr>
        <w:spacing w:before="480" w:after="240"/>
        <w:ind w:firstLine="0"/>
        <w:jc w:val="left"/>
        <w:rPr>
          <w:b/>
          <w:sz w:val="28"/>
          <w:szCs w:val="28"/>
        </w:rPr>
      </w:pPr>
      <w:r w:rsidRPr="00F61668">
        <w:rPr>
          <w:b/>
          <w:sz w:val="28"/>
          <w:szCs w:val="28"/>
        </w:rPr>
        <w:t>Figure Index</w:t>
      </w:r>
    </w:p>
    <w:p w14:paraId="6C49AEE1" w14:textId="2EC14736" w:rsidR="00A44B9A" w:rsidRDefault="00F61668">
      <w:pPr>
        <w:pStyle w:val="ndicedeilustraes"/>
        <w:tabs>
          <w:tab w:val="right" w:leader="dot" w:pos="8777"/>
        </w:tabs>
        <w:rPr>
          <w:rFonts w:asciiTheme="minorHAnsi" w:eastAsiaTheme="minorEastAsia" w:hAnsiTheme="minorHAnsi"/>
          <w:noProof/>
          <w:lang w:val="pt-PT" w:eastAsia="pt-PT"/>
        </w:rPr>
      </w:pPr>
      <w:r>
        <w:fldChar w:fldCharType="begin"/>
      </w:r>
      <w:r>
        <w:instrText xml:space="preserve"> TOC \h \z \t "Legenda" \c </w:instrText>
      </w:r>
      <w:r>
        <w:fldChar w:fldCharType="separate"/>
      </w:r>
      <w:hyperlink w:anchor="_Toc114595394" w:history="1">
        <w:r w:rsidR="00A44B9A" w:rsidRPr="00B0496C">
          <w:rPr>
            <w:rStyle w:val="Hiperligao"/>
            <w:b/>
            <w:noProof/>
          </w:rPr>
          <w:t>Figure 1.</w:t>
        </w:r>
        <w:r w:rsidR="00A44B9A" w:rsidRPr="00B0496C">
          <w:rPr>
            <w:rStyle w:val="Hiperligao"/>
            <w:noProof/>
          </w:rPr>
          <w:t xml:space="preserve"> </w:t>
        </w:r>
        <w:r w:rsidR="00A44B9A" w:rsidRPr="00B0496C">
          <w:rPr>
            <w:rStyle w:val="Hiperligao"/>
            <w:i/>
            <w:noProof/>
          </w:rPr>
          <w:t>Neospora caninum</w:t>
        </w:r>
        <w:r w:rsidR="00A44B9A">
          <w:rPr>
            <w:rStyle w:val="Hiperligao"/>
            <w:noProof/>
          </w:rPr>
          <w:t xml:space="preserve"> extracts’ migration profile</w:t>
        </w:r>
        <w:r w:rsidR="00A44B9A">
          <w:rPr>
            <w:noProof/>
            <w:webHidden/>
          </w:rPr>
          <w:tab/>
        </w:r>
        <w:r w:rsidR="00A44B9A">
          <w:rPr>
            <w:noProof/>
            <w:webHidden/>
          </w:rPr>
          <w:fldChar w:fldCharType="begin"/>
        </w:r>
        <w:r w:rsidR="00A44B9A">
          <w:rPr>
            <w:noProof/>
            <w:webHidden/>
          </w:rPr>
          <w:instrText xml:space="preserve"> PAGEREF _Toc114595394 \h </w:instrText>
        </w:r>
        <w:r w:rsidR="00A44B9A">
          <w:rPr>
            <w:noProof/>
            <w:webHidden/>
          </w:rPr>
        </w:r>
        <w:r w:rsidR="00A44B9A">
          <w:rPr>
            <w:noProof/>
            <w:webHidden/>
          </w:rPr>
          <w:fldChar w:fldCharType="separate"/>
        </w:r>
        <w:r w:rsidR="00184C64">
          <w:rPr>
            <w:noProof/>
            <w:webHidden/>
          </w:rPr>
          <w:t>17</w:t>
        </w:r>
        <w:r w:rsidR="00A44B9A">
          <w:rPr>
            <w:noProof/>
            <w:webHidden/>
          </w:rPr>
          <w:fldChar w:fldCharType="end"/>
        </w:r>
      </w:hyperlink>
    </w:p>
    <w:p w14:paraId="61C6D8F5" w14:textId="6913FB11"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395" w:history="1">
        <w:r w:rsidR="00A44B9A" w:rsidRPr="00B0496C">
          <w:rPr>
            <w:rStyle w:val="Hiperligao"/>
            <w:b/>
            <w:noProof/>
          </w:rPr>
          <w:t>Figure 2.</w:t>
        </w:r>
        <w:r w:rsidR="00A44B9A" w:rsidRPr="00B0496C">
          <w:rPr>
            <w:rStyle w:val="Hiperligao"/>
            <w:noProof/>
          </w:rPr>
          <w:t xml:space="preserve"> Serum </w:t>
        </w:r>
        <w:r w:rsidR="00A44B9A">
          <w:rPr>
            <w:rStyle w:val="Hiperligao"/>
            <w:noProof/>
          </w:rPr>
          <w:t>IgG and IgG1 antibody detection</w:t>
        </w:r>
        <w:r w:rsidR="00A44B9A">
          <w:rPr>
            <w:noProof/>
            <w:webHidden/>
          </w:rPr>
          <w:tab/>
        </w:r>
        <w:r w:rsidR="00A44B9A">
          <w:rPr>
            <w:noProof/>
            <w:webHidden/>
          </w:rPr>
          <w:fldChar w:fldCharType="begin"/>
        </w:r>
        <w:r w:rsidR="00A44B9A">
          <w:rPr>
            <w:noProof/>
            <w:webHidden/>
          </w:rPr>
          <w:instrText xml:space="preserve"> PAGEREF _Toc114595395 \h </w:instrText>
        </w:r>
        <w:r w:rsidR="00A44B9A">
          <w:rPr>
            <w:noProof/>
            <w:webHidden/>
          </w:rPr>
        </w:r>
        <w:r w:rsidR="00A44B9A">
          <w:rPr>
            <w:noProof/>
            <w:webHidden/>
          </w:rPr>
          <w:fldChar w:fldCharType="separate"/>
        </w:r>
        <w:r w:rsidR="00184C64">
          <w:rPr>
            <w:noProof/>
            <w:webHidden/>
          </w:rPr>
          <w:t>17</w:t>
        </w:r>
        <w:r w:rsidR="00A44B9A">
          <w:rPr>
            <w:noProof/>
            <w:webHidden/>
          </w:rPr>
          <w:fldChar w:fldCharType="end"/>
        </w:r>
      </w:hyperlink>
    </w:p>
    <w:p w14:paraId="247E2C83" w14:textId="44182EF4"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396" w:history="1">
        <w:r w:rsidR="00A44B9A" w:rsidRPr="00B0496C">
          <w:rPr>
            <w:rStyle w:val="Hiperligao"/>
            <w:b/>
            <w:noProof/>
          </w:rPr>
          <w:t>Figure 3.</w:t>
        </w:r>
        <w:r w:rsidR="00A44B9A" w:rsidRPr="00B0496C">
          <w:rPr>
            <w:rStyle w:val="Hiperligao"/>
            <w:noProof/>
          </w:rPr>
          <w:t xml:space="preserve"> Serum IL-2, IL-4, IL-17A and IFN-γ cytokines detection</w:t>
        </w:r>
        <w:r w:rsidR="00A44B9A">
          <w:rPr>
            <w:noProof/>
            <w:webHidden/>
          </w:rPr>
          <w:tab/>
        </w:r>
        <w:r w:rsidR="00A44B9A">
          <w:rPr>
            <w:noProof/>
            <w:webHidden/>
          </w:rPr>
          <w:fldChar w:fldCharType="begin"/>
        </w:r>
        <w:r w:rsidR="00A44B9A">
          <w:rPr>
            <w:noProof/>
            <w:webHidden/>
          </w:rPr>
          <w:instrText xml:space="preserve"> PAGEREF _Toc114595396 \h </w:instrText>
        </w:r>
        <w:r w:rsidR="00A44B9A">
          <w:rPr>
            <w:noProof/>
            <w:webHidden/>
          </w:rPr>
        </w:r>
        <w:r w:rsidR="00A44B9A">
          <w:rPr>
            <w:noProof/>
            <w:webHidden/>
          </w:rPr>
          <w:fldChar w:fldCharType="separate"/>
        </w:r>
        <w:r w:rsidR="00184C64">
          <w:rPr>
            <w:noProof/>
            <w:webHidden/>
          </w:rPr>
          <w:t>19</w:t>
        </w:r>
        <w:r w:rsidR="00A44B9A">
          <w:rPr>
            <w:noProof/>
            <w:webHidden/>
          </w:rPr>
          <w:fldChar w:fldCharType="end"/>
        </w:r>
      </w:hyperlink>
    </w:p>
    <w:p w14:paraId="177E5A96" w14:textId="75C67495"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397" w:history="1">
        <w:r w:rsidR="00A44B9A" w:rsidRPr="00B0496C">
          <w:rPr>
            <w:rStyle w:val="Hiperligao"/>
            <w:b/>
            <w:noProof/>
          </w:rPr>
          <w:t>Figure 4.</w:t>
        </w:r>
        <w:r w:rsidR="00A44B9A" w:rsidRPr="00B0496C">
          <w:rPr>
            <w:rStyle w:val="Hiperligao"/>
            <w:noProof/>
          </w:rPr>
          <w:t xml:space="preserve"> Percentage of division of CD3</w:t>
        </w:r>
        <w:r w:rsidR="00A44B9A" w:rsidRPr="00B0496C">
          <w:rPr>
            <w:rStyle w:val="Hiperligao"/>
            <w:noProof/>
            <w:vertAlign w:val="superscript"/>
          </w:rPr>
          <w:t>+</w:t>
        </w:r>
        <w:r w:rsidR="00A44B9A" w:rsidRPr="00B0496C">
          <w:rPr>
            <w:rStyle w:val="Hiperligao"/>
            <w:noProof/>
          </w:rPr>
          <w:t>, CD4</w:t>
        </w:r>
        <w:r w:rsidR="00A44B9A" w:rsidRPr="00B0496C">
          <w:rPr>
            <w:rStyle w:val="Hiperligao"/>
            <w:noProof/>
            <w:vertAlign w:val="superscript"/>
          </w:rPr>
          <w:t>+</w:t>
        </w:r>
        <w:r w:rsidR="00A44B9A" w:rsidRPr="00B0496C">
          <w:rPr>
            <w:rStyle w:val="Hiperligao"/>
            <w:noProof/>
          </w:rPr>
          <w:t>, CD8</w:t>
        </w:r>
        <w:r w:rsidR="00A44B9A" w:rsidRPr="00B0496C">
          <w:rPr>
            <w:rStyle w:val="Hiperligao"/>
            <w:noProof/>
            <w:vertAlign w:val="superscript"/>
          </w:rPr>
          <w:t>+</w:t>
        </w:r>
        <w:r w:rsidR="00A44B9A" w:rsidRPr="00B0496C">
          <w:rPr>
            <w:rStyle w:val="Hiperligao"/>
            <w:noProof/>
          </w:rPr>
          <w:t xml:space="preserve"> and CD4</w:t>
        </w:r>
        <w:r w:rsidR="00A44B9A" w:rsidRPr="00B0496C">
          <w:rPr>
            <w:rStyle w:val="Hiperligao"/>
            <w:noProof/>
            <w:vertAlign w:val="superscript"/>
          </w:rPr>
          <w:t>-</w:t>
        </w:r>
        <w:r w:rsidR="00A44B9A" w:rsidRPr="00B0496C">
          <w:rPr>
            <w:rStyle w:val="Hiperligao"/>
            <w:noProof/>
          </w:rPr>
          <w:t xml:space="preserve"> CD8</w:t>
        </w:r>
        <w:r w:rsidR="00A44B9A" w:rsidRPr="00B0496C">
          <w:rPr>
            <w:rStyle w:val="Hiperligao"/>
            <w:noProof/>
            <w:vertAlign w:val="superscript"/>
          </w:rPr>
          <w:t>-</w:t>
        </w:r>
        <w:r w:rsidR="00A44B9A">
          <w:rPr>
            <w:rStyle w:val="Hiperligao"/>
            <w:noProof/>
          </w:rPr>
          <w:t xml:space="preserve"> T cells in the PBMCs</w:t>
        </w:r>
        <w:r w:rsidR="00A44B9A">
          <w:rPr>
            <w:noProof/>
            <w:webHidden/>
          </w:rPr>
          <w:tab/>
        </w:r>
        <w:r w:rsidR="00A44B9A">
          <w:rPr>
            <w:noProof/>
            <w:webHidden/>
          </w:rPr>
          <w:fldChar w:fldCharType="begin"/>
        </w:r>
        <w:r w:rsidR="00A44B9A">
          <w:rPr>
            <w:noProof/>
            <w:webHidden/>
          </w:rPr>
          <w:instrText xml:space="preserve"> PAGEREF _Toc114595397 \h </w:instrText>
        </w:r>
        <w:r w:rsidR="00A44B9A">
          <w:rPr>
            <w:noProof/>
            <w:webHidden/>
          </w:rPr>
        </w:r>
        <w:r w:rsidR="00A44B9A">
          <w:rPr>
            <w:noProof/>
            <w:webHidden/>
          </w:rPr>
          <w:fldChar w:fldCharType="separate"/>
        </w:r>
        <w:r w:rsidR="00184C64">
          <w:rPr>
            <w:noProof/>
            <w:webHidden/>
          </w:rPr>
          <w:t>21</w:t>
        </w:r>
        <w:r w:rsidR="00A44B9A">
          <w:rPr>
            <w:noProof/>
            <w:webHidden/>
          </w:rPr>
          <w:fldChar w:fldCharType="end"/>
        </w:r>
      </w:hyperlink>
    </w:p>
    <w:p w14:paraId="6565DA6C" w14:textId="3F185866"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398" w:history="1">
        <w:r w:rsidR="00A44B9A" w:rsidRPr="00B0496C">
          <w:rPr>
            <w:rStyle w:val="Hiperligao"/>
            <w:b/>
            <w:noProof/>
          </w:rPr>
          <w:t>Figure 5.</w:t>
        </w:r>
        <w:r w:rsidR="00A44B9A" w:rsidRPr="00B0496C">
          <w:rPr>
            <w:rStyle w:val="Hiperligao"/>
            <w:noProof/>
          </w:rPr>
          <w:t xml:space="preserve"> Percentage of division of CD3</w:t>
        </w:r>
        <w:r w:rsidR="00A44B9A" w:rsidRPr="00B0496C">
          <w:rPr>
            <w:rStyle w:val="Hiperligao"/>
            <w:noProof/>
            <w:vertAlign w:val="superscript"/>
          </w:rPr>
          <w:t>+</w:t>
        </w:r>
        <w:r w:rsidR="00A44B9A" w:rsidRPr="00B0496C">
          <w:rPr>
            <w:rStyle w:val="Hiperligao"/>
            <w:noProof/>
          </w:rPr>
          <w:t>, CD4</w:t>
        </w:r>
        <w:r w:rsidR="00A44B9A" w:rsidRPr="00B0496C">
          <w:rPr>
            <w:rStyle w:val="Hiperligao"/>
            <w:noProof/>
            <w:vertAlign w:val="superscript"/>
          </w:rPr>
          <w:t>+</w:t>
        </w:r>
        <w:r w:rsidR="00A44B9A" w:rsidRPr="00B0496C">
          <w:rPr>
            <w:rStyle w:val="Hiperligao"/>
            <w:noProof/>
          </w:rPr>
          <w:t>, CD8</w:t>
        </w:r>
        <w:r w:rsidR="00A44B9A" w:rsidRPr="00B0496C">
          <w:rPr>
            <w:rStyle w:val="Hiperligao"/>
            <w:noProof/>
            <w:vertAlign w:val="superscript"/>
          </w:rPr>
          <w:t>+</w:t>
        </w:r>
        <w:r w:rsidR="00A44B9A" w:rsidRPr="00B0496C">
          <w:rPr>
            <w:rStyle w:val="Hiperligao"/>
            <w:noProof/>
          </w:rPr>
          <w:t xml:space="preserve"> and CD4</w:t>
        </w:r>
        <w:r w:rsidR="00A44B9A" w:rsidRPr="00B0496C">
          <w:rPr>
            <w:rStyle w:val="Hiperligao"/>
            <w:noProof/>
            <w:vertAlign w:val="superscript"/>
          </w:rPr>
          <w:t>-</w:t>
        </w:r>
        <w:r w:rsidR="00A44B9A" w:rsidRPr="00B0496C">
          <w:rPr>
            <w:rStyle w:val="Hiperligao"/>
            <w:noProof/>
          </w:rPr>
          <w:t xml:space="preserve"> CD8</w:t>
        </w:r>
        <w:r w:rsidR="00A44B9A" w:rsidRPr="00B0496C">
          <w:rPr>
            <w:rStyle w:val="Hiperligao"/>
            <w:noProof/>
            <w:vertAlign w:val="superscript"/>
          </w:rPr>
          <w:t>-</w:t>
        </w:r>
        <w:r w:rsidR="00A44B9A">
          <w:rPr>
            <w:rStyle w:val="Hiperligao"/>
            <w:noProof/>
          </w:rPr>
          <w:t xml:space="preserve"> T cells in the PBMCs </w:t>
        </w:r>
        <w:r w:rsidR="00A44B9A">
          <w:rPr>
            <w:noProof/>
            <w:webHidden/>
          </w:rPr>
          <w:tab/>
        </w:r>
        <w:r w:rsidR="00A44B9A">
          <w:rPr>
            <w:noProof/>
            <w:webHidden/>
          </w:rPr>
          <w:fldChar w:fldCharType="begin"/>
        </w:r>
        <w:r w:rsidR="00A44B9A">
          <w:rPr>
            <w:noProof/>
            <w:webHidden/>
          </w:rPr>
          <w:instrText xml:space="preserve"> PAGEREF _Toc114595398 \h </w:instrText>
        </w:r>
        <w:r w:rsidR="00A44B9A">
          <w:rPr>
            <w:noProof/>
            <w:webHidden/>
          </w:rPr>
        </w:r>
        <w:r w:rsidR="00A44B9A">
          <w:rPr>
            <w:noProof/>
            <w:webHidden/>
          </w:rPr>
          <w:fldChar w:fldCharType="separate"/>
        </w:r>
        <w:r w:rsidR="00184C64">
          <w:rPr>
            <w:noProof/>
            <w:webHidden/>
          </w:rPr>
          <w:t>22</w:t>
        </w:r>
        <w:r w:rsidR="00A44B9A">
          <w:rPr>
            <w:noProof/>
            <w:webHidden/>
          </w:rPr>
          <w:fldChar w:fldCharType="end"/>
        </w:r>
      </w:hyperlink>
    </w:p>
    <w:p w14:paraId="0F794857" w14:textId="4E90DD74"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399" w:history="1">
        <w:r w:rsidR="00A44B9A" w:rsidRPr="00B0496C">
          <w:rPr>
            <w:rStyle w:val="Hiperligao"/>
            <w:b/>
            <w:noProof/>
          </w:rPr>
          <w:t>Figure 6.</w:t>
        </w:r>
        <w:r w:rsidR="00A44B9A" w:rsidRPr="00B0496C">
          <w:rPr>
            <w:rStyle w:val="Hiperligao"/>
            <w:noProof/>
          </w:rPr>
          <w:t xml:space="preserve"> Percentage of CD3</w:t>
        </w:r>
        <w:r w:rsidR="00A44B9A" w:rsidRPr="00B0496C">
          <w:rPr>
            <w:rStyle w:val="Hiperligao"/>
            <w:noProof/>
            <w:vertAlign w:val="superscript"/>
          </w:rPr>
          <w:t>+</w:t>
        </w:r>
        <w:r w:rsidR="00A44B9A" w:rsidRPr="00B0496C">
          <w:rPr>
            <w:rStyle w:val="Hiperligao"/>
            <w:noProof/>
          </w:rPr>
          <w:t>, CD4</w:t>
        </w:r>
        <w:r w:rsidR="00A44B9A" w:rsidRPr="00B0496C">
          <w:rPr>
            <w:rStyle w:val="Hiperligao"/>
            <w:noProof/>
            <w:vertAlign w:val="superscript"/>
          </w:rPr>
          <w:t>+</w:t>
        </w:r>
        <w:r w:rsidR="00A44B9A" w:rsidRPr="00B0496C">
          <w:rPr>
            <w:rStyle w:val="Hiperligao"/>
            <w:noProof/>
          </w:rPr>
          <w:t>, CD8</w:t>
        </w:r>
        <w:r w:rsidR="00A44B9A" w:rsidRPr="00B0496C">
          <w:rPr>
            <w:rStyle w:val="Hiperligao"/>
            <w:noProof/>
            <w:vertAlign w:val="superscript"/>
          </w:rPr>
          <w:t>+</w:t>
        </w:r>
        <w:r w:rsidR="00A44B9A" w:rsidRPr="00B0496C">
          <w:rPr>
            <w:rStyle w:val="Hiperligao"/>
            <w:noProof/>
          </w:rPr>
          <w:t xml:space="preserve"> and CD4</w:t>
        </w:r>
        <w:r w:rsidR="00A44B9A" w:rsidRPr="00B0496C">
          <w:rPr>
            <w:rStyle w:val="Hiperligao"/>
            <w:noProof/>
            <w:vertAlign w:val="superscript"/>
          </w:rPr>
          <w:t>-</w:t>
        </w:r>
        <w:r w:rsidR="00A44B9A" w:rsidRPr="00B0496C">
          <w:rPr>
            <w:rStyle w:val="Hiperligao"/>
            <w:noProof/>
          </w:rPr>
          <w:t xml:space="preserve"> CD8</w:t>
        </w:r>
        <w:r w:rsidR="00A44B9A" w:rsidRPr="00B0496C">
          <w:rPr>
            <w:rStyle w:val="Hiperligao"/>
            <w:noProof/>
            <w:vertAlign w:val="superscript"/>
          </w:rPr>
          <w:t>-</w:t>
        </w:r>
        <w:r w:rsidR="00A44B9A" w:rsidRPr="00B0496C">
          <w:rPr>
            <w:rStyle w:val="Hiperligao"/>
            <w:noProof/>
          </w:rPr>
          <w:t xml:space="preserve"> T cells producing IFN-</w:t>
        </w:r>
        <w:r w:rsidR="00A44B9A">
          <w:rPr>
            <w:rStyle w:val="Hiperligao"/>
            <w:rFonts w:cs="Arial"/>
            <w:noProof/>
          </w:rPr>
          <w:t>γ</w:t>
        </w:r>
        <w:r w:rsidR="00A44B9A">
          <w:rPr>
            <w:noProof/>
            <w:webHidden/>
          </w:rPr>
          <w:tab/>
        </w:r>
        <w:r w:rsidR="00A44B9A">
          <w:rPr>
            <w:noProof/>
            <w:webHidden/>
          </w:rPr>
          <w:fldChar w:fldCharType="begin"/>
        </w:r>
        <w:r w:rsidR="00A44B9A">
          <w:rPr>
            <w:noProof/>
            <w:webHidden/>
          </w:rPr>
          <w:instrText xml:space="preserve"> PAGEREF _Toc114595399 \h </w:instrText>
        </w:r>
        <w:r w:rsidR="00A44B9A">
          <w:rPr>
            <w:noProof/>
            <w:webHidden/>
          </w:rPr>
        </w:r>
        <w:r w:rsidR="00A44B9A">
          <w:rPr>
            <w:noProof/>
            <w:webHidden/>
          </w:rPr>
          <w:fldChar w:fldCharType="separate"/>
        </w:r>
        <w:r w:rsidR="00184C64">
          <w:rPr>
            <w:noProof/>
            <w:webHidden/>
          </w:rPr>
          <w:t>23</w:t>
        </w:r>
        <w:r w:rsidR="00A44B9A">
          <w:rPr>
            <w:noProof/>
            <w:webHidden/>
          </w:rPr>
          <w:fldChar w:fldCharType="end"/>
        </w:r>
      </w:hyperlink>
    </w:p>
    <w:p w14:paraId="3AD8E2AF" w14:textId="7AF85EC5"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400" w:history="1">
        <w:r w:rsidR="00A44B9A" w:rsidRPr="00B0496C">
          <w:rPr>
            <w:rStyle w:val="Hiperligao"/>
            <w:b/>
            <w:noProof/>
          </w:rPr>
          <w:t>Figure 7.</w:t>
        </w:r>
        <w:r w:rsidR="00A44B9A" w:rsidRPr="00B0496C">
          <w:rPr>
            <w:rStyle w:val="Hiperligao"/>
            <w:noProof/>
          </w:rPr>
          <w:t xml:space="preserve"> Percentage of CD3</w:t>
        </w:r>
        <w:r w:rsidR="00A44B9A" w:rsidRPr="00B0496C">
          <w:rPr>
            <w:rStyle w:val="Hiperligao"/>
            <w:noProof/>
            <w:vertAlign w:val="superscript"/>
          </w:rPr>
          <w:t>+</w:t>
        </w:r>
        <w:r w:rsidR="00A44B9A" w:rsidRPr="00B0496C">
          <w:rPr>
            <w:rStyle w:val="Hiperligao"/>
            <w:noProof/>
          </w:rPr>
          <w:t>, CD4</w:t>
        </w:r>
        <w:r w:rsidR="00A44B9A" w:rsidRPr="00B0496C">
          <w:rPr>
            <w:rStyle w:val="Hiperligao"/>
            <w:noProof/>
            <w:vertAlign w:val="superscript"/>
          </w:rPr>
          <w:t>+</w:t>
        </w:r>
        <w:r w:rsidR="00A44B9A" w:rsidRPr="00B0496C">
          <w:rPr>
            <w:rStyle w:val="Hiperligao"/>
            <w:noProof/>
          </w:rPr>
          <w:t xml:space="preserve"> and CD4</w:t>
        </w:r>
        <w:r w:rsidR="00A44B9A" w:rsidRPr="00B0496C">
          <w:rPr>
            <w:rStyle w:val="Hiperligao"/>
            <w:noProof/>
            <w:vertAlign w:val="superscript"/>
          </w:rPr>
          <w:t>-</w:t>
        </w:r>
        <w:r w:rsidR="00A44B9A" w:rsidRPr="00B0496C">
          <w:rPr>
            <w:rStyle w:val="Hiperligao"/>
            <w:noProof/>
          </w:rPr>
          <w:t xml:space="preserve"> CD8</w:t>
        </w:r>
        <w:r w:rsidR="00A44B9A" w:rsidRPr="00B0496C">
          <w:rPr>
            <w:rStyle w:val="Hiperligao"/>
            <w:noProof/>
            <w:vertAlign w:val="superscript"/>
          </w:rPr>
          <w:t>-</w:t>
        </w:r>
        <w:r w:rsidR="00A44B9A">
          <w:rPr>
            <w:rStyle w:val="Hiperligao"/>
            <w:noProof/>
          </w:rPr>
          <w:t xml:space="preserve"> T cells producing IL-17A</w:t>
        </w:r>
        <w:r w:rsidR="00A44B9A">
          <w:rPr>
            <w:noProof/>
            <w:webHidden/>
          </w:rPr>
          <w:tab/>
        </w:r>
        <w:r w:rsidR="00A44B9A">
          <w:rPr>
            <w:noProof/>
            <w:webHidden/>
          </w:rPr>
          <w:fldChar w:fldCharType="begin"/>
        </w:r>
        <w:r w:rsidR="00A44B9A">
          <w:rPr>
            <w:noProof/>
            <w:webHidden/>
          </w:rPr>
          <w:instrText xml:space="preserve"> PAGEREF _Toc114595400 \h </w:instrText>
        </w:r>
        <w:r w:rsidR="00A44B9A">
          <w:rPr>
            <w:noProof/>
            <w:webHidden/>
          </w:rPr>
        </w:r>
        <w:r w:rsidR="00A44B9A">
          <w:rPr>
            <w:noProof/>
            <w:webHidden/>
          </w:rPr>
          <w:fldChar w:fldCharType="separate"/>
        </w:r>
        <w:r w:rsidR="00184C64">
          <w:rPr>
            <w:noProof/>
            <w:webHidden/>
          </w:rPr>
          <w:t>24</w:t>
        </w:r>
        <w:r w:rsidR="00A44B9A">
          <w:rPr>
            <w:noProof/>
            <w:webHidden/>
          </w:rPr>
          <w:fldChar w:fldCharType="end"/>
        </w:r>
      </w:hyperlink>
    </w:p>
    <w:p w14:paraId="2D7D2C71" w14:textId="55DC5513"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401" w:history="1">
        <w:r w:rsidR="00A44B9A" w:rsidRPr="00B0496C">
          <w:rPr>
            <w:rStyle w:val="Hiperligao"/>
            <w:b/>
            <w:noProof/>
          </w:rPr>
          <w:t>Figure 8.</w:t>
        </w:r>
        <w:r w:rsidR="00A44B9A" w:rsidRPr="00B0496C">
          <w:rPr>
            <w:rStyle w:val="Hiperligao"/>
            <w:noProof/>
          </w:rPr>
          <w:t xml:space="preserve"> mRNA relative expression levels for </w:t>
        </w:r>
        <w:r w:rsidR="00A44B9A" w:rsidRPr="00B0496C">
          <w:rPr>
            <w:rStyle w:val="Hiperligao"/>
            <w:i/>
            <w:noProof/>
          </w:rPr>
          <w:t>TBX21</w:t>
        </w:r>
        <w:r w:rsidR="00A44B9A" w:rsidRPr="00B0496C">
          <w:rPr>
            <w:rStyle w:val="Hiperligao"/>
            <w:noProof/>
          </w:rPr>
          <w:t xml:space="preserve"> and </w:t>
        </w:r>
        <w:r w:rsidR="00A44B9A" w:rsidRPr="00B0496C">
          <w:rPr>
            <w:rStyle w:val="Hiperligao"/>
            <w:i/>
            <w:noProof/>
          </w:rPr>
          <w:t>RORC</w:t>
        </w:r>
        <w:r w:rsidR="00A44B9A" w:rsidRPr="00B0496C">
          <w:rPr>
            <w:rStyle w:val="Hiperligao"/>
            <w:noProof/>
          </w:rPr>
          <w:t xml:space="preserve"> in comparison to </w:t>
        </w:r>
        <w:r w:rsidR="00A44B9A" w:rsidRPr="00B0496C">
          <w:rPr>
            <w:rStyle w:val="Hiperligao"/>
            <w:rFonts w:cs="Arial"/>
            <w:i/>
            <w:noProof/>
          </w:rPr>
          <w:t>β</w:t>
        </w:r>
        <w:r w:rsidR="00A44B9A" w:rsidRPr="00B0496C">
          <w:rPr>
            <w:rStyle w:val="Hiperligao"/>
            <w:i/>
            <w:noProof/>
          </w:rPr>
          <w:t>2 microglobulin</w:t>
        </w:r>
        <w:r w:rsidR="00A44B9A" w:rsidRPr="00B0496C">
          <w:rPr>
            <w:rStyle w:val="Hiperligao"/>
            <w:noProof/>
          </w:rPr>
          <w:t xml:space="preserve"> mRNA expression</w:t>
        </w:r>
        <w:r w:rsidR="00A44B9A">
          <w:rPr>
            <w:noProof/>
            <w:webHidden/>
          </w:rPr>
          <w:tab/>
        </w:r>
        <w:r w:rsidR="00A44B9A">
          <w:rPr>
            <w:noProof/>
            <w:webHidden/>
          </w:rPr>
          <w:fldChar w:fldCharType="begin"/>
        </w:r>
        <w:r w:rsidR="00A44B9A">
          <w:rPr>
            <w:noProof/>
            <w:webHidden/>
          </w:rPr>
          <w:instrText xml:space="preserve"> PAGEREF _Toc114595401 \h </w:instrText>
        </w:r>
        <w:r w:rsidR="00A44B9A">
          <w:rPr>
            <w:noProof/>
            <w:webHidden/>
          </w:rPr>
        </w:r>
        <w:r w:rsidR="00A44B9A">
          <w:rPr>
            <w:noProof/>
            <w:webHidden/>
          </w:rPr>
          <w:fldChar w:fldCharType="separate"/>
        </w:r>
        <w:r w:rsidR="00184C64">
          <w:rPr>
            <w:noProof/>
            <w:webHidden/>
          </w:rPr>
          <w:t>25</w:t>
        </w:r>
        <w:r w:rsidR="00A44B9A">
          <w:rPr>
            <w:noProof/>
            <w:webHidden/>
          </w:rPr>
          <w:fldChar w:fldCharType="end"/>
        </w:r>
      </w:hyperlink>
    </w:p>
    <w:p w14:paraId="361EAEDD" w14:textId="44285046"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402" w:history="1">
        <w:r w:rsidR="00A44B9A" w:rsidRPr="00B0496C">
          <w:rPr>
            <w:rStyle w:val="Hiperligao"/>
            <w:b/>
            <w:noProof/>
          </w:rPr>
          <w:t>Figure 9.</w:t>
        </w:r>
        <w:r w:rsidR="00A44B9A" w:rsidRPr="00B0496C">
          <w:rPr>
            <w:rStyle w:val="Hiperligao"/>
            <w:noProof/>
          </w:rPr>
          <w:t xml:space="preserve"> Detection of </w:t>
        </w:r>
        <w:r w:rsidR="00A44B9A" w:rsidRPr="00B0496C">
          <w:rPr>
            <w:rStyle w:val="Hiperligao"/>
            <w:i/>
            <w:noProof/>
          </w:rPr>
          <w:t xml:space="preserve">Neospora caninum </w:t>
        </w:r>
        <w:r w:rsidR="00A44B9A" w:rsidRPr="00B0496C">
          <w:rPr>
            <w:rStyle w:val="Hiperligao"/>
            <w:noProof/>
          </w:rPr>
          <w:t>DNA in liver, lung, spleen, and in two regions of the brain (cerebellum and frontal c</w:t>
        </w:r>
        <w:r w:rsidR="00A44B9A">
          <w:rPr>
            <w:rStyle w:val="Hiperligao"/>
            <w:noProof/>
          </w:rPr>
          <w:t>ortex) samples using qPCR</w:t>
        </w:r>
        <w:r w:rsidR="00A44B9A">
          <w:rPr>
            <w:noProof/>
            <w:webHidden/>
          </w:rPr>
          <w:tab/>
        </w:r>
        <w:r w:rsidR="00A44B9A">
          <w:rPr>
            <w:noProof/>
            <w:webHidden/>
          </w:rPr>
          <w:fldChar w:fldCharType="begin"/>
        </w:r>
        <w:r w:rsidR="00A44B9A">
          <w:rPr>
            <w:noProof/>
            <w:webHidden/>
          </w:rPr>
          <w:instrText xml:space="preserve"> PAGEREF _Toc114595402 \h </w:instrText>
        </w:r>
        <w:r w:rsidR="00A44B9A">
          <w:rPr>
            <w:noProof/>
            <w:webHidden/>
          </w:rPr>
        </w:r>
        <w:r w:rsidR="00A44B9A">
          <w:rPr>
            <w:noProof/>
            <w:webHidden/>
          </w:rPr>
          <w:fldChar w:fldCharType="separate"/>
        </w:r>
        <w:r w:rsidR="00184C64">
          <w:rPr>
            <w:noProof/>
            <w:webHidden/>
          </w:rPr>
          <w:t>26</w:t>
        </w:r>
        <w:r w:rsidR="00A44B9A">
          <w:rPr>
            <w:noProof/>
            <w:webHidden/>
          </w:rPr>
          <w:fldChar w:fldCharType="end"/>
        </w:r>
      </w:hyperlink>
    </w:p>
    <w:p w14:paraId="156CD51B" w14:textId="5F160C01"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408" w:history="1">
        <w:r w:rsidR="00A44B9A" w:rsidRPr="00B0496C">
          <w:rPr>
            <w:rStyle w:val="Hiperligao"/>
            <w:b/>
            <w:noProof/>
          </w:rPr>
          <w:t xml:space="preserve">Figure C1. </w:t>
        </w:r>
        <w:r w:rsidR="00A44B9A" w:rsidRPr="00B0496C">
          <w:rPr>
            <w:rStyle w:val="Hiperligao"/>
            <w:noProof/>
          </w:rPr>
          <w:t>Flow cytometry gating strategy used to determine CD4</w:t>
        </w:r>
        <w:r w:rsidR="00A44B9A" w:rsidRPr="00B0496C">
          <w:rPr>
            <w:rStyle w:val="Hiperligao"/>
            <w:noProof/>
            <w:vertAlign w:val="superscript"/>
          </w:rPr>
          <w:t>+</w:t>
        </w:r>
        <w:r w:rsidR="00A44B9A" w:rsidRPr="00B0496C">
          <w:rPr>
            <w:rStyle w:val="Hiperligao"/>
            <w:noProof/>
          </w:rPr>
          <w:t>, CD8</w:t>
        </w:r>
        <w:r w:rsidR="00A44B9A" w:rsidRPr="00B0496C">
          <w:rPr>
            <w:rStyle w:val="Hiperligao"/>
            <w:noProof/>
            <w:vertAlign w:val="superscript"/>
          </w:rPr>
          <w:t>+</w:t>
        </w:r>
        <w:r w:rsidR="00A44B9A" w:rsidRPr="00B0496C">
          <w:rPr>
            <w:rStyle w:val="Hiperligao"/>
            <w:noProof/>
          </w:rPr>
          <w:t xml:space="preserve"> and CD4</w:t>
        </w:r>
        <w:r w:rsidR="00A44B9A" w:rsidRPr="00B0496C">
          <w:rPr>
            <w:rStyle w:val="Hiperligao"/>
            <w:noProof/>
            <w:vertAlign w:val="superscript"/>
          </w:rPr>
          <w:t>-</w:t>
        </w:r>
        <w:r w:rsidR="00A44B9A" w:rsidRPr="00B0496C">
          <w:rPr>
            <w:rStyle w:val="Hiperligao"/>
            <w:noProof/>
          </w:rPr>
          <w:t xml:space="preserve"> CD8</w:t>
        </w:r>
        <w:r w:rsidR="00A44B9A" w:rsidRPr="00B0496C">
          <w:rPr>
            <w:rStyle w:val="Hiperligao"/>
            <w:noProof/>
            <w:vertAlign w:val="superscript"/>
          </w:rPr>
          <w:t xml:space="preserve">- </w:t>
        </w:r>
        <w:r w:rsidR="00A44B9A" w:rsidRPr="00B0496C">
          <w:rPr>
            <w:rStyle w:val="Hiperligao"/>
            <w:noProof/>
          </w:rPr>
          <w:t>T cells from the peripheral blood</w:t>
        </w:r>
        <w:r w:rsidR="00A44B9A">
          <w:rPr>
            <w:rStyle w:val="Hiperligao"/>
            <w:noProof/>
          </w:rPr>
          <w:t xml:space="preserve"> and the percentage of division</w:t>
        </w:r>
        <w:r w:rsidR="00A44B9A">
          <w:rPr>
            <w:noProof/>
            <w:webHidden/>
          </w:rPr>
          <w:tab/>
        </w:r>
        <w:r w:rsidR="00A44B9A">
          <w:rPr>
            <w:noProof/>
            <w:webHidden/>
          </w:rPr>
          <w:fldChar w:fldCharType="begin"/>
        </w:r>
        <w:r w:rsidR="00A44B9A">
          <w:rPr>
            <w:noProof/>
            <w:webHidden/>
          </w:rPr>
          <w:instrText xml:space="preserve"> PAGEREF _Toc114595408 \h </w:instrText>
        </w:r>
        <w:r w:rsidR="00A44B9A">
          <w:rPr>
            <w:noProof/>
            <w:webHidden/>
          </w:rPr>
        </w:r>
        <w:r w:rsidR="00A44B9A">
          <w:rPr>
            <w:noProof/>
            <w:webHidden/>
          </w:rPr>
          <w:fldChar w:fldCharType="separate"/>
        </w:r>
        <w:r w:rsidR="00184C64">
          <w:rPr>
            <w:noProof/>
            <w:webHidden/>
          </w:rPr>
          <w:t>37</w:t>
        </w:r>
        <w:r w:rsidR="00A44B9A">
          <w:rPr>
            <w:noProof/>
            <w:webHidden/>
          </w:rPr>
          <w:fldChar w:fldCharType="end"/>
        </w:r>
      </w:hyperlink>
    </w:p>
    <w:p w14:paraId="0B382FB9" w14:textId="425A6D25"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409" w:history="1">
        <w:r w:rsidR="00A44B9A" w:rsidRPr="00B0496C">
          <w:rPr>
            <w:rStyle w:val="Hiperligao"/>
            <w:b/>
            <w:noProof/>
          </w:rPr>
          <w:t xml:space="preserve">Figure C2. </w:t>
        </w:r>
        <w:r w:rsidR="00A44B9A" w:rsidRPr="00B0496C">
          <w:rPr>
            <w:rStyle w:val="Hiperligao"/>
            <w:noProof/>
          </w:rPr>
          <w:t>Flow cytometry gating strategy used to determine CD4</w:t>
        </w:r>
        <w:r w:rsidR="00A44B9A" w:rsidRPr="00B0496C">
          <w:rPr>
            <w:rStyle w:val="Hiperligao"/>
            <w:noProof/>
            <w:vertAlign w:val="superscript"/>
          </w:rPr>
          <w:t>+</w:t>
        </w:r>
        <w:r w:rsidR="00A44B9A" w:rsidRPr="00B0496C">
          <w:rPr>
            <w:rStyle w:val="Hiperligao"/>
            <w:noProof/>
          </w:rPr>
          <w:t>, CD8</w:t>
        </w:r>
        <w:r w:rsidR="00A44B9A" w:rsidRPr="00B0496C">
          <w:rPr>
            <w:rStyle w:val="Hiperligao"/>
            <w:noProof/>
            <w:vertAlign w:val="superscript"/>
          </w:rPr>
          <w:t>+</w:t>
        </w:r>
        <w:r w:rsidR="00A44B9A" w:rsidRPr="00B0496C">
          <w:rPr>
            <w:rStyle w:val="Hiperligao"/>
            <w:noProof/>
          </w:rPr>
          <w:t xml:space="preserve"> and CD4</w:t>
        </w:r>
        <w:r w:rsidR="00A44B9A" w:rsidRPr="00B0496C">
          <w:rPr>
            <w:rStyle w:val="Hiperligao"/>
            <w:noProof/>
            <w:vertAlign w:val="superscript"/>
          </w:rPr>
          <w:t>-</w:t>
        </w:r>
        <w:r w:rsidR="00A44B9A" w:rsidRPr="00B0496C">
          <w:rPr>
            <w:rStyle w:val="Hiperligao"/>
            <w:noProof/>
          </w:rPr>
          <w:t xml:space="preserve"> CD8</w:t>
        </w:r>
        <w:r w:rsidR="00A44B9A" w:rsidRPr="00B0496C">
          <w:rPr>
            <w:rStyle w:val="Hiperligao"/>
            <w:noProof/>
            <w:vertAlign w:val="superscript"/>
          </w:rPr>
          <w:t xml:space="preserve">- </w:t>
        </w:r>
        <w:r w:rsidR="00A44B9A" w:rsidRPr="00B0496C">
          <w:rPr>
            <w:rStyle w:val="Hiperligao"/>
            <w:noProof/>
          </w:rPr>
          <w:t>T cells from the peripheral blood producing IFN</w:t>
        </w:r>
        <w:r w:rsidR="00A44B9A" w:rsidRPr="00B0496C">
          <w:rPr>
            <w:rStyle w:val="Hiperligao"/>
            <w:rFonts w:cs="Arial"/>
            <w:noProof/>
          </w:rPr>
          <w:t>-γ and IL-17A</w:t>
        </w:r>
        <w:r w:rsidR="00A44B9A">
          <w:rPr>
            <w:noProof/>
            <w:webHidden/>
          </w:rPr>
          <w:tab/>
        </w:r>
        <w:r w:rsidR="00A44B9A">
          <w:rPr>
            <w:noProof/>
            <w:webHidden/>
          </w:rPr>
          <w:fldChar w:fldCharType="begin"/>
        </w:r>
        <w:r w:rsidR="00A44B9A">
          <w:rPr>
            <w:noProof/>
            <w:webHidden/>
          </w:rPr>
          <w:instrText xml:space="preserve"> PAGEREF _Toc114595409 \h </w:instrText>
        </w:r>
        <w:r w:rsidR="00A44B9A">
          <w:rPr>
            <w:noProof/>
            <w:webHidden/>
          </w:rPr>
        </w:r>
        <w:r w:rsidR="00A44B9A">
          <w:rPr>
            <w:noProof/>
            <w:webHidden/>
          </w:rPr>
          <w:fldChar w:fldCharType="separate"/>
        </w:r>
        <w:r w:rsidR="00184C64">
          <w:rPr>
            <w:noProof/>
            <w:webHidden/>
          </w:rPr>
          <w:t>38</w:t>
        </w:r>
        <w:r w:rsidR="00A44B9A">
          <w:rPr>
            <w:noProof/>
            <w:webHidden/>
          </w:rPr>
          <w:fldChar w:fldCharType="end"/>
        </w:r>
      </w:hyperlink>
    </w:p>
    <w:p w14:paraId="79E4E95A" w14:textId="15C972E6" w:rsidR="008B1069" w:rsidRPr="000C71A6" w:rsidRDefault="00F61668" w:rsidP="00A11A26">
      <w:pPr>
        <w:ind w:firstLine="0"/>
      </w:pPr>
      <w:r>
        <w:fldChar w:fldCharType="end"/>
      </w:r>
    </w:p>
    <w:p w14:paraId="5CAA0973" w14:textId="77777777" w:rsidR="00A11A26" w:rsidRPr="000C71A6" w:rsidRDefault="00A11A26" w:rsidP="00A11A26">
      <w:pPr>
        <w:ind w:firstLine="0"/>
      </w:pPr>
    </w:p>
    <w:p w14:paraId="3CC4AD45" w14:textId="64A229B4" w:rsidR="00760006" w:rsidRDefault="00760006">
      <w:pPr>
        <w:spacing w:line="259" w:lineRule="auto"/>
        <w:ind w:firstLine="0"/>
        <w:jc w:val="left"/>
      </w:pPr>
      <w:r>
        <w:br w:type="page"/>
      </w:r>
    </w:p>
    <w:p w14:paraId="1158913F" w14:textId="35B696BD" w:rsidR="00A44B9A" w:rsidRPr="00A44B9A" w:rsidRDefault="0032728D" w:rsidP="003946C3">
      <w:pPr>
        <w:spacing w:before="480" w:after="240"/>
        <w:ind w:firstLine="0"/>
        <w:jc w:val="left"/>
        <w:rPr>
          <w:noProof/>
        </w:rPr>
      </w:pPr>
      <w:r w:rsidRPr="0032728D">
        <w:rPr>
          <w:b/>
          <w:sz w:val="28"/>
          <w:szCs w:val="28"/>
        </w:rPr>
        <w:t>Table Index</w:t>
      </w:r>
      <w:r>
        <w:rPr>
          <w:b/>
          <w:sz w:val="28"/>
          <w:szCs w:val="28"/>
        </w:rPr>
        <w:fldChar w:fldCharType="begin"/>
      </w:r>
      <w:r w:rsidRPr="00112ECD">
        <w:rPr>
          <w:b/>
          <w:sz w:val="28"/>
          <w:szCs w:val="28"/>
        </w:rPr>
        <w:instrText xml:space="preserve"> TOC \h \z \t "Legenda" \c </w:instrText>
      </w:r>
      <w:r>
        <w:rPr>
          <w:b/>
          <w:sz w:val="28"/>
          <w:szCs w:val="28"/>
        </w:rPr>
        <w:fldChar w:fldCharType="separate"/>
      </w:r>
    </w:p>
    <w:p w14:paraId="6FC0A42A" w14:textId="5B7ED358"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570" w:history="1">
        <w:r w:rsidR="00A44B9A" w:rsidRPr="00D7651F">
          <w:rPr>
            <w:rStyle w:val="Hiperligao"/>
            <w:b/>
            <w:noProof/>
          </w:rPr>
          <w:t>Table 1.</w:t>
        </w:r>
        <w:r w:rsidR="00A44B9A" w:rsidRPr="00D7651F">
          <w:rPr>
            <w:rStyle w:val="Hiperligao"/>
            <w:noProof/>
          </w:rPr>
          <w:t xml:space="preserve"> qPCR results using nested PCR amplification products as template DNA</w:t>
        </w:r>
        <w:r w:rsidR="00A44B9A">
          <w:rPr>
            <w:noProof/>
            <w:webHidden/>
          </w:rPr>
          <w:tab/>
        </w:r>
        <w:r w:rsidR="00A44B9A">
          <w:rPr>
            <w:noProof/>
            <w:webHidden/>
          </w:rPr>
          <w:fldChar w:fldCharType="begin"/>
        </w:r>
        <w:r w:rsidR="00A44B9A">
          <w:rPr>
            <w:noProof/>
            <w:webHidden/>
          </w:rPr>
          <w:instrText xml:space="preserve"> PAGEREF _Toc114595570 \h </w:instrText>
        </w:r>
        <w:r w:rsidR="00A44B9A">
          <w:rPr>
            <w:noProof/>
            <w:webHidden/>
          </w:rPr>
        </w:r>
        <w:r w:rsidR="00A44B9A">
          <w:rPr>
            <w:noProof/>
            <w:webHidden/>
          </w:rPr>
          <w:fldChar w:fldCharType="separate"/>
        </w:r>
        <w:r w:rsidR="00184C64">
          <w:rPr>
            <w:noProof/>
            <w:webHidden/>
          </w:rPr>
          <w:t>27</w:t>
        </w:r>
        <w:r w:rsidR="00A44B9A">
          <w:rPr>
            <w:noProof/>
            <w:webHidden/>
          </w:rPr>
          <w:fldChar w:fldCharType="end"/>
        </w:r>
      </w:hyperlink>
      <w:r w:rsidR="002123E8">
        <w:rPr>
          <w:rFonts w:asciiTheme="minorHAnsi" w:eastAsiaTheme="minorEastAsia" w:hAnsiTheme="minorHAnsi"/>
          <w:noProof/>
          <w:lang w:val="pt-PT" w:eastAsia="pt-PT"/>
        </w:rPr>
        <w:t xml:space="preserve"> </w:t>
      </w:r>
    </w:p>
    <w:p w14:paraId="4C66DA24" w14:textId="361289B8"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572" w:history="1">
        <w:r w:rsidR="00A44B9A" w:rsidRPr="00D7651F">
          <w:rPr>
            <w:rStyle w:val="Hiperligao"/>
            <w:b/>
            <w:noProof/>
          </w:rPr>
          <w:t xml:space="preserve">Table A1. </w:t>
        </w:r>
        <w:r w:rsidR="00A44B9A" w:rsidRPr="00D7651F">
          <w:rPr>
            <w:rStyle w:val="Hiperligao"/>
            <w:noProof/>
          </w:rPr>
          <w:t>Primers used for RT-PCR mRNA expression analysis</w:t>
        </w:r>
        <w:r w:rsidR="00A44B9A">
          <w:rPr>
            <w:noProof/>
            <w:webHidden/>
          </w:rPr>
          <w:tab/>
        </w:r>
        <w:r w:rsidR="00A44B9A">
          <w:rPr>
            <w:noProof/>
            <w:webHidden/>
          </w:rPr>
          <w:fldChar w:fldCharType="begin"/>
        </w:r>
        <w:r w:rsidR="00A44B9A">
          <w:rPr>
            <w:noProof/>
            <w:webHidden/>
          </w:rPr>
          <w:instrText xml:space="preserve"> PAGEREF _Toc114595572 \h </w:instrText>
        </w:r>
        <w:r w:rsidR="00A44B9A">
          <w:rPr>
            <w:noProof/>
            <w:webHidden/>
          </w:rPr>
        </w:r>
        <w:r w:rsidR="00A44B9A">
          <w:rPr>
            <w:noProof/>
            <w:webHidden/>
          </w:rPr>
          <w:fldChar w:fldCharType="separate"/>
        </w:r>
        <w:r w:rsidR="00184C64">
          <w:rPr>
            <w:noProof/>
            <w:webHidden/>
          </w:rPr>
          <w:t>36</w:t>
        </w:r>
        <w:r w:rsidR="00A44B9A">
          <w:rPr>
            <w:noProof/>
            <w:webHidden/>
          </w:rPr>
          <w:fldChar w:fldCharType="end"/>
        </w:r>
      </w:hyperlink>
    </w:p>
    <w:p w14:paraId="20CB6CB9" w14:textId="4FD6832E"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573" w:history="1">
        <w:r w:rsidR="00A44B9A" w:rsidRPr="00D7651F">
          <w:rPr>
            <w:rStyle w:val="Hiperligao"/>
            <w:b/>
            <w:noProof/>
          </w:rPr>
          <w:t>Table A2.</w:t>
        </w:r>
        <w:r w:rsidR="00A44B9A" w:rsidRPr="00D7651F">
          <w:rPr>
            <w:rStyle w:val="Hiperligao"/>
            <w:b/>
            <w:i/>
            <w:noProof/>
          </w:rPr>
          <w:t xml:space="preserve"> </w:t>
        </w:r>
        <w:r w:rsidR="00A44B9A" w:rsidRPr="00D7651F">
          <w:rPr>
            <w:rStyle w:val="Hiperligao"/>
            <w:noProof/>
          </w:rPr>
          <w:t xml:space="preserve">Primers used for qPCR </w:t>
        </w:r>
        <w:r w:rsidR="00A44B9A" w:rsidRPr="00D7651F">
          <w:rPr>
            <w:rStyle w:val="Hiperligao"/>
            <w:i/>
            <w:noProof/>
          </w:rPr>
          <w:t>Neospora caninum</w:t>
        </w:r>
        <w:r w:rsidR="00A44B9A" w:rsidRPr="00D7651F">
          <w:rPr>
            <w:rStyle w:val="Hiperligao"/>
            <w:noProof/>
          </w:rPr>
          <w:t xml:space="preserve"> DNA detection</w:t>
        </w:r>
        <w:r w:rsidR="00A44B9A">
          <w:rPr>
            <w:noProof/>
            <w:webHidden/>
          </w:rPr>
          <w:tab/>
        </w:r>
        <w:r w:rsidR="00A44B9A">
          <w:rPr>
            <w:noProof/>
            <w:webHidden/>
          </w:rPr>
          <w:fldChar w:fldCharType="begin"/>
        </w:r>
        <w:r w:rsidR="00A44B9A">
          <w:rPr>
            <w:noProof/>
            <w:webHidden/>
          </w:rPr>
          <w:instrText xml:space="preserve"> PAGEREF _Toc114595573 \h </w:instrText>
        </w:r>
        <w:r w:rsidR="00A44B9A">
          <w:rPr>
            <w:noProof/>
            <w:webHidden/>
          </w:rPr>
        </w:r>
        <w:r w:rsidR="00A44B9A">
          <w:rPr>
            <w:noProof/>
            <w:webHidden/>
          </w:rPr>
          <w:fldChar w:fldCharType="separate"/>
        </w:r>
        <w:r w:rsidR="00184C64">
          <w:rPr>
            <w:noProof/>
            <w:webHidden/>
          </w:rPr>
          <w:t>36</w:t>
        </w:r>
        <w:r w:rsidR="00A44B9A">
          <w:rPr>
            <w:noProof/>
            <w:webHidden/>
          </w:rPr>
          <w:fldChar w:fldCharType="end"/>
        </w:r>
      </w:hyperlink>
    </w:p>
    <w:p w14:paraId="3716C049" w14:textId="2E65F716" w:rsidR="00A44B9A" w:rsidRDefault="00922093">
      <w:pPr>
        <w:pStyle w:val="ndicedeilustraes"/>
        <w:tabs>
          <w:tab w:val="right" w:leader="dot" w:pos="8777"/>
        </w:tabs>
        <w:rPr>
          <w:rFonts w:asciiTheme="minorHAnsi" w:eastAsiaTheme="minorEastAsia" w:hAnsiTheme="minorHAnsi"/>
          <w:noProof/>
          <w:lang w:val="pt-PT" w:eastAsia="pt-PT"/>
        </w:rPr>
      </w:pPr>
      <w:hyperlink w:anchor="_Toc114595574" w:history="1">
        <w:r w:rsidR="00A44B9A" w:rsidRPr="00D7651F">
          <w:rPr>
            <w:rStyle w:val="Hiperligao"/>
            <w:b/>
            <w:noProof/>
          </w:rPr>
          <w:t xml:space="preserve">Table B. </w:t>
        </w:r>
        <w:r w:rsidR="00A44B9A" w:rsidRPr="00D7651F">
          <w:rPr>
            <w:rStyle w:val="Hiperligao"/>
            <w:noProof/>
          </w:rPr>
          <w:t>Dye-conjugated antibodies for surface and intracellular staining</w:t>
        </w:r>
        <w:r w:rsidR="00A44B9A">
          <w:rPr>
            <w:noProof/>
            <w:webHidden/>
          </w:rPr>
          <w:tab/>
        </w:r>
        <w:r w:rsidR="00A44B9A">
          <w:rPr>
            <w:noProof/>
            <w:webHidden/>
          </w:rPr>
          <w:fldChar w:fldCharType="begin"/>
        </w:r>
        <w:r w:rsidR="00A44B9A">
          <w:rPr>
            <w:noProof/>
            <w:webHidden/>
          </w:rPr>
          <w:instrText xml:space="preserve"> PAGEREF _Toc114595574 \h </w:instrText>
        </w:r>
        <w:r w:rsidR="00A44B9A">
          <w:rPr>
            <w:noProof/>
            <w:webHidden/>
          </w:rPr>
        </w:r>
        <w:r w:rsidR="00A44B9A">
          <w:rPr>
            <w:noProof/>
            <w:webHidden/>
          </w:rPr>
          <w:fldChar w:fldCharType="separate"/>
        </w:r>
        <w:r w:rsidR="00184C64">
          <w:rPr>
            <w:noProof/>
            <w:webHidden/>
          </w:rPr>
          <w:t>36</w:t>
        </w:r>
        <w:r w:rsidR="00A44B9A">
          <w:rPr>
            <w:noProof/>
            <w:webHidden/>
          </w:rPr>
          <w:fldChar w:fldCharType="end"/>
        </w:r>
      </w:hyperlink>
    </w:p>
    <w:p w14:paraId="48B968E9" w14:textId="5DD997F5" w:rsidR="00FB2ADE" w:rsidRPr="000C71A6" w:rsidRDefault="0032728D">
      <w:pPr>
        <w:spacing w:line="259" w:lineRule="auto"/>
        <w:jc w:val="left"/>
        <w:rPr>
          <w:rFonts w:cs="Arial"/>
        </w:rPr>
      </w:pPr>
      <w:r>
        <w:fldChar w:fldCharType="end"/>
      </w:r>
      <w:r w:rsidR="00FB2ADE" w:rsidRPr="000C71A6">
        <w:rPr>
          <w:rFonts w:cs="Arial"/>
        </w:rPr>
        <w:br w:type="page"/>
      </w:r>
    </w:p>
    <w:p w14:paraId="676EA5EF" w14:textId="774E85A1" w:rsidR="00BA314A" w:rsidRPr="003946C3" w:rsidRDefault="008B1069" w:rsidP="003946C3">
      <w:pPr>
        <w:spacing w:before="480" w:after="240"/>
        <w:ind w:firstLine="0"/>
        <w:jc w:val="left"/>
      </w:pPr>
      <w:r w:rsidRPr="008B1069">
        <w:rPr>
          <w:b/>
          <w:sz w:val="28"/>
          <w:szCs w:val="28"/>
        </w:rPr>
        <w:t>Abbreviations</w:t>
      </w:r>
    </w:p>
    <w:p w14:paraId="72D7679C" w14:textId="449F7373" w:rsidR="00BA314A" w:rsidRDefault="00BA314A" w:rsidP="00FB6DF6">
      <w:pPr>
        <w:spacing w:after="0"/>
        <w:ind w:firstLine="0"/>
        <w:rPr>
          <w:rFonts w:cs="Arial"/>
        </w:rPr>
      </w:pPr>
      <w:r>
        <w:rPr>
          <w:rFonts w:cs="Arial"/>
          <w:b/>
        </w:rPr>
        <w:t>APC</w:t>
      </w:r>
      <w:r>
        <w:rPr>
          <w:rFonts w:cs="Arial"/>
          <w:b/>
        </w:rPr>
        <w:tab/>
      </w:r>
      <w:r w:rsidR="00326D6B">
        <w:rPr>
          <w:rFonts w:cs="Arial"/>
          <w:b/>
        </w:rPr>
        <w:tab/>
      </w:r>
      <w:r>
        <w:rPr>
          <w:rFonts w:cs="Arial"/>
        </w:rPr>
        <w:t>antigen-presenting cells</w:t>
      </w:r>
    </w:p>
    <w:p w14:paraId="341CDF3D" w14:textId="00DE852A" w:rsidR="00E90F8F" w:rsidRDefault="00E90F8F" w:rsidP="00FB6DF6">
      <w:pPr>
        <w:spacing w:after="0"/>
        <w:ind w:firstLine="0"/>
        <w:rPr>
          <w:rFonts w:cs="Arial"/>
        </w:rPr>
      </w:pPr>
      <w:r w:rsidRPr="00E90F8F">
        <w:rPr>
          <w:rFonts w:cs="Arial"/>
          <w:b/>
        </w:rPr>
        <w:t>BSA</w:t>
      </w:r>
      <w:r>
        <w:rPr>
          <w:rFonts w:cs="Arial"/>
        </w:rPr>
        <w:tab/>
      </w:r>
      <w:r>
        <w:rPr>
          <w:rFonts w:cs="Arial"/>
        </w:rPr>
        <w:tab/>
      </w:r>
      <w:r w:rsidRPr="000C71A6">
        <w:rPr>
          <w:rFonts w:cs="Arial"/>
          <w:color w:val="000000"/>
        </w:rPr>
        <w:t>bovine serum albumin</w:t>
      </w:r>
    </w:p>
    <w:p w14:paraId="5233C1CA" w14:textId="1576C7DD" w:rsidR="00BA314A" w:rsidRDefault="00BA314A" w:rsidP="00FB6DF6">
      <w:pPr>
        <w:spacing w:after="0"/>
        <w:ind w:firstLine="0"/>
        <w:rPr>
          <w:rFonts w:cs="Arial"/>
        </w:rPr>
      </w:pPr>
      <w:r>
        <w:rPr>
          <w:rFonts w:cs="Arial"/>
          <w:b/>
        </w:rPr>
        <w:t>CD</w:t>
      </w:r>
      <w:r w:rsidR="00326D6B">
        <w:rPr>
          <w:rFonts w:cs="Arial"/>
          <w:b/>
        </w:rPr>
        <w:tab/>
      </w:r>
      <w:r>
        <w:rPr>
          <w:rFonts w:cs="Arial"/>
          <w:b/>
        </w:rPr>
        <w:tab/>
      </w:r>
      <w:r>
        <w:rPr>
          <w:rFonts w:cs="Arial"/>
        </w:rPr>
        <w:t>cluster of differentiation</w:t>
      </w:r>
    </w:p>
    <w:p w14:paraId="08DE3438" w14:textId="5D8E2F31" w:rsidR="00857F11" w:rsidRPr="00857F11" w:rsidRDefault="00857F11" w:rsidP="00FB6DF6">
      <w:pPr>
        <w:spacing w:after="0"/>
        <w:ind w:firstLine="0"/>
        <w:rPr>
          <w:rFonts w:cs="Arial"/>
        </w:rPr>
      </w:pPr>
      <w:r>
        <w:rPr>
          <w:rFonts w:cs="Arial"/>
          <w:b/>
        </w:rPr>
        <w:t>ConA</w:t>
      </w:r>
      <w:r>
        <w:rPr>
          <w:rFonts w:cs="Arial"/>
        </w:rPr>
        <w:tab/>
      </w:r>
      <w:r>
        <w:rPr>
          <w:rFonts w:cs="Arial"/>
        </w:rPr>
        <w:tab/>
        <w:t>concanavalin A</w:t>
      </w:r>
    </w:p>
    <w:p w14:paraId="7990CA1C" w14:textId="01999A58" w:rsidR="00B017D2" w:rsidRDefault="00B017D2" w:rsidP="00FB6DF6">
      <w:pPr>
        <w:spacing w:after="0"/>
        <w:ind w:firstLine="0"/>
        <w:rPr>
          <w:rFonts w:cs="Arial"/>
        </w:rPr>
      </w:pPr>
      <w:r>
        <w:rPr>
          <w:rFonts w:cs="Arial"/>
          <w:b/>
        </w:rPr>
        <w:t>CpG</w:t>
      </w:r>
      <w:r w:rsidR="00AF1E8D">
        <w:rPr>
          <w:rFonts w:cs="Arial"/>
          <w:b/>
        </w:rPr>
        <w:t>-ODN</w:t>
      </w:r>
      <w:r>
        <w:rPr>
          <w:rFonts w:cs="Arial"/>
          <w:b/>
        </w:rPr>
        <w:tab/>
      </w:r>
      <w:r>
        <w:rPr>
          <w:rFonts w:cs="Arial"/>
        </w:rPr>
        <w:t xml:space="preserve">cytosine-guanine </w:t>
      </w:r>
      <w:r w:rsidR="00AF1E8D" w:rsidRPr="00AF1E8D">
        <w:rPr>
          <w:rFonts w:cs="Arial"/>
        </w:rPr>
        <w:t>oligodeoxynucleotides</w:t>
      </w:r>
    </w:p>
    <w:p w14:paraId="6CC1A6F1" w14:textId="75ECE53E" w:rsidR="00B017D2" w:rsidRDefault="00B017D2" w:rsidP="00FB6DF6">
      <w:pPr>
        <w:spacing w:after="0"/>
        <w:ind w:firstLine="0"/>
        <w:rPr>
          <w:rFonts w:cs="Arial"/>
        </w:rPr>
      </w:pPr>
      <w:r>
        <w:rPr>
          <w:rFonts w:cs="Arial"/>
          <w:b/>
        </w:rPr>
        <w:t>DAMP</w:t>
      </w:r>
      <w:r w:rsidR="00326D6B">
        <w:rPr>
          <w:rFonts w:cs="Arial"/>
          <w:b/>
        </w:rPr>
        <w:tab/>
      </w:r>
      <w:r>
        <w:rPr>
          <w:rFonts w:cs="Arial"/>
          <w:b/>
        </w:rPr>
        <w:tab/>
      </w:r>
      <w:r>
        <w:rPr>
          <w:rFonts w:cs="Arial"/>
        </w:rPr>
        <w:t>damage-associated molecular pattern</w:t>
      </w:r>
    </w:p>
    <w:p w14:paraId="6D79CA08" w14:textId="03FDAD7A" w:rsidR="00B017D2" w:rsidRPr="00B017D2" w:rsidRDefault="00B017D2" w:rsidP="00FB6DF6">
      <w:pPr>
        <w:spacing w:after="0"/>
        <w:ind w:firstLine="0"/>
        <w:rPr>
          <w:rFonts w:cs="Arial"/>
        </w:rPr>
      </w:pPr>
      <w:r>
        <w:rPr>
          <w:rFonts w:cs="Arial"/>
          <w:b/>
        </w:rPr>
        <w:t>DNA</w:t>
      </w:r>
      <w:r w:rsidR="00326D6B">
        <w:rPr>
          <w:rFonts w:cs="Arial"/>
          <w:b/>
        </w:rPr>
        <w:tab/>
      </w:r>
      <w:r>
        <w:rPr>
          <w:rFonts w:cs="Arial"/>
          <w:b/>
        </w:rPr>
        <w:tab/>
      </w:r>
      <w:r>
        <w:rPr>
          <w:rFonts w:cs="Arial"/>
        </w:rPr>
        <w:t>deoxyribonucleic acid</w:t>
      </w:r>
    </w:p>
    <w:p w14:paraId="0AAD4FC1" w14:textId="54EDFF87" w:rsidR="00B017D2" w:rsidRPr="00B017D2" w:rsidRDefault="00B017D2" w:rsidP="00FB6DF6">
      <w:pPr>
        <w:spacing w:after="0"/>
        <w:ind w:firstLine="0"/>
        <w:rPr>
          <w:rFonts w:cs="Arial"/>
        </w:rPr>
      </w:pPr>
      <w:r>
        <w:rPr>
          <w:rFonts w:cs="Arial"/>
          <w:b/>
        </w:rPr>
        <w:t>ELISA</w:t>
      </w:r>
      <w:r>
        <w:rPr>
          <w:rFonts w:cs="Arial"/>
          <w:b/>
        </w:rPr>
        <w:tab/>
      </w:r>
      <w:r w:rsidR="00326D6B">
        <w:rPr>
          <w:rFonts w:cs="Arial"/>
          <w:b/>
        </w:rPr>
        <w:tab/>
      </w:r>
      <w:r w:rsidRPr="00B017D2">
        <w:rPr>
          <w:rFonts w:cs="Arial"/>
        </w:rPr>
        <w:t>enzyme-linked immunosorbent assay</w:t>
      </w:r>
    </w:p>
    <w:p w14:paraId="48B968ED" w14:textId="43365212" w:rsidR="00FB2ADE" w:rsidRPr="00BA314A" w:rsidRDefault="00BA314A" w:rsidP="00FB6DF6">
      <w:pPr>
        <w:spacing w:after="0"/>
        <w:ind w:firstLine="0"/>
        <w:rPr>
          <w:rFonts w:cs="Arial"/>
        </w:rPr>
      </w:pPr>
      <w:r>
        <w:rPr>
          <w:rFonts w:cs="Arial"/>
          <w:b/>
        </w:rPr>
        <w:t>Ig</w:t>
      </w:r>
      <w:r>
        <w:rPr>
          <w:rFonts w:cs="Arial"/>
          <w:b/>
        </w:rPr>
        <w:tab/>
      </w:r>
      <w:r w:rsidR="00326D6B">
        <w:rPr>
          <w:rFonts w:cs="Arial"/>
          <w:b/>
        </w:rPr>
        <w:tab/>
      </w:r>
      <w:r>
        <w:rPr>
          <w:rFonts w:cs="Arial"/>
        </w:rPr>
        <w:t>immunoglobulin</w:t>
      </w:r>
    </w:p>
    <w:p w14:paraId="7167DF69" w14:textId="55F74427" w:rsidR="008B2581" w:rsidRDefault="008B2581" w:rsidP="00FB6DF6">
      <w:pPr>
        <w:spacing w:after="0"/>
        <w:ind w:firstLine="0"/>
        <w:rPr>
          <w:rFonts w:cs="Arial"/>
        </w:rPr>
      </w:pPr>
      <w:r>
        <w:rPr>
          <w:rFonts w:cs="Arial"/>
          <w:b/>
        </w:rPr>
        <w:t>IL</w:t>
      </w:r>
      <w:r w:rsidR="00326D6B">
        <w:rPr>
          <w:rFonts w:cs="Arial"/>
          <w:b/>
        </w:rPr>
        <w:tab/>
      </w:r>
      <w:r>
        <w:rPr>
          <w:rFonts w:cs="Arial"/>
          <w:b/>
        </w:rPr>
        <w:tab/>
      </w:r>
      <w:r w:rsidR="00BA314A">
        <w:rPr>
          <w:rFonts w:cs="Arial"/>
        </w:rPr>
        <w:t>interleukin</w:t>
      </w:r>
    </w:p>
    <w:p w14:paraId="57537250" w14:textId="79B1159D" w:rsidR="008B2581" w:rsidRDefault="008B2581" w:rsidP="00FB6DF6">
      <w:pPr>
        <w:spacing w:after="0"/>
        <w:ind w:firstLine="0"/>
        <w:rPr>
          <w:rFonts w:cs="Arial"/>
        </w:rPr>
      </w:pPr>
      <w:r>
        <w:rPr>
          <w:rFonts w:cs="Arial"/>
          <w:b/>
        </w:rPr>
        <w:t>IFN</w:t>
      </w:r>
      <w:r>
        <w:rPr>
          <w:rFonts w:cs="Arial"/>
          <w:b/>
        </w:rPr>
        <w:tab/>
      </w:r>
      <w:r w:rsidR="00326D6B">
        <w:rPr>
          <w:rFonts w:cs="Arial"/>
          <w:b/>
        </w:rPr>
        <w:tab/>
      </w:r>
      <w:r w:rsidR="00BA314A">
        <w:rPr>
          <w:rFonts w:cs="Arial"/>
        </w:rPr>
        <w:t>interferon</w:t>
      </w:r>
    </w:p>
    <w:p w14:paraId="393FADD6" w14:textId="45E2C265" w:rsidR="00B017D2" w:rsidRPr="00B017D2" w:rsidRDefault="00B017D2" w:rsidP="00FB6DF6">
      <w:pPr>
        <w:spacing w:after="0"/>
        <w:ind w:firstLine="0"/>
        <w:rPr>
          <w:rFonts w:cs="Arial"/>
        </w:rPr>
      </w:pPr>
      <w:r>
        <w:rPr>
          <w:rFonts w:cs="Arial"/>
          <w:b/>
        </w:rPr>
        <w:t>IP</w:t>
      </w:r>
      <w:r w:rsidR="00326D6B">
        <w:rPr>
          <w:rFonts w:cs="Arial"/>
          <w:b/>
        </w:rPr>
        <w:tab/>
      </w:r>
      <w:r>
        <w:rPr>
          <w:rFonts w:cs="Arial"/>
          <w:b/>
        </w:rPr>
        <w:tab/>
      </w:r>
      <w:r>
        <w:rPr>
          <w:rFonts w:cs="Arial"/>
        </w:rPr>
        <w:t>interface protein</w:t>
      </w:r>
    </w:p>
    <w:p w14:paraId="01627E11" w14:textId="6B7ABB41" w:rsidR="00B017D2" w:rsidRDefault="00B017D2" w:rsidP="00FB6DF6">
      <w:pPr>
        <w:spacing w:after="0"/>
        <w:ind w:firstLine="0"/>
        <w:rPr>
          <w:rFonts w:cs="Arial"/>
        </w:rPr>
      </w:pPr>
      <w:r>
        <w:rPr>
          <w:rFonts w:cs="Arial"/>
          <w:b/>
        </w:rPr>
        <w:t>FACS</w:t>
      </w:r>
      <w:r>
        <w:rPr>
          <w:rFonts w:cs="Arial"/>
          <w:b/>
        </w:rPr>
        <w:tab/>
      </w:r>
      <w:r w:rsidR="00326D6B">
        <w:rPr>
          <w:rFonts w:cs="Arial"/>
          <w:b/>
        </w:rPr>
        <w:tab/>
      </w:r>
      <w:r w:rsidR="00612464">
        <w:rPr>
          <w:rFonts w:cs="Arial"/>
        </w:rPr>
        <w:t>f</w:t>
      </w:r>
      <w:r w:rsidR="008472C9" w:rsidRPr="008472C9">
        <w:rPr>
          <w:rFonts w:cs="Arial"/>
        </w:rPr>
        <w:t>luorescence-</w:t>
      </w:r>
      <w:r w:rsidR="008472C9">
        <w:rPr>
          <w:rFonts w:cs="Arial"/>
        </w:rPr>
        <w:t>a</w:t>
      </w:r>
      <w:r w:rsidR="008472C9" w:rsidRPr="008472C9">
        <w:rPr>
          <w:rFonts w:cs="Arial"/>
        </w:rPr>
        <w:t xml:space="preserve">ctivated </w:t>
      </w:r>
      <w:r w:rsidR="008472C9">
        <w:rPr>
          <w:rFonts w:cs="Arial"/>
        </w:rPr>
        <w:t>c</w:t>
      </w:r>
      <w:r w:rsidR="008472C9" w:rsidRPr="008472C9">
        <w:rPr>
          <w:rFonts w:cs="Arial"/>
        </w:rPr>
        <w:t xml:space="preserve">ell </w:t>
      </w:r>
      <w:r w:rsidR="008472C9">
        <w:rPr>
          <w:rFonts w:cs="Arial"/>
        </w:rPr>
        <w:t>s</w:t>
      </w:r>
      <w:r w:rsidR="008472C9" w:rsidRPr="008472C9">
        <w:rPr>
          <w:rFonts w:cs="Arial"/>
        </w:rPr>
        <w:t>orting</w:t>
      </w:r>
    </w:p>
    <w:p w14:paraId="6E9912D8" w14:textId="7C85202C" w:rsidR="00E90F8F" w:rsidRPr="00B017D2" w:rsidRDefault="00E90F8F" w:rsidP="00FB6DF6">
      <w:pPr>
        <w:spacing w:after="0"/>
        <w:ind w:firstLine="0"/>
        <w:rPr>
          <w:rFonts w:cs="Arial"/>
        </w:rPr>
      </w:pPr>
      <w:r w:rsidRPr="00E90F8F">
        <w:rPr>
          <w:rFonts w:cs="Arial"/>
          <w:b/>
        </w:rPr>
        <w:t>FMO</w:t>
      </w:r>
      <w:r>
        <w:rPr>
          <w:rFonts w:cs="Arial"/>
        </w:rPr>
        <w:tab/>
      </w:r>
      <w:r>
        <w:rPr>
          <w:rFonts w:cs="Arial"/>
        </w:rPr>
        <w:tab/>
      </w:r>
      <w:r w:rsidR="00612464">
        <w:rPr>
          <w:rFonts w:cs="Arial"/>
        </w:rPr>
        <w:t>f</w:t>
      </w:r>
      <w:r w:rsidRPr="000C71A6">
        <w:rPr>
          <w:rFonts w:cs="Arial"/>
        </w:rPr>
        <w:t xml:space="preserve">luorescence </w:t>
      </w:r>
      <w:r w:rsidR="00612464">
        <w:rPr>
          <w:rFonts w:cs="Arial"/>
        </w:rPr>
        <w:t>m</w:t>
      </w:r>
      <w:r w:rsidRPr="000C71A6">
        <w:rPr>
          <w:rFonts w:cs="Arial"/>
        </w:rPr>
        <w:t>in</w:t>
      </w:r>
      <w:r w:rsidR="00612464">
        <w:rPr>
          <w:rFonts w:cs="Arial"/>
        </w:rPr>
        <w:t>u</w:t>
      </w:r>
      <w:r w:rsidRPr="000C71A6">
        <w:rPr>
          <w:rFonts w:cs="Arial"/>
        </w:rPr>
        <w:t xml:space="preserve">s </w:t>
      </w:r>
      <w:r w:rsidR="00612464">
        <w:rPr>
          <w:rFonts w:cs="Arial"/>
        </w:rPr>
        <w:t>o</w:t>
      </w:r>
      <w:r w:rsidRPr="000C71A6">
        <w:rPr>
          <w:rFonts w:cs="Arial"/>
        </w:rPr>
        <w:t>ne</w:t>
      </w:r>
    </w:p>
    <w:p w14:paraId="61A72DBB" w14:textId="4BD6AD50" w:rsidR="00B017D2" w:rsidRDefault="00B017D2" w:rsidP="00FB6DF6">
      <w:pPr>
        <w:spacing w:after="0"/>
        <w:ind w:firstLine="0"/>
        <w:rPr>
          <w:rFonts w:cs="Arial"/>
        </w:rPr>
      </w:pPr>
      <w:r>
        <w:rPr>
          <w:rFonts w:cs="Arial"/>
          <w:b/>
        </w:rPr>
        <w:t>FVD</w:t>
      </w:r>
      <w:r w:rsidR="00326D6B">
        <w:rPr>
          <w:rFonts w:cs="Arial"/>
          <w:b/>
        </w:rPr>
        <w:tab/>
      </w:r>
      <w:r>
        <w:rPr>
          <w:rFonts w:cs="Arial"/>
          <w:b/>
        </w:rPr>
        <w:tab/>
      </w:r>
      <w:r>
        <w:rPr>
          <w:rFonts w:cs="Arial"/>
        </w:rPr>
        <w:t>fixable viable dye</w:t>
      </w:r>
    </w:p>
    <w:p w14:paraId="0814A859" w14:textId="5A74AF82" w:rsidR="00B017D2" w:rsidRPr="00B017D2" w:rsidRDefault="00B017D2" w:rsidP="00FB6DF6">
      <w:pPr>
        <w:spacing w:after="0"/>
        <w:ind w:firstLine="0"/>
        <w:rPr>
          <w:rFonts w:cs="Arial"/>
        </w:rPr>
      </w:pPr>
      <w:r>
        <w:rPr>
          <w:rFonts w:cs="Arial"/>
          <w:b/>
        </w:rPr>
        <w:t>HP</w:t>
      </w:r>
      <w:r>
        <w:rPr>
          <w:rFonts w:cs="Arial"/>
          <w:b/>
        </w:rPr>
        <w:tab/>
      </w:r>
      <w:r w:rsidR="00326D6B">
        <w:rPr>
          <w:rFonts w:cs="Arial"/>
          <w:b/>
        </w:rPr>
        <w:tab/>
      </w:r>
      <w:r>
        <w:rPr>
          <w:rFonts w:cs="Arial"/>
        </w:rPr>
        <w:t>hydrophilic protein</w:t>
      </w:r>
    </w:p>
    <w:p w14:paraId="2F71D951" w14:textId="729ED2C8" w:rsidR="00B017D2" w:rsidRDefault="00B017D2" w:rsidP="00FB6DF6">
      <w:pPr>
        <w:spacing w:after="0"/>
        <w:ind w:firstLine="0"/>
        <w:rPr>
          <w:rFonts w:cs="Arial"/>
        </w:rPr>
      </w:pPr>
      <w:r>
        <w:rPr>
          <w:rFonts w:cs="Arial"/>
          <w:b/>
        </w:rPr>
        <w:t>HRP</w:t>
      </w:r>
      <w:r w:rsidR="00326D6B">
        <w:rPr>
          <w:rFonts w:cs="Arial"/>
          <w:b/>
        </w:rPr>
        <w:tab/>
      </w:r>
      <w:r>
        <w:rPr>
          <w:rFonts w:cs="Arial"/>
          <w:b/>
        </w:rPr>
        <w:tab/>
      </w:r>
      <w:r>
        <w:rPr>
          <w:rFonts w:cs="Arial"/>
        </w:rPr>
        <w:t xml:space="preserve">horseradish peroxidase </w:t>
      </w:r>
    </w:p>
    <w:p w14:paraId="52093DFD" w14:textId="0BC8E35B" w:rsidR="002D3436" w:rsidRDefault="002D3436" w:rsidP="00FB6DF6">
      <w:pPr>
        <w:spacing w:after="0"/>
        <w:ind w:firstLine="0"/>
        <w:rPr>
          <w:rFonts w:cs="Arial"/>
        </w:rPr>
      </w:pPr>
      <w:r>
        <w:rPr>
          <w:rFonts w:cs="Arial"/>
          <w:b/>
        </w:rPr>
        <w:t>LT</w:t>
      </w:r>
      <w:r>
        <w:rPr>
          <w:rFonts w:cs="Arial"/>
          <w:b/>
        </w:rPr>
        <w:tab/>
      </w:r>
      <w:r>
        <w:rPr>
          <w:rFonts w:cs="Arial"/>
          <w:b/>
        </w:rPr>
        <w:tab/>
      </w:r>
      <w:r>
        <w:rPr>
          <w:rFonts w:cs="Arial"/>
        </w:rPr>
        <w:t xml:space="preserve">lymphotoxin </w:t>
      </w:r>
    </w:p>
    <w:p w14:paraId="34C6C239" w14:textId="183BD304" w:rsidR="00670C43" w:rsidRPr="00670C43" w:rsidRDefault="00670C43" w:rsidP="00FB6DF6">
      <w:pPr>
        <w:spacing w:after="0"/>
        <w:ind w:firstLine="0"/>
        <w:rPr>
          <w:rFonts w:cs="Arial"/>
        </w:rPr>
      </w:pPr>
      <w:r w:rsidRPr="00955390">
        <w:rPr>
          <w:rFonts w:cs="Arial"/>
          <w:b/>
          <w:bCs/>
        </w:rPr>
        <w:t>mAb</w:t>
      </w:r>
      <w:r>
        <w:rPr>
          <w:rFonts w:cs="Arial"/>
          <w:b/>
          <w:bCs/>
        </w:rPr>
        <w:tab/>
      </w:r>
      <w:r>
        <w:rPr>
          <w:rFonts w:cs="Arial"/>
          <w:b/>
          <w:bCs/>
        </w:rPr>
        <w:tab/>
      </w:r>
      <w:r w:rsidR="00955390">
        <w:rPr>
          <w:rFonts w:cs="Arial"/>
        </w:rPr>
        <w:t>m</w:t>
      </w:r>
      <w:r>
        <w:rPr>
          <w:rFonts w:cs="Arial"/>
        </w:rPr>
        <w:t>onoclonal antibody</w:t>
      </w:r>
    </w:p>
    <w:p w14:paraId="339BCA62" w14:textId="76125A5D" w:rsidR="00B017D2" w:rsidRDefault="00B017D2" w:rsidP="00FB6DF6">
      <w:pPr>
        <w:spacing w:after="0"/>
        <w:ind w:firstLine="0"/>
        <w:rPr>
          <w:rFonts w:cs="Arial"/>
        </w:rPr>
      </w:pPr>
      <w:r>
        <w:rPr>
          <w:rFonts w:cs="Arial"/>
          <w:b/>
        </w:rPr>
        <w:t>mRNA</w:t>
      </w:r>
      <w:r>
        <w:rPr>
          <w:rFonts w:cs="Arial"/>
          <w:b/>
        </w:rPr>
        <w:tab/>
      </w:r>
      <w:r w:rsidR="00326D6B">
        <w:rPr>
          <w:rFonts w:cs="Arial"/>
          <w:b/>
        </w:rPr>
        <w:tab/>
      </w:r>
      <w:r w:rsidR="00326D6B">
        <w:rPr>
          <w:rFonts w:cs="Arial"/>
        </w:rPr>
        <w:t xml:space="preserve">messenger ribonucleic acid </w:t>
      </w:r>
    </w:p>
    <w:p w14:paraId="39219F71" w14:textId="6A491C74" w:rsidR="0044005D" w:rsidRPr="00C819CE" w:rsidRDefault="0044005D" w:rsidP="00FB6DF6">
      <w:pPr>
        <w:spacing w:after="0"/>
        <w:ind w:firstLine="0"/>
        <w:rPr>
          <w:rFonts w:cs="Arial"/>
          <w:i/>
          <w:iCs/>
          <w:lang w:val="pt-PT"/>
        </w:rPr>
      </w:pPr>
      <w:r w:rsidRPr="00C819CE">
        <w:rPr>
          <w:rFonts w:cs="Arial"/>
          <w:b/>
          <w:bCs/>
          <w:i/>
          <w:iCs/>
          <w:lang w:val="pt-PT"/>
        </w:rPr>
        <w:t>N. caninum</w:t>
      </w:r>
      <w:r w:rsidRPr="00C819CE">
        <w:rPr>
          <w:rFonts w:cs="Arial"/>
          <w:i/>
          <w:iCs/>
          <w:lang w:val="pt-PT"/>
        </w:rPr>
        <w:tab/>
        <w:t>Neospora caninum</w:t>
      </w:r>
    </w:p>
    <w:p w14:paraId="48B968EE" w14:textId="05D71CAF" w:rsidR="00FB2ADE" w:rsidRDefault="00FB2ADE" w:rsidP="00FB6DF6">
      <w:pPr>
        <w:spacing w:after="0"/>
        <w:ind w:firstLine="0"/>
        <w:rPr>
          <w:rFonts w:cs="Arial"/>
          <w:lang w:val="pt-PT"/>
        </w:rPr>
      </w:pPr>
      <w:r w:rsidRPr="000B629D">
        <w:rPr>
          <w:rFonts w:cs="Arial"/>
          <w:b/>
          <w:lang w:val="pt-PT"/>
        </w:rPr>
        <w:t>NcMP</w:t>
      </w:r>
      <w:r w:rsidR="00326D6B" w:rsidRPr="000B629D">
        <w:rPr>
          <w:rFonts w:cs="Arial"/>
          <w:b/>
          <w:lang w:val="pt-PT"/>
        </w:rPr>
        <w:tab/>
      </w:r>
      <w:r w:rsidRPr="000B629D">
        <w:rPr>
          <w:rFonts w:cs="Arial"/>
          <w:b/>
          <w:lang w:val="pt-PT"/>
        </w:rPr>
        <w:tab/>
      </w:r>
      <w:r w:rsidRPr="000B629D">
        <w:rPr>
          <w:rFonts w:cs="Arial"/>
          <w:i/>
          <w:lang w:val="pt-PT"/>
        </w:rPr>
        <w:t>Neospora caninum</w:t>
      </w:r>
      <w:r w:rsidR="00BA314A" w:rsidRPr="000B629D">
        <w:rPr>
          <w:rFonts w:cs="Arial"/>
          <w:i/>
          <w:lang w:val="pt-PT"/>
        </w:rPr>
        <w:t xml:space="preserve"> </w:t>
      </w:r>
      <w:r w:rsidR="00BA314A" w:rsidRPr="000B629D">
        <w:rPr>
          <w:rFonts w:cs="Arial"/>
          <w:lang w:val="pt-PT"/>
        </w:rPr>
        <w:t>membrane protein</w:t>
      </w:r>
      <w:r w:rsidR="00C819CE">
        <w:rPr>
          <w:rFonts w:cs="Arial"/>
          <w:lang w:val="pt-PT"/>
        </w:rPr>
        <w:t>s</w:t>
      </w:r>
    </w:p>
    <w:p w14:paraId="3D958B97" w14:textId="1EE05BB4" w:rsidR="0044005D" w:rsidRPr="00955390" w:rsidRDefault="0044005D" w:rsidP="00FB6DF6">
      <w:pPr>
        <w:spacing w:after="0"/>
        <w:ind w:firstLine="0"/>
        <w:rPr>
          <w:rFonts w:cs="Arial"/>
        </w:rPr>
      </w:pPr>
      <w:r w:rsidRPr="00955390">
        <w:rPr>
          <w:rFonts w:cs="Arial"/>
          <w:b/>
          <w:bCs/>
        </w:rPr>
        <w:t>NcT</w:t>
      </w:r>
      <w:r w:rsidRPr="00955390">
        <w:rPr>
          <w:rFonts w:cs="Arial"/>
          <w:b/>
          <w:bCs/>
        </w:rPr>
        <w:tab/>
      </w:r>
      <w:r w:rsidRPr="00955390">
        <w:rPr>
          <w:rFonts w:cs="Arial"/>
          <w:b/>
          <w:bCs/>
        </w:rPr>
        <w:tab/>
      </w:r>
      <w:r w:rsidRPr="00955390">
        <w:rPr>
          <w:rFonts w:cs="Arial"/>
          <w:i/>
          <w:iCs/>
        </w:rPr>
        <w:t>Neospora caninum</w:t>
      </w:r>
      <w:r>
        <w:rPr>
          <w:rFonts w:cs="Arial"/>
        </w:rPr>
        <w:t xml:space="preserve"> tachyzoites</w:t>
      </w:r>
    </w:p>
    <w:p w14:paraId="12517507" w14:textId="3F4E11C7" w:rsidR="00BA314A" w:rsidRPr="00955390" w:rsidRDefault="00BA314A" w:rsidP="00FB6DF6">
      <w:pPr>
        <w:spacing w:after="0"/>
        <w:ind w:firstLine="0"/>
        <w:rPr>
          <w:rFonts w:cs="Arial"/>
        </w:rPr>
      </w:pPr>
      <w:r w:rsidRPr="00955390">
        <w:rPr>
          <w:rFonts w:cs="Arial"/>
          <w:b/>
        </w:rPr>
        <w:t>NK</w:t>
      </w:r>
      <w:r w:rsidRPr="00955390">
        <w:rPr>
          <w:rFonts w:cs="Arial"/>
          <w:b/>
        </w:rPr>
        <w:tab/>
      </w:r>
      <w:r w:rsidR="00326D6B" w:rsidRPr="00955390">
        <w:rPr>
          <w:rFonts w:cs="Arial"/>
          <w:b/>
        </w:rPr>
        <w:tab/>
      </w:r>
      <w:r w:rsidRPr="00955390">
        <w:rPr>
          <w:rFonts w:cs="Arial"/>
        </w:rPr>
        <w:t xml:space="preserve">natural killer </w:t>
      </w:r>
    </w:p>
    <w:p w14:paraId="56E39B85" w14:textId="7724E358" w:rsidR="00B017D2" w:rsidRPr="00B017D2" w:rsidRDefault="00B017D2" w:rsidP="00FB6DF6">
      <w:pPr>
        <w:spacing w:after="0"/>
        <w:ind w:firstLine="0"/>
        <w:rPr>
          <w:rFonts w:cs="Arial"/>
        </w:rPr>
      </w:pPr>
      <w:r>
        <w:rPr>
          <w:rFonts w:cs="Arial"/>
          <w:b/>
        </w:rPr>
        <w:t>PAMP</w:t>
      </w:r>
      <w:r w:rsidR="00326D6B">
        <w:rPr>
          <w:rFonts w:cs="Arial"/>
          <w:b/>
        </w:rPr>
        <w:tab/>
      </w:r>
      <w:r>
        <w:rPr>
          <w:rFonts w:cs="Arial"/>
          <w:b/>
        </w:rPr>
        <w:tab/>
      </w:r>
      <w:r>
        <w:rPr>
          <w:rFonts w:cs="Arial"/>
        </w:rPr>
        <w:t>pathogen-associated molecular pattern</w:t>
      </w:r>
    </w:p>
    <w:p w14:paraId="051A5E0A" w14:textId="0F194AA7" w:rsidR="00B017D2" w:rsidRDefault="00B017D2" w:rsidP="00FB6DF6">
      <w:pPr>
        <w:spacing w:after="0"/>
        <w:ind w:firstLine="0"/>
        <w:rPr>
          <w:rFonts w:cs="Arial"/>
        </w:rPr>
      </w:pPr>
      <w:r>
        <w:rPr>
          <w:rFonts w:cs="Arial"/>
          <w:b/>
        </w:rPr>
        <w:t>PB</w:t>
      </w:r>
      <w:r>
        <w:rPr>
          <w:rFonts w:cs="Arial"/>
          <w:b/>
        </w:rPr>
        <w:tab/>
      </w:r>
      <w:r w:rsidR="00326D6B">
        <w:rPr>
          <w:rFonts w:cs="Arial"/>
          <w:b/>
        </w:rPr>
        <w:tab/>
      </w:r>
      <w:r>
        <w:rPr>
          <w:rFonts w:cs="Arial"/>
        </w:rPr>
        <w:t>permeabilization buffer</w:t>
      </w:r>
    </w:p>
    <w:p w14:paraId="58519CBE" w14:textId="06455DDE" w:rsidR="00370667" w:rsidRDefault="00370667" w:rsidP="00FB6DF6">
      <w:pPr>
        <w:spacing w:after="0"/>
        <w:ind w:firstLine="0"/>
        <w:rPr>
          <w:rFonts w:cs="Arial"/>
        </w:rPr>
      </w:pPr>
      <w:r>
        <w:rPr>
          <w:rFonts w:cs="Arial"/>
          <w:b/>
        </w:rPr>
        <w:t>PBS</w:t>
      </w:r>
      <w:r>
        <w:rPr>
          <w:rFonts w:cs="Arial"/>
        </w:rPr>
        <w:tab/>
      </w:r>
      <w:r>
        <w:rPr>
          <w:rFonts w:cs="Arial"/>
        </w:rPr>
        <w:tab/>
        <w:t xml:space="preserve">phosphate buffered </w:t>
      </w:r>
      <w:r w:rsidR="00612464">
        <w:rPr>
          <w:rFonts w:cs="Arial"/>
        </w:rPr>
        <w:t>solution</w:t>
      </w:r>
    </w:p>
    <w:p w14:paraId="04750C11" w14:textId="09F116D6" w:rsidR="00122F40" w:rsidRPr="00122F40" w:rsidRDefault="00122F40" w:rsidP="00FB6DF6">
      <w:pPr>
        <w:spacing w:after="0"/>
        <w:ind w:firstLine="0"/>
        <w:rPr>
          <w:rFonts w:cs="Arial"/>
        </w:rPr>
      </w:pPr>
      <w:r>
        <w:rPr>
          <w:rFonts w:cs="Arial"/>
          <w:b/>
        </w:rPr>
        <w:t>PBMCs</w:t>
      </w:r>
      <w:r>
        <w:rPr>
          <w:rFonts w:cs="Arial"/>
        </w:rPr>
        <w:tab/>
        <w:t>peripheral blood mononuclear cells</w:t>
      </w:r>
    </w:p>
    <w:p w14:paraId="0CAA4B3B" w14:textId="35853032" w:rsidR="002A01C2" w:rsidRPr="00370667" w:rsidRDefault="002A01C2" w:rsidP="00FB6DF6">
      <w:pPr>
        <w:spacing w:after="0"/>
        <w:ind w:firstLine="0"/>
        <w:rPr>
          <w:rFonts w:cs="Arial"/>
        </w:rPr>
      </w:pPr>
      <w:r w:rsidRPr="002A01C2">
        <w:rPr>
          <w:rFonts w:cs="Arial"/>
          <w:b/>
        </w:rPr>
        <w:t>PC8</w:t>
      </w:r>
      <w:r>
        <w:rPr>
          <w:rFonts w:cs="Arial"/>
        </w:rPr>
        <w:tab/>
      </w:r>
      <w:r>
        <w:rPr>
          <w:rFonts w:cs="Arial"/>
        </w:rPr>
        <w:tab/>
      </w:r>
      <w:r w:rsidRPr="000C71A6">
        <w:rPr>
          <w:rFonts w:cs="Arial"/>
        </w:rPr>
        <w:t>phenol-chloroform re</w:t>
      </w:r>
      <w:r w:rsidR="00612464">
        <w:rPr>
          <w:rFonts w:cs="Arial"/>
        </w:rPr>
        <w:t>a</w:t>
      </w:r>
      <w:r w:rsidRPr="000C71A6">
        <w:rPr>
          <w:rFonts w:cs="Arial"/>
        </w:rPr>
        <w:t>gent</w:t>
      </w:r>
    </w:p>
    <w:p w14:paraId="2DCB92B9" w14:textId="1CEABF08" w:rsidR="002A01C2" w:rsidRDefault="002A01C2" w:rsidP="00FB6DF6">
      <w:pPr>
        <w:spacing w:after="0"/>
        <w:ind w:firstLine="0"/>
        <w:rPr>
          <w:rFonts w:cs="Arial"/>
        </w:rPr>
      </w:pPr>
      <w:r>
        <w:rPr>
          <w:rFonts w:cs="Arial"/>
          <w:b/>
        </w:rPr>
        <w:t>PCR</w:t>
      </w:r>
      <w:r>
        <w:rPr>
          <w:rFonts w:cs="Arial"/>
          <w:b/>
        </w:rPr>
        <w:tab/>
      </w:r>
      <w:r>
        <w:rPr>
          <w:rFonts w:cs="Arial"/>
          <w:b/>
        </w:rPr>
        <w:tab/>
      </w:r>
      <w:r>
        <w:rPr>
          <w:rFonts w:cs="Arial"/>
        </w:rPr>
        <w:t>polymerase chain reaction</w:t>
      </w:r>
    </w:p>
    <w:p w14:paraId="74AF56CB" w14:textId="5141AE39" w:rsidR="00612464" w:rsidRPr="002A01C2" w:rsidRDefault="00612464" w:rsidP="00FB6DF6">
      <w:pPr>
        <w:spacing w:after="0"/>
        <w:ind w:firstLine="0"/>
        <w:rPr>
          <w:rFonts w:cs="Arial"/>
        </w:rPr>
      </w:pPr>
      <w:r>
        <w:rPr>
          <w:rFonts w:cs="Arial"/>
          <w:b/>
        </w:rPr>
        <w:t>qPCR</w:t>
      </w:r>
      <w:r>
        <w:rPr>
          <w:rFonts w:cs="Arial"/>
          <w:b/>
        </w:rPr>
        <w:tab/>
      </w:r>
      <w:r>
        <w:rPr>
          <w:rFonts w:cs="Arial"/>
          <w:b/>
        </w:rPr>
        <w:tab/>
      </w:r>
      <w:r>
        <w:rPr>
          <w:rFonts w:cs="Arial"/>
        </w:rPr>
        <w:t>quantitative real-time polymerase chain reaction</w:t>
      </w:r>
    </w:p>
    <w:p w14:paraId="7FAA3965" w14:textId="604763C6" w:rsidR="00B017D2" w:rsidRDefault="00B017D2" w:rsidP="00FB6DF6">
      <w:pPr>
        <w:spacing w:after="0"/>
        <w:ind w:firstLine="0"/>
        <w:rPr>
          <w:rFonts w:cs="Arial"/>
        </w:rPr>
      </w:pPr>
      <w:r>
        <w:rPr>
          <w:rFonts w:cs="Arial"/>
          <w:b/>
        </w:rPr>
        <w:t>R848</w:t>
      </w:r>
      <w:r>
        <w:rPr>
          <w:rFonts w:cs="Arial"/>
        </w:rPr>
        <w:tab/>
      </w:r>
      <w:r w:rsidR="00326D6B">
        <w:rPr>
          <w:rFonts w:cs="Arial"/>
        </w:rPr>
        <w:tab/>
      </w:r>
      <w:r>
        <w:rPr>
          <w:rFonts w:cs="Arial"/>
        </w:rPr>
        <w:t>resiquimod</w:t>
      </w:r>
    </w:p>
    <w:p w14:paraId="59B30612" w14:textId="31BD45C0" w:rsidR="002A01C2" w:rsidRPr="002A01C2" w:rsidRDefault="00B017D2" w:rsidP="00FB6DF6">
      <w:pPr>
        <w:spacing w:after="0"/>
        <w:ind w:firstLine="0"/>
        <w:rPr>
          <w:rFonts w:cs="Arial"/>
        </w:rPr>
      </w:pPr>
      <w:r>
        <w:rPr>
          <w:rFonts w:cs="Arial"/>
          <w:b/>
        </w:rPr>
        <w:t>RNA</w:t>
      </w:r>
      <w:r>
        <w:rPr>
          <w:rFonts w:cs="Arial"/>
          <w:b/>
        </w:rPr>
        <w:tab/>
      </w:r>
      <w:r w:rsidR="00326D6B">
        <w:rPr>
          <w:rFonts w:cs="Arial"/>
          <w:b/>
        </w:rPr>
        <w:tab/>
      </w:r>
      <w:r>
        <w:rPr>
          <w:rFonts w:cs="Arial"/>
        </w:rPr>
        <w:t>ribonucleic acid</w:t>
      </w:r>
    </w:p>
    <w:p w14:paraId="4189A8E2" w14:textId="0D5E411A" w:rsidR="00BA314A" w:rsidRDefault="00612464" w:rsidP="00FB6DF6">
      <w:pPr>
        <w:spacing w:after="0"/>
        <w:ind w:firstLine="0"/>
        <w:rPr>
          <w:rFonts w:cs="Arial"/>
        </w:rPr>
      </w:pPr>
      <w:r>
        <w:rPr>
          <w:rFonts w:cs="Arial"/>
          <w:b/>
        </w:rPr>
        <w:t>RT</w:t>
      </w:r>
      <w:r w:rsidR="00BA314A">
        <w:rPr>
          <w:rFonts w:cs="Arial"/>
          <w:b/>
        </w:rPr>
        <w:t>-PCR</w:t>
      </w:r>
      <w:r w:rsidR="00BA314A">
        <w:rPr>
          <w:rFonts w:cs="Arial"/>
          <w:b/>
        </w:rPr>
        <w:tab/>
      </w:r>
      <w:r w:rsidR="00BA314A">
        <w:rPr>
          <w:rFonts w:cs="Arial"/>
        </w:rPr>
        <w:t xml:space="preserve">real-time </w:t>
      </w:r>
      <w:r>
        <w:rPr>
          <w:rFonts w:cs="Arial"/>
        </w:rPr>
        <w:t>reverse transcription-</w:t>
      </w:r>
      <w:r w:rsidR="00BA314A">
        <w:rPr>
          <w:rFonts w:cs="Arial"/>
        </w:rPr>
        <w:t>polymerase chain reaction</w:t>
      </w:r>
    </w:p>
    <w:p w14:paraId="068592F4" w14:textId="13BD698A" w:rsidR="002A01C2" w:rsidRDefault="002A01C2" w:rsidP="00FB6DF6">
      <w:pPr>
        <w:spacing w:after="0"/>
        <w:ind w:firstLine="0"/>
        <w:rPr>
          <w:rFonts w:cs="Arial"/>
        </w:rPr>
      </w:pPr>
      <w:r>
        <w:rPr>
          <w:rFonts w:cs="Arial"/>
          <w:b/>
        </w:rPr>
        <w:t>SDS</w:t>
      </w:r>
      <w:r>
        <w:rPr>
          <w:rFonts w:cs="Arial"/>
          <w:b/>
        </w:rPr>
        <w:tab/>
      </w:r>
      <w:r>
        <w:rPr>
          <w:rFonts w:cs="Arial"/>
          <w:b/>
        </w:rPr>
        <w:tab/>
      </w:r>
      <w:r w:rsidRPr="000C71A6">
        <w:rPr>
          <w:rFonts w:cs="Arial"/>
        </w:rPr>
        <w:t xml:space="preserve">sodium dodecyl sulphate </w:t>
      </w:r>
    </w:p>
    <w:p w14:paraId="64868136" w14:textId="2586404B" w:rsidR="00EC0387" w:rsidRPr="00955390" w:rsidRDefault="00EC0387" w:rsidP="00FB6DF6">
      <w:pPr>
        <w:spacing w:after="0"/>
        <w:ind w:firstLine="0"/>
        <w:rPr>
          <w:rFonts w:cs="Arial"/>
          <w:b/>
          <w:bCs/>
        </w:rPr>
      </w:pPr>
      <w:r w:rsidRPr="00955390">
        <w:rPr>
          <w:rFonts w:cs="Arial"/>
          <w:b/>
          <w:bCs/>
        </w:rPr>
        <w:t>SDS-PAGE</w:t>
      </w:r>
      <w:r w:rsidR="001F53D8" w:rsidRPr="00955390">
        <w:rPr>
          <w:rFonts w:cs="Arial"/>
          <w:b/>
          <w:bCs/>
        </w:rPr>
        <w:tab/>
      </w:r>
      <w:r w:rsidR="00955390">
        <w:rPr>
          <w:rFonts w:cs="Arial"/>
        </w:rPr>
        <w:t>s</w:t>
      </w:r>
      <w:r w:rsidR="001F53D8" w:rsidRPr="00955390">
        <w:rPr>
          <w:rFonts w:cs="Arial"/>
        </w:rPr>
        <w:t>odium dodecyl-sulfate polyacrylamide gel electrophoresis</w:t>
      </w:r>
    </w:p>
    <w:p w14:paraId="2FE3A4A8" w14:textId="3A1288AA" w:rsidR="00675AD5" w:rsidRPr="00675AD5" w:rsidRDefault="00675AD5" w:rsidP="00FB6DF6">
      <w:pPr>
        <w:spacing w:after="0"/>
        <w:ind w:firstLine="0"/>
        <w:rPr>
          <w:rFonts w:cs="Arial"/>
        </w:rPr>
      </w:pPr>
      <w:r w:rsidRPr="00675AD5">
        <w:rPr>
          <w:rFonts w:cs="Arial"/>
          <w:b/>
        </w:rPr>
        <w:t>ssRNA</w:t>
      </w:r>
      <w:r>
        <w:rPr>
          <w:rFonts w:cs="Arial"/>
          <w:b/>
        </w:rPr>
        <w:tab/>
      </w:r>
      <w:r>
        <w:rPr>
          <w:rFonts w:cs="Arial"/>
        </w:rPr>
        <w:t>single-stranded ribonucleic acid</w:t>
      </w:r>
    </w:p>
    <w:p w14:paraId="48B968EF" w14:textId="35493E22" w:rsidR="00FB2ADE" w:rsidRDefault="008B2581" w:rsidP="00FB6DF6">
      <w:pPr>
        <w:spacing w:after="0"/>
        <w:ind w:firstLine="0"/>
        <w:rPr>
          <w:rFonts w:cs="Arial"/>
        </w:rPr>
      </w:pPr>
      <w:r>
        <w:rPr>
          <w:rFonts w:cs="Arial"/>
          <w:b/>
        </w:rPr>
        <w:t>Th1</w:t>
      </w:r>
      <w:r>
        <w:rPr>
          <w:rFonts w:cs="Arial"/>
          <w:b/>
        </w:rPr>
        <w:tab/>
      </w:r>
      <w:r w:rsidR="00326D6B">
        <w:rPr>
          <w:rFonts w:cs="Arial"/>
          <w:b/>
        </w:rPr>
        <w:tab/>
      </w:r>
      <w:r>
        <w:rPr>
          <w:rFonts w:cs="Arial"/>
        </w:rPr>
        <w:t xml:space="preserve">T helper </w:t>
      </w:r>
      <w:r w:rsidR="00BA314A">
        <w:rPr>
          <w:rFonts w:cs="Arial"/>
        </w:rPr>
        <w:t>type</w:t>
      </w:r>
      <w:r>
        <w:rPr>
          <w:rFonts w:cs="Arial"/>
        </w:rPr>
        <w:t xml:space="preserve"> 1</w:t>
      </w:r>
    </w:p>
    <w:p w14:paraId="3F049A94" w14:textId="71C26343" w:rsidR="00BA314A" w:rsidRPr="00BA314A" w:rsidRDefault="00BA314A" w:rsidP="00FB6DF6">
      <w:pPr>
        <w:spacing w:after="0"/>
        <w:ind w:firstLine="0"/>
        <w:rPr>
          <w:rFonts w:cs="Arial"/>
        </w:rPr>
      </w:pPr>
      <w:r>
        <w:rPr>
          <w:rFonts w:cs="Arial"/>
          <w:b/>
        </w:rPr>
        <w:t>Th2</w:t>
      </w:r>
      <w:r>
        <w:rPr>
          <w:rFonts w:cs="Arial"/>
          <w:b/>
        </w:rPr>
        <w:tab/>
      </w:r>
      <w:r w:rsidR="00326D6B">
        <w:rPr>
          <w:rFonts w:cs="Arial"/>
          <w:b/>
        </w:rPr>
        <w:tab/>
      </w:r>
      <w:r>
        <w:rPr>
          <w:rFonts w:cs="Arial"/>
        </w:rPr>
        <w:t>T helper type 2</w:t>
      </w:r>
    </w:p>
    <w:p w14:paraId="0FFBE3B8" w14:textId="178D5A14" w:rsidR="00BA314A" w:rsidRDefault="00BA314A" w:rsidP="00FB6DF6">
      <w:pPr>
        <w:spacing w:after="0"/>
        <w:ind w:firstLine="0"/>
        <w:rPr>
          <w:rFonts w:cs="Arial"/>
        </w:rPr>
      </w:pPr>
      <w:r>
        <w:rPr>
          <w:rFonts w:cs="Arial"/>
          <w:b/>
        </w:rPr>
        <w:t>Th17</w:t>
      </w:r>
      <w:r>
        <w:rPr>
          <w:rFonts w:cs="Arial"/>
          <w:b/>
        </w:rPr>
        <w:tab/>
      </w:r>
      <w:r w:rsidR="00326D6B">
        <w:rPr>
          <w:rFonts w:cs="Arial"/>
          <w:b/>
        </w:rPr>
        <w:tab/>
      </w:r>
      <w:r>
        <w:rPr>
          <w:rFonts w:cs="Arial"/>
        </w:rPr>
        <w:t>T helper type 17</w:t>
      </w:r>
    </w:p>
    <w:p w14:paraId="6A88B1B8" w14:textId="266CF084" w:rsidR="00B017D2" w:rsidRDefault="00B017D2" w:rsidP="00FB6DF6">
      <w:pPr>
        <w:spacing w:after="0"/>
        <w:ind w:firstLine="0"/>
        <w:rPr>
          <w:rFonts w:cs="Arial"/>
        </w:rPr>
      </w:pPr>
      <w:r>
        <w:rPr>
          <w:rFonts w:cs="Arial"/>
          <w:b/>
        </w:rPr>
        <w:t>TLR</w:t>
      </w:r>
      <w:r>
        <w:rPr>
          <w:rFonts w:cs="Arial"/>
          <w:b/>
        </w:rPr>
        <w:tab/>
      </w:r>
      <w:r w:rsidR="00326D6B">
        <w:rPr>
          <w:rFonts w:cs="Arial"/>
          <w:b/>
        </w:rPr>
        <w:tab/>
      </w:r>
      <w:r>
        <w:rPr>
          <w:rFonts w:cs="Arial"/>
        </w:rPr>
        <w:t>Toll-like receptor</w:t>
      </w:r>
    </w:p>
    <w:p w14:paraId="3C53B29F" w14:textId="12AF3A90" w:rsidR="00E90F8F" w:rsidRPr="00B017D2" w:rsidRDefault="00E90F8F" w:rsidP="00FB6DF6">
      <w:pPr>
        <w:spacing w:after="0"/>
        <w:ind w:firstLine="0"/>
        <w:rPr>
          <w:rFonts w:cs="Arial"/>
        </w:rPr>
      </w:pPr>
      <w:r w:rsidRPr="00E90F8F">
        <w:rPr>
          <w:rFonts w:cs="Arial"/>
          <w:b/>
        </w:rPr>
        <w:t>TMB</w:t>
      </w:r>
      <w:r>
        <w:rPr>
          <w:rFonts w:cs="Arial"/>
        </w:rPr>
        <w:tab/>
      </w:r>
      <w:r>
        <w:rPr>
          <w:rFonts w:cs="Arial"/>
        </w:rPr>
        <w:tab/>
      </w:r>
      <w:r w:rsidRPr="000C71A6">
        <w:rPr>
          <w:rFonts w:cs="Arial"/>
          <w:color w:val="000000"/>
        </w:rPr>
        <w:t>3,3′,5,5′-tetramethylbenzidine</w:t>
      </w:r>
    </w:p>
    <w:p w14:paraId="22A52361" w14:textId="77777777" w:rsidR="00441B88" w:rsidRDefault="008B2581" w:rsidP="00FB6DF6">
      <w:pPr>
        <w:spacing w:after="0"/>
        <w:ind w:firstLine="0"/>
        <w:jc w:val="left"/>
        <w:rPr>
          <w:rFonts w:cs="Arial"/>
        </w:rPr>
      </w:pPr>
      <w:r>
        <w:rPr>
          <w:rFonts w:cs="Arial"/>
          <w:b/>
        </w:rPr>
        <w:t>TNF</w:t>
      </w:r>
      <w:r>
        <w:rPr>
          <w:rFonts w:cs="Arial"/>
          <w:b/>
        </w:rPr>
        <w:tab/>
      </w:r>
      <w:r w:rsidR="00326D6B">
        <w:rPr>
          <w:rFonts w:cs="Arial"/>
          <w:b/>
        </w:rPr>
        <w:tab/>
      </w:r>
      <w:r w:rsidR="00BA314A">
        <w:rPr>
          <w:rFonts w:cs="Arial"/>
        </w:rPr>
        <w:t xml:space="preserve">tumour necrosis factor </w:t>
      </w:r>
      <w:r>
        <w:rPr>
          <w:rFonts w:cs="Arial"/>
        </w:rPr>
        <w:t xml:space="preserve"> </w:t>
      </w:r>
    </w:p>
    <w:p w14:paraId="48B968F1" w14:textId="7641538A" w:rsidR="00906DFA" w:rsidRPr="000C71A6" w:rsidRDefault="00441B88" w:rsidP="00FB6DF6">
      <w:pPr>
        <w:spacing w:after="0"/>
        <w:ind w:firstLine="0"/>
        <w:jc w:val="left"/>
        <w:rPr>
          <w:rFonts w:cs="Arial"/>
        </w:rPr>
        <w:sectPr w:rsidR="00906DFA" w:rsidRPr="000C71A6" w:rsidSect="00906DFA">
          <w:headerReference w:type="default" r:id="rId13"/>
          <w:footerReference w:type="default" r:id="rId14"/>
          <w:pgSz w:w="11906" w:h="16838" w:code="9"/>
          <w:pgMar w:top="1701" w:right="1418" w:bottom="1418" w:left="1701" w:header="709" w:footer="709" w:gutter="0"/>
          <w:pgNumType w:fmt="upperRoman" w:start="1"/>
          <w:cols w:space="708"/>
          <w:titlePg/>
          <w:docGrid w:linePitch="360"/>
        </w:sectPr>
      </w:pPr>
      <w:r>
        <w:rPr>
          <w:rFonts w:cs="Arial"/>
          <w:b/>
        </w:rPr>
        <w:t>Treg</w:t>
      </w:r>
      <w:r>
        <w:rPr>
          <w:rFonts w:cs="Arial"/>
        </w:rPr>
        <w:tab/>
      </w:r>
      <w:r>
        <w:rPr>
          <w:rFonts w:cs="Arial"/>
        </w:rPr>
        <w:tab/>
        <w:t>T regulatory</w:t>
      </w:r>
      <w:r w:rsidR="00FB2ADE" w:rsidRPr="000C71A6">
        <w:rPr>
          <w:rFonts w:cs="Arial"/>
        </w:rPr>
        <w:br w:type="page"/>
      </w:r>
    </w:p>
    <w:p w14:paraId="48B968F3" w14:textId="75D081CE" w:rsidR="003A71C6" w:rsidRPr="000C71A6" w:rsidRDefault="00E90F8F" w:rsidP="00F05A74">
      <w:pPr>
        <w:pStyle w:val="tesettulos"/>
      </w:pPr>
      <w:bookmarkStart w:id="6" w:name="_Toc111229787"/>
      <w:bookmarkStart w:id="7" w:name="_Toc111229825"/>
      <w:bookmarkStart w:id="8" w:name="_Toc115037805"/>
      <w:r>
        <w:t xml:space="preserve">1. </w:t>
      </w:r>
      <w:r w:rsidR="00FB2ADE" w:rsidRPr="00D263EE">
        <w:t>Introduction</w:t>
      </w:r>
      <w:bookmarkEnd w:id="6"/>
      <w:bookmarkEnd w:id="7"/>
      <w:bookmarkEnd w:id="8"/>
    </w:p>
    <w:p w14:paraId="3961CA51" w14:textId="53DD4AF7" w:rsidR="00A11A26" w:rsidRPr="000C71A6" w:rsidRDefault="00E90F8F" w:rsidP="00A078BC">
      <w:pPr>
        <w:pStyle w:val="Estilo1"/>
      </w:pPr>
      <w:bookmarkStart w:id="9" w:name="_Toc111229788"/>
      <w:bookmarkStart w:id="10" w:name="_Toc111229826"/>
      <w:bookmarkStart w:id="11" w:name="_Toc115037806"/>
      <w:r>
        <w:t xml:space="preserve">1.1. </w:t>
      </w:r>
      <w:r w:rsidR="003A71C6" w:rsidRPr="000C71A6">
        <w:t xml:space="preserve">Neosporosis: </w:t>
      </w:r>
      <w:r w:rsidR="00A11A26" w:rsidRPr="000C71A6">
        <w:t>agent, hosts and transmission cycle</w:t>
      </w:r>
      <w:bookmarkEnd w:id="9"/>
      <w:bookmarkEnd w:id="10"/>
      <w:bookmarkEnd w:id="11"/>
      <w:r w:rsidR="00A11A26" w:rsidRPr="000C71A6">
        <w:t xml:space="preserve"> </w:t>
      </w:r>
    </w:p>
    <w:p w14:paraId="00F71D4C" w14:textId="6EA8661D" w:rsidR="00581A16" w:rsidRPr="000C71A6" w:rsidRDefault="00581A16" w:rsidP="001542A8">
      <w:pPr>
        <w:divId w:val="684404335"/>
        <w:rPr>
          <w:rFonts w:cs="Arial"/>
        </w:rPr>
      </w:pPr>
      <w:r w:rsidRPr="000C71A6">
        <w:rPr>
          <w:rFonts w:cs="Arial"/>
        </w:rPr>
        <w:t xml:space="preserve">Neosporosis is a </w:t>
      </w:r>
      <w:r w:rsidR="00261BA1" w:rsidRPr="000C71A6">
        <w:rPr>
          <w:rFonts w:cs="Arial"/>
        </w:rPr>
        <w:t>parasitic di</w:t>
      </w:r>
      <w:r w:rsidR="00AF243E" w:rsidRPr="000C71A6">
        <w:rPr>
          <w:rFonts w:cs="Arial"/>
        </w:rPr>
        <w:t xml:space="preserve">sease that is </w:t>
      </w:r>
      <w:r w:rsidR="00AE0422" w:rsidRPr="000C71A6">
        <w:rPr>
          <w:rFonts w:cs="Arial"/>
        </w:rPr>
        <w:t>widely</w:t>
      </w:r>
      <w:r w:rsidR="00AF243E" w:rsidRPr="000C71A6">
        <w:rPr>
          <w:rFonts w:cs="Arial"/>
        </w:rPr>
        <w:t xml:space="preserve"> known as one of the most common cause</w:t>
      </w:r>
      <w:r w:rsidR="006F4CC2" w:rsidRPr="000C71A6">
        <w:rPr>
          <w:rFonts w:cs="Arial"/>
        </w:rPr>
        <w:t>s</w:t>
      </w:r>
      <w:r w:rsidR="00AF243E" w:rsidRPr="000C71A6">
        <w:rPr>
          <w:rFonts w:cs="Arial"/>
        </w:rPr>
        <w:t xml:space="preserve"> for abortion in cattle</w:t>
      </w:r>
      <w:r w:rsidR="009138FE" w:rsidRPr="000C71A6">
        <w:rPr>
          <w:rFonts w:cs="Arial"/>
        </w:rPr>
        <w:t xml:space="preserve">, </w:t>
      </w:r>
      <w:r w:rsidR="00F76C5A" w:rsidRPr="000C71A6">
        <w:rPr>
          <w:rFonts w:cs="Arial"/>
        </w:rPr>
        <w:t>bear</w:t>
      </w:r>
      <w:r w:rsidR="008C186B">
        <w:rPr>
          <w:rFonts w:cs="Arial"/>
        </w:rPr>
        <w:t>ing</w:t>
      </w:r>
      <w:r w:rsidR="00F76C5A" w:rsidRPr="000C71A6">
        <w:rPr>
          <w:rFonts w:cs="Arial"/>
        </w:rPr>
        <w:t xml:space="preserve"> a heavy </w:t>
      </w:r>
      <w:r w:rsidR="00E95A46" w:rsidRPr="000C71A6">
        <w:rPr>
          <w:rFonts w:cs="Arial"/>
        </w:rPr>
        <w:t>economic impact</w:t>
      </w:r>
      <w:r w:rsidR="001A2E1E" w:rsidRPr="000C71A6">
        <w:rPr>
          <w:rFonts w:cs="Arial"/>
        </w:rPr>
        <w:t xml:space="preserve"> in </w:t>
      </w:r>
      <w:r w:rsidR="00A22E72" w:rsidRPr="000C71A6">
        <w:rPr>
          <w:rFonts w:cs="Arial"/>
        </w:rPr>
        <w:t>dairy and beef industries</w:t>
      </w:r>
      <w:r w:rsidR="00AF243E" w:rsidRPr="000C71A6">
        <w:rPr>
          <w:rFonts w:cs="Arial"/>
        </w:rPr>
        <w:t xml:space="preserve"> </w:t>
      </w:r>
      <w:r w:rsidR="005851DF" w:rsidRPr="000C71A6">
        <w:rPr>
          <w:rFonts w:cs="Arial"/>
        </w:rPr>
        <w:fldChar w:fldCharType="begin" w:fldLock="1"/>
      </w:r>
      <w:r w:rsidR="008824FA">
        <w:rPr>
          <w:rFonts w:cs="Arial"/>
        </w:rPr>
        <w:instrText>ADDIN CSL_CITATION {"citationItems":[{"id":"ITEM-1","itemData":{"DOI":"10.1371/journal.pone.0268903","ISSN":"1932-6203","PMID":"35604902","abstract":"Background","author":[{"dropping-particle":"","family":"Nayeri","given":"Tooran","non-dropping-particle":"","parse-names":false,"suffix":""},{"dropping-particle":"","family":"Moosazadeh","given":"Mahmood","non-dropping-particle":"","parse-names":false,"suffix":""},{"dropping-particle":"","family":"Sarvi","given":"Shahabeddin","non-dropping-particle":"","parse-names":false,"suffix":""},{"dropping-particle":"","family":"Daryani","given":"Ahmad","non-dropping-particle":"","parse-names":false,"suffix":""}],"container-title":"PLOS ONE","editor":[{"dropping-particle":"","family":"Rosenthal","given":"Benjamin M.","non-dropping-particle":"","parse-names":false,"suffix":""}],"id":"ITEM-1","issue":"5","issued":{"date-parts":[["2022","5","23"]]},"page":"e0268903","publisher":"PLoS One","title":"Neospora caninum infection in aborting bovines and lost fetuses: A systematic review and meta-analysis","type":"article-journal","volume":"17"},"uris":["http://www.mendeley.com/documents/?uuid=213fcfe5-2cf2-3ed1-986b-a5773735de14"]}],"mendeley":{"formattedCitation":"[1]","plainTextFormattedCitation":"[1]","previouslyFormattedCitation":"[1]"},"properties":{"noteIndex":0},"schema":"https://github.com/citation-style-language/schema/raw/master/csl-citation.json"}</w:instrText>
      </w:r>
      <w:r w:rsidR="005851DF" w:rsidRPr="000C71A6">
        <w:rPr>
          <w:rFonts w:cs="Arial"/>
        </w:rPr>
        <w:fldChar w:fldCharType="separate"/>
      </w:r>
      <w:r w:rsidR="00F00084" w:rsidRPr="00F00084">
        <w:rPr>
          <w:rFonts w:cs="Arial"/>
          <w:noProof/>
        </w:rPr>
        <w:t>[1]</w:t>
      </w:r>
      <w:r w:rsidR="005851DF" w:rsidRPr="000C71A6">
        <w:rPr>
          <w:rFonts w:cs="Arial"/>
        </w:rPr>
        <w:fldChar w:fldCharType="end"/>
      </w:r>
      <w:r w:rsidR="005851DF" w:rsidRPr="000C71A6">
        <w:rPr>
          <w:rFonts w:cs="Arial"/>
        </w:rPr>
        <w:t>.</w:t>
      </w:r>
      <w:r w:rsidR="001542A8">
        <w:rPr>
          <w:rFonts w:cs="Arial"/>
        </w:rPr>
        <w:t xml:space="preserve"> </w:t>
      </w:r>
      <w:r w:rsidR="009138FE" w:rsidRPr="000C71A6">
        <w:rPr>
          <w:rFonts w:cs="Arial"/>
        </w:rPr>
        <w:t xml:space="preserve">The </w:t>
      </w:r>
      <w:r w:rsidR="008D1C6F" w:rsidRPr="000C71A6">
        <w:rPr>
          <w:rFonts w:cs="Arial"/>
        </w:rPr>
        <w:t xml:space="preserve">agent, </w:t>
      </w:r>
      <w:r w:rsidR="008D1C6F" w:rsidRPr="000C71A6">
        <w:rPr>
          <w:rFonts w:cs="Arial"/>
          <w:i/>
          <w:iCs/>
        </w:rPr>
        <w:t>Neospora caninum</w:t>
      </w:r>
      <w:r w:rsidR="008D1C6F" w:rsidRPr="000C71A6">
        <w:rPr>
          <w:rFonts w:cs="Arial"/>
        </w:rPr>
        <w:t xml:space="preserve">, is an obligate intracellular </w:t>
      </w:r>
      <w:r w:rsidR="00064D89" w:rsidRPr="000C71A6">
        <w:rPr>
          <w:rFonts w:cs="Arial"/>
        </w:rPr>
        <w:t xml:space="preserve">protozoan, belonging to the Apicomplexa phylum, </w:t>
      </w:r>
      <w:r w:rsidR="00DC3A8B" w:rsidRPr="000C71A6">
        <w:rPr>
          <w:rFonts w:cs="Arial"/>
        </w:rPr>
        <w:t xml:space="preserve">whose close structural proximity to </w:t>
      </w:r>
      <w:r w:rsidR="00DC3A8B" w:rsidRPr="000C71A6">
        <w:rPr>
          <w:rFonts w:cs="Arial"/>
          <w:i/>
          <w:iCs/>
        </w:rPr>
        <w:t>Toxoplasma gondii</w:t>
      </w:r>
      <w:r w:rsidR="00DC3A8B" w:rsidRPr="000C71A6">
        <w:rPr>
          <w:rFonts w:cs="Arial"/>
        </w:rPr>
        <w:t xml:space="preserve"> had them mistak</w:t>
      </w:r>
      <w:r w:rsidR="00CB2FAC" w:rsidRPr="000C71A6">
        <w:rPr>
          <w:rFonts w:cs="Arial"/>
        </w:rPr>
        <w:t xml:space="preserve">enly categorized as the same parasite </w:t>
      </w:r>
      <w:r w:rsidR="00CB2FAC" w:rsidRPr="000C71A6">
        <w:rPr>
          <w:rFonts w:cs="Arial"/>
        </w:rPr>
        <w:fldChar w:fldCharType="begin" w:fldLock="1"/>
      </w:r>
      <w:r w:rsidR="008824FA">
        <w:rPr>
          <w:rFonts w:cs="Arial"/>
        </w:rPr>
        <w:instrText>ADDIN CSL_CITATION {"citationItems":[{"id":"ITEM-1","itemData":{"DOI":"10.1371/journal.pone.0268903","ISSN":"1932-6203","PMID":"35604902","abstract":"Background","author":[{"dropping-particle":"","family":"Nayeri","given":"Tooran","non-dropping-particle":"","parse-names":false,"suffix":""},{"dropping-particle":"","family":"Moosazadeh","given":"Mahmood","non-dropping-particle":"","parse-names":false,"suffix":""},{"dropping-particle":"","family":"Sarvi","given":"Shahabeddin","non-dropping-particle":"","parse-names":false,"suffix":""},{"dropping-particle":"","family":"Daryani","given":"Ahmad","non-dropping-particle":"","parse-names":false,"suffix":""}],"container-title":"PLOS ONE","editor":[{"dropping-particle":"","family":"Rosenthal","given":"Benjamin M.","non-dropping-particle":"","parse-names":false,"suffix":""}],"id":"ITEM-1","issue":"5","issued":{"date-parts":[["2022","5","23"]]},"page":"e0268903","publisher":"PLoS One","title":"Neospora caninum infection in aborting bovines and lost fetuses: A systematic review and meta-analysis","type":"article-journal","volume":"17"},"uris":["http://www.mendeley.com/documents/?uuid=213fcfe5-2cf2-3ed1-986b-a5773735de14"]}],"mendeley":{"formattedCitation":"[1]","plainTextFormattedCitation":"[1]","previouslyFormattedCitation":"[1]"},"properties":{"noteIndex":0},"schema":"https://github.com/citation-style-language/schema/raw/master/csl-citation.json"}</w:instrText>
      </w:r>
      <w:r w:rsidR="00CB2FAC" w:rsidRPr="000C71A6">
        <w:rPr>
          <w:rFonts w:cs="Arial"/>
        </w:rPr>
        <w:fldChar w:fldCharType="separate"/>
      </w:r>
      <w:r w:rsidR="00F00084" w:rsidRPr="00F00084">
        <w:rPr>
          <w:rFonts w:cs="Arial"/>
          <w:noProof/>
        </w:rPr>
        <w:t>[1]</w:t>
      </w:r>
      <w:r w:rsidR="00CB2FAC" w:rsidRPr="000C71A6">
        <w:rPr>
          <w:rFonts w:cs="Arial"/>
        </w:rPr>
        <w:fldChar w:fldCharType="end"/>
      </w:r>
      <w:r w:rsidR="00CB2FAC" w:rsidRPr="000C71A6">
        <w:rPr>
          <w:rFonts w:cs="Arial"/>
        </w:rPr>
        <w:t xml:space="preserve">. </w:t>
      </w:r>
      <w:r w:rsidR="00ED7FD7" w:rsidRPr="000C71A6">
        <w:rPr>
          <w:rFonts w:cs="Arial"/>
        </w:rPr>
        <w:t xml:space="preserve">It wasn’t until 1984 that </w:t>
      </w:r>
      <w:r w:rsidR="00ED7FD7" w:rsidRPr="000C71A6">
        <w:rPr>
          <w:rFonts w:cs="Arial"/>
        </w:rPr>
        <w:fldChar w:fldCharType="begin" w:fldLock="1"/>
      </w:r>
      <w:r w:rsidR="008824FA">
        <w:rPr>
          <w:rFonts w:cs="Arial"/>
        </w:rPr>
        <w:instrText>ADDIN CSL_CITATION {"citationItems":[{"id":"ITEM-1","itemData":{"DOI":"10.1007/BF00942230","ISSN":"0044-3255","PMID":"6426185","author":[{"dropping-particle":"","family":"Bjerkås","given":"I.","non-dropping-particle":"","parse-names":false,"suffix":""},{"dropping-particle":"","family":"Mohn","given":"S. F.","non-dropping-particle":"","parse-names":false,"suffix":""},{"dropping-particle":"","family":"Presthus","given":"J.","non-dropping-particle":"","parse-names":false,"suffix":""}],"container-title":"Zeitschrift fur Parasitenkunde (Berlin, Germany)","id":"ITEM-1","issue":"2","issued":{"date-parts":[["1984"]]},"page":"271-274","title":"Unidentified cyst-forming Sporozoon causing encephalomyelitis and myositis in dogs","type":"article-journal","volume":"70"},"uris":["http://www.mendeley.com/documents/?uuid=f69bf3eb-aead-326f-a7a0-945cb68c73cf"]}],"mendeley":{"formattedCitation":"[2]","manualFormatting":"Bjerkås et al.","plainTextFormattedCitation":"[2]","previouslyFormattedCitation":"[2]"},"properties":{"noteIndex":0},"schema":"https://github.com/citation-style-language/schema/raw/master/csl-citation.json"}</w:instrText>
      </w:r>
      <w:r w:rsidR="00ED7FD7" w:rsidRPr="000C71A6">
        <w:rPr>
          <w:rFonts w:cs="Arial"/>
        </w:rPr>
        <w:fldChar w:fldCharType="separate"/>
      </w:r>
      <w:r w:rsidR="00ED7FD7" w:rsidRPr="000C71A6">
        <w:rPr>
          <w:rFonts w:cs="Arial"/>
          <w:noProof/>
        </w:rPr>
        <w:t xml:space="preserve">Bjerkås </w:t>
      </w:r>
      <w:r w:rsidR="00ED7FD7" w:rsidRPr="004A4DFA">
        <w:rPr>
          <w:rFonts w:cs="Arial"/>
          <w:i/>
          <w:noProof/>
        </w:rPr>
        <w:t>et al.</w:t>
      </w:r>
      <w:r w:rsidR="00ED7FD7" w:rsidRPr="000C71A6">
        <w:rPr>
          <w:rFonts w:cs="Arial"/>
        </w:rPr>
        <w:fldChar w:fldCharType="end"/>
      </w:r>
      <w:r w:rsidR="00974070" w:rsidRPr="000C71A6">
        <w:rPr>
          <w:rFonts w:cs="Arial"/>
        </w:rPr>
        <w:t xml:space="preserve"> </w:t>
      </w:r>
      <w:r w:rsidR="00135F2E" w:rsidRPr="000C71A6">
        <w:rPr>
          <w:rFonts w:cs="Arial"/>
        </w:rPr>
        <w:t xml:space="preserve">identified a new </w:t>
      </w:r>
      <w:r w:rsidR="00084DD5" w:rsidRPr="000C71A6">
        <w:rPr>
          <w:rFonts w:cs="Arial"/>
        </w:rPr>
        <w:t xml:space="preserve">protozoan </w:t>
      </w:r>
      <w:r w:rsidR="00F718E1" w:rsidRPr="000C71A6">
        <w:rPr>
          <w:rFonts w:cs="Arial"/>
        </w:rPr>
        <w:t xml:space="preserve">with the </w:t>
      </w:r>
      <w:r w:rsidR="006F547B" w:rsidRPr="000C71A6">
        <w:rPr>
          <w:rFonts w:cs="Arial"/>
        </w:rPr>
        <w:t>propensi</w:t>
      </w:r>
      <w:r w:rsidR="006F547B">
        <w:rPr>
          <w:rFonts w:cs="Arial"/>
        </w:rPr>
        <w:t>ty</w:t>
      </w:r>
      <w:r w:rsidR="006F547B" w:rsidRPr="000C71A6">
        <w:rPr>
          <w:rFonts w:cs="Arial"/>
        </w:rPr>
        <w:t xml:space="preserve"> </w:t>
      </w:r>
      <w:r w:rsidR="006B4CDF" w:rsidRPr="000C71A6">
        <w:rPr>
          <w:rFonts w:cs="Arial"/>
        </w:rPr>
        <w:t>of generating cystic lesions</w:t>
      </w:r>
      <w:r w:rsidR="00EE567F" w:rsidRPr="000C71A6">
        <w:rPr>
          <w:rFonts w:cs="Arial"/>
        </w:rPr>
        <w:t xml:space="preserve"> </w:t>
      </w:r>
      <w:r w:rsidR="00C3613E" w:rsidRPr="000C71A6">
        <w:rPr>
          <w:rFonts w:cs="Arial"/>
        </w:rPr>
        <w:t>in the central nervous system and the skeletal muscle o</w:t>
      </w:r>
      <w:r w:rsidR="006F547B">
        <w:rPr>
          <w:rFonts w:cs="Arial"/>
        </w:rPr>
        <w:t>f</w:t>
      </w:r>
      <w:r w:rsidR="00C3613E" w:rsidRPr="000C71A6">
        <w:rPr>
          <w:rFonts w:cs="Arial"/>
        </w:rPr>
        <w:t xml:space="preserve"> a litter of dogs</w:t>
      </w:r>
      <w:r w:rsidR="00E7684A" w:rsidRPr="000C71A6">
        <w:rPr>
          <w:rFonts w:cs="Arial"/>
        </w:rPr>
        <w:t xml:space="preserve"> that demonstrated no </w:t>
      </w:r>
      <w:r w:rsidR="006F547B">
        <w:rPr>
          <w:rFonts w:cs="Arial"/>
        </w:rPr>
        <w:t>reactivity</w:t>
      </w:r>
      <w:r w:rsidR="00D24E87" w:rsidRPr="000C71A6">
        <w:rPr>
          <w:rFonts w:cs="Arial"/>
        </w:rPr>
        <w:t xml:space="preserve"> against </w:t>
      </w:r>
      <w:r w:rsidR="00D24E87" w:rsidRPr="000C71A6">
        <w:rPr>
          <w:rFonts w:cs="Arial"/>
          <w:i/>
          <w:iCs/>
        </w:rPr>
        <w:t>Toxoplasma gondii</w:t>
      </w:r>
      <w:r w:rsidR="006F547B" w:rsidRPr="006F547B">
        <w:rPr>
          <w:rFonts w:cs="Arial"/>
        </w:rPr>
        <w:t xml:space="preserve"> </w:t>
      </w:r>
      <w:r w:rsidR="006F547B">
        <w:rPr>
          <w:rFonts w:cs="Arial"/>
        </w:rPr>
        <w:t xml:space="preserve">specific </w:t>
      </w:r>
      <w:r w:rsidR="006F547B" w:rsidRPr="000C71A6">
        <w:rPr>
          <w:rFonts w:cs="Arial"/>
        </w:rPr>
        <w:t>antibod</w:t>
      </w:r>
      <w:r w:rsidR="006F547B">
        <w:rPr>
          <w:rFonts w:cs="Arial"/>
        </w:rPr>
        <w:t>ies</w:t>
      </w:r>
      <w:r w:rsidR="003D7092">
        <w:rPr>
          <w:rFonts w:cs="Arial"/>
        </w:rPr>
        <w:t xml:space="preserve"> </w:t>
      </w:r>
      <w:r w:rsidR="003D7092">
        <w:rPr>
          <w:rFonts w:cs="Arial"/>
        </w:rPr>
        <w:fldChar w:fldCharType="begin" w:fldLock="1"/>
      </w:r>
      <w:r w:rsidR="003D7092">
        <w:rPr>
          <w:rFonts w:cs="Arial"/>
        </w:rPr>
        <w:instrText>ADDIN CSL_CITATION {"citationItems":[{"id":"ITEM-1","itemData":{"DOI":"10.1007/BF00942230","ISSN":"0044-3255","PMID":"6426185","author":[{"dropping-particle":"","family":"Bjerkås","given":"I.","non-dropping-particle":"","parse-names":false,"suffix":""},{"dropping-particle":"","family":"Mohn","given":"S. F.","non-dropping-particle":"","parse-names":false,"suffix":""},{"dropping-particle":"","family":"Presthus","given":"J.","non-dropping-particle":"","parse-names":false,"suffix":""}],"container-title":"Zeitschrift fur Parasitenkunde (Berlin, Germany)","id":"ITEM-1","issue":"2","issued":{"date-parts":[["1984"]]},"page":"271-274","title":"Unidentified cyst-forming Sporozoon causing encephalomyelitis and myositis in dogs","type":"article-journal","volume":"70"},"uris":["http://www.mendeley.com/documents/?uuid=f69bf3eb-aead-326f-a7a0-945cb68c73cf"]}],"mendeley":{"formattedCitation":"[2]","plainTextFormattedCitation":"[2]","previouslyFormattedCitation":"[2]"},"properties":{"noteIndex":0},"schema":"https://github.com/citation-style-language/schema/raw/master/csl-citation.json"}</w:instrText>
      </w:r>
      <w:r w:rsidR="003D7092">
        <w:rPr>
          <w:rFonts w:cs="Arial"/>
        </w:rPr>
        <w:fldChar w:fldCharType="separate"/>
      </w:r>
      <w:r w:rsidR="003D7092" w:rsidRPr="003D7092">
        <w:rPr>
          <w:rFonts w:cs="Arial"/>
          <w:noProof/>
        </w:rPr>
        <w:t>[2]</w:t>
      </w:r>
      <w:r w:rsidR="003D7092">
        <w:rPr>
          <w:rFonts w:cs="Arial"/>
        </w:rPr>
        <w:fldChar w:fldCharType="end"/>
      </w:r>
      <w:r w:rsidR="00B55A69" w:rsidRPr="000C71A6">
        <w:rPr>
          <w:rFonts w:cs="Arial"/>
        </w:rPr>
        <w:t xml:space="preserve">. </w:t>
      </w:r>
      <w:r w:rsidR="003108B3" w:rsidRPr="000C71A6">
        <w:rPr>
          <w:rFonts w:cs="Arial"/>
        </w:rPr>
        <w:t xml:space="preserve">In 1988, </w:t>
      </w:r>
      <w:r w:rsidR="003108B3" w:rsidRPr="000C71A6">
        <w:rPr>
          <w:rFonts w:cs="Arial"/>
        </w:rPr>
        <w:fldChar w:fldCharType="begin" w:fldLock="1"/>
      </w:r>
      <w:r w:rsidR="008824FA">
        <w:rPr>
          <w:rFonts w:cs="Arial"/>
        </w:rPr>
        <w:instrText>ADDIN CSL_CITATION {"citationItems":[{"id":"ITEM-1","itemData":{"ISSN":"0003-1488","PMID":"3391851","abstract":"Histologic sections and case histories from 23 dogs with proven fatal toxoplasmosis-like illness at the Angell Memorial Animal Hospital were reviewed. Toxoplasma gondii was identified in 13 dogs. A newly identified parasite, Neospora caninum, structurally distinct from T gondii, was found in 10 dogs. The newly discovered organism, belonging to a new genus and new species, formed meronts in many tissues of the dogs, especially the brain and spinal cord. Neospora caninum was located directly in the host cell cytoplasm without a parasitophorous vacuole; it divided by endodyogeny, contained more than 11 rhoptries, and did not react with the anti-T gondii serum in the immunoperoxidase test. Meningoencephalomyelitis and myositis were the main lesions associated with N caninum. Ulcerative and fistulous dermatitis was the major lesion in 1 dog.","author":[{"dropping-particle":"","family":"Dubey","given":"J. P.","non-dropping-particle":"","parse-names":false,"suffix":""},{"dropping-particle":"","family":"Carpenter","given":"J. L.","non-dropping-particle":"","parse-names":false,"suffix":""},{"dropping-particle":"","family":"Speer","given":"C. A.","non-dropping-particle":"","parse-names":false,"suffix":""},{"dropping-particle":"","family":"Topper","given":"M. J.","non-dropping-particle":"","parse-names":false,"suffix":""},{"dropping-particle":"","family":"Uggla","given":"A.","non-dropping-particle":"","parse-names":false,"suffix":""}],"container-title":"Journal of the American Veterinary Medical Association","id":"ITEM-1","issue":"9","issued":{"date-parts":[["1988","5","1"]]},"page":"1269-85","title":"Newly recognized fatal protozoan disease of dogs.","type":"article-journal","volume":"192"},"uris":["http://www.mendeley.com/documents/?uuid=f4363276-3da3-3a61-92ab-20017dd1b5b3"]}],"mendeley":{"formattedCitation":"[3]","manualFormatting":"Dubey et al.","plainTextFormattedCitation":"[3]","previouslyFormattedCitation":"[3]"},"properties":{"noteIndex":0},"schema":"https://github.com/citation-style-language/schema/raw/master/csl-citation.json"}</w:instrText>
      </w:r>
      <w:r w:rsidR="003108B3" w:rsidRPr="000C71A6">
        <w:rPr>
          <w:rFonts w:cs="Arial"/>
        </w:rPr>
        <w:fldChar w:fldCharType="separate"/>
      </w:r>
      <w:r w:rsidR="003108B3" w:rsidRPr="000C71A6">
        <w:rPr>
          <w:rFonts w:cs="Arial"/>
          <w:noProof/>
        </w:rPr>
        <w:t xml:space="preserve">Dubey </w:t>
      </w:r>
      <w:r w:rsidR="003108B3" w:rsidRPr="004A4DFA">
        <w:rPr>
          <w:rFonts w:cs="Arial"/>
          <w:i/>
          <w:noProof/>
        </w:rPr>
        <w:t>et al.</w:t>
      </w:r>
      <w:r w:rsidR="003108B3" w:rsidRPr="000C71A6">
        <w:rPr>
          <w:rFonts w:cs="Arial"/>
        </w:rPr>
        <w:fldChar w:fldCharType="end"/>
      </w:r>
      <w:r w:rsidR="001B4C74" w:rsidRPr="000C71A6">
        <w:rPr>
          <w:rFonts w:cs="Arial"/>
        </w:rPr>
        <w:t xml:space="preserve"> </w:t>
      </w:r>
      <w:r w:rsidR="00293401" w:rsidRPr="000C71A6">
        <w:rPr>
          <w:rFonts w:cs="Arial"/>
        </w:rPr>
        <w:t xml:space="preserve">further </w:t>
      </w:r>
      <w:r w:rsidR="00CF4469" w:rsidRPr="000C71A6">
        <w:rPr>
          <w:rFonts w:cs="Arial"/>
        </w:rPr>
        <w:t>investigated this toxoplas</w:t>
      </w:r>
      <w:r w:rsidR="00EC156A" w:rsidRPr="000C71A6">
        <w:rPr>
          <w:rFonts w:cs="Arial"/>
        </w:rPr>
        <w:t xml:space="preserve">mosis-like disease and upon reviewing </w:t>
      </w:r>
      <w:r w:rsidR="00096D61" w:rsidRPr="000C71A6">
        <w:rPr>
          <w:rFonts w:cs="Arial"/>
        </w:rPr>
        <w:t>23 cases</w:t>
      </w:r>
      <w:r w:rsidR="00534638">
        <w:rPr>
          <w:rFonts w:cs="Arial"/>
        </w:rPr>
        <w:t>,</w:t>
      </w:r>
      <w:r w:rsidR="00096D61" w:rsidRPr="000C71A6">
        <w:rPr>
          <w:rFonts w:cs="Arial"/>
        </w:rPr>
        <w:t xml:space="preserve"> </w:t>
      </w:r>
      <w:r w:rsidR="006F547B">
        <w:rPr>
          <w:rFonts w:cs="Arial"/>
        </w:rPr>
        <w:t xml:space="preserve">they </w:t>
      </w:r>
      <w:r w:rsidR="00096D61" w:rsidRPr="000C71A6">
        <w:rPr>
          <w:rFonts w:cs="Arial"/>
        </w:rPr>
        <w:t xml:space="preserve">were able to differentiate 10 </w:t>
      </w:r>
      <w:r w:rsidR="006F547B">
        <w:rPr>
          <w:rFonts w:cs="Arial"/>
        </w:rPr>
        <w:t>that shared</w:t>
      </w:r>
      <w:r w:rsidR="006F547B" w:rsidRPr="000C71A6">
        <w:rPr>
          <w:rFonts w:cs="Arial"/>
        </w:rPr>
        <w:t xml:space="preserve"> </w:t>
      </w:r>
      <w:r w:rsidR="00096D61" w:rsidRPr="000C71A6">
        <w:rPr>
          <w:rFonts w:cs="Arial"/>
        </w:rPr>
        <w:t xml:space="preserve">the agent identified in 1984; </w:t>
      </w:r>
      <w:r w:rsidR="00DD79B9" w:rsidRPr="000C71A6">
        <w:rPr>
          <w:rFonts w:cs="Arial"/>
        </w:rPr>
        <w:t xml:space="preserve">the newfound parasite was then </w:t>
      </w:r>
      <w:r w:rsidR="00B9018A" w:rsidRPr="000C71A6">
        <w:rPr>
          <w:rFonts w:cs="Arial"/>
        </w:rPr>
        <w:t xml:space="preserve">classified </w:t>
      </w:r>
      <w:r w:rsidR="001A4A0E" w:rsidRPr="000C71A6">
        <w:rPr>
          <w:rFonts w:cs="Arial"/>
        </w:rPr>
        <w:t xml:space="preserve">to a new genus and species and </w:t>
      </w:r>
      <w:r w:rsidR="005A2386" w:rsidRPr="000C71A6">
        <w:rPr>
          <w:rFonts w:cs="Arial"/>
        </w:rPr>
        <w:t>further described</w:t>
      </w:r>
      <w:r w:rsidR="003D7092">
        <w:rPr>
          <w:rFonts w:cs="Arial"/>
        </w:rPr>
        <w:t xml:space="preserve"> </w:t>
      </w:r>
      <w:r w:rsidR="003D7092">
        <w:rPr>
          <w:rFonts w:cs="Arial"/>
        </w:rPr>
        <w:fldChar w:fldCharType="begin" w:fldLock="1"/>
      </w:r>
      <w:r w:rsidR="003D7092">
        <w:rPr>
          <w:rFonts w:cs="Arial"/>
        </w:rPr>
        <w:instrText>ADDIN CSL_CITATION {"citationItems":[{"id":"ITEM-1","itemData":{"ISSN":"0003-1488","PMID":"3391851","abstract":"Histologic sections and case histories from 23 dogs with proven fatal toxoplasmosis-like illness at the Angell Memorial Animal Hospital were reviewed. Toxoplasma gondii was identified in 13 dogs. A newly identified parasite, Neospora caninum, structurally distinct from T gondii, was found in 10 dogs. The newly discovered organism, belonging to a new genus and new species, formed meronts in many tissues of the dogs, especially the brain and spinal cord. Neospora caninum was located directly in the host cell cytoplasm without a parasitophorous vacuole; it divided by endodyogeny, contained more than 11 rhoptries, and did not react with the anti-T gondii serum in the immunoperoxidase test. Meningoencephalomyelitis and myositis were the main lesions associated with N caninum. Ulcerative and fistulous dermatitis was the major lesion in 1 dog.","author":[{"dropping-particle":"","family":"Dubey","given":"J. P.","non-dropping-particle":"","parse-names":false,"suffix":""},{"dropping-particle":"","family":"Carpenter","given":"J. L.","non-dropping-particle":"","parse-names":false,"suffix":""},{"dropping-particle":"","family":"Speer","given":"C. A.","non-dropping-particle":"","parse-names":false,"suffix":""},{"dropping-particle":"","family":"Topper","given":"M. J.","non-dropping-particle":"","parse-names":false,"suffix":""},{"dropping-particle":"","family":"Uggla","given":"A.","non-dropping-particle":"","parse-names":false,"suffix":""}],"container-title":"Journal of the American Veterinary Medical Association","id":"ITEM-1","issue":"9","issued":{"date-parts":[["1988","5","1"]]},"page":"1269-85","title":"Newly recognized fatal protozoan disease of dogs.","type":"article-journal","volume":"192"},"uris":["http://www.mendeley.com/documents/?uuid=f4363276-3da3-3a61-92ab-20017dd1b5b3"]}],"mendeley":{"formattedCitation":"[3]","plainTextFormattedCitation":"[3]","previouslyFormattedCitation":"[3]"},"properties":{"noteIndex":0},"schema":"https://github.com/citation-style-language/schema/raw/master/csl-citation.json"}</w:instrText>
      </w:r>
      <w:r w:rsidR="003D7092">
        <w:rPr>
          <w:rFonts w:cs="Arial"/>
        </w:rPr>
        <w:fldChar w:fldCharType="separate"/>
      </w:r>
      <w:r w:rsidR="003D7092" w:rsidRPr="003D7092">
        <w:rPr>
          <w:rFonts w:cs="Arial"/>
          <w:noProof/>
        </w:rPr>
        <w:t>[3]</w:t>
      </w:r>
      <w:r w:rsidR="003D7092">
        <w:rPr>
          <w:rFonts w:cs="Arial"/>
        </w:rPr>
        <w:fldChar w:fldCharType="end"/>
      </w:r>
      <w:r w:rsidR="005A2386" w:rsidRPr="000C71A6">
        <w:rPr>
          <w:rFonts w:cs="Arial"/>
        </w:rPr>
        <w:t>.</w:t>
      </w:r>
      <w:r w:rsidR="007F484A" w:rsidRPr="000C71A6">
        <w:rPr>
          <w:rFonts w:cs="Arial"/>
        </w:rPr>
        <w:t xml:space="preserve"> </w:t>
      </w:r>
    </w:p>
    <w:p w14:paraId="68B9D101" w14:textId="3DD2981E" w:rsidR="005A2386" w:rsidRPr="000C71A6" w:rsidRDefault="002401C0" w:rsidP="00534638">
      <w:pPr>
        <w:divId w:val="684404335"/>
        <w:rPr>
          <w:rFonts w:cs="Arial"/>
        </w:rPr>
      </w:pPr>
      <w:r w:rsidRPr="000C71A6">
        <w:rPr>
          <w:rFonts w:cs="Arial"/>
        </w:rPr>
        <w:t xml:space="preserve">Upon </w:t>
      </w:r>
      <w:r w:rsidR="00FB5408" w:rsidRPr="000C71A6">
        <w:rPr>
          <w:rFonts w:cs="Arial"/>
        </w:rPr>
        <w:t xml:space="preserve">being detected </w:t>
      </w:r>
      <w:r w:rsidR="00242A55">
        <w:rPr>
          <w:rFonts w:cs="Arial"/>
        </w:rPr>
        <w:t>i</w:t>
      </w:r>
      <w:r w:rsidR="00FB5408" w:rsidRPr="000C71A6">
        <w:rPr>
          <w:rFonts w:cs="Arial"/>
        </w:rPr>
        <w:t xml:space="preserve">n the dog, </w:t>
      </w:r>
      <w:r w:rsidR="00823678" w:rsidRPr="000C71A6">
        <w:rPr>
          <w:rFonts w:cs="Arial"/>
          <w:i/>
          <w:iCs/>
        </w:rPr>
        <w:t>N</w:t>
      </w:r>
      <w:r w:rsidR="00823678">
        <w:rPr>
          <w:rFonts w:cs="Arial"/>
          <w:i/>
          <w:iCs/>
        </w:rPr>
        <w:t>.</w:t>
      </w:r>
      <w:r w:rsidR="00823678" w:rsidRPr="000C71A6">
        <w:rPr>
          <w:rFonts w:cs="Arial"/>
          <w:i/>
          <w:iCs/>
        </w:rPr>
        <w:t xml:space="preserve"> </w:t>
      </w:r>
      <w:r w:rsidR="00FB5408" w:rsidRPr="000C71A6">
        <w:rPr>
          <w:rFonts w:cs="Arial"/>
          <w:i/>
          <w:iCs/>
        </w:rPr>
        <w:t>caninum</w:t>
      </w:r>
      <w:r w:rsidR="00044309" w:rsidRPr="000C71A6">
        <w:rPr>
          <w:rFonts w:cs="Arial"/>
        </w:rPr>
        <w:t xml:space="preserve"> has been isolated from several </w:t>
      </w:r>
      <w:r w:rsidR="00E65C99" w:rsidRPr="000C71A6">
        <w:rPr>
          <w:rFonts w:cs="Arial"/>
        </w:rPr>
        <w:t>hosts,</w:t>
      </w:r>
      <w:r w:rsidR="00865AA1" w:rsidRPr="000C71A6">
        <w:rPr>
          <w:rFonts w:cs="Arial"/>
        </w:rPr>
        <w:t xml:space="preserve"> </w:t>
      </w:r>
      <w:r w:rsidR="002A15A3">
        <w:rPr>
          <w:rFonts w:cs="Arial"/>
        </w:rPr>
        <w:t xml:space="preserve">including </w:t>
      </w:r>
      <w:r w:rsidR="00865AA1" w:rsidRPr="000C71A6">
        <w:rPr>
          <w:rFonts w:cs="Arial"/>
        </w:rPr>
        <w:t>cattle and sheep</w:t>
      </w:r>
      <w:r w:rsidR="006F547B">
        <w:rPr>
          <w:rFonts w:cs="Arial"/>
        </w:rPr>
        <w:t>.</w:t>
      </w:r>
      <w:r w:rsidR="00865AA1" w:rsidRPr="000C71A6">
        <w:rPr>
          <w:rFonts w:cs="Arial"/>
        </w:rPr>
        <w:t xml:space="preserve"> </w:t>
      </w:r>
      <w:r w:rsidR="006F547B">
        <w:rPr>
          <w:rFonts w:cs="Arial"/>
        </w:rPr>
        <w:t>A</w:t>
      </w:r>
      <w:r w:rsidR="002A15A3">
        <w:rPr>
          <w:rFonts w:cs="Arial"/>
        </w:rPr>
        <w:t>lso, a</w:t>
      </w:r>
      <w:r w:rsidR="002A15A3" w:rsidRPr="00955390">
        <w:rPr>
          <w:rFonts w:cs="Arial"/>
          <w:i/>
          <w:iCs/>
        </w:rPr>
        <w:t xml:space="preserve"> </w:t>
      </w:r>
      <w:r w:rsidR="006F547B" w:rsidRPr="00955390">
        <w:rPr>
          <w:rFonts w:cs="Arial"/>
          <w:i/>
          <w:iCs/>
        </w:rPr>
        <w:t>N. caninum</w:t>
      </w:r>
      <w:r w:rsidR="006F547B">
        <w:rPr>
          <w:rFonts w:cs="Arial"/>
        </w:rPr>
        <w:t xml:space="preserve"> specific</w:t>
      </w:r>
      <w:r w:rsidR="006F547B" w:rsidRPr="000C71A6">
        <w:rPr>
          <w:rFonts w:cs="Arial"/>
        </w:rPr>
        <w:t xml:space="preserve"> </w:t>
      </w:r>
      <w:r w:rsidR="002A1CFE" w:rsidRPr="000C71A6">
        <w:rPr>
          <w:rFonts w:cs="Arial"/>
        </w:rPr>
        <w:t xml:space="preserve">antibody response </w:t>
      </w:r>
      <w:r w:rsidR="006F547B">
        <w:rPr>
          <w:rFonts w:cs="Arial"/>
        </w:rPr>
        <w:t xml:space="preserve">was found </w:t>
      </w:r>
      <w:r w:rsidR="002A1CFE" w:rsidRPr="000C71A6">
        <w:rPr>
          <w:rFonts w:cs="Arial"/>
        </w:rPr>
        <w:t xml:space="preserve">in </w:t>
      </w:r>
      <w:r w:rsidR="002A15A3">
        <w:rPr>
          <w:rFonts w:cs="Arial"/>
        </w:rPr>
        <w:t xml:space="preserve">a </w:t>
      </w:r>
      <w:r w:rsidR="002A1CFE" w:rsidRPr="000C71A6">
        <w:rPr>
          <w:rFonts w:cs="Arial"/>
        </w:rPr>
        <w:t xml:space="preserve">diverse range </w:t>
      </w:r>
      <w:r w:rsidR="00E65C99" w:rsidRPr="000C71A6">
        <w:rPr>
          <w:rFonts w:cs="Arial"/>
        </w:rPr>
        <w:t xml:space="preserve">of </w:t>
      </w:r>
      <w:r w:rsidR="002A15A3">
        <w:rPr>
          <w:rFonts w:cs="Arial"/>
        </w:rPr>
        <w:t xml:space="preserve">domestic and sylvatic </w:t>
      </w:r>
      <w:r w:rsidR="00E65C99" w:rsidRPr="000C71A6">
        <w:rPr>
          <w:rFonts w:cs="Arial"/>
        </w:rPr>
        <w:t>animal species</w:t>
      </w:r>
      <w:r w:rsidR="00F2295A" w:rsidRPr="000C71A6">
        <w:rPr>
          <w:rFonts w:cs="Arial"/>
        </w:rPr>
        <w:t xml:space="preserve"> </w:t>
      </w:r>
      <w:r w:rsidR="00E15B77" w:rsidRPr="000C71A6">
        <w:rPr>
          <w:rFonts w:cs="Arial"/>
        </w:rPr>
        <w:fldChar w:fldCharType="begin" w:fldLock="1"/>
      </w:r>
      <w:r w:rsidR="008824FA">
        <w:rPr>
          <w:rFonts w:cs="Arial"/>
        </w:rPr>
        <w:instrText>ADDIN CSL_CITATION {"citationItems":[{"id":"ITEM-1","itemData":{"DOI":"10.1016/J.VETPAR.2011.05.031","ISSN":"0304-4017","PMID":"21704458","abstract":"Neospora caninum is a protozoan parasite of animals. Until 1988, it was misdiagnosed as Toxoplasma gondii. Since its first recognition in 1984 in dogs and the description of a new genus and species Neospora caninum in 1988, neosporosis has emerged as a serious disease of cattle and dogs worldwide. Abortions and neonatal mortality are a major problem in livestock operations and neosporosis is a major cause of abortion in cattle. This review is focused on current status of neosporosis in animals based on papers published in the last five years. Worldwide seroprevalences are tabulated. Strategies for control and prevention are discussed. © 2011 Elsevier B.V.","author":[{"dropping-particle":"","family":"Dubey","given":"J. P.","non-dropping-particle":"","parse-names":false,"suffix":""},{"dropping-particle":"","family":"Schares","given":"G.","non-dropping-particle":"","parse-names":false,"suffix":""}],"container-title":"Veterinary Parasitology","id":"ITEM-1","issue":"1-2","issued":{"date-parts":[["2011","8","4"]]},"page":"90-108","publisher":"Elsevier","title":"Neosporosis in animals—The last five years","type":"article-journal","volume":"180"},"uris":["http://www.mendeley.com/documents/?uuid=594a1846-6d63-3854-ba43-edfbbe00d973"]}],"mendeley":{"formattedCitation":"[4]","plainTextFormattedCitation":"[4]","previouslyFormattedCitation":"[4]"},"properties":{"noteIndex":0},"schema":"https://github.com/citation-style-language/schema/raw/master/csl-citation.json"}</w:instrText>
      </w:r>
      <w:r w:rsidR="00E15B77" w:rsidRPr="000C71A6">
        <w:rPr>
          <w:rFonts w:cs="Arial"/>
        </w:rPr>
        <w:fldChar w:fldCharType="separate"/>
      </w:r>
      <w:r w:rsidR="00F00084" w:rsidRPr="00F00084">
        <w:rPr>
          <w:rFonts w:cs="Arial"/>
          <w:noProof/>
        </w:rPr>
        <w:t>[4]</w:t>
      </w:r>
      <w:r w:rsidR="00E15B77" w:rsidRPr="000C71A6">
        <w:rPr>
          <w:rFonts w:cs="Arial"/>
        </w:rPr>
        <w:fldChar w:fldCharType="end"/>
      </w:r>
      <w:r w:rsidR="00674A3A" w:rsidRPr="000C71A6">
        <w:rPr>
          <w:rFonts w:cs="Arial"/>
        </w:rPr>
        <w:t>.</w:t>
      </w:r>
      <w:r w:rsidR="00944182">
        <w:rPr>
          <w:rFonts w:cs="Arial"/>
        </w:rPr>
        <w:t xml:space="preserve"> I</w:t>
      </w:r>
      <w:r w:rsidR="008308D2" w:rsidRPr="000C71A6">
        <w:rPr>
          <w:rFonts w:cs="Arial"/>
        </w:rPr>
        <w:t xml:space="preserve">t has been further confirmed </w:t>
      </w:r>
      <w:r w:rsidR="00F374C5" w:rsidRPr="000C71A6">
        <w:rPr>
          <w:rFonts w:cs="Arial"/>
        </w:rPr>
        <w:t xml:space="preserve">that domestic and wild </w:t>
      </w:r>
      <w:r w:rsidR="003C221D" w:rsidRPr="000C71A6">
        <w:rPr>
          <w:rFonts w:cs="Arial"/>
        </w:rPr>
        <w:t>canids</w:t>
      </w:r>
      <w:r w:rsidR="00F374C5" w:rsidRPr="000C71A6">
        <w:rPr>
          <w:rFonts w:cs="Arial"/>
        </w:rPr>
        <w:t xml:space="preserve"> (such as the grey wolf,</w:t>
      </w:r>
      <w:r w:rsidR="00604013" w:rsidRPr="000C71A6">
        <w:rPr>
          <w:rFonts w:cs="Arial"/>
        </w:rPr>
        <w:t xml:space="preserve"> the coyote and the Australian dingo) are the </w:t>
      </w:r>
      <w:r w:rsidR="009812D1" w:rsidRPr="000C71A6">
        <w:rPr>
          <w:rFonts w:cs="Arial"/>
        </w:rPr>
        <w:t>definite hosts w</w:t>
      </w:r>
      <w:r w:rsidR="00823678">
        <w:rPr>
          <w:rFonts w:cs="Arial"/>
        </w:rPr>
        <w:t>h</w:t>
      </w:r>
      <w:r w:rsidR="009812D1" w:rsidRPr="000C71A6">
        <w:rPr>
          <w:rFonts w:cs="Arial"/>
        </w:rPr>
        <w:t xml:space="preserve">ere </w:t>
      </w:r>
      <w:r w:rsidR="001C11A3" w:rsidRPr="000C71A6">
        <w:rPr>
          <w:rFonts w:cs="Arial"/>
        </w:rPr>
        <w:t xml:space="preserve">the life cycle of the parasite completes </w:t>
      </w:r>
      <w:r w:rsidR="00E85465" w:rsidRPr="000C71A6">
        <w:rPr>
          <w:rFonts w:cs="Arial"/>
        </w:rPr>
        <w:fldChar w:fldCharType="begin" w:fldLock="1"/>
      </w:r>
      <w:r w:rsidR="004A4DFA">
        <w:rPr>
          <w:rFonts w:cs="Arial"/>
        </w:rPr>
        <w:instrText>ADDIN CSL_CITATION {"citationItems":[{"id":"ITEM-1","itemData":{"DOI":"10.1016/J.VETPAR.2011.05.018","ISSN":"03044017","PMID":"21640485","abstract":"The gray wolf (Canis lupus) was found to be a new natural definitive host for Neospora caninum. Neospora-like oocysts were found microscopically in the feces of three of 73 wolves from Minnesota examined at necropsy. N. caninum-specific DNA was amplified from the oocysts of all three wolves. Oocysts from one wolf were infective for the gamma interferon gene knock out (KO) mice. Viable N. caninum (designated NcWolfUS1) was isolated in cell cultures seeded with tissue homogenate from the infected mouse. Typical thick walled tissue cysts were found in outbred mice inoculated with the parasite from the KO mouse. Tissue stages in mice stained positively with N. caninum-specific polyclonal antibodies. Our observation suggests that wolves may be an important link in the sylvatic cycle of N. caninum. © 2011 Elsevier B.V.","author":[{"dropping-particle":"","family":"Dubey","given":"J. P.","non-dropping-particle":"","parse-names":false,"suffix":""},{"dropping-particle":"","family":"Jenkins","given":"M. C.","non-dropping-particle":"","parse-names":false,"suffix":""},{"dropping-particle":"","family":"Rajendran","given":"C.","non-dropping-particle":"","parse-names":false,"suffix":""},{"dropping-particle":"","family":"Miska","given":"K.","non-dropping-particle":"","parse-names":false,"suffix":""},{"dropping-particle":"","family":"Ferreira","given":"L. R.","non-dropping-particle":"","parse-names":false,"suffix":""},{"dropping-particle":"","family":"Martins","given":"J.","non-dropping-particle":"","parse-names":false,"suffix":""},{"dropping-particle":"","family":"Kwok","given":"O. C.H.","non-dropping-particle":"","parse-names":false,"suffix":""},{"dropping-particle":"","family":"Choudhary","given":"S.","non-dropping-particle":"","parse-names":false,"suffix":""}],"container-title":"Veterinary Parasitology","id":"ITEM-1","issue":"2-4","issued":{"date-parts":[["2011","9","27"]]},"page":"382-387","title":"Gray wolf (Canis lupus) is a natural definitive host for Neospora caninum","type":"article-journal","volume":"181"},"uris":["http://www.mendeley.com/documents/?uuid=1061d2ce-14bd-35f7-accb-4781efe8b04d"]},{"id":"ITEM-2","itemData":{"DOI":"10.1016/J.IJPARA.2010.01.008","ISSN":"00207519","PMID":"20149793","abstract":"To provide objective data on the potential role of dingoes (Canis lupus dingo) in the life cycle of Neospora caninum in Australia, the production of N. caninum oocysts by experimentally infected canids was investigated. Three dingo pups raised in captivity and three domestic dogs were fed tissue from calves infected with an Australian isolate of N. caninum, Nc-Nowra. Oocysts of N. caninum, confirmed by species-specific PCR, were shed in low numbers by one dingo pup at 12-14. days p.i. The remaining animals did not shed oocysts. Furthermore, the blood from two out of three dingoes tested positive for DNA of N. caninum using PCR tests at 14 and 28. days p.i. Oocyst shedding from the intestinal tract of a dingo demonstrates that dingoes are definitive hosts of N. caninum and horizontal transmission of N. caninum from dingoes to farm animals and wildlife may occur in Australia. © 2010 Australian Society for Parasitology Inc.","author":[{"dropping-particle":"","family":"King","given":"Jessica S.","non-dropping-particle":"","parse-names":false,"suffix":""},{"dropping-particle":"","family":"Šlapeta","given":"Jan","non-dropping-particle":"","parse-names":false,"suffix":""},{"dropping-particle":"","family":"Jenkins","given":"David J.","non-dropping-particle":"","parse-names":false,"suffix":""},{"dropping-particle":"","family":"Al-Qassab","given":"Sarwat E.","non-dropping-particle":"","parse-names":false,"suffix":""},{"dropping-particle":"","family":"Ellis","given":"John T.","non-dropping-particle":"","parse-names":false,"suffix":""},{"dropping-particle":"","family":"Windsor","given":"Peter A.","non-dropping-particle":"","parse-names":false,"suffix":""}],"container-title":"International Journal for Parasitology","id":"ITEM-2","issue":"8","issued":{"date-parts":[["2010","7"]]},"page":"945-950","title":"Australian dingoes are definitive hosts of Neospora caninum","type":"article-journal","volume":"40"},"uris":["http://www.mendeley.com/documents/?uuid=0582ac09-0671-3ef1-bbc6-290e90b0e078"]},{"id":"ITEM-3","itemData":{"DOI":"10.1016/J.IJPARA.2004.01.001","ISSN":"00207519","PMID":"15037103","abstract":"Four captive-raised coyote pups consumed tissues from Neospora caninum-infected calves. Faeces were examined from 4 days before to 28 days after infection. One pup shed N. caninum-like oocysts, which tested positive for N. caninum and negative for Hammondia heydorni using PCR tests. Coyotes are the second discovered definitive host of N. caninum, after dogs. In North America, the expanding coyote ranges and population increase the probability of contact with domestic livestock. To reduce the risk of transmission of N. caninum to intensively farmed cattle, we recommend protection of feedstuffs using canid-proof fences, and careful disposal of dead stock. © 2004 Australian Society for Parasitology Inc. Published by Elsevier Ltd. All rights reserved.","author":[{"dropping-particle":"","family":"Gondim","given":"Luis F.P.","non-dropping-particle":"","parse-names":false,"suffix":""},{"dropping-particle":"","family":"McAllister","given":"Milton M.","non-dropping-particle":"","parse-names":false,"suffix":""},{"dropping-particle":"","family":"Pitt","given":"William C.","non-dropping-particle":"","parse-names":false,"suffix":""},{"dropping-particle":"","family":"Zemlicka","given":"Doris E.","non-dropping-particle":"","parse-names":false,"suffix":""}],"container-title":"International Journal for Parasitology","id":"ITEM-3","issue":"2","issued":{"date-parts":[["2004"]]},"page":"159-161","publisher":"Elsevier Ltd","title":"Coyotes (Canis latrans) are definitive hosts of Neospora caninum","type":"article-journal","volume":"34"},"uris":["http://www.mendeley.com/documents/?uuid=9dbc9b8b-6f17-34f1-9c61-5c415cf7b32a"]},{"id":"ITEM-4","itemData":{"DOI":"10.1016/S0020-7519(98)00138-6","ISSN":"0020-7519","PMID":"9770635","abstract":"Dogs were investigated to determine if they are definitive hosts of Neospora caninum. Four dogs were fed N. caninum tissue cysts in infected mouse tissue, and two negative control dogs were fed uninfected mouse tissue. Dog faeces were examined daily for 30 days using a sucrose flotation technique. Three challenged dogs shed spherical to subspherical unsporulated oocysts, measuring 10 to 11 μm in diameter. Oocysts sporulated within 3 days and contained two sporocysts, cach with four sporozoites. Outbred, inbred, and gamma-interferon knockout mice were inoculated with canine faecal extracts and monitored for evidence of neosporosis using a variety of morphologic, immunohistologic, serologic, and genetic analyses, Mice that received faeces from each dog observed to shed oocysts were demonstrated to have neosporosis by two or more techniques. One mouse was demonstrated to be infected with N. caninum by immunohistochemistry, ultrastructural analysis, and a species-specific PCR test. No evidence of neosporosis was observed in control animals. Based on this study, dogs are a definitive host of Neospora caninum.","author":[{"dropping-particle":"","family":"McAllister","given":"Milton M.","non-dropping-particle":"","parse-names":false,"suffix":""},{"dropping-particle":"","family":"Dubey","given":"J. P.","non-dropping-particle":"","parse-names":false,"suffix":""},{"dropping-particle":"","family":"Lindsay","given":"David S.","non-dropping-particle":"","parse-names":false,"suffix":""},{"dropping-particle":"","family":"Jolley","given":"William R.","non-dropping-particle":"","parse-names":false,"suffix":""},{"dropping-particle":"","family":"Wills","given":"Rebecca A.","non-dropping-particle":"","parse-names":false,"suffix":""},{"dropping-particle":"","family":"McGuire","given":"Angela M.","non-dropping-particle":"","parse-names":false,"suffix":""}],"container-title":"International Journal for Parasitology","id":"ITEM-4","issue":"9","issued":{"date-parts":[["1998","9","1"]]},"page":"1473-1479","publisher":"Pergamon","title":"Rapid communication: Dogs are definitive hosts of Neospora caninum","type":"article-journal","volume":"28"},"uris":["http://www.mendeley.com/documents/?uuid=5a349b67-82bf-36cb-9430-1a80349c689e"]}],"mendeley":{"formattedCitation":"[5]–[8]","manualFormatting":"[5–8]","plainTextFormattedCitation":"[5]–[8]","previouslyFormattedCitation":"[5]–[8]"},"properties":{"noteIndex":0},"schema":"https://github.com/citation-style-language/schema/raw/master/csl-citation.json"}</w:instrText>
      </w:r>
      <w:r w:rsidR="00E85465" w:rsidRPr="000C71A6">
        <w:rPr>
          <w:rFonts w:cs="Arial"/>
        </w:rPr>
        <w:fldChar w:fldCharType="separate"/>
      </w:r>
      <w:r w:rsidR="00F00084" w:rsidRPr="00F00084">
        <w:rPr>
          <w:rFonts w:cs="Arial"/>
          <w:noProof/>
        </w:rPr>
        <w:t>[5–8]</w:t>
      </w:r>
      <w:r w:rsidR="00E85465" w:rsidRPr="000C71A6">
        <w:rPr>
          <w:rFonts w:cs="Arial"/>
        </w:rPr>
        <w:fldChar w:fldCharType="end"/>
      </w:r>
      <w:r w:rsidR="00CA58B6" w:rsidRPr="000C71A6">
        <w:rPr>
          <w:rFonts w:cs="Arial"/>
        </w:rPr>
        <w:t>.</w:t>
      </w:r>
      <w:r w:rsidR="00B238DA" w:rsidRPr="000C71A6">
        <w:rPr>
          <w:rFonts w:cs="Arial"/>
        </w:rPr>
        <w:t xml:space="preserve"> Among the several </w:t>
      </w:r>
      <w:r w:rsidR="009E13FC" w:rsidRPr="000C71A6">
        <w:rPr>
          <w:rFonts w:cs="Arial"/>
        </w:rPr>
        <w:t xml:space="preserve">animal species </w:t>
      </w:r>
      <w:r w:rsidR="00C646BD" w:rsidRPr="000C71A6">
        <w:rPr>
          <w:rFonts w:cs="Arial"/>
        </w:rPr>
        <w:t xml:space="preserve">where </w:t>
      </w:r>
      <w:r w:rsidR="00823678" w:rsidRPr="000C71A6">
        <w:rPr>
          <w:rFonts w:cs="Arial"/>
          <w:i/>
          <w:iCs/>
        </w:rPr>
        <w:t>N</w:t>
      </w:r>
      <w:r w:rsidR="00823678">
        <w:rPr>
          <w:rFonts w:cs="Arial"/>
          <w:i/>
          <w:iCs/>
        </w:rPr>
        <w:t>.</w:t>
      </w:r>
      <w:r w:rsidR="00823678" w:rsidRPr="000C71A6">
        <w:rPr>
          <w:rFonts w:cs="Arial"/>
          <w:i/>
          <w:iCs/>
        </w:rPr>
        <w:t xml:space="preserve"> </w:t>
      </w:r>
      <w:r w:rsidR="00C646BD" w:rsidRPr="000C71A6">
        <w:rPr>
          <w:rFonts w:cs="Arial"/>
          <w:i/>
          <w:iCs/>
        </w:rPr>
        <w:t xml:space="preserve">caninum </w:t>
      </w:r>
      <w:r w:rsidR="002D6259" w:rsidRPr="000C71A6">
        <w:rPr>
          <w:rFonts w:cs="Arial"/>
        </w:rPr>
        <w:t xml:space="preserve">has been detected, cattle acquire a relevant </w:t>
      </w:r>
      <w:r w:rsidR="00D86985">
        <w:rPr>
          <w:rFonts w:cs="Arial"/>
        </w:rPr>
        <w:t xml:space="preserve">position </w:t>
      </w:r>
      <w:r w:rsidR="0011785D">
        <w:rPr>
          <w:rFonts w:cs="Arial"/>
        </w:rPr>
        <w:t>due to</w:t>
      </w:r>
      <w:r w:rsidR="00D86985">
        <w:rPr>
          <w:rFonts w:cs="Arial"/>
        </w:rPr>
        <w:t xml:space="preserve"> its frequency and economic impact</w:t>
      </w:r>
      <w:r w:rsidR="0011785D">
        <w:rPr>
          <w:rFonts w:cs="Arial"/>
        </w:rPr>
        <w:t>.</w:t>
      </w:r>
      <w:r w:rsidR="005D7EF0">
        <w:rPr>
          <w:rFonts w:cs="Arial"/>
        </w:rPr>
        <w:t xml:space="preserve"> </w:t>
      </w:r>
      <w:r w:rsidR="009D5630" w:rsidRPr="000C71A6">
        <w:rPr>
          <w:rFonts w:cs="Arial"/>
        </w:rPr>
        <w:t xml:space="preserve">The protozoan is </w:t>
      </w:r>
      <w:r w:rsidR="00091F8C" w:rsidRPr="000C71A6">
        <w:rPr>
          <w:rFonts w:cs="Arial"/>
        </w:rPr>
        <w:t xml:space="preserve">acquired by the </w:t>
      </w:r>
      <w:r w:rsidR="0011785D" w:rsidRPr="0011785D">
        <w:rPr>
          <w:rFonts w:cs="Arial"/>
        </w:rPr>
        <w:t>definitive hosts</w:t>
      </w:r>
      <w:r w:rsidR="00091F8C" w:rsidRPr="0011785D">
        <w:rPr>
          <w:rFonts w:cs="Arial"/>
        </w:rPr>
        <w:t xml:space="preserve"> </w:t>
      </w:r>
      <w:r w:rsidR="00091F8C" w:rsidRPr="000C71A6">
        <w:rPr>
          <w:rFonts w:cs="Arial"/>
        </w:rPr>
        <w:t>by ingestion and</w:t>
      </w:r>
      <w:r w:rsidR="00AC4848" w:rsidRPr="000C71A6">
        <w:rPr>
          <w:rFonts w:cs="Arial"/>
        </w:rPr>
        <w:t xml:space="preserve"> </w:t>
      </w:r>
      <w:r w:rsidR="00BF1AA0" w:rsidRPr="000C71A6">
        <w:rPr>
          <w:rFonts w:cs="Arial"/>
        </w:rPr>
        <w:t xml:space="preserve">likely undergoes a process </w:t>
      </w:r>
      <w:r w:rsidR="00A84CC5" w:rsidRPr="000C71A6">
        <w:rPr>
          <w:rFonts w:cs="Arial"/>
        </w:rPr>
        <w:t>of sexual reproduction in the epithelial cells of the gastrointestinal tract</w:t>
      </w:r>
      <w:r w:rsidR="00C14C87">
        <w:rPr>
          <w:rFonts w:cs="Arial"/>
        </w:rPr>
        <w:t>,</w:t>
      </w:r>
      <w:r w:rsidR="003A5B3B" w:rsidRPr="000C71A6">
        <w:rPr>
          <w:rFonts w:cs="Arial"/>
        </w:rPr>
        <w:t xml:space="preserve"> </w:t>
      </w:r>
      <w:r w:rsidR="00205EFD" w:rsidRPr="000C71A6">
        <w:rPr>
          <w:rFonts w:cs="Arial"/>
        </w:rPr>
        <w:t xml:space="preserve">resulting in the generation of the oocysts. </w:t>
      </w:r>
      <w:r w:rsidR="006F5D6E" w:rsidRPr="000C71A6">
        <w:rPr>
          <w:rFonts w:cs="Arial"/>
        </w:rPr>
        <w:t>These are</w:t>
      </w:r>
      <w:r w:rsidR="00B84E15" w:rsidRPr="000C71A6">
        <w:rPr>
          <w:rFonts w:cs="Arial"/>
        </w:rPr>
        <w:t xml:space="preserve"> an</w:t>
      </w:r>
      <w:r w:rsidR="006F5D6E" w:rsidRPr="000C71A6">
        <w:rPr>
          <w:rFonts w:cs="Arial"/>
        </w:rPr>
        <w:t xml:space="preserve"> </w:t>
      </w:r>
      <w:r w:rsidR="0010485C" w:rsidRPr="000C71A6">
        <w:rPr>
          <w:rFonts w:cs="Arial"/>
        </w:rPr>
        <w:t xml:space="preserve">environmentally resistant </w:t>
      </w:r>
      <w:r w:rsidR="00B84E15" w:rsidRPr="000C71A6">
        <w:rPr>
          <w:rFonts w:cs="Arial"/>
        </w:rPr>
        <w:t>but non-infectious form of the parasite.</w:t>
      </w:r>
      <w:r w:rsidR="006D3C48" w:rsidRPr="000C71A6">
        <w:rPr>
          <w:rFonts w:cs="Arial"/>
        </w:rPr>
        <w:t xml:space="preserve"> Infectiousness is </w:t>
      </w:r>
      <w:r w:rsidR="00C5085D" w:rsidRPr="000C71A6">
        <w:rPr>
          <w:rFonts w:cs="Arial"/>
        </w:rPr>
        <w:t xml:space="preserve">developed once the oocysts are expelled </w:t>
      </w:r>
      <w:r w:rsidR="00B34E59" w:rsidRPr="000C71A6">
        <w:rPr>
          <w:rFonts w:cs="Arial"/>
        </w:rPr>
        <w:t>in the faeces</w:t>
      </w:r>
      <w:r w:rsidR="0011785D">
        <w:rPr>
          <w:rFonts w:cs="Arial"/>
        </w:rPr>
        <w:t>,</w:t>
      </w:r>
      <w:r w:rsidR="00B34E59" w:rsidRPr="000C71A6">
        <w:rPr>
          <w:rFonts w:cs="Arial"/>
        </w:rPr>
        <w:t xml:space="preserve"> and sporulation ensues</w:t>
      </w:r>
      <w:r w:rsidR="00C41566" w:rsidRPr="000C71A6">
        <w:rPr>
          <w:rFonts w:cs="Arial"/>
        </w:rPr>
        <w:t xml:space="preserve"> in the next 12 to 72 hours</w:t>
      </w:r>
      <w:r w:rsidR="00B34E59" w:rsidRPr="000C71A6">
        <w:rPr>
          <w:rFonts w:cs="Arial"/>
        </w:rPr>
        <w:t xml:space="preserve"> (</w:t>
      </w:r>
      <w:r w:rsidR="00020B2B" w:rsidRPr="000C71A6">
        <w:rPr>
          <w:rFonts w:cs="Arial"/>
        </w:rPr>
        <w:t xml:space="preserve">one oocysts </w:t>
      </w:r>
      <w:r w:rsidR="001D4FCD" w:rsidRPr="000C71A6">
        <w:rPr>
          <w:rFonts w:cs="Arial"/>
        </w:rPr>
        <w:t xml:space="preserve">gives </w:t>
      </w:r>
      <w:r w:rsidR="00BA462A">
        <w:rPr>
          <w:rFonts w:cs="Arial"/>
        </w:rPr>
        <w:t>rise</w:t>
      </w:r>
      <w:r w:rsidR="00BA462A" w:rsidRPr="000C71A6">
        <w:rPr>
          <w:rFonts w:cs="Arial"/>
        </w:rPr>
        <w:t xml:space="preserve"> </w:t>
      </w:r>
      <w:r w:rsidR="001D4FCD" w:rsidRPr="000C71A6">
        <w:rPr>
          <w:rFonts w:cs="Arial"/>
        </w:rPr>
        <w:t>to two sporocysts, each one containing four sporozoites)</w:t>
      </w:r>
      <w:r w:rsidR="00701628" w:rsidRPr="000C71A6">
        <w:rPr>
          <w:rFonts w:cs="Arial"/>
        </w:rPr>
        <w:t xml:space="preserve"> </w:t>
      </w:r>
      <w:r w:rsidR="00220022" w:rsidRPr="000C71A6">
        <w:rPr>
          <w:rFonts w:cs="Arial"/>
        </w:rPr>
        <w:fldChar w:fldCharType="begin" w:fldLock="1"/>
      </w:r>
      <w:r w:rsidR="009C5E6C">
        <w:rPr>
          <w:rFonts w:cs="Arial"/>
        </w:rPr>
        <w:instrText>ADDIN CSL_CITATION {"citationItems":[{"id":"ITEM-1","itemData":{"DOI":"10.1128/CMR.00031-06","ISSN":"0893-8512","PMID":"17428888","abstract":"Neospora caninum is a protozoan parasite of animals. Until 1988, it was misidentified as Toxoplasma gondii. Since its first recognition in dogs in 1984 and the description of the new genus and species Neospora caninum in 1988, neosporosis has emerged as a serious disease of cattle and dogs worldwide. Abortions and neonatal mortality are a major problem in livestock operations, and neosporosis is a major cause of abortion in cattle. Although antibodies to N. caninum have been reported, the parasite has not been detected in human tissues. Thus, the zoonotic potential is uncertain. This review is focused mainly on the epidemiology and control of neosporosis in cattle, but worldwide seroprevalences of N. caninum in animals and humans are tabulated. The role of wildlife in the life cycle of N. caninum and strategies for the control of neosporosis in cattle are discussed. Copyright © 2007, American Society for Microbiology. All Rights Reserved.","author":[{"dropping-particle":"","family":"Dubey","given":"J. P.","non-dropping-particle":"","parse-names":false,"suffix":""},{"dropping-particle":"","family":"Schares","given":"G.","non-dropping-particle":"","parse-names":false,"suffix":""},{"dropping-particle":"","family":"Ortega-Mora","given":"L. M.","non-dropping-particle":"","parse-names":false,"suffix":""}],"container-title":"Clinical Microbiology Reviews","id":"ITEM-1","issue":"2","issued":{"date-parts":[["2007","4"]]},"page":"323-367","publisher":"American Society for Microbiology (ASM)","title":"Epidemiology and Control of Neosporosis and Neospora caninum","type":"article-journal","volume":"20"},"uris":["http://www.mendeley.com/documents/?uuid=70fcd63a-553e-3413-ab2d-6114b98716c2"]},{"id":"ITEM-2","itemData":{"DOI":"10.1016/J.IJPPAW.2015.04.002","ISSN":"2213-2244","abstract":"Neospora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Wildlife","id":"ITEM-2","issue":"2","issued":{"date-parts":[["2015","8","1"]]},"page":"216-238","publisher":"Elsevier","title":"A review of neosporosis and pathologic findings of Neospora caninum infection in wildlife","type":"article-journal","volume":"4"},"uris":["http://www.mendeley.com/documents/?uuid=0eb21b67-0b11-310b-bb97-5e8fd960f5bc"]}],"mendeley":{"formattedCitation":"[9], [10]","manualFormatting":"[9, 10]","plainTextFormattedCitation":"[9], [10]","previouslyFormattedCitation":"[9], [10]"},"properties":{"noteIndex":0},"schema":"https://github.com/citation-style-language/schema/raw/master/csl-citation.json"}</w:instrText>
      </w:r>
      <w:r w:rsidR="00220022" w:rsidRPr="000C71A6">
        <w:rPr>
          <w:rFonts w:cs="Arial"/>
        </w:rPr>
        <w:fldChar w:fldCharType="separate"/>
      </w:r>
      <w:r w:rsidR="002410E7">
        <w:rPr>
          <w:rFonts w:cs="Arial"/>
          <w:noProof/>
        </w:rPr>
        <w:t xml:space="preserve">[9, </w:t>
      </w:r>
      <w:r w:rsidR="00F00084" w:rsidRPr="00F00084">
        <w:rPr>
          <w:rFonts w:cs="Arial"/>
          <w:noProof/>
        </w:rPr>
        <w:t>10]</w:t>
      </w:r>
      <w:r w:rsidR="00220022" w:rsidRPr="000C71A6">
        <w:rPr>
          <w:rFonts w:cs="Arial"/>
        </w:rPr>
        <w:fldChar w:fldCharType="end"/>
      </w:r>
      <w:r w:rsidR="008046A2" w:rsidRPr="000C71A6">
        <w:rPr>
          <w:rFonts w:cs="Arial"/>
        </w:rPr>
        <w:t xml:space="preserve">. </w:t>
      </w:r>
      <w:r w:rsidR="001F0ECB" w:rsidRPr="000C71A6">
        <w:rPr>
          <w:rFonts w:cs="Arial"/>
        </w:rPr>
        <w:t>Sporocysts are the</w:t>
      </w:r>
      <w:r w:rsidR="00E83D4F">
        <w:rPr>
          <w:rFonts w:cs="Arial"/>
        </w:rPr>
        <w:t xml:space="preserve"> ingested</w:t>
      </w:r>
      <w:r w:rsidR="001F0ECB" w:rsidRPr="000C71A6">
        <w:rPr>
          <w:rFonts w:cs="Arial"/>
        </w:rPr>
        <w:t xml:space="preserve"> infectious form of the parasite that can </w:t>
      </w:r>
      <w:r w:rsidR="00477D67" w:rsidRPr="000C71A6">
        <w:rPr>
          <w:rFonts w:cs="Arial"/>
        </w:rPr>
        <w:t xml:space="preserve">cause </w:t>
      </w:r>
      <w:r w:rsidR="00E830C3" w:rsidRPr="000C71A6">
        <w:rPr>
          <w:rFonts w:cs="Arial"/>
        </w:rPr>
        <w:t>the disease</w:t>
      </w:r>
      <w:r w:rsidR="00477D67" w:rsidRPr="000C71A6">
        <w:rPr>
          <w:rFonts w:cs="Arial"/>
        </w:rPr>
        <w:t xml:space="preserve"> in the intermediate hosts</w:t>
      </w:r>
      <w:r w:rsidR="00AC297E" w:rsidRPr="000C71A6">
        <w:rPr>
          <w:rFonts w:cs="Arial"/>
        </w:rPr>
        <w:t xml:space="preserve">. </w:t>
      </w:r>
      <w:r w:rsidR="00AC297E" w:rsidRPr="000C71A6">
        <w:rPr>
          <w:rFonts w:cs="Arial"/>
        </w:rPr>
        <w:fldChar w:fldCharType="begin" w:fldLock="1"/>
      </w:r>
      <w:r w:rsidR="008824FA">
        <w:rPr>
          <w:rFonts w:cs="Arial"/>
        </w:rPr>
        <w:instrText>ADDIN CSL_CITATION {"citationItems":[{"id":"ITEM-1","itemData":{"DOI":"10.1016/J.IJPPAW.2015.04.002","ISSN":"2213-2244","abstract":"Neospora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Wildlife","id":"ITEM-1","issue":"2","issued":{"date-parts":[["2015","8","1"]]},"page":"216-238","publisher":"Elsevier","title":"A review of neosporosis and pathologic findings of Neospora caninum infection in wildlife","type":"article-journal","volume":"4"},"uris":["http://www.mendeley.com/documents/?uuid=0eb21b67-0b11-310b-bb97-5e8fd960f5bc"]}],"mendeley":{"formattedCitation":"[10]","plainTextFormattedCitation":"[10]","previouslyFormattedCitation":"[10]"},"properties":{"noteIndex":0},"schema":"https://github.com/citation-style-language/schema/raw/master/csl-citation.json"}</w:instrText>
      </w:r>
      <w:r w:rsidR="00AC297E" w:rsidRPr="000C71A6">
        <w:rPr>
          <w:rFonts w:cs="Arial"/>
        </w:rPr>
        <w:fldChar w:fldCharType="separate"/>
      </w:r>
      <w:r w:rsidR="00F00084" w:rsidRPr="00F00084">
        <w:rPr>
          <w:rFonts w:cs="Arial"/>
          <w:noProof/>
        </w:rPr>
        <w:t>[10]</w:t>
      </w:r>
      <w:r w:rsidR="00AC297E" w:rsidRPr="000C71A6">
        <w:rPr>
          <w:rFonts w:cs="Arial"/>
        </w:rPr>
        <w:fldChar w:fldCharType="end"/>
      </w:r>
    </w:p>
    <w:p w14:paraId="3C07F652" w14:textId="78D8C513" w:rsidR="00423F90" w:rsidRPr="000C71A6" w:rsidRDefault="0000527A" w:rsidP="005A2386">
      <w:pPr>
        <w:divId w:val="684404335"/>
        <w:rPr>
          <w:rFonts w:cs="Arial"/>
        </w:rPr>
      </w:pPr>
      <w:r w:rsidRPr="000C71A6">
        <w:rPr>
          <w:rFonts w:cs="Arial"/>
        </w:rPr>
        <w:t xml:space="preserve">The infection in cattle begins when </w:t>
      </w:r>
      <w:r w:rsidR="00697234" w:rsidRPr="000C71A6">
        <w:rPr>
          <w:rFonts w:cs="Arial"/>
        </w:rPr>
        <w:t xml:space="preserve">the sporocysts </w:t>
      </w:r>
      <w:r w:rsidR="00E36BA9">
        <w:rPr>
          <w:rFonts w:cs="Arial"/>
        </w:rPr>
        <w:t xml:space="preserve">in </w:t>
      </w:r>
      <w:r w:rsidR="00AE5D47" w:rsidRPr="000C71A6">
        <w:rPr>
          <w:rFonts w:cs="Arial"/>
        </w:rPr>
        <w:t>contaminate</w:t>
      </w:r>
      <w:r w:rsidR="00E36BA9">
        <w:rPr>
          <w:rFonts w:cs="Arial"/>
        </w:rPr>
        <w:t>d</w:t>
      </w:r>
      <w:r w:rsidR="00F16D94" w:rsidRPr="000C71A6">
        <w:rPr>
          <w:rFonts w:cs="Arial"/>
        </w:rPr>
        <w:t xml:space="preserve"> pasture or water are ingest</w:t>
      </w:r>
      <w:r w:rsidR="00986F50">
        <w:rPr>
          <w:rFonts w:cs="Arial"/>
        </w:rPr>
        <w:t>ed</w:t>
      </w:r>
      <w:r w:rsidR="00F16D94" w:rsidRPr="000C71A6">
        <w:rPr>
          <w:rFonts w:cs="Arial"/>
        </w:rPr>
        <w:t xml:space="preserve"> and a process called excystation begins </w:t>
      </w:r>
      <w:r w:rsidR="00D07E92" w:rsidRPr="000C71A6">
        <w:rPr>
          <w:rFonts w:cs="Arial"/>
        </w:rPr>
        <w:t xml:space="preserve">in the gastrointestinal tract: </w:t>
      </w:r>
      <w:r w:rsidR="00974AFD" w:rsidRPr="000C71A6">
        <w:rPr>
          <w:rFonts w:cs="Arial"/>
        </w:rPr>
        <w:t xml:space="preserve">the sporocyst </w:t>
      </w:r>
      <w:r w:rsidR="000D76E8">
        <w:rPr>
          <w:rFonts w:cs="Arial"/>
        </w:rPr>
        <w:t>ruptures</w:t>
      </w:r>
      <w:r w:rsidR="00974AFD" w:rsidRPr="000C71A6">
        <w:rPr>
          <w:rFonts w:cs="Arial"/>
        </w:rPr>
        <w:t xml:space="preserve"> and the four sporozoites are </w:t>
      </w:r>
      <w:r w:rsidR="0011785D">
        <w:rPr>
          <w:rFonts w:cs="Arial"/>
        </w:rPr>
        <w:t>released</w:t>
      </w:r>
      <w:r w:rsidR="007E6E11" w:rsidRPr="000C71A6">
        <w:rPr>
          <w:rFonts w:cs="Arial"/>
        </w:rPr>
        <w:t xml:space="preserve">, transforming into tachyzoites in </w:t>
      </w:r>
      <w:r w:rsidR="00616DC5" w:rsidRPr="000C71A6">
        <w:rPr>
          <w:rFonts w:cs="Arial"/>
        </w:rPr>
        <w:t xml:space="preserve">the intestine </w:t>
      </w:r>
      <w:r w:rsidR="00616DC5" w:rsidRPr="000C71A6">
        <w:rPr>
          <w:rFonts w:cs="Arial"/>
        </w:rPr>
        <w:fldChar w:fldCharType="begin" w:fldLock="1"/>
      </w:r>
      <w:r w:rsidR="002410E7">
        <w:rPr>
          <w:rFonts w:cs="Arial"/>
        </w:rPr>
        <w:instrText>ADDIN CSL_CITATION {"citationItems":[{"id":"ITEM-1","itemData":{"DOI":"10.1016/J.IJPPAW.2015.04.002","ISSN":"2213-2244","abstract":"Neospora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Wildlife","id":"ITEM-1","issue":"2","issued":{"date-parts":[["2015","8","1"]]},"page":"216-238","publisher":"Elsevier","title":"A review of neosporosis and pathologic findings of Neospora caninum infection in wildlife","type":"article-journal","volume":"4"},"uris":["http://www.mendeley.com/documents/?uuid=0eb21b67-0b11-310b-bb97-5e8fd960f5bc"]},{"id":"ITEM-2","itemData":{"DOI":"10.1016/J.MEEGID.2012.08.012","ISSN":"1567-1348","PMID":"22985682","abstract":"This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B.V.","author":[{"dropping-particle":"","family":"Goodswen","given":"Stephen J.","non-dropping-particle":"","parse-names":false,"suffix":""},{"dropping-particle":"","family":"Kennedy","given":"Paul J.","non-dropping-particle":"","parse-names":false,"suffix":""},{"dropping-particle":"","family":"Ellis","given":"John T.","non-dropping-particle":"","parse-names":false,"suffix":""}],"container-title":"Infection, Genetics and Evolution","id":"ITEM-2","issue":"1","issued":{"date-parts":[["2013","1","1"]]},"page":"133-150","publisher":"Elsevier","title":"A review of the infection, genetics, and evolution of Neospora caninum: From the past to the present","type":"article-journal","volume":"13"},"uris":["http://www.mendeley.com/documents/?uuid=ec998491-25c0-3ac3-a2aa-a141fbdeeff9"]}],"mendeley":{"formattedCitation":"[10], [11]","manualFormatting":"[10, 11]","plainTextFormattedCitation":"[10], [11]","previouslyFormattedCitation":"[10], [11]"},"properties":{"noteIndex":0},"schema":"https://github.com/citation-style-language/schema/raw/master/csl-citation.json"}</w:instrText>
      </w:r>
      <w:r w:rsidR="00616DC5" w:rsidRPr="000C71A6">
        <w:rPr>
          <w:rFonts w:cs="Arial"/>
        </w:rPr>
        <w:fldChar w:fldCharType="separate"/>
      </w:r>
      <w:r w:rsidR="002410E7">
        <w:rPr>
          <w:rFonts w:cs="Arial"/>
          <w:noProof/>
        </w:rPr>
        <w:t xml:space="preserve">[10, </w:t>
      </w:r>
      <w:r w:rsidR="00F00084" w:rsidRPr="00F00084">
        <w:rPr>
          <w:rFonts w:cs="Arial"/>
          <w:noProof/>
        </w:rPr>
        <w:t>11]</w:t>
      </w:r>
      <w:r w:rsidR="00616DC5" w:rsidRPr="000C71A6">
        <w:rPr>
          <w:rFonts w:cs="Arial"/>
        </w:rPr>
        <w:fldChar w:fldCharType="end"/>
      </w:r>
      <w:r w:rsidR="00B40F49" w:rsidRPr="000C71A6">
        <w:rPr>
          <w:rFonts w:cs="Arial"/>
        </w:rPr>
        <w:t xml:space="preserve">. </w:t>
      </w:r>
      <w:r w:rsidR="003D16D4" w:rsidRPr="000C71A6">
        <w:rPr>
          <w:rFonts w:cs="Arial"/>
        </w:rPr>
        <w:t xml:space="preserve">Tachyzoites </w:t>
      </w:r>
      <w:r w:rsidR="00EF377D" w:rsidRPr="000C71A6">
        <w:rPr>
          <w:rFonts w:cs="Arial"/>
        </w:rPr>
        <w:t xml:space="preserve">can potentially invade </w:t>
      </w:r>
      <w:r w:rsidR="00ED5110" w:rsidRPr="000C71A6">
        <w:rPr>
          <w:rFonts w:cs="Arial"/>
        </w:rPr>
        <w:t xml:space="preserve">a wide range of host cells </w:t>
      </w:r>
      <w:r w:rsidR="00293690" w:rsidRPr="000C71A6">
        <w:rPr>
          <w:rFonts w:cs="Arial"/>
        </w:rPr>
        <w:t>(</w:t>
      </w:r>
      <w:r w:rsidR="0025420E" w:rsidRPr="000C71A6">
        <w:rPr>
          <w:rFonts w:cs="Arial"/>
        </w:rPr>
        <w:t>including</w:t>
      </w:r>
      <w:r w:rsidR="00290A34" w:rsidRPr="000C71A6">
        <w:rPr>
          <w:rFonts w:cs="Arial"/>
        </w:rPr>
        <w:t xml:space="preserve"> mononuclear </w:t>
      </w:r>
      <w:r w:rsidR="00A70E62">
        <w:rPr>
          <w:rFonts w:cs="Arial"/>
        </w:rPr>
        <w:t xml:space="preserve">phagocytes </w:t>
      </w:r>
      <w:r w:rsidR="00854D56" w:rsidRPr="000C71A6">
        <w:rPr>
          <w:rFonts w:cs="Arial"/>
        </w:rPr>
        <w:t>that are hypothes</w:t>
      </w:r>
      <w:r w:rsidR="003072C6" w:rsidRPr="000C71A6">
        <w:rPr>
          <w:rFonts w:cs="Arial"/>
        </w:rPr>
        <w:t xml:space="preserve">ized to have a </w:t>
      </w:r>
      <w:r w:rsidR="006C56DC" w:rsidRPr="000C71A6">
        <w:rPr>
          <w:rFonts w:cs="Arial"/>
        </w:rPr>
        <w:t xml:space="preserve">major </w:t>
      </w:r>
      <w:r w:rsidR="00141C7A" w:rsidRPr="000C71A6">
        <w:rPr>
          <w:rFonts w:cs="Arial"/>
        </w:rPr>
        <w:t xml:space="preserve">part in parasitic </w:t>
      </w:r>
      <w:r w:rsidR="00462BE1" w:rsidRPr="000C71A6">
        <w:rPr>
          <w:rFonts w:cs="Arial"/>
        </w:rPr>
        <w:t xml:space="preserve">spread </w:t>
      </w:r>
      <w:r w:rsidR="00462BE1" w:rsidRPr="000C71A6">
        <w:rPr>
          <w:rFonts w:cs="Arial"/>
        </w:rPr>
        <w:fldChar w:fldCharType="begin" w:fldLock="1"/>
      </w:r>
      <w:r w:rsidR="004A4DFA">
        <w:rPr>
          <w:rFonts w:cs="Arial"/>
        </w:rPr>
        <w:instrText>ADDIN CSL_CITATION {"citationItems":[{"id":"ITEM-1","itemData":{"DOI":"10.1016/J.IJPPAW.2015.04.002","ISSN":"2213-2244","abstract":"Neospora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Wildlife","id":"ITEM-1","issue":"2","issued":{"date-parts":[["2015","8","1"]]},"page":"216-238","publisher":"Elsevier","title":"A review of neosporosis and pathologic findings of Neospora caninum infection in wildlife","type":"article-journal","volume":"4"},"uris":["http://www.mendeley.com/documents/?uuid=0eb21b67-0b11-310b-bb97-5e8fd960f5bc"]},{"id":"ITEM-2","itemData":{"DOI":"10.1371/JOURNAL.PONE.0032123","ISSN":"1932-6203","PMID":"22403627","abstract":"The obligate intracellular parasite Neospora caninum disseminates across the placenta and the blood-brain barrier, to reach sites where it causes severe pathology or establishes chronic persistent infections. The mechanisms used by N. caninum to breach restrictive biological barriers remain elusive. To examine the cellular basis of these processes, migration of different N. caninum isolates (Nc-1, Nc-Liverpool, Nc-SweB1 and the Spanish isolates: Nc-Spain 3H, Nc-Spain 4H, Nc-Spain 6, Nc-Spain 7 and Nc-Spain 9) was studied in an in vitro model based on a placental trophoblast-derived BeWo cell line. Here, we describe that infection of dendritic cells (DC) by N. caninum tachyzoites potentiated translocation of parasites across polarized cellular monolayers. In addition, powered by the parasite's own gliding motility, extracellular N. caninum tachyzoites were able to transmigrate across cellular monolayers. Altogether, the presented data provides evidence of two putative complementary pathways utilized by N. caninum, in an isolate-specific fashion, for passage of restrictive cellular barriers. Interestingly, adoptive transfer of tachyzoite-infected DC in mice resulted in increased parasitic loads in various organs, e.g. the central nervous system, compared to infections with free parasites. Inoculation of pregnant mice with infected DC resulted in an accentuated vertical transmission to the offspring with increased parasitic loads and neonatal mortality. These findings reveal that N. caninum exploits the natural cell trafficking pathways in the host to cross cellular barriers and disseminate to deep tissues. The findings are indicative of conserved dissemination strategies among coccidian apicomplexan parasites.","author":[{"dropping-particle":"","family":"Collantes-Fernandez","given":"Esther","non-dropping-particle":"","parse-names":false,"suffix":""},{"dropping-particle":"","family":"Arrighi","given":"Romanico B.G.","non-dropping-particle":"","parse-names":false,"suffix":""},{"dropping-particle":"","family":"Álvarez-García","given":"Gema","non-dropping-particle":"","parse-names":false,"suffix":""},{"dropping-particle":"","family":"Weidner","given":"Jessica M.","non-dropping-particle":"","parse-names":false,"suffix":""},{"dropping-particle":"","family":"Regidor-Cerrillo","given":"Javier","non-dropping-particle":"","parse-names":false,"suffix":""},{"dropping-particle":"","family":"Boothroyd","given":"John C.","non-dropping-particle":"","parse-names":false,"suffix":""},{"dropping-particle":"","family":"Ortega-Mora","given":"Luis M.","non-dropping-particle":"","parse-names":false,"suffix":""},{"dropping-particle":"","family":"Barragan","given":"Antonio","non-dropping-particle":"","parse-names":false,"suffix":""}],"container-title":"PLOS ONE","id":"ITEM-2","issue":"3","issued":{"date-parts":[["2012","3","5"]]},"page":"e32123","publisher":"Public Library of Science","title":"Infected Dendritic Cells Facilitate Systemic Dissemination and Transplacental Passage of the Obligate Intracellular Parasite Neospora caninum in Mice","type":"article-journal","volume":"7"},"uris":["http://www.mendeley.com/documents/?uuid=9c84514e-e738-32cc-8420-9c5592085a0c"]}],"mendeley":{"formattedCitation":"[10], [12]","manualFormatting":"[10, 12]","plainTextFormattedCitation":"[10], [12]","previouslyFormattedCitation":"[10], [12]"},"properties":{"noteIndex":0},"schema":"https://github.com/citation-style-language/schema/raw/master/csl-citation.json"}</w:instrText>
      </w:r>
      <w:r w:rsidR="00462BE1" w:rsidRPr="000C71A6">
        <w:rPr>
          <w:rFonts w:cs="Arial"/>
        </w:rPr>
        <w:fldChar w:fldCharType="separate"/>
      </w:r>
      <w:r w:rsidR="004A4DFA">
        <w:rPr>
          <w:rFonts w:cs="Arial"/>
          <w:noProof/>
        </w:rPr>
        <w:t xml:space="preserve">[10, </w:t>
      </w:r>
      <w:r w:rsidR="004A4DFA" w:rsidRPr="004A4DFA">
        <w:rPr>
          <w:rFonts w:cs="Arial"/>
          <w:noProof/>
        </w:rPr>
        <w:t>12]</w:t>
      </w:r>
      <w:r w:rsidR="00462BE1" w:rsidRPr="000C71A6">
        <w:rPr>
          <w:rFonts w:cs="Arial"/>
        </w:rPr>
        <w:fldChar w:fldCharType="end"/>
      </w:r>
      <w:r w:rsidR="007A0EF6" w:rsidRPr="000C71A6">
        <w:rPr>
          <w:rFonts w:cs="Arial"/>
        </w:rPr>
        <w:t xml:space="preserve">), </w:t>
      </w:r>
      <w:r w:rsidR="00CD63F7" w:rsidRPr="000C71A6">
        <w:rPr>
          <w:rFonts w:cs="Arial"/>
        </w:rPr>
        <w:t xml:space="preserve">where replication occurs by a </w:t>
      </w:r>
      <w:r w:rsidR="00842D64">
        <w:rPr>
          <w:rFonts w:cs="Arial"/>
        </w:rPr>
        <w:t>mode</w:t>
      </w:r>
      <w:r w:rsidR="00CD63F7" w:rsidRPr="000C71A6">
        <w:rPr>
          <w:rFonts w:cs="Arial"/>
        </w:rPr>
        <w:t xml:space="preserve"> of </w:t>
      </w:r>
      <w:r w:rsidR="002D4065" w:rsidRPr="000C71A6">
        <w:rPr>
          <w:rFonts w:cs="Arial"/>
        </w:rPr>
        <w:t xml:space="preserve">asexual replication called endodyogeny </w:t>
      </w:r>
      <w:r w:rsidR="002D4065" w:rsidRPr="000C71A6">
        <w:rPr>
          <w:rFonts w:cs="Arial"/>
        </w:rPr>
        <w:fldChar w:fldCharType="begin" w:fldLock="1"/>
      </w:r>
      <w:r w:rsidR="008824FA">
        <w:rPr>
          <w:rFonts w:cs="Arial"/>
        </w:rPr>
        <w:instrText>ADDIN CSL_CITATION {"citationItems":[{"id":"ITEM-1","itemData":{"DOI":"10.1016/J.MEEGID.2012.08.012","ISSN":"1567-1348","PMID":"22985682","abstract":"This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B.V.","author":[{"dropping-particle":"","family":"Goodswen","given":"Stephen J.","non-dropping-particle":"","parse-names":false,"suffix":""},{"dropping-particle":"","family":"Kennedy","given":"Paul J.","non-dropping-particle":"","parse-names":false,"suffix":""},{"dropping-particle":"","family":"Ellis","given":"John T.","non-dropping-particle":"","parse-names":false,"suffix":""}],"container-title":"Infection, Genetics and Evolution","id":"ITEM-1","issue":"1","issued":{"date-parts":[["2013","1","1"]]},"page":"133-150","publisher":"Elsevier","title":"A review of the infection, genetics, and evolution of Neospora caninum: From the past to the present","type":"article-journal","volume":"13"},"uris":["http://www.mendeley.com/documents/?uuid=ec998491-25c0-3ac3-a2aa-a141fbdeeff9"]}],"mendeley":{"formattedCitation":"[11]","plainTextFormattedCitation":"[11]","previouslyFormattedCitation":"[11]"},"properties":{"noteIndex":0},"schema":"https://github.com/citation-style-language/schema/raw/master/csl-citation.json"}</w:instrText>
      </w:r>
      <w:r w:rsidR="002D4065" w:rsidRPr="000C71A6">
        <w:rPr>
          <w:rFonts w:cs="Arial"/>
        </w:rPr>
        <w:fldChar w:fldCharType="separate"/>
      </w:r>
      <w:r w:rsidR="00F00084" w:rsidRPr="00F00084">
        <w:rPr>
          <w:rFonts w:cs="Arial"/>
          <w:noProof/>
        </w:rPr>
        <w:t>[11]</w:t>
      </w:r>
      <w:r w:rsidR="002D4065" w:rsidRPr="000C71A6">
        <w:rPr>
          <w:rFonts w:cs="Arial"/>
        </w:rPr>
        <w:fldChar w:fldCharType="end"/>
      </w:r>
      <w:r w:rsidR="00EB3BCA" w:rsidRPr="000C71A6">
        <w:rPr>
          <w:rFonts w:cs="Arial"/>
        </w:rPr>
        <w:t>.</w:t>
      </w:r>
      <w:r w:rsidR="006F1539" w:rsidRPr="000C71A6">
        <w:rPr>
          <w:rFonts w:cs="Arial"/>
        </w:rPr>
        <w:t xml:space="preserve"> Roughly after 20 divisions, tachy</w:t>
      </w:r>
      <w:r w:rsidR="00F0721B" w:rsidRPr="000C71A6">
        <w:rPr>
          <w:rFonts w:cs="Arial"/>
        </w:rPr>
        <w:t xml:space="preserve">zoites differentiate into </w:t>
      </w:r>
      <w:r w:rsidR="00BB4651" w:rsidRPr="000C71A6">
        <w:rPr>
          <w:rFonts w:cs="Arial"/>
        </w:rPr>
        <w:t xml:space="preserve">bradyzoites, a </w:t>
      </w:r>
      <w:r w:rsidR="006978C5" w:rsidRPr="000C71A6">
        <w:rPr>
          <w:rFonts w:cs="Arial"/>
        </w:rPr>
        <w:t xml:space="preserve">dormant </w:t>
      </w:r>
      <w:r w:rsidR="00086BEE" w:rsidRPr="000C71A6">
        <w:rPr>
          <w:rFonts w:cs="Arial"/>
        </w:rPr>
        <w:t>form of the parasite</w:t>
      </w:r>
      <w:r w:rsidR="007D1958" w:rsidRPr="000C71A6">
        <w:rPr>
          <w:rFonts w:cs="Arial"/>
        </w:rPr>
        <w:t xml:space="preserve"> whose replication, also by endodyogeny, occurs at a much slower rat</w:t>
      </w:r>
      <w:r w:rsidR="000108F1" w:rsidRPr="000C71A6">
        <w:rPr>
          <w:rFonts w:cs="Arial"/>
        </w:rPr>
        <w:t xml:space="preserve">e </w:t>
      </w:r>
      <w:r w:rsidR="000108F1" w:rsidRPr="000C71A6">
        <w:rPr>
          <w:rFonts w:cs="Arial"/>
        </w:rPr>
        <w:fldChar w:fldCharType="begin" w:fldLock="1"/>
      </w:r>
      <w:r w:rsidR="002410E7">
        <w:rPr>
          <w:rFonts w:cs="Arial"/>
        </w:rPr>
        <w:instrText>ADDIN CSL_CITATION {"citationItems":[{"id":"ITEM-1","itemData":{"DOI":"10.1016/J.IJPPAW.2015.04.002","ISSN":"2213-2244","abstract":"Neospora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Wildlife","id":"ITEM-1","issue":"2","issued":{"date-parts":[["2015","8","1"]]},"page":"216-238","publisher":"Elsevier","title":"A review of neosporosis and pathologic findings of Neospora caninum infection in wildlife","type":"article-journal","volume":"4"},"uris":["http://www.mendeley.com/documents/?uuid=0eb21b67-0b11-310b-bb97-5e8fd960f5bc"]},{"id":"ITEM-2","itemData":{"DOI":"10.1016/J.MEEGID.2012.08.012","ISSN":"1567-1348","PMID":"22985682","abstract":"This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B.V.","author":[{"dropping-particle":"","family":"Goodswen","given":"Stephen J.","non-dropping-particle":"","parse-names":false,"suffix":""},{"dropping-particle":"","family":"Kennedy","given":"Paul J.","non-dropping-particle":"","parse-names":false,"suffix":""},{"dropping-particle":"","family":"Ellis","given":"John T.","non-dropping-particle":"","parse-names":false,"suffix":""}],"container-title":"Infection, Genetics and Evolution","id":"ITEM-2","issue":"1","issued":{"date-parts":[["2013","1","1"]]},"page":"133-150","publisher":"Elsevier","title":"A review of the infection, genetics, and evolution of Neospora caninum: From the past to the present","type":"article-journal","volume":"13"},"uris":["http://www.mendeley.com/documents/?uuid=ec998491-25c0-3ac3-a2aa-a141fbdeeff9"]}],"mendeley":{"formattedCitation":"[10], [11]","manualFormatting":"[10, 11]","plainTextFormattedCitation":"[10], [11]","previouslyFormattedCitation":"[10], [11]"},"properties":{"noteIndex":0},"schema":"https://github.com/citation-style-language/schema/raw/master/csl-citation.json"}</w:instrText>
      </w:r>
      <w:r w:rsidR="000108F1" w:rsidRPr="000C71A6">
        <w:rPr>
          <w:rFonts w:cs="Arial"/>
        </w:rPr>
        <w:fldChar w:fldCharType="separate"/>
      </w:r>
      <w:r w:rsidR="002410E7">
        <w:rPr>
          <w:rFonts w:cs="Arial"/>
          <w:noProof/>
        </w:rPr>
        <w:t xml:space="preserve">[10, </w:t>
      </w:r>
      <w:r w:rsidR="00F00084" w:rsidRPr="00F00084">
        <w:rPr>
          <w:rFonts w:cs="Arial"/>
          <w:noProof/>
        </w:rPr>
        <w:t>11]</w:t>
      </w:r>
      <w:r w:rsidR="000108F1" w:rsidRPr="000C71A6">
        <w:rPr>
          <w:rFonts w:cs="Arial"/>
        </w:rPr>
        <w:fldChar w:fldCharType="end"/>
      </w:r>
      <w:r w:rsidR="000108F1" w:rsidRPr="000C71A6">
        <w:rPr>
          <w:rFonts w:cs="Arial"/>
        </w:rPr>
        <w:t xml:space="preserve">. </w:t>
      </w:r>
      <w:r w:rsidR="003A32FE" w:rsidRPr="000C71A6">
        <w:rPr>
          <w:rFonts w:cs="Arial"/>
        </w:rPr>
        <w:t xml:space="preserve">Bradyzoites </w:t>
      </w:r>
      <w:r w:rsidR="00075AA2" w:rsidRPr="000C71A6">
        <w:rPr>
          <w:rFonts w:cs="Arial"/>
        </w:rPr>
        <w:t>a</w:t>
      </w:r>
      <w:r w:rsidR="00652718" w:rsidRPr="000C71A6">
        <w:rPr>
          <w:rFonts w:cs="Arial"/>
        </w:rPr>
        <w:t xml:space="preserve">re </w:t>
      </w:r>
      <w:r w:rsidR="00C674F7">
        <w:rPr>
          <w:rFonts w:cs="Arial"/>
        </w:rPr>
        <w:t>in</w:t>
      </w:r>
      <w:r w:rsidR="007A4746" w:rsidRPr="000C71A6">
        <w:rPr>
          <w:rFonts w:cs="Arial"/>
        </w:rPr>
        <w:t xml:space="preserve"> the genesis </w:t>
      </w:r>
      <w:r w:rsidR="00C674F7">
        <w:rPr>
          <w:rFonts w:cs="Arial"/>
        </w:rPr>
        <w:t>of</w:t>
      </w:r>
      <w:r w:rsidR="007A4746" w:rsidRPr="000C71A6">
        <w:rPr>
          <w:rFonts w:cs="Arial"/>
        </w:rPr>
        <w:t xml:space="preserve"> </w:t>
      </w:r>
      <w:r w:rsidR="00DF2C41" w:rsidRPr="000C71A6">
        <w:rPr>
          <w:rFonts w:cs="Arial"/>
        </w:rPr>
        <w:t>the tissue cysts and</w:t>
      </w:r>
      <w:r w:rsidR="007719A7" w:rsidRPr="000C71A6">
        <w:rPr>
          <w:rFonts w:cs="Arial"/>
        </w:rPr>
        <w:t xml:space="preserve"> behind the maintenance of a</w:t>
      </w:r>
      <w:r w:rsidR="00A96744" w:rsidRPr="000C71A6">
        <w:rPr>
          <w:rFonts w:cs="Arial"/>
        </w:rPr>
        <w:t xml:space="preserve"> lifelong infection</w:t>
      </w:r>
      <w:r w:rsidR="00864FC7" w:rsidRPr="000C71A6">
        <w:rPr>
          <w:rFonts w:cs="Arial"/>
        </w:rPr>
        <w:t xml:space="preserve"> </w:t>
      </w:r>
      <w:r w:rsidR="00864FC7" w:rsidRPr="000C71A6">
        <w:rPr>
          <w:rFonts w:cs="Arial"/>
        </w:rPr>
        <w:fldChar w:fldCharType="begin" w:fldLock="1"/>
      </w:r>
      <w:r w:rsidR="008824FA">
        <w:rPr>
          <w:rFonts w:cs="Arial"/>
        </w:rPr>
        <w:instrText>ADDIN CSL_CITATION {"citationItems":[{"id":"ITEM-1","itemData":{"DOI":"10.1016/J.IJPPAW.2015.04.002","ISSN":"2213-2244","abstract":"Neospora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Wildlife","id":"ITEM-1","issue":"2","issued":{"date-parts":[["2015","8","1"]]},"page":"216-238","publisher":"Elsevier","title":"A review of neosporosis and pathologic findings of Neospora caninum infection in wildlife","type":"article-journal","volume":"4"},"uris":["http://www.mendeley.com/documents/?uuid=0eb21b67-0b11-310b-bb97-5e8fd960f5bc"]}],"mendeley":{"formattedCitation":"[10]","plainTextFormattedCitation":"[10]","previouslyFormattedCitation":"[10]"},"properties":{"noteIndex":0},"schema":"https://github.com/citation-style-language/schema/raw/master/csl-citation.json"}</w:instrText>
      </w:r>
      <w:r w:rsidR="00864FC7" w:rsidRPr="000C71A6">
        <w:rPr>
          <w:rFonts w:cs="Arial"/>
        </w:rPr>
        <w:fldChar w:fldCharType="separate"/>
      </w:r>
      <w:r w:rsidR="00F00084" w:rsidRPr="00F00084">
        <w:rPr>
          <w:rFonts w:cs="Arial"/>
          <w:noProof/>
        </w:rPr>
        <w:t>[10]</w:t>
      </w:r>
      <w:r w:rsidR="00864FC7" w:rsidRPr="000C71A6">
        <w:rPr>
          <w:rFonts w:cs="Arial"/>
        </w:rPr>
        <w:fldChar w:fldCharType="end"/>
      </w:r>
      <w:r w:rsidR="00E621BF" w:rsidRPr="000C71A6">
        <w:rPr>
          <w:rFonts w:cs="Arial"/>
        </w:rPr>
        <w:t>.</w:t>
      </w:r>
      <w:r w:rsidR="00D27072" w:rsidRPr="000C71A6">
        <w:rPr>
          <w:rFonts w:cs="Arial"/>
        </w:rPr>
        <w:t xml:space="preserve"> </w:t>
      </w:r>
      <w:r w:rsidR="00657534" w:rsidRPr="000C71A6">
        <w:rPr>
          <w:rFonts w:cs="Arial"/>
        </w:rPr>
        <w:t xml:space="preserve">In an immunocompetent host, </w:t>
      </w:r>
      <w:r w:rsidR="006675B6" w:rsidRPr="000C71A6">
        <w:rPr>
          <w:rFonts w:cs="Arial"/>
        </w:rPr>
        <w:t>a cystic wall</w:t>
      </w:r>
      <w:r w:rsidR="001F5E37" w:rsidRPr="000C71A6">
        <w:rPr>
          <w:rFonts w:cs="Arial"/>
        </w:rPr>
        <w:t xml:space="preserve"> is developed as a direct </w:t>
      </w:r>
      <w:r w:rsidR="00AA25C9" w:rsidRPr="000C71A6">
        <w:rPr>
          <w:rFonts w:cs="Arial"/>
        </w:rPr>
        <w:t>reaction</w:t>
      </w:r>
      <w:r w:rsidR="001F5E37" w:rsidRPr="000C71A6">
        <w:rPr>
          <w:rFonts w:cs="Arial"/>
        </w:rPr>
        <w:t xml:space="preserve"> to a strong immune response </w:t>
      </w:r>
      <w:r w:rsidR="00314A07" w:rsidRPr="000C71A6">
        <w:rPr>
          <w:rFonts w:cs="Arial"/>
        </w:rPr>
        <w:t xml:space="preserve">and functions as a mean for protecting the bradyzoites </w:t>
      </w:r>
      <w:r w:rsidR="005F2417">
        <w:rPr>
          <w:rFonts w:cs="Arial"/>
        </w:rPr>
        <w:t>within</w:t>
      </w:r>
      <w:r w:rsidR="00314A07" w:rsidRPr="000C71A6">
        <w:rPr>
          <w:rFonts w:cs="Arial"/>
        </w:rPr>
        <w:t xml:space="preserve"> fr</w:t>
      </w:r>
      <w:r w:rsidR="002A5E75" w:rsidRPr="000C71A6">
        <w:rPr>
          <w:rFonts w:cs="Arial"/>
        </w:rPr>
        <w:t xml:space="preserve">om </w:t>
      </w:r>
      <w:r w:rsidR="00B14E32">
        <w:rPr>
          <w:rFonts w:cs="Arial"/>
        </w:rPr>
        <w:t>the host’s</w:t>
      </w:r>
      <w:r w:rsidR="008D6B01" w:rsidRPr="000C71A6">
        <w:rPr>
          <w:rFonts w:cs="Arial"/>
        </w:rPr>
        <w:t xml:space="preserve"> defensive measures; in this case, the infection is perpetuated </w:t>
      </w:r>
      <w:r w:rsidR="007A4552" w:rsidRPr="000C71A6">
        <w:rPr>
          <w:rFonts w:cs="Arial"/>
        </w:rPr>
        <w:t xml:space="preserve">without </w:t>
      </w:r>
      <w:r w:rsidR="00AB3448" w:rsidRPr="000C71A6">
        <w:rPr>
          <w:rFonts w:cs="Arial"/>
        </w:rPr>
        <w:t xml:space="preserve">the host manifesting any symptoms of the disease </w:t>
      </w:r>
      <w:r w:rsidR="009F0F7A" w:rsidRPr="000C71A6">
        <w:rPr>
          <w:rFonts w:cs="Arial"/>
        </w:rPr>
        <w:fldChar w:fldCharType="begin" w:fldLock="1"/>
      </w:r>
      <w:r w:rsidR="008824FA">
        <w:rPr>
          <w:rFonts w:cs="Arial"/>
        </w:rPr>
        <w:instrText>ADDIN CSL_CITATION {"citationItems":[{"id":"ITEM-1","itemData":{"DOI":"10.1016/J.IJPPAW.2015.04.002","ISSN":"2213-2244","abstract":"Neospora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Wildlife","id":"ITEM-1","issue":"2","issued":{"date-parts":[["2015","8","1"]]},"page":"216-238","publisher":"Elsevier","title":"A review of neosporosis and pathologic findings of Neospora caninum infection in wildlife","type":"article-journal","volume":"4"},"uris":["http://www.mendeley.com/documents/?uuid=0eb21b67-0b11-310b-bb97-5e8fd960f5bc"]}],"mendeley":{"formattedCitation":"[10]","plainTextFormattedCitation":"[10]","previouslyFormattedCitation":"[10]"},"properties":{"noteIndex":0},"schema":"https://github.com/citation-style-language/schema/raw/master/csl-citation.json"}</w:instrText>
      </w:r>
      <w:r w:rsidR="009F0F7A" w:rsidRPr="000C71A6">
        <w:rPr>
          <w:rFonts w:cs="Arial"/>
        </w:rPr>
        <w:fldChar w:fldCharType="separate"/>
      </w:r>
      <w:r w:rsidR="00F00084" w:rsidRPr="00F00084">
        <w:rPr>
          <w:rFonts w:cs="Arial"/>
          <w:noProof/>
        </w:rPr>
        <w:t>[10]</w:t>
      </w:r>
      <w:r w:rsidR="009F0F7A" w:rsidRPr="000C71A6">
        <w:rPr>
          <w:rFonts w:cs="Arial"/>
        </w:rPr>
        <w:fldChar w:fldCharType="end"/>
      </w:r>
      <w:r w:rsidR="009F0F7A" w:rsidRPr="000C71A6">
        <w:rPr>
          <w:rFonts w:cs="Arial"/>
        </w:rPr>
        <w:t xml:space="preserve">. Episodic </w:t>
      </w:r>
      <w:r w:rsidR="00E438FD" w:rsidRPr="000C71A6">
        <w:rPr>
          <w:rFonts w:cs="Arial"/>
        </w:rPr>
        <w:t>immunosuppression</w:t>
      </w:r>
      <w:r w:rsidR="00BB6722" w:rsidRPr="000C71A6">
        <w:rPr>
          <w:rFonts w:cs="Arial"/>
        </w:rPr>
        <w:t xml:space="preserve"> </w:t>
      </w:r>
      <w:r w:rsidR="00527BF2">
        <w:rPr>
          <w:rFonts w:cs="Arial"/>
        </w:rPr>
        <w:t xml:space="preserve">or modulation </w:t>
      </w:r>
      <w:r w:rsidR="00BD5DAC">
        <w:rPr>
          <w:rFonts w:cs="Arial"/>
        </w:rPr>
        <w:t xml:space="preserve">due to pregnancy, for example, </w:t>
      </w:r>
      <w:r w:rsidR="00BB6722" w:rsidRPr="000C71A6">
        <w:rPr>
          <w:rFonts w:cs="Arial"/>
        </w:rPr>
        <w:t xml:space="preserve">may result in </w:t>
      </w:r>
      <w:r w:rsidR="007B5300" w:rsidRPr="000C71A6">
        <w:rPr>
          <w:rFonts w:cs="Arial"/>
        </w:rPr>
        <w:t xml:space="preserve">a failure to uphold the immunological barrier </w:t>
      </w:r>
      <w:r w:rsidR="00C52C97" w:rsidRPr="000C71A6">
        <w:rPr>
          <w:rFonts w:cs="Arial"/>
        </w:rPr>
        <w:t xml:space="preserve">maintained by an immunocompetent host and </w:t>
      </w:r>
      <w:r w:rsidR="00943780" w:rsidRPr="000C71A6">
        <w:rPr>
          <w:rFonts w:cs="Arial"/>
        </w:rPr>
        <w:t xml:space="preserve">the </w:t>
      </w:r>
      <w:r w:rsidR="000C06D2" w:rsidRPr="000C71A6">
        <w:rPr>
          <w:rFonts w:cs="Arial"/>
        </w:rPr>
        <w:t xml:space="preserve">infection </w:t>
      </w:r>
      <w:r w:rsidR="008F62E3">
        <w:rPr>
          <w:rFonts w:cs="Arial"/>
        </w:rPr>
        <w:t>can</w:t>
      </w:r>
      <w:r w:rsidR="000C06D2" w:rsidRPr="000C71A6">
        <w:rPr>
          <w:rFonts w:cs="Arial"/>
        </w:rPr>
        <w:t xml:space="preserve"> recrudesce</w:t>
      </w:r>
      <w:r w:rsidR="00BD5DAC">
        <w:rPr>
          <w:rFonts w:cs="Arial"/>
        </w:rPr>
        <w:t>.</w:t>
      </w:r>
      <w:r w:rsidR="00DF3974" w:rsidRPr="000C71A6">
        <w:rPr>
          <w:rFonts w:cs="Arial"/>
        </w:rPr>
        <w:t xml:space="preserve"> </w:t>
      </w:r>
      <w:r w:rsidR="00BD5DAC">
        <w:rPr>
          <w:rFonts w:cs="Arial"/>
        </w:rPr>
        <w:t>B</w:t>
      </w:r>
      <w:r w:rsidR="00DC1C7E" w:rsidRPr="000C71A6">
        <w:rPr>
          <w:rFonts w:cs="Arial"/>
        </w:rPr>
        <w:t xml:space="preserve">radyzoites switch back into the </w:t>
      </w:r>
      <w:r w:rsidR="003D576F" w:rsidRPr="000C71A6">
        <w:rPr>
          <w:rFonts w:cs="Arial"/>
        </w:rPr>
        <w:t>tachyzoites and spreading to other tissues may occur</w:t>
      </w:r>
      <w:r w:rsidR="000B2E91" w:rsidRPr="000C71A6">
        <w:rPr>
          <w:rFonts w:cs="Arial"/>
        </w:rPr>
        <w:t xml:space="preserve"> </w:t>
      </w:r>
      <w:r w:rsidR="000B2E91" w:rsidRPr="000C71A6">
        <w:rPr>
          <w:rFonts w:cs="Arial"/>
        </w:rPr>
        <w:fldChar w:fldCharType="begin" w:fldLock="1"/>
      </w:r>
      <w:r w:rsidR="008824FA">
        <w:rPr>
          <w:rFonts w:cs="Arial"/>
        </w:rPr>
        <w:instrText>ADDIN CSL_CITATION {"citationItems":[{"id":"ITEM-1","itemData":{"DOI":"10.1016/J.IJPPAW.2015.04.002","ISSN":"2213-2244","abstract":"Neospora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Wildlife","id":"ITEM-1","issue":"2","issued":{"date-parts":[["2015","8","1"]]},"page":"216-238","publisher":"Elsevier","title":"A review of neosporosis and pathologic findings of Neospora caninum infection in wildlife","type":"article-journal","volume":"4"},"uris":["http://www.mendeley.com/documents/?uuid=0eb21b67-0b11-310b-bb97-5e8fd960f5bc"]}],"mendeley":{"formattedCitation":"[10]","plainTextFormattedCitation":"[10]","previouslyFormattedCitation":"[10]"},"properties":{"noteIndex":0},"schema":"https://github.com/citation-style-language/schema/raw/master/csl-citation.json"}</w:instrText>
      </w:r>
      <w:r w:rsidR="000B2E91" w:rsidRPr="000C71A6">
        <w:rPr>
          <w:rFonts w:cs="Arial"/>
        </w:rPr>
        <w:fldChar w:fldCharType="separate"/>
      </w:r>
      <w:r w:rsidR="00F00084" w:rsidRPr="00F00084">
        <w:rPr>
          <w:rFonts w:cs="Arial"/>
          <w:noProof/>
        </w:rPr>
        <w:t>[10]</w:t>
      </w:r>
      <w:r w:rsidR="000B2E91" w:rsidRPr="000C71A6">
        <w:rPr>
          <w:rFonts w:cs="Arial"/>
        </w:rPr>
        <w:fldChar w:fldCharType="end"/>
      </w:r>
      <w:r w:rsidR="000B2E91" w:rsidRPr="000C71A6">
        <w:rPr>
          <w:rFonts w:cs="Arial"/>
        </w:rPr>
        <w:t xml:space="preserve">. Ingestion </w:t>
      </w:r>
      <w:r w:rsidR="007F13FF" w:rsidRPr="000C71A6">
        <w:rPr>
          <w:rFonts w:cs="Arial"/>
        </w:rPr>
        <w:t xml:space="preserve">of cyst-contaminated meat by </w:t>
      </w:r>
      <w:r w:rsidR="00EB3DED" w:rsidRPr="000C71A6">
        <w:rPr>
          <w:rFonts w:cs="Arial"/>
        </w:rPr>
        <w:t>canids</w:t>
      </w:r>
      <w:r w:rsidR="007F13FF" w:rsidRPr="000C71A6">
        <w:rPr>
          <w:rFonts w:cs="Arial"/>
        </w:rPr>
        <w:t xml:space="preserve"> </w:t>
      </w:r>
      <w:r w:rsidR="00526A2C" w:rsidRPr="000C71A6">
        <w:rPr>
          <w:rFonts w:cs="Arial"/>
        </w:rPr>
        <w:t xml:space="preserve">completes the </w:t>
      </w:r>
      <w:r w:rsidR="002C5109" w:rsidRPr="000C71A6">
        <w:rPr>
          <w:rFonts w:cs="Arial"/>
        </w:rPr>
        <w:t xml:space="preserve">life cycle of the protozoan </w:t>
      </w:r>
      <w:r w:rsidR="00C928DC" w:rsidRPr="000C71A6">
        <w:rPr>
          <w:rFonts w:cs="Arial"/>
        </w:rPr>
        <w:fldChar w:fldCharType="begin" w:fldLock="1"/>
      </w:r>
      <w:r w:rsidR="008824FA">
        <w:rPr>
          <w:rFonts w:cs="Arial"/>
        </w:rPr>
        <w:instrText>ADDIN CSL_CITATION {"citationItems":[{"id":"ITEM-1","itemData":{"DOI":"10.1016/J.MEEGID.2012.08.012","ISSN":"1567-1348","PMID":"22985682","abstract":"This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B.V.","author":[{"dropping-particle":"","family":"Goodswen","given":"Stephen J.","non-dropping-particle":"","parse-names":false,"suffix":""},{"dropping-particle":"","family":"Kennedy","given":"Paul J.","non-dropping-particle":"","parse-names":false,"suffix":""},{"dropping-particle":"","family":"Ellis","given":"John T.","non-dropping-particle":"","parse-names":false,"suffix":""}],"container-title":"Infection, Genetics and Evolution","id":"ITEM-1","issue":"1","issued":{"date-parts":[["2013","1","1"]]},"page":"133-150","publisher":"Elsevier","title":"A review of the infection, genetics, and evolution of Neospora caninum: From the past to the present","type":"article-journal","volume":"13"},"uris":["http://www.mendeley.com/documents/?uuid=ec998491-25c0-3ac3-a2aa-a141fbdeeff9"]}],"mendeley":{"formattedCitation":"[11]","plainTextFormattedCitation":"[11]","previouslyFormattedCitation":"[11]"},"properties":{"noteIndex":0},"schema":"https://github.com/citation-style-language/schema/raw/master/csl-citation.json"}</w:instrText>
      </w:r>
      <w:r w:rsidR="00C928DC" w:rsidRPr="000C71A6">
        <w:rPr>
          <w:rFonts w:cs="Arial"/>
        </w:rPr>
        <w:fldChar w:fldCharType="separate"/>
      </w:r>
      <w:r w:rsidR="00F00084" w:rsidRPr="00F00084">
        <w:rPr>
          <w:rFonts w:cs="Arial"/>
          <w:noProof/>
        </w:rPr>
        <w:t>[11]</w:t>
      </w:r>
      <w:r w:rsidR="00C928DC" w:rsidRPr="000C71A6">
        <w:rPr>
          <w:rFonts w:cs="Arial"/>
        </w:rPr>
        <w:fldChar w:fldCharType="end"/>
      </w:r>
      <w:r w:rsidR="00C928DC" w:rsidRPr="000C71A6">
        <w:rPr>
          <w:rFonts w:cs="Arial"/>
        </w:rPr>
        <w:t>.</w:t>
      </w:r>
    </w:p>
    <w:p w14:paraId="2D1E561A" w14:textId="169BFD52" w:rsidR="00E70F16" w:rsidRPr="000C71A6" w:rsidRDefault="00981785" w:rsidP="00534638">
      <w:pPr>
        <w:divId w:val="684404335"/>
        <w:rPr>
          <w:rFonts w:cs="Arial"/>
        </w:rPr>
      </w:pPr>
      <w:r w:rsidRPr="000C71A6">
        <w:rPr>
          <w:rFonts w:cs="Arial"/>
        </w:rPr>
        <w:t xml:space="preserve">Although horizontal transmission </w:t>
      </w:r>
      <w:r w:rsidR="00D6111B" w:rsidRPr="000C71A6">
        <w:rPr>
          <w:rFonts w:cs="Arial"/>
        </w:rPr>
        <w:t>(via ingestion</w:t>
      </w:r>
      <w:r w:rsidR="009A45AD" w:rsidRPr="000C71A6">
        <w:rPr>
          <w:rFonts w:cs="Arial"/>
        </w:rPr>
        <w:t xml:space="preserve"> of tissue cysts by the definite hosts or </w:t>
      </w:r>
      <w:r w:rsidR="00DF3E18" w:rsidRPr="000C71A6">
        <w:rPr>
          <w:rFonts w:cs="Arial"/>
        </w:rPr>
        <w:t xml:space="preserve">sporocysts by the intermediate hosts) </w:t>
      </w:r>
      <w:r w:rsidRPr="000C71A6">
        <w:rPr>
          <w:rFonts w:cs="Arial"/>
        </w:rPr>
        <w:t>is essential to preserve</w:t>
      </w:r>
      <w:r w:rsidR="00A622B7" w:rsidRPr="000C71A6">
        <w:rPr>
          <w:rFonts w:cs="Arial"/>
        </w:rPr>
        <w:t xml:space="preserve"> the life cycle of the protozoan and </w:t>
      </w:r>
      <w:r w:rsidR="00D6111B" w:rsidRPr="000C71A6">
        <w:rPr>
          <w:rFonts w:cs="Arial"/>
        </w:rPr>
        <w:t>establishes the connection between dogs and cattle</w:t>
      </w:r>
      <w:r w:rsidR="00DF3E18" w:rsidRPr="000C71A6">
        <w:rPr>
          <w:rFonts w:cs="Arial"/>
        </w:rPr>
        <w:t xml:space="preserve">, </w:t>
      </w:r>
      <w:r w:rsidR="001560A5" w:rsidRPr="000C71A6">
        <w:rPr>
          <w:rFonts w:cs="Arial"/>
        </w:rPr>
        <w:t xml:space="preserve">there is </w:t>
      </w:r>
      <w:r w:rsidR="00222D71" w:rsidRPr="000C71A6">
        <w:rPr>
          <w:rFonts w:cs="Arial"/>
        </w:rPr>
        <w:t xml:space="preserve">another way of transmission that cannot be </w:t>
      </w:r>
      <w:r w:rsidR="00E710BB" w:rsidRPr="000C71A6">
        <w:rPr>
          <w:rFonts w:cs="Arial"/>
        </w:rPr>
        <w:t>overlooked</w:t>
      </w:r>
      <w:r w:rsidR="00357A65">
        <w:rPr>
          <w:rFonts w:cs="Arial"/>
        </w:rPr>
        <w:t>, the</w:t>
      </w:r>
      <w:r w:rsidR="00222D71" w:rsidRPr="000C71A6">
        <w:rPr>
          <w:rFonts w:cs="Arial"/>
        </w:rPr>
        <w:t xml:space="preserve"> </w:t>
      </w:r>
      <w:r w:rsidR="007F6D7D" w:rsidRPr="000C71A6">
        <w:rPr>
          <w:rFonts w:cs="Arial"/>
        </w:rPr>
        <w:t>vertical (or transplacent</w:t>
      </w:r>
      <w:r w:rsidR="00F107F8" w:rsidRPr="000C71A6">
        <w:rPr>
          <w:rFonts w:cs="Arial"/>
        </w:rPr>
        <w:t xml:space="preserve">al) transmission </w:t>
      </w:r>
      <w:r w:rsidR="007C03A1" w:rsidRPr="000C71A6">
        <w:rPr>
          <w:rFonts w:cs="Arial"/>
        </w:rPr>
        <w:fldChar w:fldCharType="begin" w:fldLock="1"/>
      </w:r>
      <w:r w:rsidR="002410E7">
        <w:rPr>
          <w:rFonts w:cs="Arial"/>
        </w:rPr>
        <w:instrText>ADDIN CSL_CITATION {"citationItems":[{"id":"ITEM-1","itemData":{"DOI":"10.1016/J.MEEGID.2012.08.012","ISSN":"1567-1348","PMID":"22985682","abstract":"This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B.V.","author":[{"dropping-particle":"","family":"Goodswen","given":"Stephen J.","non-dropping-particle":"","parse-names":false,"suffix":""},{"dropping-particle":"","family":"Kennedy","given":"Paul J.","non-dropping-particle":"","parse-names":false,"suffix":""},{"dropping-particle":"","family":"Ellis","given":"John T.","non-dropping-particle":"","parse-names":false,"suffix":""}],"container-title":"Infection, Genetics and Evolution","id":"ITEM-1","issue":"1","issued":{"date-parts":[["2013","1","1"]]},"page":"133-150","publisher":"Elsevier","title":"A review of the infection, genetics, and evolution of Neospora caninum: From the past to the present","type":"article-journal","volume":"13"},"uris":["http://www.mendeley.com/documents/?uuid=ec998491-25c0-3ac3-a2aa-a141fbdeeff9"]},{"id":"ITEM-2","itemData":{"DOI":"10.1371/journal.pone.0268903","ISSN":"1932-6203","PMID":"35604902","abstract":"Background","author":[{"dropping-particle":"","family":"Nayeri","given":"Tooran","non-dropping-particle":"","parse-names":false,"suffix":""},{"dropping-particle":"","family":"Moosazadeh","given":"Mahmood","non-dropping-particle":"","parse-names":false,"suffix":""},{"dropping-particle":"","family":"Sarvi","given":"Shahabeddin","non-dropping-particle":"","parse-names":false,"suffix":""},{"dropping-particle":"","family":"Daryani","given":"Ahmad","non-dropping-particle":"","parse-names":false,"suffix":""}],"container-title":"PLOS ONE","editor":[{"dropping-particle":"","family":"Rosenthal","given":"Benjamin M.","non-dropping-particle":"","parse-names":false,"suffix":""}],"id":"ITEM-2","issue":"5","issued":{"date-parts":[["2022","5","23"]]},"page":"e0268903","publisher":"PLoS One","title":"Neospora caninum infection in aborting bovines and lost fetuses: A systematic review and meta-analysis","type":"article-journal","volume":"17"},"uris":["http://www.mendeley.com/documents/?uuid=213fcfe5-2cf2-3ed1-986b-a5773735de14"]}],"mendeley":{"formattedCitation":"[1], [11]","manualFormatting":"[1, 11]","plainTextFormattedCitation":"[1], [11]","previouslyFormattedCitation":"[1], [11]"},"properties":{"noteIndex":0},"schema":"https://github.com/citation-style-language/schema/raw/master/csl-citation.json"}</w:instrText>
      </w:r>
      <w:r w:rsidR="007C03A1" w:rsidRPr="000C71A6">
        <w:rPr>
          <w:rFonts w:cs="Arial"/>
        </w:rPr>
        <w:fldChar w:fldCharType="separate"/>
      </w:r>
      <w:r w:rsidR="002410E7">
        <w:rPr>
          <w:rFonts w:cs="Arial"/>
          <w:noProof/>
        </w:rPr>
        <w:t xml:space="preserve">[1, </w:t>
      </w:r>
      <w:r w:rsidR="00F00084" w:rsidRPr="00F00084">
        <w:rPr>
          <w:rFonts w:cs="Arial"/>
          <w:noProof/>
        </w:rPr>
        <w:t>11]</w:t>
      </w:r>
      <w:r w:rsidR="007C03A1" w:rsidRPr="000C71A6">
        <w:rPr>
          <w:rFonts w:cs="Arial"/>
        </w:rPr>
        <w:fldChar w:fldCharType="end"/>
      </w:r>
      <w:r w:rsidR="007C03A1" w:rsidRPr="000C71A6">
        <w:rPr>
          <w:rFonts w:cs="Arial"/>
        </w:rPr>
        <w:t>.</w:t>
      </w:r>
      <w:r w:rsidR="00E95A46" w:rsidRPr="000C71A6">
        <w:rPr>
          <w:rFonts w:cs="Arial"/>
        </w:rPr>
        <w:t xml:space="preserve"> </w:t>
      </w:r>
      <w:r w:rsidR="0050468F" w:rsidRPr="000C71A6">
        <w:rPr>
          <w:rFonts w:cs="Arial"/>
        </w:rPr>
        <w:t>In bovines</w:t>
      </w:r>
      <w:r w:rsidR="00A3504C" w:rsidRPr="000C71A6">
        <w:rPr>
          <w:rFonts w:cs="Arial"/>
        </w:rPr>
        <w:t>, it is considered that the transplacental route is the primary route of in</w:t>
      </w:r>
      <w:r w:rsidR="00720ABD" w:rsidRPr="000C71A6">
        <w:rPr>
          <w:rFonts w:cs="Arial"/>
        </w:rPr>
        <w:t xml:space="preserve">fection </w:t>
      </w:r>
      <w:r w:rsidR="00720ABD" w:rsidRPr="000C71A6">
        <w:rPr>
          <w:rFonts w:cs="Arial"/>
        </w:rPr>
        <w:fldChar w:fldCharType="begin" w:fldLock="1"/>
      </w:r>
      <w:r w:rsidR="008824FA">
        <w:rPr>
          <w:rFonts w:cs="Arial"/>
        </w:rPr>
        <w:instrText>ADDIN CSL_CITATION {"citationItems":[{"id":"ITEM-1","itemData":{"DOI":"10.1371/journal.pone.0268903","ISSN":"1932-6203","PMID":"35604902","abstract":"Background","author":[{"dropping-particle":"","family":"Nayeri","given":"Tooran","non-dropping-particle":"","parse-names":false,"suffix":""},{"dropping-particle":"","family":"Moosazadeh","given":"Mahmood","non-dropping-particle":"","parse-names":false,"suffix":""},{"dropping-particle":"","family":"Sarvi","given":"Shahabeddin","non-dropping-particle":"","parse-names":false,"suffix":""},{"dropping-particle":"","family":"Daryani","given":"Ahmad","non-dropping-particle":"","parse-names":false,"suffix":""}],"container-title":"PLOS ONE","editor":[{"dropping-particle":"","family":"Rosenthal","given":"Benjamin M.","non-dropping-particle":"","parse-names":false,"suffix":""}],"id":"ITEM-1","issue":"5","issued":{"date-parts":[["2022","5","23"]]},"page":"e0268903","publisher":"PLoS One","title":"Neospora caninum infection in aborting bovines and lost fetuses: A systematic review and meta-analysis","type":"article-journal","volume":"17"},"uris":["http://www.mendeley.com/documents/?uuid=213fcfe5-2cf2-3ed1-986b-a5773735de14"]}],"mendeley":{"formattedCitation":"[1]","plainTextFormattedCitation":"[1]","previouslyFormattedCitation":"[1]"},"properties":{"noteIndex":0},"schema":"https://github.com/citation-style-language/schema/raw/master/csl-citation.json"}</w:instrText>
      </w:r>
      <w:r w:rsidR="00720ABD" w:rsidRPr="000C71A6">
        <w:rPr>
          <w:rFonts w:cs="Arial"/>
        </w:rPr>
        <w:fldChar w:fldCharType="separate"/>
      </w:r>
      <w:r w:rsidR="00F00084" w:rsidRPr="00F00084">
        <w:rPr>
          <w:rFonts w:cs="Arial"/>
          <w:noProof/>
        </w:rPr>
        <w:t>[1]</w:t>
      </w:r>
      <w:r w:rsidR="00720ABD" w:rsidRPr="000C71A6">
        <w:rPr>
          <w:rFonts w:cs="Arial"/>
        </w:rPr>
        <w:fldChar w:fldCharType="end"/>
      </w:r>
      <w:r w:rsidR="00720ABD" w:rsidRPr="000C71A6">
        <w:rPr>
          <w:rFonts w:cs="Arial"/>
        </w:rPr>
        <w:t>.</w:t>
      </w:r>
      <w:r w:rsidR="00534638">
        <w:rPr>
          <w:rFonts w:cs="Arial"/>
        </w:rPr>
        <w:t xml:space="preserve"> </w:t>
      </w:r>
      <w:r w:rsidR="0031087B" w:rsidRPr="000C71A6">
        <w:rPr>
          <w:rFonts w:cs="Arial"/>
          <w:color w:val="000000"/>
        </w:rPr>
        <w:t>Within transplacental transmission</w:t>
      </w:r>
      <w:r w:rsidR="00632DCF">
        <w:rPr>
          <w:rFonts w:cs="Arial"/>
          <w:color w:val="000000"/>
        </w:rPr>
        <w:t>,</w:t>
      </w:r>
      <w:r w:rsidR="0031087B" w:rsidRPr="000C71A6">
        <w:rPr>
          <w:rFonts w:cs="Arial"/>
          <w:color w:val="000000"/>
        </w:rPr>
        <w:t xml:space="preserve"> </w:t>
      </w:r>
      <w:r w:rsidR="00353003" w:rsidRPr="000C71A6">
        <w:rPr>
          <w:rFonts w:cs="Arial"/>
          <w:color w:val="000000"/>
        </w:rPr>
        <w:t xml:space="preserve">two </w:t>
      </w:r>
      <w:r w:rsidR="00D061DF">
        <w:rPr>
          <w:rFonts w:cs="Arial"/>
          <w:color w:val="000000"/>
        </w:rPr>
        <w:t>routes for</w:t>
      </w:r>
      <w:r w:rsidR="00314D1D" w:rsidRPr="000C71A6">
        <w:rPr>
          <w:rFonts w:cs="Arial"/>
          <w:color w:val="000000"/>
        </w:rPr>
        <w:t xml:space="preserve"> </w:t>
      </w:r>
      <w:r w:rsidR="00343476" w:rsidRPr="000C71A6">
        <w:rPr>
          <w:rFonts w:cs="Arial"/>
          <w:color w:val="000000"/>
        </w:rPr>
        <w:t>foetus infection</w:t>
      </w:r>
      <w:r w:rsidR="00357A65" w:rsidRPr="00357A65">
        <w:rPr>
          <w:rFonts w:cs="Arial"/>
          <w:color w:val="000000"/>
        </w:rPr>
        <w:t xml:space="preserve"> </w:t>
      </w:r>
      <w:r w:rsidR="00357A65" w:rsidRPr="000C71A6">
        <w:rPr>
          <w:rFonts w:cs="Arial"/>
          <w:color w:val="000000"/>
        </w:rPr>
        <w:t>can be distinguished</w:t>
      </w:r>
      <w:r w:rsidR="00343476" w:rsidRPr="000C71A6">
        <w:rPr>
          <w:rFonts w:cs="Arial"/>
          <w:color w:val="000000"/>
        </w:rPr>
        <w:t xml:space="preserve">: </w:t>
      </w:r>
      <w:r w:rsidR="00357A65">
        <w:rPr>
          <w:rFonts w:cs="Arial"/>
          <w:color w:val="000000"/>
        </w:rPr>
        <w:t xml:space="preserve">the </w:t>
      </w:r>
      <w:r w:rsidR="00357A65" w:rsidRPr="000C71A6">
        <w:rPr>
          <w:rFonts w:cs="Arial"/>
          <w:color w:val="000000"/>
        </w:rPr>
        <w:t>endogenous transmission</w:t>
      </w:r>
      <w:r w:rsidR="00357A65">
        <w:rPr>
          <w:rFonts w:cs="Arial"/>
          <w:color w:val="000000"/>
        </w:rPr>
        <w:t>,</w:t>
      </w:r>
      <w:r w:rsidR="00357A65" w:rsidRPr="000C71A6">
        <w:rPr>
          <w:rFonts w:cs="Arial"/>
          <w:color w:val="000000"/>
        </w:rPr>
        <w:t xml:space="preserve"> </w:t>
      </w:r>
      <w:r w:rsidR="005639CD" w:rsidRPr="000C71A6">
        <w:rPr>
          <w:rFonts w:cs="Arial"/>
          <w:color w:val="000000"/>
        </w:rPr>
        <w:t>whe</w:t>
      </w:r>
      <w:r w:rsidR="00357A65">
        <w:rPr>
          <w:rFonts w:cs="Arial"/>
          <w:color w:val="000000"/>
        </w:rPr>
        <w:t>n</w:t>
      </w:r>
      <w:r w:rsidR="005639CD" w:rsidRPr="000C71A6">
        <w:rPr>
          <w:rFonts w:cs="Arial"/>
          <w:color w:val="000000"/>
        </w:rPr>
        <w:t xml:space="preserve"> </w:t>
      </w:r>
      <w:r w:rsidR="00357A65">
        <w:rPr>
          <w:rFonts w:cs="Arial"/>
          <w:color w:val="000000"/>
        </w:rPr>
        <w:t xml:space="preserve">a </w:t>
      </w:r>
      <w:r w:rsidR="005639CD" w:rsidRPr="000C71A6">
        <w:rPr>
          <w:rFonts w:cs="Arial"/>
          <w:color w:val="000000"/>
        </w:rPr>
        <w:t>dam</w:t>
      </w:r>
      <w:r w:rsidR="00E05A6A" w:rsidRPr="000C71A6">
        <w:rPr>
          <w:rFonts w:cs="Arial"/>
          <w:color w:val="000000"/>
        </w:rPr>
        <w:t xml:space="preserve"> was already a carrier before the pregnancy</w:t>
      </w:r>
      <w:r w:rsidR="007D79AB" w:rsidRPr="000C71A6">
        <w:rPr>
          <w:rFonts w:cs="Arial"/>
          <w:color w:val="000000"/>
        </w:rPr>
        <w:t xml:space="preserve"> began</w:t>
      </w:r>
      <w:r w:rsidR="00E05A6A" w:rsidRPr="000C71A6">
        <w:rPr>
          <w:rFonts w:cs="Arial"/>
          <w:color w:val="000000"/>
        </w:rPr>
        <w:t xml:space="preserve"> </w:t>
      </w:r>
      <w:r w:rsidR="00357A65">
        <w:rPr>
          <w:rFonts w:cs="Arial"/>
          <w:color w:val="000000"/>
        </w:rPr>
        <w:t xml:space="preserve">and </w:t>
      </w:r>
      <w:r w:rsidR="00357A65" w:rsidRPr="000C71A6">
        <w:rPr>
          <w:rFonts w:cs="Arial"/>
          <w:color w:val="000000"/>
        </w:rPr>
        <w:t>exogenous transmission</w:t>
      </w:r>
      <w:r w:rsidR="00357A65">
        <w:rPr>
          <w:rFonts w:cs="Arial"/>
          <w:color w:val="000000"/>
        </w:rPr>
        <w:t>,</w:t>
      </w:r>
      <w:r w:rsidR="00357A65" w:rsidRPr="000C71A6">
        <w:rPr>
          <w:rFonts w:cs="Arial"/>
          <w:color w:val="000000"/>
        </w:rPr>
        <w:t xml:space="preserve"> </w:t>
      </w:r>
      <w:r w:rsidR="00D9370F" w:rsidRPr="000C71A6">
        <w:rPr>
          <w:rFonts w:cs="Arial"/>
          <w:color w:val="000000"/>
        </w:rPr>
        <w:t>whe</w:t>
      </w:r>
      <w:r w:rsidR="00357A65">
        <w:rPr>
          <w:rFonts w:cs="Arial"/>
          <w:color w:val="000000"/>
        </w:rPr>
        <w:t>n</w:t>
      </w:r>
      <w:r w:rsidR="00D9370F" w:rsidRPr="000C71A6">
        <w:rPr>
          <w:rFonts w:cs="Arial"/>
          <w:color w:val="000000"/>
        </w:rPr>
        <w:t xml:space="preserve"> the dam </w:t>
      </w:r>
      <w:r w:rsidR="007B2DE3">
        <w:rPr>
          <w:rFonts w:cs="Arial"/>
          <w:color w:val="000000"/>
        </w:rPr>
        <w:t>gets</w:t>
      </w:r>
      <w:r w:rsidR="00D9370F" w:rsidRPr="000C71A6">
        <w:rPr>
          <w:rFonts w:cs="Arial"/>
          <w:color w:val="000000"/>
        </w:rPr>
        <w:t xml:space="preserve"> infected during the pregnancy</w:t>
      </w:r>
      <w:r w:rsidR="001B4422" w:rsidRPr="000C71A6">
        <w:rPr>
          <w:rFonts w:cs="Arial"/>
          <w:color w:val="000000"/>
        </w:rPr>
        <w:t xml:space="preserve"> </w:t>
      </w:r>
      <w:r w:rsidR="00975517" w:rsidRPr="000C71A6">
        <w:rPr>
          <w:rFonts w:cs="Arial"/>
        </w:rPr>
        <w:fldChar w:fldCharType="begin" w:fldLock="1"/>
      </w:r>
      <w:r w:rsidR="008824FA">
        <w:rPr>
          <w:rFonts w:cs="Arial"/>
        </w:rPr>
        <w:instrText>ADDIN CSL_CITATION {"citationItems":[{"id":"ITEM-1","itemData":{"DOI":"10.1371/journal.pone.0268903","ISSN":"1932-6203","PMID":"35604902","abstract":"Background","author":[{"dropping-particle":"","family":"Nayeri","given":"Tooran","non-dropping-particle":"","parse-names":false,"suffix":""},{"dropping-particle":"","family":"Moosazadeh","given":"Mahmood","non-dropping-particle":"","parse-names":false,"suffix":""},{"dropping-particle":"","family":"Sarvi","given":"Shahabeddin","non-dropping-particle":"","parse-names":false,"suffix":""},{"dropping-particle":"","family":"Daryani","given":"Ahmad","non-dropping-particle":"","parse-names":false,"suffix":""}],"container-title":"PLOS ONE","editor":[{"dropping-particle":"","family":"Rosenthal","given":"Benjamin M.","non-dropping-particle":"","parse-names":false,"suffix":""}],"id":"ITEM-1","issue":"5","issued":{"date-parts":[["2022","5","23"]]},"page":"e0268903","publisher":"PLoS One","title":"Neospora caninum infection in aborting bovines and lost fetuses: A systematic review and meta-analysis","type":"article-journal","volume":"17"},"uris":["http://www.mendeley.com/documents/?uuid=213fcfe5-2cf2-3ed1-986b-a5773735de14"]}],"mendeley":{"formattedCitation":"[1]","plainTextFormattedCitation":"[1]","previouslyFormattedCitation":"[1]"},"properties":{"noteIndex":0},"schema":"https://github.com/citation-style-language/schema/raw/master/csl-citation.json"}</w:instrText>
      </w:r>
      <w:r w:rsidR="00975517" w:rsidRPr="000C71A6">
        <w:rPr>
          <w:rFonts w:cs="Arial"/>
        </w:rPr>
        <w:fldChar w:fldCharType="separate"/>
      </w:r>
      <w:r w:rsidR="00F00084" w:rsidRPr="00F00084">
        <w:rPr>
          <w:rFonts w:cs="Arial"/>
          <w:noProof/>
        </w:rPr>
        <w:t>[1]</w:t>
      </w:r>
      <w:r w:rsidR="00975517" w:rsidRPr="000C71A6">
        <w:rPr>
          <w:rFonts w:cs="Arial"/>
        </w:rPr>
        <w:fldChar w:fldCharType="end"/>
      </w:r>
      <w:r w:rsidR="00975517" w:rsidRPr="000C71A6">
        <w:rPr>
          <w:rFonts w:cs="Arial"/>
        </w:rPr>
        <w:t>.</w:t>
      </w:r>
      <w:r w:rsidR="001E390E" w:rsidRPr="000C71A6">
        <w:rPr>
          <w:rFonts w:cs="Arial"/>
        </w:rPr>
        <w:t xml:space="preserve"> </w:t>
      </w:r>
      <w:r w:rsidR="005D0B4F" w:rsidRPr="000C71A6">
        <w:rPr>
          <w:rFonts w:cs="Arial"/>
        </w:rPr>
        <w:t xml:space="preserve">Endogenous transmission is well documented in </w:t>
      </w:r>
      <w:r w:rsidR="002E5DDD" w:rsidRPr="000C71A6">
        <w:rPr>
          <w:rFonts w:cs="Arial"/>
        </w:rPr>
        <w:t xml:space="preserve">pregnant animals </w:t>
      </w:r>
      <w:r w:rsidR="00DB0A3A" w:rsidRPr="000C71A6">
        <w:rPr>
          <w:rFonts w:cs="Arial"/>
        </w:rPr>
        <w:t xml:space="preserve">with </w:t>
      </w:r>
      <w:r w:rsidR="00280274" w:rsidRPr="000C71A6">
        <w:rPr>
          <w:rFonts w:cs="Arial"/>
        </w:rPr>
        <w:t>chronic asymptomatic disease</w:t>
      </w:r>
      <w:r w:rsidR="00357A65">
        <w:rPr>
          <w:rFonts w:cs="Arial"/>
        </w:rPr>
        <w:t>.</w:t>
      </w:r>
      <w:r w:rsidR="00280274" w:rsidRPr="000C71A6">
        <w:rPr>
          <w:rFonts w:cs="Arial"/>
        </w:rPr>
        <w:t xml:space="preserve"> </w:t>
      </w:r>
      <w:r w:rsidR="00357A65">
        <w:rPr>
          <w:rFonts w:cs="Arial"/>
        </w:rPr>
        <w:t>W</w:t>
      </w:r>
      <w:r w:rsidR="002E5DDD" w:rsidRPr="000C71A6">
        <w:rPr>
          <w:rFonts w:cs="Arial"/>
        </w:rPr>
        <w:t>he</w:t>
      </w:r>
      <w:r w:rsidR="00357A65">
        <w:rPr>
          <w:rFonts w:cs="Arial"/>
        </w:rPr>
        <w:t>never</w:t>
      </w:r>
      <w:r w:rsidR="002E5DDD" w:rsidRPr="000C71A6">
        <w:rPr>
          <w:rFonts w:cs="Arial"/>
        </w:rPr>
        <w:t xml:space="preserve"> </w:t>
      </w:r>
      <w:r w:rsidR="009F1DA9" w:rsidRPr="000C71A6">
        <w:rPr>
          <w:rFonts w:cs="Arial"/>
        </w:rPr>
        <w:t>the immune system is compromised</w:t>
      </w:r>
      <w:r w:rsidR="00357A65">
        <w:rPr>
          <w:rFonts w:cs="Arial"/>
        </w:rPr>
        <w:t>,</w:t>
      </w:r>
      <w:r w:rsidR="009F1DA9" w:rsidRPr="000C71A6">
        <w:rPr>
          <w:rFonts w:cs="Arial"/>
        </w:rPr>
        <w:t xml:space="preserve"> recrudescence </w:t>
      </w:r>
      <w:r w:rsidR="000920B2">
        <w:rPr>
          <w:rFonts w:cs="Arial"/>
        </w:rPr>
        <w:t xml:space="preserve">of infection </w:t>
      </w:r>
      <w:r w:rsidR="001870AC" w:rsidRPr="000C71A6">
        <w:rPr>
          <w:rFonts w:cs="Arial"/>
        </w:rPr>
        <w:t>occurs</w:t>
      </w:r>
      <w:r w:rsidR="00357A65">
        <w:rPr>
          <w:rFonts w:cs="Arial"/>
        </w:rPr>
        <w:t>,</w:t>
      </w:r>
      <w:r w:rsidR="00280274" w:rsidRPr="000C71A6">
        <w:rPr>
          <w:rFonts w:cs="Arial"/>
        </w:rPr>
        <w:t xml:space="preserve"> allowing for the bradyzoites </w:t>
      </w:r>
      <w:r w:rsidR="00DB1ABC" w:rsidRPr="000C71A6">
        <w:rPr>
          <w:rFonts w:cs="Arial"/>
        </w:rPr>
        <w:t>to switch back into tachyzoites and for the parasite to spre</w:t>
      </w:r>
      <w:r w:rsidR="00423719" w:rsidRPr="000C71A6">
        <w:rPr>
          <w:rFonts w:cs="Arial"/>
        </w:rPr>
        <w:t>ad</w:t>
      </w:r>
      <w:r w:rsidR="007142A6" w:rsidRPr="000C71A6">
        <w:rPr>
          <w:rFonts w:cs="Arial"/>
        </w:rPr>
        <w:t xml:space="preserve"> across other </w:t>
      </w:r>
      <w:r w:rsidR="00B27089" w:rsidRPr="000C71A6">
        <w:rPr>
          <w:rFonts w:cs="Arial"/>
        </w:rPr>
        <w:t xml:space="preserve">organs and tissues, including the placenta and </w:t>
      </w:r>
      <w:r w:rsidR="000920B2">
        <w:rPr>
          <w:rFonts w:cs="Arial"/>
        </w:rPr>
        <w:t xml:space="preserve">the </w:t>
      </w:r>
      <w:r w:rsidR="00B27089" w:rsidRPr="000C71A6">
        <w:rPr>
          <w:rFonts w:cs="Arial"/>
        </w:rPr>
        <w:t>consequent infection of the foetus</w:t>
      </w:r>
      <w:r w:rsidR="00A80F90" w:rsidRPr="000C71A6">
        <w:rPr>
          <w:rFonts w:cs="Arial"/>
        </w:rPr>
        <w:t xml:space="preserve"> </w:t>
      </w:r>
      <w:r w:rsidR="00B41EE6" w:rsidRPr="000C71A6">
        <w:rPr>
          <w:rFonts w:cs="Arial"/>
        </w:rPr>
        <w:fldChar w:fldCharType="begin" w:fldLock="1"/>
      </w:r>
      <w:r w:rsidR="002410E7">
        <w:rPr>
          <w:rFonts w:cs="Arial"/>
        </w:rPr>
        <w:instrText>ADDIN CSL_CITATION {"citationItems":[{"id":"ITEM-1","itemData":{"DOI":"10.1371/journal.pone.0268903","ISSN":"1932-6203","PMID":"35604902","abstract":"Background","author":[{"dropping-particle":"","family":"Nayeri","given":"Tooran","non-dropping-particle":"","parse-names":false,"suffix":""},{"dropping-particle":"","family":"Moosazadeh","given":"Mahmood","non-dropping-particle":"","parse-names":false,"suffix":""},{"dropping-particle":"","family":"Sarvi","given":"Shahabeddin","non-dropping-particle":"","parse-names":false,"suffix":""},{"dropping-particle":"","family":"Daryani","given":"Ahmad","non-dropping-particle":"","parse-names":false,"suffix":""}],"container-title":"PLOS ONE","editor":[{"dropping-particle":"","family":"Rosenthal","given":"Benjamin M.","non-dropping-particle":"","parse-names":false,"suffix":""}],"id":"ITEM-1","issue":"5","issued":{"date-parts":[["2022","5","23"]]},"page":"e0268903","publisher":"PLoS One","title":"Neospora caninum infection in aborting bovines and lost fetuses: A systematic review and meta-analysis","type":"article-journal","volume":"17"},"uris":["http://www.mendeley.com/documents/?uuid=213fcfe5-2cf2-3ed1-986b-a5773735de14"]},{"id":"ITEM-2","itemData":{"DOI":"10.1016/J.IJPPAW.2015.04.002","ISSN":"2213-2244","abstract":"Neospora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Wildlife","id":"ITEM-2","issue":"2","issued":{"date-parts":[["2015","8","1"]]},"page":"216-238","publisher":"Elsevier","title":"A review of neosporosis and pathologic findings of Neospora caninum infection in wildlife","type":"article-journal","volume":"4"},"uris":["http://www.mendeley.com/documents/?uuid=0eb21b67-0b11-310b-bb97-5e8fd960f5bc"]}],"mendeley":{"formattedCitation":"[1], [10]","manualFormatting":"[1, 10]","plainTextFormattedCitation":"[1], [10]","previouslyFormattedCitation":"[1], [10]"},"properties":{"noteIndex":0},"schema":"https://github.com/citation-style-language/schema/raw/master/csl-citation.json"}</w:instrText>
      </w:r>
      <w:r w:rsidR="00B41EE6" w:rsidRPr="000C71A6">
        <w:rPr>
          <w:rFonts w:cs="Arial"/>
        </w:rPr>
        <w:fldChar w:fldCharType="separate"/>
      </w:r>
      <w:r w:rsidR="002410E7">
        <w:rPr>
          <w:rFonts w:cs="Arial"/>
          <w:noProof/>
        </w:rPr>
        <w:t xml:space="preserve">[1, </w:t>
      </w:r>
      <w:r w:rsidR="00F00084" w:rsidRPr="00F00084">
        <w:rPr>
          <w:rFonts w:cs="Arial"/>
          <w:noProof/>
        </w:rPr>
        <w:t>10]</w:t>
      </w:r>
      <w:r w:rsidR="00B41EE6" w:rsidRPr="000C71A6">
        <w:rPr>
          <w:rFonts w:cs="Arial"/>
        </w:rPr>
        <w:fldChar w:fldCharType="end"/>
      </w:r>
      <w:r w:rsidR="00B41EE6" w:rsidRPr="000C71A6">
        <w:rPr>
          <w:rFonts w:cs="Arial"/>
        </w:rPr>
        <w:t>.</w:t>
      </w:r>
      <w:r w:rsidR="000C30A9" w:rsidRPr="000C71A6">
        <w:rPr>
          <w:rFonts w:cs="Arial"/>
        </w:rPr>
        <w:t xml:space="preserve"> </w:t>
      </w:r>
      <w:r w:rsidR="000D5C84" w:rsidRPr="000C71A6">
        <w:rPr>
          <w:rFonts w:cs="Arial"/>
        </w:rPr>
        <w:t xml:space="preserve">As opposed to this, exogenous transmission </w:t>
      </w:r>
      <w:r w:rsidR="00327E79" w:rsidRPr="000C71A6">
        <w:rPr>
          <w:rFonts w:cs="Arial"/>
        </w:rPr>
        <w:t xml:space="preserve">happens during the first contact of the </w:t>
      </w:r>
      <w:r w:rsidR="00C71F52" w:rsidRPr="000C71A6">
        <w:rPr>
          <w:rFonts w:cs="Arial"/>
        </w:rPr>
        <w:t xml:space="preserve">pregnant dam </w:t>
      </w:r>
      <w:r w:rsidR="00357A65">
        <w:rPr>
          <w:rFonts w:cs="Arial"/>
        </w:rPr>
        <w:t>with</w:t>
      </w:r>
      <w:r w:rsidR="00C71F52" w:rsidRPr="000C71A6">
        <w:rPr>
          <w:rFonts w:cs="Arial"/>
        </w:rPr>
        <w:t xml:space="preserve"> the sporocyst and tachyzoite dissemination to </w:t>
      </w:r>
      <w:r w:rsidR="00F70870" w:rsidRPr="000C71A6">
        <w:rPr>
          <w:rFonts w:cs="Arial"/>
        </w:rPr>
        <w:t xml:space="preserve">the placenta and unborn foetus occurs </w:t>
      </w:r>
      <w:r w:rsidR="00333D92" w:rsidRPr="000C71A6">
        <w:rPr>
          <w:rFonts w:cs="Arial"/>
        </w:rPr>
        <w:t xml:space="preserve">once the intestinal barrier is broken </w:t>
      </w:r>
      <w:r w:rsidR="0074528A" w:rsidRPr="000C71A6">
        <w:rPr>
          <w:rFonts w:cs="Arial"/>
        </w:rPr>
        <w:fldChar w:fldCharType="begin" w:fldLock="1"/>
      </w:r>
      <w:r w:rsidR="004A4DFA">
        <w:rPr>
          <w:rFonts w:cs="Arial"/>
        </w:rPr>
        <w:instrText>ADDIN CSL_CITATION {"citationItems":[{"id":"ITEM-1","itemData":{"DOI":"10.1371/journal.pone.0268903","ISSN":"1932-6203","PMID":"35604902","abstract":"Background","author":[{"dropping-particle":"","family":"Nayeri","given":"Tooran","non-dropping-particle":"","parse-names":false,"suffix":""},{"dropping-particle":"","family":"Moosazadeh","given":"Mahmood","non-dropping-particle":"","parse-names":false,"suffix":""},{"dropping-particle":"","family":"Sarvi","given":"Shahabeddin","non-dropping-particle":"","parse-names":false,"suffix":""},{"dropping-particle":"","family":"Daryani","given":"Ahmad","non-dropping-particle":"","parse-names":false,"suffix":""}],"container-title":"PLOS ONE","editor":[{"dropping-particle":"","family":"Rosenthal","given":"Benjamin M.","non-dropping-particle":"","parse-names":false,"suffix":""}],"id":"ITEM-1","issue":"5","issued":{"date-parts":[["2022","5","23"]]},"page":"e0268903","publisher":"PLoS One","title":"Neospora caninum infection in aborting bovines and lost fetuses: A systematic review and meta-analysis","type":"article-journal","volume":"17"},"uris":["http://www.mendeley.com/documents/?uuid=213fcfe5-2cf2-3ed1-986b-a5773735de14"]},{"id":"ITEM-2","itemData":{"DOI":"10.1186/1297-9716-44-69","ISSN":"1297-9716","abstract":"The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Research","id":"ITEM-2","issue":"1","issued":{"date-parts":[["2013","12","10"]]},"page":"69","title":"Mucosal and systemic T cell response in mice intragastrically infected with Neospora caninum tachyzoites","type":"article-journal","volume":"44"},"uris":["http://www.mendeley.com/documents/?uuid=19882f4e-bdad-3bfb-8938-a1dba45db020"]}],"mendeley":{"formattedCitation":"[1], [13]","manualFormatting":"[1, 12]","plainTextFormattedCitation":"[1], [13]","previouslyFormattedCitation":"[1], [13]"},"properties":{"noteIndex":0},"schema":"https://github.com/citation-style-language/schema/raw/master/csl-citation.json"}</w:instrText>
      </w:r>
      <w:r w:rsidR="0074528A" w:rsidRPr="000C71A6">
        <w:rPr>
          <w:rFonts w:cs="Arial"/>
        </w:rPr>
        <w:fldChar w:fldCharType="separate"/>
      </w:r>
      <w:r w:rsidR="002410E7">
        <w:rPr>
          <w:rFonts w:cs="Arial"/>
          <w:noProof/>
        </w:rPr>
        <w:t xml:space="preserve">[1, </w:t>
      </w:r>
      <w:r w:rsidR="00F00084" w:rsidRPr="00F00084">
        <w:rPr>
          <w:rFonts w:cs="Arial"/>
          <w:noProof/>
        </w:rPr>
        <w:t>12]</w:t>
      </w:r>
      <w:r w:rsidR="0074528A" w:rsidRPr="000C71A6">
        <w:rPr>
          <w:rFonts w:cs="Arial"/>
        </w:rPr>
        <w:fldChar w:fldCharType="end"/>
      </w:r>
      <w:r w:rsidR="00012653" w:rsidRPr="000C71A6">
        <w:rPr>
          <w:rFonts w:cs="Arial"/>
        </w:rPr>
        <w:t>.</w:t>
      </w:r>
      <w:r w:rsidR="00B83F45" w:rsidRPr="000C71A6">
        <w:rPr>
          <w:rFonts w:cs="Arial"/>
        </w:rPr>
        <w:t xml:space="preserve"> </w:t>
      </w:r>
      <w:r w:rsidR="00357A65">
        <w:rPr>
          <w:rFonts w:cs="Arial"/>
        </w:rPr>
        <w:t>Regardless</w:t>
      </w:r>
      <w:r w:rsidR="00BA5C20" w:rsidRPr="000C71A6">
        <w:rPr>
          <w:rFonts w:cs="Arial"/>
        </w:rPr>
        <w:t xml:space="preserve"> </w:t>
      </w:r>
      <w:r w:rsidR="0042771D" w:rsidRPr="000C71A6">
        <w:rPr>
          <w:rFonts w:cs="Arial"/>
        </w:rPr>
        <w:t xml:space="preserve">the </w:t>
      </w:r>
      <w:r w:rsidR="00E66AB4" w:rsidRPr="000C71A6">
        <w:rPr>
          <w:rFonts w:cs="Arial"/>
        </w:rPr>
        <w:t>disease</w:t>
      </w:r>
      <w:r w:rsidR="006D7E30">
        <w:rPr>
          <w:rFonts w:cs="Arial"/>
        </w:rPr>
        <w:t xml:space="preserve"> origin</w:t>
      </w:r>
      <w:r w:rsidR="00BE32C4" w:rsidRPr="000C71A6">
        <w:rPr>
          <w:rFonts w:cs="Arial"/>
        </w:rPr>
        <w:t xml:space="preserve">, there are several and costly implications to the livestock industry: </w:t>
      </w:r>
      <w:r w:rsidR="00DB1574" w:rsidRPr="000C71A6">
        <w:rPr>
          <w:rFonts w:cs="Arial"/>
        </w:rPr>
        <w:t xml:space="preserve">abortion of the foetus in the third trimester of </w:t>
      </w:r>
      <w:r w:rsidR="003B53F5" w:rsidRPr="000C71A6">
        <w:rPr>
          <w:rFonts w:cs="Arial"/>
        </w:rPr>
        <w:t>pregnancy</w:t>
      </w:r>
      <w:r w:rsidR="00DB1574" w:rsidRPr="000C71A6">
        <w:rPr>
          <w:rFonts w:cs="Arial"/>
        </w:rPr>
        <w:t xml:space="preserve"> is very frequent</w:t>
      </w:r>
      <w:r w:rsidR="003B53F5" w:rsidRPr="000C71A6">
        <w:rPr>
          <w:rFonts w:cs="Arial"/>
        </w:rPr>
        <w:t xml:space="preserve">, but should the pregnancy be </w:t>
      </w:r>
      <w:r w:rsidR="000A7A44" w:rsidRPr="000C71A6">
        <w:rPr>
          <w:rFonts w:cs="Arial"/>
        </w:rPr>
        <w:t>carried out and the calf be born</w:t>
      </w:r>
      <w:r w:rsidR="006D7E30">
        <w:rPr>
          <w:rFonts w:cs="Arial"/>
        </w:rPr>
        <w:t>,</w:t>
      </w:r>
      <w:r w:rsidR="000A7A44" w:rsidRPr="000C71A6">
        <w:rPr>
          <w:rFonts w:cs="Arial"/>
        </w:rPr>
        <w:t xml:space="preserve"> it is likely that it will show signs of clinical disease or that it will be chro</w:t>
      </w:r>
      <w:r w:rsidR="00A43B97" w:rsidRPr="000C71A6">
        <w:rPr>
          <w:rFonts w:cs="Arial"/>
        </w:rPr>
        <w:t xml:space="preserve">nically infected for life </w:t>
      </w:r>
      <w:r w:rsidR="00A43B97" w:rsidRPr="000C71A6">
        <w:rPr>
          <w:rFonts w:cs="Arial"/>
        </w:rPr>
        <w:fldChar w:fldCharType="begin" w:fldLock="1"/>
      </w:r>
      <w:r w:rsidR="008824FA">
        <w:rPr>
          <w:rFonts w:cs="Arial"/>
        </w:rPr>
        <w:instrText>ADDIN CSL_CITATION {"citationItems":[{"id":"ITEM-1","itemData":{"DOI":"10.1371/journal.pone.0268903","ISSN":"1932-6203","PMID":"35604902","abstract":"Background","author":[{"dropping-particle":"","family":"Nayeri","given":"Tooran","non-dropping-particle":"","parse-names":false,"suffix":""},{"dropping-particle":"","family":"Moosazadeh","given":"Mahmood","non-dropping-particle":"","parse-names":false,"suffix":""},{"dropping-particle":"","family":"Sarvi","given":"Shahabeddin","non-dropping-particle":"","parse-names":false,"suffix":""},{"dropping-particle":"","family":"Daryani","given":"Ahmad","non-dropping-particle":"","parse-names":false,"suffix":""}],"container-title":"PLOS ONE","editor":[{"dropping-particle":"","family":"Rosenthal","given":"Benjamin M.","non-dropping-particle":"","parse-names":false,"suffix":""}],"id":"ITEM-1","issue":"5","issued":{"date-parts":[["2022","5","23"]]},"page":"e0268903","publisher":"PLoS One","title":"Neospora caninum infection in aborting bovines and lost fetuses: A systematic review and meta-analysis","type":"article-journal","volume":"17"},"uris":["http://www.mendeley.com/documents/?uuid=213fcfe5-2cf2-3ed1-986b-a5773735de14"]}],"mendeley":{"formattedCitation":"[1]","plainTextFormattedCitation":"[1]","previouslyFormattedCitation":"[1]"},"properties":{"noteIndex":0},"schema":"https://github.com/citation-style-language/schema/raw/master/csl-citation.json"}</w:instrText>
      </w:r>
      <w:r w:rsidR="00A43B97" w:rsidRPr="000C71A6">
        <w:rPr>
          <w:rFonts w:cs="Arial"/>
        </w:rPr>
        <w:fldChar w:fldCharType="separate"/>
      </w:r>
      <w:r w:rsidR="00F00084" w:rsidRPr="00F00084">
        <w:rPr>
          <w:rFonts w:cs="Arial"/>
          <w:noProof/>
        </w:rPr>
        <w:t>[1]</w:t>
      </w:r>
      <w:r w:rsidR="00A43B97" w:rsidRPr="000C71A6">
        <w:rPr>
          <w:rFonts w:cs="Arial"/>
        </w:rPr>
        <w:fldChar w:fldCharType="end"/>
      </w:r>
      <w:r w:rsidR="00A43B97" w:rsidRPr="000C71A6">
        <w:rPr>
          <w:rFonts w:cs="Arial"/>
        </w:rPr>
        <w:t>.</w:t>
      </w:r>
      <w:r w:rsidR="001542A8">
        <w:rPr>
          <w:rFonts w:cs="Arial"/>
        </w:rPr>
        <w:t xml:space="preserve"> </w:t>
      </w:r>
      <w:r w:rsidR="00471682">
        <w:rPr>
          <w:rFonts w:cs="Arial"/>
        </w:rPr>
        <w:t>T</w:t>
      </w:r>
      <w:r w:rsidR="00471682" w:rsidRPr="000C71A6">
        <w:rPr>
          <w:rFonts w:cs="Arial"/>
        </w:rPr>
        <w:t>here is no evidence that lactogenic transmission may occur in natural setups</w:t>
      </w:r>
      <w:r w:rsidR="00471682">
        <w:rPr>
          <w:rFonts w:cs="Arial"/>
        </w:rPr>
        <w:t>, although</w:t>
      </w:r>
      <w:r w:rsidR="00471682" w:rsidRPr="000C71A6">
        <w:rPr>
          <w:rFonts w:cs="Arial"/>
        </w:rPr>
        <w:t xml:space="preserve"> </w:t>
      </w:r>
      <w:r w:rsidR="00471682">
        <w:rPr>
          <w:rFonts w:cs="Arial"/>
        </w:rPr>
        <w:t>n</w:t>
      </w:r>
      <w:r w:rsidR="005C423F" w:rsidRPr="000C71A6">
        <w:rPr>
          <w:rFonts w:cs="Arial"/>
        </w:rPr>
        <w:t xml:space="preserve">ew-born calves </w:t>
      </w:r>
      <w:r w:rsidR="00471682">
        <w:rPr>
          <w:rFonts w:cs="Arial"/>
        </w:rPr>
        <w:t xml:space="preserve">could be </w:t>
      </w:r>
      <w:r w:rsidR="00471682" w:rsidRPr="000C71A6">
        <w:rPr>
          <w:rFonts w:cs="Arial"/>
        </w:rPr>
        <w:t xml:space="preserve">experimentally </w:t>
      </w:r>
      <w:r w:rsidR="005C423F" w:rsidRPr="000C71A6">
        <w:rPr>
          <w:rFonts w:cs="Arial"/>
        </w:rPr>
        <w:t xml:space="preserve">infected </w:t>
      </w:r>
      <w:r w:rsidR="009D6E85" w:rsidRPr="000C71A6">
        <w:rPr>
          <w:rFonts w:cs="Arial"/>
        </w:rPr>
        <w:t xml:space="preserve">by contaminated milk </w:t>
      </w:r>
      <w:r w:rsidR="002C0DB5" w:rsidRPr="000C71A6">
        <w:rPr>
          <w:rFonts w:cs="Arial"/>
        </w:rPr>
        <w:fldChar w:fldCharType="begin" w:fldLock="1"/>
      </w:r>
      <w:r w:rsidR="002410E7">
        <w:rPr>
          <w:rFonts w:cs="Arial"/>
        </w:rPr>
        <w:instrText>ADDIN CSL_CITATION {"citationItems":[{"id":"ITEM-1","itemData":{"DOI":"10.1128/CMR.00031-06","ISSN":"0893-8512","PMID":"17428888","abstract":"Neospora caninum is a protozoan parasite of animals. Until 1988, it was misidentified as Toxoplasma gondii. Since its first recognition in dogs in 1984 and the description of the new genus and species Neospora caninum in 1988, neosporosis has emerged as a serious disease of cattle and dogs worldwide. Abortions and neonatal mortality are a major problem in livestock operations, and neosporosis is a major cause of abortion in cattle. Although antibodies to N. caninum have been reported, the parasite has not been detected in human tissues. Thus, the zoonotic potential is uncertain. This review is focused mainly on the epidemiology and control of neosporosis in cattle, but worldwide seroprevalences of N. caninum in animals and humans are tabulated. The role of wildlife in the life cycle of N. caninum and strategies for the control of neosporosis in cattle are discussed. Copyright © 2007, American Society for Microbiology. All Rights Reserved.","author":[{"dropping-particle":"","family":"Dubey","given":"J. P.","non-dropping-particle":"","parse-names":false,"suffix":""},{"dropping-particle":"","family":"Schares","given":"G.","non-dropping-particle":"","parse-names":false,"suffix":""},{"dropping-particle":"","family":"Ortega-Mora","given":"L. M.","non-dropping-particle":"","parse-names":false,"suffix":""}],"container-title":"Clinical Microbiology Reviews","id":"ITEM-1","issue":"2","issued":{"date-parts":[["2007","4"]]},"page":"323-367","publisher":"American Society for Microbiology (ASM)","title":"Epidemiology and Control of Neosporosis and Neospora caninum","type":"article-journal","volume":"20"},"uris":["http://www.mendeley.com/documents/?uuid=70fcd63a-553e-3413-ab2d-6114b98716c2"]},{"id":"ITEM-2","itemData":{"DOI":"10.1016/J.IJPPAW.2015.04.002","ISSN":"2213-2244","abstract":"Neospora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Wildlife","id":"ITEM-2","issue":"2","issued":{"date-parts":[["2015","8","1"]]},"page":"216-238","publisher":"Elsevier","title":"A review of neosporosis and pathologic findings of Neospora caninum infection in wildlife","type":"article-journal","volume":"4"},"uris":["http://www.mendeley.com/documents/?uuid=0eb21b67-0b11-310b-bb97-5e8fd960f5bc"]}],"mendeley":{"formattedCitation":"[9], [10]","manualFormatting":"[9, 10]","plainTextFormattedCitation":"[9], [10]","previouslyFormattedCitation":"[9], [10]"},"properties":{"noteIndex":0},"schema":"https://github.com/citation-style-language/schema/raw/master/csl-citation.json"}</w:instrText>
      </w:r>
      <w:r w:rsidR="002C0DB5" w:rsidRPr="000C71A6">
        <w:rPr>
          <w:rFonts w:cs="Arial"/>
        </w:rPr>
        <w:fldChar w:fldCharType="separate"/>
      </w:r>
      <w:r w:rsidR="002410E7">
        <w:rPr>
          <w:rFonts w:cs="Arial"/>
          <w:noProof/>
        </w:rPr>
        <w:t xml:space="preserve">[9, </w:t>
      </w:r>
      <w:r w:rsidR="00F00084" w:rsidRPr="00F00084">
        <w:rPr>
          <w:rFonts w:cs="Arial"/>
          <w:noProof/>
        </w:rPr>
        <w:t>10]</w:t>
      </w:r>
      <w:r w:rsidR="002C0DB5" w:rsidRPr="000C71A6">
        <w:rPr>
          <w:rFonts w:cs="Arial"/>
        </w:rPr>
        <w:fldChar w:fldCharType="end"/>
      </w:r>
      <w:r w:rsidR="002C0DB5" w:rsidRPr="000C71A6">
        <w:rPr>
          <w:rFonts w:cs="Arial"/>
        </w:rPr>
        <w:t xml:space="preserve">. </w:t>
      </w:r>
      <w:r w:rsidR="004277B6" w:rsidRPr="000C71A6">
        <w:rPr>
          <w:rFonts w:cs="Arial"/>
        </w:rPr>
        <w:t xml:space="preserve">Similarly, </w:t>
      </w:r>
      <w:r w:rsidR="002C78CC" w:rsidRPr="000C71A6">
        <w:rPr>
          <w:rFonts w:cs="Arial"/>
        </w:rPr>
        <w:t xml:space="preserve">venereal transmission is </w:t>
      </w:r>
      <w:r w:rsidR="004F3A76" w:rsidRPr="000C71A6">
        <w:rPr>
          <w:rFonts w:cs="Arial"/>
        </w:rPr>
        <w:t xml:space="preserve">considered unlikely </w:t>
      </w:r>
      <w:r w:rsidR="007663DD" w:rsidRPr="000C71A6">
        <w:rPr>
          <w:rFonts w:cs="Arial"/>
        </w:rPr>
        <w:t>as</w:t>
      </w:r>
      <w:r w:rsidR="00A81614">
        <w:rPr>
          <w:rFonts w:cs="Arial"/>
        </w:rPr>
        <w:t>,</w:t>
      </w:r>
      <w:r w:rsidR="007663DD" w:rsidRPr="000C71A6">
        <w:rPr>
          <w:rFonts w:cs="Arial"/>
        </w:rPr>
        <w:t xml:space="preserve"> </w:t>
      </w:r>
      <w:r w:rsidR="00BA1FD0" w:rsidRPr="000C71A6">
        <w:rPr>
          <w:rFonts w:cs="Arial"/>
        </w:rPr>
        <w:t xml:space="preserve">even though parasitic DNA </w:t>
      </w:r>
      <w:r w:rsidR="00471682">
        <w:rPr>
          <w:rFonts w:cs="Arial"/>
        </w:rPr>
        <w:t>was</w:t>
      </w:r>
      <w:r w:rsidR="00BA1FD0" w:rsidRPr="000C71A6">
        <w:rPr>
          <w:rFonts w:cs="Arial"/>
        </w:rPr>
        <w:t xml:space="preserve"> detected in </w:t>
      </w:r>
      <w:r w:rsidR="00796480">
        <w:rPr>
          <w:rFonts w:cs="Arial"/>
        </w:rPr>
        <w:t xml:space="preserve">the semen of </w:t>
      </w:r>
      <w:r w:rsidR="00BA1FD0" w:rsidRPr="000C71A6">
        <w:rPr>
          <w:rFonts w:cs="Arial"/>
        </w:rPr>
        <w:t xml:space="preserve">bulls </w:t>
      </w:r>
      <w:r w:rsidR="00EE36DB" w:rsidRPr="000C71A6">
        <w:rPr>
          <w:rFonts w:cs="Arial"/>
        </w:rPr>
        <w:t xml:space="preserve">naturally </w:t>
      </w:r>
      <w:r w:rsidR="002C765D" w:rsidRPr="000C71A6">
        <w:rPr>
          <w:rFonts w:cs="Arial"/>
        </w:rPr>
        <w:t xml:space="preserve">exposed to the protozoan, </w:t>
      </w:r>
      <w:r w:rsidR="0060668D" w:rsidRPr="000C71A6">
        <w:rPr>
          <w:rFonts w:cs="Arial"/>
        </w:rPr>
        <w:t>viable organ</w:t>
      </w:r>
      <w:r w:rsidR="00666285" w:rsidRPr="000C71A6">
        <w:rPr>
          <w:rFonts w:cs="Arial"/>
        </w:rPr>
        <w:t xml:space="preserve">isms </w:t>
      </w:r>
      <w:r w:rsidR="00471682">
        <w:rPr>
          <w:rFonts w:cs="Arial"/>
        </w:rPr>
        <w:t>we</w:t>
      </w:r>
      <w:r w:rsidR="00666285" w:rsidRPr="000C71A6">
        <w:rPr>
          <w:rFonts w:cs="Arial"/>
        </w:rPr>
        <w:t>re very infrequent, and insemination with tachyzoite-contaminated semen</w:t>
      </w:r>
      <w:r w:rsidR="00D66AEB">
        <w:rPr>
          <w:rFonts w:cs="Arial"/>
        </w:rPr>
        <w:t xml:space="preserve"> (after being frozen and thawed)</w:t>
      </w:r>
      <w:r w:rsidR="00666285" w:rsidRPr="000C71A6">
        <w:rPr>
          <w:rFonts w:cs="Arial"/>
        </w:rPr>
        <w:t xml:space="preserve"> has failed to </w:t>
      </w:r>
      <w:r w:rsidR="004D29C5" w:rsidRPr="000C71A6">
        <w:rPr>
          <w:rFonts w:cs="Arial"/>
        </w:rPr>
        <w:t xml:space="preserve">develop infection in cows </w:t>
      </w:r>
      <w:r w:rsidR="004D29C5" w:rsidRPr="000C71A6">
        <w:rPr>
          <w:rFonts w:cs="Arial"/>
        </w:rPr>
        <w:fldChar w:fldCharType="begin" w:fldLock="1"/>
      </w:r>
      <w:r w:rsidR="008824FA">
        <w:rPr>
          <w:rFonts w:cs="Arial"/>
        </w:rPr>
        <w:instrText>ADDIN CSL_CITATION {"citationItems":[{"id":"ITEM-1","itemData":{"DOI":"10.1128/CMR.00031-06","ISSN":"0893-8512","PMID":"17428888","abstract":"Neospora caninum is a protozoan parasite of animals. Until 1988, it was misidentified as Toxoplasma gondii. Since its first recognition in dogs in 1984 and the description of the new genus and species Neospora caninum in 1988, neosporosis has emerged as a serious disease of cattle and dogs worldwide. Abortions and neonatal mortality are a major problem in livestock operations, and neosporosis is a major cause of abortion in cattle. Although antibodies to N. caninum have been reported, the parasite has not been detected in human tissues. Thus, the zoonotic potential is uncertain. This review is focused mainly on the epidemiology and control of neosporosis in cattle, but worldwide seroprevalences of N. caninum in animals and humans are tabulated. The role of wildlife in the life cycle of N. caninum and strategies for the control of neosporosis in cattle are discussed. Copyright © 2007, American Society for Microbiology. All Rights Reserved.","author":[{"dropping-particle":"","family":"Dubey","given":"J. P.","non-dropping-particle":"","parse-names":false,"suffix":""},{"dropping-particle":"","family":"Schares","given":"G.","non-dropping-particle":"","parse-names":false,"suffix":""},{"dropping-particle":"","family":"Ortega-Mora","given":"L. M.","non-dropping-particle":"","parse-names":false,"suffix":""}],"container-title":"Clinical Microbiology Reviews","id":"ITEM-1","issue":"2","issued":{"date-parts":[["2007","4"]]},"page":"323-367","publisher":"American Society for Microbiology (ASM)","title":"Epidemiology and Control of Neosporosis and Neospora caninum","type":"article-journal","volume":"20"},"uris":["http://www.mendeley.com/documents/?uuid=70fcd63a-553e-3413-ab2d-6114b98716c2"]}],"mendeley":{"formattedCitation":"[9]","plainTextFormattedCitation":"[9]","previouslyFormattedCitation":"[9]"},"properties":{"noteIndex":0},"schema":"https://github.com/citation-style-language/schema/raw/master/csl-citation.json"}</w:instrText>
      </w:r>
      <w:r w:rsidR="004D29C5" w:rsidRPr="000C71A6">
        <w:rPr>
          <w:rFonts w:cs="Arial"/>
        </w:rPr>
        <w:fldChar w:fldCharType="separate"/>
      </w:r>
      <w:r w:rsidR="00F00084" w:rsidRPr="00F00084">
        <w:rPr>
          <w:rFonts w:cs="Arial"/>
          <w:noProof/>
        </w:rPr>
        <w:t>[9]</w:t>
      </w:r>
      <w:r w:rsidR="004D29C5" w:rsidRPr="000C71A6">
        <w:rPr>
          <w:rFonts w:cs="Arial"/>
        </w:rPr>
        <w:fldChar w:fldCharType="end"/>
      </w:r>
      <w:r w:rsidR="004D29C5" w:rsidRPr="000C71A6">
        <w:rPr>
          <w:rFonts w:cs="Arial"/>
        </w:rPr>
        <w:t>.</w:t>
      </w:r>
      <w:r w:rsidR="00534638">
        <w:rPr>
          <w:rFonts w:cs="Arial"/>
        </w:rPr>
        <w:t xml:space="preserve"> </w:t>
      </w:r>
      <w:r w:rsidR="002C4101" w:rsidRPr="000C71A6">
        <w:rPr>
          <w:rFonts w:cs="Arial"/>
        </w:rPr>
        <w:t xml:space="preserve">Antibodies against </w:t>
      </w:r>
      <w:r w:rsidR="00BB38CE" w:rsidRPr="000C71A6">
        <w:rPr>
          <w:rFonts w:cs="Arial"/>
          <w:i/>
          <w:iCs/>
        </w:rPr>
        <w:t>N</w:t>
      </w:r>
      <w:r w:rsidR="00BB38CE">
        <w:rPr>
          <w:rFonts w:cs="Arial"/>
          <w:i/>
          <w:iCs/>
        </w:rPr>
        <w:t>.</w:t>
      </w:r>
      <w:r w:rsidR="00BB38CE" w:rsidRPr="000C71A6">
        <w:rPr>
          <w:rFonts w:cs="Arial"/>
          <w:i/>
          <w:iCs/>
        </w:rPr>
        <w:t xml:space="preserve"> </w:t>
      </w:r>
      <w:r w:rsidR="002C4101" w:rsidRPr="000C71A6">
        <w:rPr>
          <w:rFonts w:cs="Arial"/>
          <w:i/>
          <w:iCs/>
        </w:rPr>
        <w:t xml:space="preserve">caninum </w:t>
      </w:r>
      <w:r w:rsidR="002C4101" w:rsidRPr="000C71A6">
        <w:rPr>
          <w:rFonts w:cs="Arial"/>
        </w:rPr>
        <w:t xml:space="preserve">and </w:t>
      </w:r>
      <w:r w:rsidR="00B76DC3" w:rsidRPr="000C71A6">
        <w:rPr>
          <w:rFonts w:cs="Arial"/>
        </w:rPr>
        <w:t>parasitic DNA have</w:t>
      </w:r>
      <w:r w:rsidR="007560AD" w:rsidRPr="000C71A6">
        <w:rPr>
          <w:rFonts w:cs="Arial"/>
        </w:rPr>
        <w:t xml:space="preserve"> been detected in humans</w:t>
      </w:r>
      <w:r w:rsidR="00F34A4C" w:rsidRPr="000C71A6">
        <w:rPr>
          <w:rFonts w:cs="Arial"/>
        </w:rPr>
        <w:t>, which indicate exposure to the protozoan</w:t>
      </w:r>
      <w:r w:rsidR="007560AD" w:rsidRPr="000C71A6">
        <w:rPr>
          <w:rFonts w:cs="Arial"/>
        </w:rPr>
        <w:t xml:space="preserve">; however, </w:t>
      </w:r>
      <w:r w:rsidR="005F3DC0" w:rsidRPr="000C71A6">
        <w:rPr>
          <w:rFonts w:cs="Arial"/>
        </w:rPr>
        <w:t>the</w:t>
      </w:r>
      <w:r w:rsidR="008002E1" w:rsidRPr="000C71A6">
        <w:rPr>
          <w:rFonts w:cs="Arial"/>
        </w:rPr>
        <w:t xml:space="preserve"> zoonotic </w:t>
      </w:r>
      <w:r w:rsidR="00F34A4C" w:rsidRPr="000C71A6">
        <w:rPr>
          <w:rFonts w:cs="Arial"/>
        </w:rPr>
        <w:t xml:space="preserve">relevance of the disease is yet to be determined as </w:t>
      </w:r>
      <w:r w:rsidR="009B71E5" w:rsidRPr="000C71A6">
        <w:rPr>
          <w:rFonts w:cs="Arial"/>
        </w:rPr>
        <w:t>t</w:t>
      </w:r>
      <w:r w:rsidR="004E55BE" w:rsidRPr="000C71A6">
        <w:rPr>
          <w:rFonts w:cs="Arial"/>
        </w:rPr>
        <w:t>here has been no</w:t>
      </w:r>
      <w:r w:rsidR="00494079" w:rsidRPr="000C71A6">
        <w:rPr>
          <w:rFonts w:cs="Arial"/>
        </w:rPr>
        <w:t xml:space="preserve"> repor</w:t>
      </w:r>
      <w:r w:rsidR="00E22C7D" w:rsidRPr="000C71A6">
        <w:rPr>
          <w:rFonts w:cs="Arial"/>
        </w:rPr>
        <w:t xml:space="preserve">ts of </w:t>
      </w:r>
      <w:r w:rsidR="00B35A1A" w:rsidRPr="000C71A6">
        <w:rPr>
          <w:rFonts w:cs="Arial"/>
        </w:rPr>
        <w:t xml:space="preserve">cyst findings on human tissues </w:t>
      </w:r>
      <w:r w:rsidR="00B35A1A" w:rsidRPr="000C71A6">
        <w:rPr>
          <w:rFonts w:cs="Arial"/>
        </w:rPr>
        <w:fldChar w:fldCharType="begin" w:fldLock="1"/>
      </w:r>
      <w:r w:rsidR="004A4DFA">
        <w:rPr>
          <w:rFonts w:cs="Arial"/>
        </w:rPr>
        <w:instrText>ADDIN CSL_CITATION {"citationItems":[{"id":"ITEM-1","itemData":{"DOI":"10.1038/s41598-020-65991-1","ISSN":"2045-2322","PMID":"32493968","abstract":"Neosporosis primarily affects cattle and dogs and is not currently considered a zoonotic disease. Toxoplasmosis is a zoonosis with a worldwide distribution that is asymptomatic in most cases, but when acquired during pregnancy, it can have serious consequences. The seropositivity rates determined by the indirect fluorescent antibody test for Neospora caninum (N. caninum) and Toxoplasma gondii (T. gondii) were 24.3% (49 samples) and 26.8% (54 samples), respectively. PCR positivity for N. caninum was observed in two samples of cord blood (1%) using the Nc5 and ITS1 gene, positivity for T. gondii was observed in 16 samples using the primer for the B1 gene (5.5% positivity in cord blood and 2.5% positivity in placental tissue). None of the samples showed structures characteristic of tissue cysts or inflammatory infiltrate on histopathology. Significant associations were observed only between N. caninum seropositivity and the presence of domestic animals (p = 0.039) and presence of dogs (p = 0.038) and between T. gondii seropositivity and basic sanitation (p = 0.04). This study obtained important findings regarding the seroprevalence and molecular detection of N. caninum and T. gondii in pregnant women; however, more studies are necessary to establish a correlation between risk factors and infection.","author":[{"dropping-particle":"","family":"Duarte","given":"Pâmella Oliveira","non-dropping-particle":"","parse-names":false,"suffix":""},{"dropping-particle":"","family":"Oshiro","given":"Leandra Marla","non-dropping-particle":"","parse-names":false,"suffix":""},{"dropping-particle":"","family":"Zimmermann","given":"Namor Pinheiro","non-dropping-particle":"","parse-names":false,"suffix":""},{"dropping-particle":"","family":"Csordas","given":"Bárbara Guimarães","non-dropping-particle":"","parse-names":false,"suffix":""},{"dropping-particle":"","family":"Dourado","given":"Doroty Mesquita","non-dropping-particle":"","parse-names":false,"suffix":""},{"dropping-particle":"","family":"Barros","given":"Jacqueline Cavalcante","non-dropping-particle":"","parse-names":false,"suffix":""},{"dropping-particle":"","family":"Andreotti","given":"Renato","non-dropping-particle":"","parse-names":false,"suffix":""}],"container-title":"Scientific Reports 2020 10:1","id":"ITEM-1","issue":"1","issued":{"date-parts":[["2020","6","3"]]},"page":"1-8","publisher":"Nature Publishing Group","title":"Serological and molecular detection of Neospora caninum and Toxoplasma gondii in human umbilical cord blood and placental tissue samples","type":"article-journal","volume":"10"},"uris":["http://www.mendeley.com/documents/?uuid=8169919f-0e5e-34e3-9b03-db3a905e4f21"]},{"id":"ITEM-2","itemData":{"DOI":"10.1007/S12639-015-0661-5/FIGURES/8","ISSN":"09750703","abstract":"Toxoplasmosis, neosporosis, sarcosporidiosis (sarcocystosis) and trypanosomiasis are the common zoonotic protozoal diseases causing abortion which caused by single-celled protozoan parasites; Toxoplasma gondii, Neospora caninum, Sarcocystis spp and Trypanosoma evansi, respectively. Toxoplasmosis is generally considered the most important disease that causing abortion of both pregnant women and different female animals throughout the world, about third of human being population had antibodies against T. gondii. The infection can pass via placenta, causing encephalitis, chorio-retinitis, mental retardation and loss of vision in congenitally-infected children and stillbirth or mummification of the aborted fetuses of livestock. Neosporosis is recognized as a major cause of serious abortion in varieties of wild and domestic animals around the world particularly cattle, the disease cause serious economic losses among dairy and beef cattle due to decrease in milk and meat production. While unlike toxoplasmosis, neosporosis is not recognized as a human pathogen and evidence to date shows that neosporosis is only detected by serology in the human population. Sarcosporidiosis also can cause abortion in animals particularly cattle, buffaloes and sheep with acute infection through high dose of infection with sarcocysts. On the other hand, humans have been reported as final and intermediate host for sarcosporidiosis but not represent a serious health problem. Trypanosomiasis by T. evansi cause dangerous infection among domestic animals in tropical and subtropical areas. Several cases of abortion had been recorded in cattle and buffaloes infected with T. evansi while, a single case of human infection was reported in India. Trichomoniasis and babesiosis abortion occurs with non-zoonotic Trichomonas and Babesia species while the zoonotic species had not been incriminated in induction of abortion in both animals and man. The current review article concluded that there is still need of wide scope for evaluation of the zoonotic impact and control of these diseases.","author":[{"dropping-particle":"","family":"Shaapan","given":"Raafat Mohamed","non-dropping-particle":"","parse-names":false,"suffix":""}],"container-title":"Journal of Parasitic Diseases","id":"ITEM-2","issue":"4","issued":{"date-parts":[["2016","12","1"]]},"page":"1116-1129","publisher":"Springer India","title":"The common zoonotic protozoal diseases causing abortion","type":"article-journal","volume":"40"},"uris":["http://www.mendeley.com/documents/?uuid=f3d4a596-8fc8-32b5-a018-dffa57748fce"]}],"mendeley":{"formattedCitation":"[14], [15]","manualFormatting":"[13, 14]","plainTextFormattedCitation":"[14], [15]","previouslyFormattedCitation":"[14], [15]"},"properties":{"noteIndex":0},"schema":"https://github.com/citation-style-language/schema/raw/master/csl-citation.json"}</w:instrText>
      </w:r>
      <w:r w:rsidR="00B35A1A" w:rsidRPr="000C71A6">
        <w:rPr>
          <w:rFonts w:cs="Arial"/>
        </w:rPr>
        <w:fldChar w:fldCharType="separate"/>
      </w:r>
      <w:r w:rsidR="002410E7">
        <w:rPr>
          <w:rFonts w:cs="Arial"/>
          <w:noProof/>
        </w:rPr>
        <w:t xml:space="preserve">[13, </w:t>
      </w:r>
      <w:r w:rsidR="00F00084" w:rsidRPr="00F00084">
        <w:rPr>
          <w:rFonts w:cs="Arial"/>
          <w:noProof/>
        </w:rPr>
        <w:t>14]</w:t>
      </w:r>
      <w:r w:rsidR="00B35A1A" w:rsidRPr="000C71A6">
        <w:rPr>
          <w:rFonts w:cs="Arial"/>
        </w:rPr>
        <w:fldChar w:fldCharType="end"/>
      </w:r>
      <w:r w:rsidR="00E70F16" w:rsidRPr="000C71A6">
        <w:rPr>
          <w:rFonts w:cs="Arial"/>
        </w:rPr>
        <w:t>.</w:t>
      </w:r>
    </w:p>
    <w:p w14:paraId="2854F00E" w14:textId="6CA391C3" w:rsidR="00E40955" w:rsidRPr="000C71A6" w:rsidRDefault="00E70F16" w:rsidP="00534638">
      <w:pPr>
        <w:divId w:val="684404335"/>
        <w:rPr>
          <w:rFonts w:cs="Arial"/>
        </w:rPr>
      </w:pPr>
      <w:r w:rsidRPr="000C71A6">
        <w:rPr>
          <w:rFonts w:cs="Arial"/>
        </w:rPr>
        <w:t>There is no single strategy for the control of neosporosis</w:t>
      </w:r>
      <w:r w:rsidR="002F3CC8">
        <w:rPr>
          <w:rFonts w:cs="Arial"/>
        </w:rPr>
        <w:t>. A cost-benefit anal</w:t>
      </w:r>
      <w:r w:rsidR="0024624A">
        <w:rPr>
          <w:rFonts w:cs="Arial"/>
        </w:rPr>
        <w:t xml:space="preserve">ysis </w:t>
      </w:r>
      <w:r w:rsidR="00D810C5">
        <w:rPr>
          <w:rFonts w:cs="Arial"/>
        </w:rPr>
        <w:t xml:space="preserve">that </w:t>
      </w:r>
      <w:r w:rsidR="005453C2">
        <w:rPr>
          <w:rFonts w:cs="Arial"/>
        </w:rPr>
        <w:t>compares the costs of the preventive measures to the benefit of reducing the economic burden behind rep</w:t>
      </w:r>
      <w:r w:rsidR="00197272">
        <w:rPr>
          <w:rFonts w:cs="Arial"/>
        </w:rPr>
        <w:t xml:space="preserve">roduction failure must be accounted for when deciding </w:t>
      </w:r>
      <w:r w:rsidR="004D6DC5">
        <w:rPr>
          <w:rFonts w:cs="Arial"/>
        </w:rPr>
        <w:t xml:space="preserve">optimal control strategy </w:t>
      </w:r>
      <w:r w:rsidRPr="000C71A6">
        <w:rPr>
          <w:rFonts w:cs="Arial"/>
        </w:rPr>
        <w:fldChar w:fldCharType="begin" w:fldLock="1"/>
      </w:r>
      <w:r w:rsidR="008824FA">
        <w:rPr>
          <w:rFonts w:cs="Arial"/>
        </w:rPr>
        <w:instrText>ADDIN CSL_CITATION {"citationItems":[{"id":"ITEM-1","itemData":{"DOI":"10.1128/CMR.00031-06","ISSN":"0893-8512","PMID":"17428888","abstract":"Neospora caninum is a protozoan parasite of animals. Until 1988, it was misidentified as Toxoplasma gondii. Since its first recognition in dogs in 1984 and the description of the new genus and species Neospora caninum in 1988, neosporosis has emerged as a serious disease of cattle and dogs worldwide. Abortions and neonatal mortality are a major problem in livestock operations, and neosporosis is a major cause of abortion in cattle. Although antibodies to N. caninum have been reported, the parasite has not been detected in human tissues. Thus, the zoonotic potential is uncertain. This review is focused mainly on the epidemiology and control of neosporosis in cattle, but worldwide seroprevalences of N. caninum in animals and humans are tabulated. The role of wildlife in the life cycle of N. caninum and strategies for the control of neosporosis in cattle are discussed. Copyright © 2007, American Society for Microbiology. All Rights Reserved.","author":[{"dropping-particle":"","family":"Dubey","given":"J. P.","non-dropping-particle":"","parse-names":false,"suffix":""},{"dropping-particle":"","family":"Schares","given":"G.","non-dropping-particle":"","parse-names":false,"suffix":""},{"dropping-particle":"","family":"Ortega-Mora","given":"L. M.","non-dropping-particle":"","parse-names":false,"suffix":""}],"container-title":"Clinical Microbiology Reviews","id":"ITEM-1","issue":"2","issued":{"date-parts":[["2007","4"]]},"page":"323-367","publisher":"American Society for Microbiology (ASM)","title":"Epidemiology and Control of Neosporosis and Neospora caninum","type":"article-journal","volume":"20"},"uris":["http://www.mendeley.com/documents/?uuid=70fcd63a-553e-3413-ab2d-6114b98716c2"]}],"mendeley":{"formattedCitation":"[9]","plainTextFormattedCitation":"[9]","previouslyFormattedCitation":"[9]"},"properties":{"noteIndex":0},"schema":"https://github.com/citation-style-language/schema/raw/master/csl-citation.json"}</w:instrText>
      </w:r>
      <w:r w:rsidRPr="000C71A6">
        <w:rPr>
          <w:rFonts w:cs="Arial"/>
        </w:rPr>
        <w:fldChar w:fldCharType="separate"/>
      </w:r>
      <w:r w:rsidR="00F00084" w:rsidRPr="00F00084">
        <w:rPr>
          <w:rFonts w:cs="Arial"/>
          <w:noProof/>
        </w:rPr>
        <w:t>[9]</w:t>
      </w:r>
      <w:r w:rsidRPr="000C71A6">
        <w:rPr>
          <w:rFonts w:cs="Arial"/>
        </w:rPr>
        <w:fldChar w:fldCharType="end"/>
      </w:r>
      <w:r w:rsidRPr="000C71A6">
        <w:rPr>
          <w:rFonts w:cs="Arial"/>
        </w:rPr>
        <w:t xml:space="preserve">. </w:t>
      </w:r>
      <w:r w:rsidR="00E30CFD">
        <w:rPr>
          <w:rFonts w:cs="Arial"/>
        </w:rPr>
        <w:t xml:space="preserve">The primary goal for </w:t>
      </w:r>
      <w:r w:rsidR="000F391A" w:rsidRPr="000F391A">
        <w:rPr>
          <w:rFonts w:cs="Arial"/>
          <w:i/>
          <w:iCs/>
        </w:rPr>
        <w:t>N. caninum</w:t>
      </w:r>
      <w:r w:rsidR="000F391A">
        <w:rPr>
          <w:rFonts w:cs="Arial"/>
        </w:rPr>
        <w:t xml:space="preserve"> </w:t>
      </w:r>
      <w:r w:rsidR="00E30CFD">
        <w:rPr>
          <w:rFonts w:cs="Arial"/>
        </w:rPr>
        <w:t>free</w:t>
      </w:r>
      <w:r w:rsidR="000F391A">
        <w:rPr>
          <w:rFonts w:cs="Arial"/>
        </w:rPr>
        <w:t xml:space="preserve"> herds</w:t>
      </w:r>
      <w:r w:rsidR="00E30CFD">
        <w:rPr>
          <w:rFonts w:cs="Arial"/>
        </w:rPr>
        <w:t xml:space="preserve"> is</w:t>
      </w:r>
      <w:r w:rsidR="00EE6A4E">
        <w:rPr>
          <w:rFonts w:cs="Arial"/>
        </w:rPr>
        <w:t xml:space="preserve"> to remain free of </w:t>
      </w:r>
      <w:r w:rsidR="004823CE">
        <w:rPr>
          <w:rFonts w:cs="Arial"/>
        </w:rPr>
        <w:t>infection</w:t>
      </w:r>
      <w:r w:rsidR="00EE6A4E">
        <w:rPr>
          <w:rFonts w:cs="Arial"/>
        </w:rPr>
        <w:t xml:space="preserve">, while, in infected herds, it is </w:t>
      </w:r>
      <w:r w:rsidR="00C0023C">
        <w:rPr>
          <w:rFonts w:cs="Arial"/>
        </w:rPr>
        <w:t xml:space="preserve">to decrease the vertical and horizontal transmission within </w:t>
      </w:r>
      <w:r w:rsidR="00613671">
        <w:rPr>
          <w:rFonts w:cs="Arial"/>
        </w:rPr>
        <w:t xml:space="preserve">or outside the herd to impede further dissemination of the parasite </w:t>
      </w:r>
      <w:r w:rsidR="00E40955" w:rsidRPr="000C71A6">
        <w:rPr>
          <w:rFonts w:cs="Arial"/>
        </w:rPr>
        <w:fldChar w:fldCharType="begin" w:fldLock="1"/>
      </w:r>
      <w:r w:rsidR="008824FA">
        <w:rPr>
          <w:rFonts w:cs="Arial"/>
        </w:rPr>
        <w:instrText>ADDIN CSL_CITATION {"citationItems":[{"id":"ITEM-1","itemData":{"DOI":"10.1128/CMR.00031-06","ISSN":"0893-8512","PMID":"17428888","abstract":"Neospora caninum is a protozoan parasite of animals. Until 1988, it was misidentified as Toxoplasma gondii. Since its first recognition in dogs in 1984 and the description of the new genus and species Neospora caninum in 1988, neosporosis has emerged as a serious disease of cattle and dogs worldwide. Abortions and neonatal mortality are a major problem in livestock operations, and neosporosis is a major cause of abortion in cattle. Although antibodies to N. caninum have been reported, the parasite has not been detected in human tissues. Thus, the zoonotic potential is uncertain. This review is focused mainly on the epidemiology and control of neosporosis in cattle, but worldwide seroprevalences of N. caninum in animals and humans are tabulated. The role of wildlife in the life cycle of N. caninum and strategies for the control of neosporosis in cattle are discussed. Copyright © 2007, American Society for Microbiology. All Rights Reserved.","author":[{"dropping-particle":"","family":"Dubey","given":"J. P.","non-dropping-particle":"","parse-names":false,"suffix":""},{"dropping-particle":"","family":"Schares","given":"G.","non-dropping-particle":"","parse-names":false,"suffix":""},{"dropping-particle":"","family":"Ortega-Mora","given":"L. M.","non-dropping-particle":"","parse-names":false,"suffix":""}],"container-title":"Clinical Microbiology Reviews","id":"ITEM-1","issue":"2","issued":{"date-parts":[["2007","4"]]},"page":"323-367","publisher":"American Society for Microbiology (ASM)","title":"Epidemiology and Control of Neosporosis and Neospora caninum","type":"article-journal","volume":"20"},"uris":["http://www.mendeley.com/documents/?uuid=70fcd63a-553e-3413-ab2d-6114b98716c2"]}],"mendeley":{"formattedCitation":"[9]","plainTextFormattedCitation":"[9]","previouslyFormattedCitation":"[9]"},"properties":{"noteIndex":0},"schema":"https://github.com/citation-style-language/schema/raw/master/csl-citation.json"}</w:instrText>
      </w:r>
      <w:r w:rsidR="00E40955" w:rsidRPr="000C71A6">
        <w:rPr>
          <w:rFonts w:cs="Arial"/>
        </w:rPr>
        <w:fldChar w:fldCharType="separate"/>
      </w:r>
      <w:r w:rsidR="00F00084" w:rsidRPr="00F00084">
        <w:rPr>
          <w:rFonts w:cs="Arial"/>
          <w:noProof/>
        </w:rPr>
        <w:t>[9]</w:t>
      </w:r>
      <w:r w:rsidR="00E40955" w:rsidRPr="000C71A6">
        <w:rPr>
          <w:rFonts w:cs="Arial"/>
        </w:rPr>
        <w:fldChar w:fldCharType="end"/>
      </w:r>
      <w:r w:rsidR="00E40955" w:rsidRPr="000C71A6">
        <w:rPr>
          <w:rFonts w:cs="Arial"/>
        </w:rPr>
        <w:t>.</w:t>
      </w:r>
      <w:r w:rsidR="00534638">
        <w:rPr>
          <w:rFonts w:cs="Arial"/>
        </w:rPr>
        <w:t xml:space="preserve"> </w:t>
      </w:r>
      <w:r w:rsidR="00E40955" w:rsidRPr="000C71A6">
        <w:rPr>
          <w:rFonts w:cs="Arial"/>
        </w:rPr>
        <w:t xml:space="preserve">Biosecurity measures </w:t>
      </w:r>
      <w:r w:rsidR="000C3B5B" w:rsidRPr="000C71A6">
        <w:rPr>
          <w:rFonts w:cs="Arial"/>
        </w:rPr>
        <w:t xml:space="preserve">prevent the dissemination of the disease </w:t>
      </w:r>
      <w:r w:rsidR="00DF54CF">
        <w:rPr>
          <w:rFonts w:cs="Arial"/>
        </w:rPr>
        <w:t>within</w:t>
      </w:r>
      <w:r w:rsidR="000C3B5B" w:rsidRPr="000C71A6">
        <w:rPr>
          <w:rFonts w:cs="Arial"/>
        </w:rPr>
        <w:t xml:space="preserve"> infected or into healthy herds by: (1) quarantining and testing new animals to the herd</w:t>
      </w:r>
      <w:r w:rsidR="004823CE">
        <w:rPr>
          <w:rFonts w:cs="Arial"/>
        </w:rPr>
        <w:t>;</w:t>
      </w:r>
      <w:r w:rsidR="000C3B5B" w:rsidRPr="000C71A6">
        <w:rPr>
          <w:rFonts w:cs="Arial"/>
        </w:rPr>
        <w:t xml:space="preserve"> (2) preventing horizontal transmission</w:t>
      </w:r>
      <w:r w:rsidR="0022278E">
        <w:rPr>
          <w:rFonts w:cs="Arial"/>
        </w:rPr>
        <w:t xml:space="preserve"> to or</w:t>
      </w:r>
      <w:r w:rsidR="000C3B5B" w:rsidRPr="000C71A6">
        <w:rPr>
          <w:rFonts w:cs="Arial"/>
        </w:rPr>
        <w:t xml:space="preserve"> from definitive hosts (these should not have access to cattle’s feedstuff and water or cyst-infected tissues, and ideally their presence in farms should be avoided)</w:t>
      </w:r>
      <w:r w:rsidR="004823CE">
        <w:rPr>
          <w:rFonts w:cs="Arial"/>
        </w:rPr>
        <w:t>;</w:t>
      </w:r>
      <w:r w:rsidR="000C3B5B" w:rsidRPr="000C71A6">
        <w:rPr>
          <w:rFonts w:cs="Arial"/>
        </w:rPr>
        <w:t xml:space="preserve"> (3)</w:t>
      </w:r>
      <w:r w:rsidR="00497CA5" w:rsidRPr="000C71A6">
        <w:rPr>
          <w:rFonts w:cs="Arial"/>
        </w:rPr>
        <w:t xml:space="preserve"> controlling rodents</w:t>
      </w:r>
      <w:r w:rsidR="004823CE">
        <w:rPr>
          <w:rFonts w:cs="Arial"/>
        </w:rPr>
        <w:t>;</w:t>
      </w:r>
      <w:r w:rsidR="00497CA5" w:rsidRPr="000C71A6">
        <w:rPr>
          <w:rFonts w:cs="Arial"/>
        </w:rPr>
        <w:t xml:space="preserve"> and (4) avoiding disease recrudescence</w:t>
      </w:r>
      <w:r w:rsidR="004823CE">
        <w:rPr>
          <w:rFonts w:cs="Arial"/>
        </w:rPr>
        <w:t>. W</w:t>
      </w:r>
      <w:r w:rsidR="00497CA5" w:rsidRPr="000C71A6">
        <w:rPr>
          <w:rFonts w:cs="Arial"/>
        </w:rPr>
        <w:t xml:space="preserve">hile </w:t>
      </w:r>
      <w:r w:rsidR="0022278E">
        <w:rPr>
          <w:rFonts w:cs="Arial"/>
        </w:rPr>
        <w:t>immunomodulation</w:t>
      </w:r>
      <w:r w:rsidR="00497CA5" w:rsidRPr="000C71A6">
        <w:rPr>
          <w:rFonts w:cs="Arial"/>
        </w:rPr>
        <w:t xml:space="preserve"> during pregnancy might be hard to mitigate, supplying the animals with steady ambient conditions and </w:t>
      </w:r>
      <w:r w:rsidR="005676C4">
        <w:rPr>
          <w:rFonts w:cs="Arial"/>
        </w:rPr>
        <w:t>guaranteeing the well-being of all animals</w:t>
      </w:r>
      <w:r w:rsidR="00497CA5" w:rsidRPr="000C71A6">
        <w:rPr>
          <w:rFonts w:cs="Arial"/>
        </w:rPr>
        <w:t xml:space="preserve"> </w:t>
      </w:r>
      <w:r w:rsidR="005676C4">
        <w:rPr>
          <w:rFonts w:cs="Arial"/>
        </w:rPr>
        <w:t>can</w:t>
      </w:r>
      <w:r w:rsidR="00497CA5" w:rsidRPr="000C71A6">
        <w:rPr>
          <w:rFonts w:cs="Arial"/>
        </w:rPr>
        <w:t xml:space="preserve"> prevent immun</w:t>
      </w:r>
      <w:r w:rsidR="005676C4">
        <w:rPr>
          <w:rFonts w:cs="Arial"/>
        </w:rPr>
        <w:t>ity</w:t>
      </w:r>
      <w:r w:rsidR="00497CA5" w:rsidRPr="000C71A6">
        <w:rPr>
          <w:rFonts w:cs="Arial"/>
        </w:rPr>
        <w:t xml:space="preserve"> imbalance </w:t>
      </w:r>
      <w:r w:rsidR="00497CA5" w:rsidRPr="000C71A6">
        <w:rPr>
          <w:rFonts w:cs="Arial"/>
        </w:rPr>
        <w:fldChar w:fldCharType="begin" w:fldLock="1"/>
      </w:r>
      <w:r w:rsidR="008824FA">
        <w:rPr>
          <w:rFonts w:cs="Arial"/>
        </w:rPr>
        <w:instrText>ADDIN CSL_CITATION {"citationItems":[{"id":"ITEM-1","itemData":{"DOI":"10.1128/CMR.00031-06","ISSN":"0893-8512","PMID":"17428888","abstract":"Neospora caninum is a protozoan parasite of animals. Until 1988, it was misidentified as Toxoplasma gondii. Since its first recognition in dogs in 1984 and the description of the new genus and species Neospora caninum in 1988, neosporosis has emerged as a serious disease of cattle and dogs worldwide. Abortions and neonatal mortality are a major problem in livestock operations, and neosporosis is a major cause of abortion in cattle. Although antibodies to N. caninum have been reported, the parasite has not been detected in human tissues. Thus, the zoonotic potential is uncertain. This review is focused mainly on the epidemiology and control of neosporosis in cattle, but worldwide seroprevalences of N. caninum in animals and humans are tabulated. The role of wildlife in the life cycle of N. caninum and strategies for the control of neosporosis in cattle are discussed. Copyright © 2007, American Society for Microbiology. All Rights Reserved.","author":[{"dropping-particle":"","family":"Dubey","given":"J. P.","non-dropping-particle":"","parse-names":false,"suffix":""},{"dropping-particle":"","family":"Schares","given":"G.","non-dropping-particle":"","parse-names":false,"suffix":""},{"dropping-particle":"","family":"Ortega-Mora","given":"L. M.","non-dropping-particle":"","parse-names":false,"suffix":""}],"container-title":"Clinical Microbiology Reviews","id":"ITEM-1","issue":"2","issued":{"date-parts":[["2007","4"]]},"page":"323-367","publisher":"American Society for Microbiology (ASM)","title":"Epidemiology and Control of Neosporosis and Neospora caninum","type":"article-journal","volume":"20"},"uris":["http://www.mendeley.com/documents/?uuid=70fcd63a-553e-3413-ab2d-6114b98716c2"]}],"mendeley":{"formattedCitation":"[9]","plainTextFormattedCitation":"[9]","previouslyFormattedCitation":"[9]"},"properties":{"noteIndex":0},"schema":"https://github.com/citation-style-language/schema/raw/master/csl-citation.json"}</w:instrText>
      </w:r>
      <w:r w:rsidR="00497CA5" w:rsidRPr="000C71A6">
        <w:rPr>
          <w:rFonts w:cs="Arial"/>
        </w:rPr>
        <w:fldChar w:fldCharType="separate"/>
      </w:r>
      <w:r w:rsidR="00F00084" w:rsidRPr="00F00084">
        <w:rPr>
          <w:rFonts w:cs="Arial"/>
          <w:noProof/>
        </w:rPr>
        <w:t>[9]</w:t>
      </w:r>
      <w:r w:rsidR="00497CA5" w:rsidRPr="000C71A6">
        <w:rPr>
          <w:rFonts w:cs="Arial"/>
        </w:rPr>
        <w:fldChar w:fldCharType="end"/>
      </w:r>
      <w:r w:rsidR="00497CA5" w:rsidRPr="000C71A6">
        <w:rPr>
          <w:rFonts w:cs="Arial"/>
        </w:rPr>
        <w:t>.</w:t>
      </w:r>
    </w:p>
    <w:p w14:paraId="265D6F18" w14:textId="1A624A39" w:rsidR="00497CA5" w:rsidRPr="000C71A6" w:rsidRDefault="00497CA5" w:rsidP="00534638">
      <w:pPr>
        <w:divId w:val="684404335"/>
        <w:rPr>
          <w:rFonts w:cs="Arial"/>
        </w:rPr>
      </w:pPr>
      <w:r w:rsidRPr="000C71A6">
        <w:rPr>
          <w:rFonts w:cs="Arial"/>
        </w:rPr>
        <w:t xml:space="preserve">Adding to the </w:t>
      </w:r>
      <w:r w:rsidR="00152C96" w:rsidRPr="000C71A6">
        <w:rPr>
          <w:rFonts w:cs="Arial"/>
        </w:rPr>
        <w:t xml:space="preserve">biosecurity measures, it might be beneficial to consider several reproductive handling techniques to diminish dissemination in infected herds, such as: (1) transferring embryos into uninfected dams to avoid endogenous vertical transmission, and (2) artificial insemination </w:t>
      </w:r>
      <w:r w:rsidR="00DF3D76" w:rsidRPr="000C71A6">
        <w:rPr>
          <w:rFonts w:cs="Arial"/>
        </w:rPr>
        <w:t xml:space="preserve">(crossbreed pregnancies have shown benefits regarding placental functions) </w:t>
      </w:r>
      <w:r w:rsidR="00DF3D76" w:rsidRPr="000C71A6">
        <w:rPr>
          <w:rFonts w:cs="Arial"/>
        </w:rPr>
        <w:fldChar w:fldCharType="begin" w:fldLock="1"/>
      </w:r>
      <w:r w:rsidR="008824FA">
        <w:rPr>
          <w:rFonts w:cs="Arial"/>
        </w:rPr>
        <w:instrText>ADDIN CSL_CITATION {"citationItems":[{"id":"ITEM-1","itemData":{"DOI":"10.1128/CMR.00031-06","ISSN":"0893-8512","PMID":"17428888","abstract":"Neospora caninum is a protozoan parasite of animals. Until 1988, it was misidentified as Toxoplasma gondii. Since its first recognition in dogs in 1984 and the description of the new genus and species Neospora caninum in 1988, neosporosis has emerged as a serious disease of cattle and dogs worldwide. Abortions and neonatal mortality are a major problem in livestock operations, and neosporosis is a major cause of abortion in cattle. Although antibodies to N. caninum have been reported, the parasite has not been detected in human tissues. Thus, the zoonotic potential is uncertain. This review is focused mainly on the epidemiology and control of neosporosis in cattle, but worldwide seroprevalences of N. caninum in animals and humans are tabulated. The role of wildlife in the life cycle of N. caninum and strategies for the control of neosporosis in cattle are discussed. Copyright © 2007, American Society for Microbiology. All Rights Reserved.","author":[{"dropping-particle":"","family":"Dubey","given":"J. P.","non-dropping-particle":"","parse-names":false,"suffix":""},{"dropping-particle":"","family":"Schares","given":"G.","non-dropping-particle":"","parse-names":false,"suffix":""},{"dropping-particle":"","family":"Ortega-Mora","given":"L. M.","non-dropping-particle":"","parse-names":false,"suffix":""}],"container-title":"Clinical Microbiology Reviews","id":"ITEM-1","issue":"2","issued":{"date-parts":[["2007","4"]]},"page":"323-367","publisher":"American Society for Microbiology (ASM)","title":"Epidemiology and Control of Neosporosis and Neospora caninum","type":"article-journal","volume":"20"},"uris":["http://www.mendeley.com/documents/?uuid=70fcd63a-553e-3413-ab2d-6114b98716c2"]}],"mendeley":{"formattedCitation":"[9]","plainTextFormattedCitation":"[9]","previouslyFormattedCitation":"[9]"},"properties":{"noteIndex":0},"schema":"https://github.com/citation-style-language/schema/raw/master/csl-citation.json"}</w:instrText>
      </w:r>
      <w:r w:rsidR="00DF3D76" w:rsidRPr="000C71A6">
        <w:rPr>
          <w:rFonts w:cs="Arial"/>
        </w:rPr>
        <w:fldChar w:fldCharType="separate"/>
      </w:r>
      <w:r w:rsidR="00F00084" w:rsidRPr="00F00084">
        <w:rPr>
          <w:rFonts w:cs="Arial"/>
          <w:noProof/>
        </w:rPr>
        <w:t>[9]</w:t>
      </w:r>
      <w:r w:rsidR="00DF3D76" w:rsidRPr="000C71A6">
        <w:rPr>
          <w:rFonts w:cs="Arial"/>
        </w:rPr>
        <w:fldChar w:fldCharType="end"/>
      </w:r>
      <w:r w:rsidR="00DF3D76" w:rsidRPr="000C71A6">
        <w:rPr>
          <w:rFonts w:cs="Arial"/>
        </w:rPr>
        <w:t>.</w:t>
      </w:r>
      <w:r w:rsidR="00534638">
        <w:rPr>
          <w:rFonts w:cs="Arial"/>
        </w:rPr>
        <w:t xml:space="preserve"> </w:t>
      </w:r>
      <w:r w:rsidR="00DF3D76" w:rsidRPr="000C71A6">
        <w:rPr>
          <w:rFonts w:cs="Arial"/>
        </w:rPr>
        <w:t>Other options include a test and cull approach. Here, the cost-benefit analysis is essential to determin</w:t>
      </w:r>
      <w:r w:rsidR="009840CA" w:rsidRPr="000C71A6">
        <w:rPr>
          <w:rFonts w:cs="Arial"/>
        </w:rPr>
        <w:t>e if the economic burden is bearable</w:t>
      </w:r>
      <w:r w:rsidR="0075289F">
        <w:rPr>
          <w:rFonts w:cs="Arial"/>
        </w:rPr>
        <w:t>.</w:t>
      </w:r>
      <w:r w:rsidR="009840CA" w:rsidRPr="000C71A6">
        <w:rPr>
          <w:rFonts w:cs="Arial"/>
        </w:rPr>
        <w:t xml:space="preserve"> </w:t>
      </w:r>
      <w:r w:rsidR="0075289F">
        <w:rPr>
          <w:rFonts w:cs="Arial"/>
        </w:rPr>
        <w:t>C</w:t>
      </w:r>
      <w:r w:rsidR="009840CA" w:rsidRPr="000C71A6">
        <w:rPr>
          <w:rFonts w:cs="Arial"/>
        </w:rPr>
        <w:t>ulling infected animals is effective when it comes to preventing dissemination of the disease but the economic burden m</w:t>
      </w:r>
      <w:r w:rsidR="00F52C18" w:rsidRPr="000C71A6">
        <w:rPr>
          <w:rFonts w:cs="Arial"/>
        </w:rPr>
        <w:t>ight not be</w:t>
      </w:r>
      <w:r w:rsidR="00305829">
        <w:rPr>
          <w:rFonts w:cs="Arial"/>
        </w:rPr>
        <w:t xml:space="preserve"> entirely</w:t>
      </w:r>
      <w:r w:rsidR="00F52C18" w:rsidRPr="000C71A6">
        <w:rPr>
          <w:rFonts w:cs="Arial"/>
        </w:rPr>
        <w:t xml:space="preserve"> realistic</w:t>
      </w:r>
      <w:r w:rsidR="00305829">
        <w:rPr>
          <w:rFonts w:cs="Arial"/>
        </w:rPr>
        <w:t xml:space="preserve"> or </w:t>
      </w:r>
      <w:r w:rsidR="001F54E5">
        <w:rPr>
          <w:rFonts w:cs="Arial"/>
        </w:rPr>
        <w:t>bearable by the owner</w:t>
      </w:r>
      <w:r w:rsidR="00F52C18" w:rsidRPr="000C71A6">
        <w:rPr>
          <w:rFonts w:cs="Arial"/>
        </w:rPr>
        <w:t xml:space="preserve"> </w:t>
      </w:r>
      <w:r w:rsidR="00F52C18" w:rsidRPr="000C71A6">
        <w:rPr>
          <w:rFonts w:cs="Arial"/>
        </w:rPr>
        <w:fldChar w:fldCharType="begin" w:fldLock="1"/>
      </w:r>
      <w:r w:rsidR="008824FA">
        <w:rPr>
          <w:rFonts w:cs="Arial"/>
        </w:rPr>
        <w:instrText>ADDIN CSL_CITATION {"citationItems":[{"id":"ITEM-1","itemData":{"DOI":"10.1128/CMR.00031-06","ISSN":"0893-8512","PMID":"17428888","abstract":"Neospora caninum is a protozoan parasite of animals. Until 1988, it was misidentified as Toxoplasma gondii. Since its first recognition in dogs in 1984 and the description of the new genus and species Neospora caninum in 1988, neosporosis has emerged as a serious disease of cattle and dogs worldwide. Abortions and neonatal mortality are a major problem in livestock operations, and neosporosis is a major cause of abortion in cattle. Although antibodies to N. caninum have been reported, the parasite has not been detected in human tissues. Thus, the zoonotic potential is uncertain. This review is focused mainly on the epidemiology and control of neosporosis in cattle, but worldwide seroprevalences of N. caninum in animals and humans are tabulated. The role of wildlife in the life cycle of N. caninum and strategies for the control of neosporosis in cattle are discussed. Copyright © 2007, American Society for Microbiology. All Rights Reserved.","author":[{"dropping-particle":"","family":"Dubey","given":"J. P.","non-dropping-particle":"","parse-names":false,"suffix":""},{"dropping-particle":"","family":"Schares","given":"G.","non-dropping-particle":"","parse-names":false,"suffix":""},{"dropping-particle":"","family":"Ortega-Mora","given":"L. M.","non-dropping-particle":"","parse-names":false,"suffix":""}],"container-title":"Clinical Microbiology Reviews","id":"ITEM-1","issue":"2","issued":{"date-parts":[["2007","4"]]},"page":"323-367","publisher":"American Society for Microbiology (ASM)","title":"Epidemiology and Control of Neosporosis and Neospora caninum","type":"article-journal","volume":"20"},"uris":["http://www.mendeley.com/documents/?uuid=70fcd63a-553e-3413-ab2d-6114b98716c2"]}],"mendeley":{"formattedCitation":"[9]","plainTextFormattedCitation":"[9]","previouslyFormattedCitation":"[9]"},"properties":{"noteIndex":0},"schema":"https://github.com/citation-style-language/schema/raw/master/csl-citation.json"}</w:instrText>
      </w:r>
      <w:r w:rsidR="00F52C18" w:rsidRPr="000C71A6">
        <w:rPr>
          <w:rFonts w:cs="Arial"/>
        </w:rPr>
        <w:fldChar w:fldCharType="separate"/>
      </w:r>
      <w:r w:rsidR="00F00084" w:rsidRPr="00F00084">
        <w:rPr>
          <w:rFonts w:cs="Arial"/>
          <w:noProof/>
        </w:rPr>
        <w:t>[9]</w:t>
      </w:r>
      <w:r w:rsidR="00F52C18" w:rsidRPr="000C71A6">
        <w:rPr>
          <w:rFonts w:cs="Arial"/>
        </w:rPr>
        <w:fldChar w:fldCharType="end"/>
      </w:r>
      <w:r w:rsidR="00F52C18" w:rsidRPr="000C71A6">
        <w:rPr>
          <w:rFonts w:cs="Arial"/>
        </w:rPr>
        <w:t>.</w:t>
      </w:r>
    </w:p>
    <w:p w14:paraId="19C3A889" w14:textId="4842F41C" w:rsidR="00CE1BFD" w:rsidRPr="00F05A74" w:rsidRDefault="00F52C18" w:rsidP="00F05A74">
      <w:pPr>
        <w:divId w:val="684404335"/>
        <w:rPr>
          <w:rFonts w:cs="Arial"/>
        </w:rPr>
      </w:pPr>
      <w:r w:rsidRPr="000C71A6">
        <w:rPr>
          <w:rFonts w:cs="Arial"/>
        </w:rPr>
        <w:t>At this point</w:t>
      </w:r>
      <w:r w:rsidR="0075289F">
        <w:rPr>
          <w:rFonts w:cs="Arial"/>
        </w:rPr>
        <w:t>,</w:t>
      </w:r>
      <w:r w:rsidRPr="000C71A6">
        <w:rPr>
          <w:rFonts w:cs="Arial"/>
        </w:rPr>
        <w:t xml:space="preserve"> there is no </w:t>
      </w:r>
      <w:r w:rsidR="0075289F">
        <w:rPr>
          <w:rFonts w:cs="Arial"/>
        </w:rPr>
        <w:t>approved</w:t>
      </w:r>
      <w:r w:rsidRPr="000C71A6">
        <w:rPr>
          <w:rFonts w:cs="Arial"/>
        </w:rPr>
        <w:t xml:space="preserve"> drug treatment or </w:t>
      </w:r>
      <w:r w:rsidR="00704B3B">
        <w:rPr>
          <w:rFonts w:cs="Arial"/>
        </w:rPr>
        <w:t>commercially available vaccines</w:t>
      </w:r>
      <w:r w:rsidRPr="000C71A6">
        <w:rPr>
          <w:rFonts w:cs="Arial"/>
        </w:rPr>
        <w:t xml:space="preserve"> against neosporosis</w:t>
      </w:r>
      <w:r w:rsidR="00704B3B">
        <w:rPr>
          <w:rFonts w:cs="Arial"/>
        </w:rPr>
        <w:t>.</w:t>
      </w:r>
      <w:r w:rsidRPr="000C71A6">
        <w:rPr>
          <w:rFonts w:cs="Arial"/>
        </w:rPr>
        <w:t xml:space="preserve"> </w:t>
      </w:r>
      <w:r w:rsidR="00704B3B">
        <w:rPr>
          <w:rFonts w:cs="Arial"/>
        </w:rPr>
        <w:t>H</w:t>
      </w:r>
      <w:r w:rsidRPr="000C71A6">
        <w:rPr>
          <w:rFonts w:cs="Arial"/>
        </w:rPr>
        <w:t>owever, in the later years</w:t>
      </w:r>
      <w:r w:rsidR="00704B3B">
        <w:rPr>
          <w:rFonts w:cs="Arial"/>
        </w:rPr>
        <w:t>,</w:t>
      </w:r>
      <w:r w:rsidRPr="000C71A6">
        <w:rPr>
          <w:rFonts w:cs="Arial"/>
        </w:rPr>
        <w:t xml:space="preserve"> there has been substantial advances on the development of vaccines </w:t>
      </w:r>
      <w:r w:rsidRPr="000C71A6">
        <w:rPr>
          <w:rFonts w:cs="Arial"/>
        </w:rPr>
        <w:fldChar w:fldCharType="begin" w:fldLock="1"/>
      </w:r>
      <w:r w:rsidR="004A4DFA">
        <w:rPr>
          <w:rFonts w:cs="Arial"/>
        </w:rPr>
        <w:instrText>ADDIN CSL_CITATION {"citationItems":[{"id":"ITEM-1","itemData":{"DOI":"10.3390/PATHOGENS9060505","ISSN":"2076-0817","PMID":"32585955","abstract":"Background: Neospora caninum has been recognised world-wide, first as a disease of dogs, then as an important cause of abortions in cattle for the past thirty years. Over that time period, there have been improvements in the diagnosis of infection and abortion, new tests have been developed and validated, and it is timely to review progress to date. Methods: Bibliometric methods were used to identify major trends and research topics present in the published literature on N. caninum. The tools used were SWIFT-Review, VOSviewer and SciMAT, along with the published papers found in the MEDLINE, Dimensions and Web of Science databases. A systematic review of the published Neospora literature (n = 2933) was also carried out via MEDLINE and systematically appraised for publications relevant to the pathogenesis, pathology and diagnosis of Neospora abortions. Results: A total of 92 publications were included in the final analysis and grouped into four main time periods. In these four different time periods, the main research themes were “dogs”, “abortion”, “seroprevalence” and “infection”. Diagnostics, including PCR, dominated the first two time periods, with an increased focus on transmission and abortions, and its risk factors in cattle. Conclusions: Longitudinal analyses indicated that the main themes were consistently investigated over the last 30 years through a wide range of studies, with evolving emphasis initially on dogs and diagnostic test development, followed by application to cattle, the identification of the risk factors leading to abortion, and in the latter time periods, an understanding of the immunity and a search for vaccines.","author":[{"dropping-particle":"","family":"Reichel","given":"Michael P.","non-dropping-particle":"","parse-names":false,"suffix":""},{"dropping-particle":"","family":"Wahl","given":"Lloyd C.","non-dropping-particle":"","parse-names":false,"suffix":""},{"dropping-particle":"","family":"Ellis","given":"John T.","non-dropping-particle":"","parse-names":false,"suffix":""}],"container-title":"Pathogens (Basel, Switzerland)","id":"ITEM-1","issue":"6","issued":{"date-parts":[["2020","6","1"]]},"page":"1-18","publisher":"Pathogens","title":"Research into Neospora caninum-What Have We Learnt in the Last Thirty Years?","type":"article-journal","volume":"9"},"uris":["http://www.mendeley.com/documents/?uuid=dc62490f-1ac7-311b-9349-3a260b3cb981"]}],"mendeley":{"formattedCitation":"[16]","plainTextFormattedCitation":"[16]","previouslyFormattedCitation":"[16]"},"properties":{"noteIndex":0},"schema":"https://github.com/citation-style-language/schema/raw/master/csl-citation.json"}</w:instrText>
      </w:r>
      <w:r w:rsidRPr="000C71A6">
        <w:rPr>
          <w:rFonts w:cs="Arial"/>
        </w:rPr>
        <w:fldChar w:fldCharType="separate"/>
      </w:r>
      <w:r w:rsidR="004A4DFA" w:rsidRPr="004A4DFA">
        <w:rPr>
          <w:rFonts w:cs="Arial"/>
          <w:noProof/>
        </w:rPr>
        <w:t>[16]</w:t>
      </w:r>
      <w:r w:rsidRPr="000C71A6">
        <w:rPr>
          <w:rFonts w:cs="Arial"/>
        </w:rPr>
        <w:fldChar w:fldCharType="end"/>
      </w:r>
      <w:r w:rsidRPr="000C71A6">
        <w:rPr>
          <w:rFonts w:cs="Arial"/>
        </w:rPr>
        <w:t>.</w:t>
      </w:r>
    </w:p>
    <w:p w14:paraId="68995ECB" w14:textId="4C858FE5" w:rsidR="008D59E4" w:rsidRPr="000C71A6" w:rsidRDefault="00E90F8F" w:rsidP="00A078BC">
      <w:pPr>
        <w:pStyle w:val="Estilo1"/>
        <w:divId w:val="684404335"/>
      </w:pPr>
      <w:bookmarkStart w:id="12" w:name="_Toc111229789"/>
      <w:bookmarkStart w:id="13" w:name="_Toc111229827"/>
      <w:bookmarkStart w:id="14" w:name="_Toc115037807"/>
      <w:r>
        <w:t xml:space="preserve">1.2. </w:t>
      </w:r>
      <w:r w:rsidR="00A11A26" w:rsidRPr="000C71A6">
        <w:t>Host immune response</w:t>
      </w:r>
      <w:bookmarkEnd w:id="12"/>
      <w:bookmarkEnd w:id="13"/>
      <w:bookmarkEnd w:id="14"/>
    </w:p>
    <w:p w14:paraId="301A3219" w14:textId="7FCBC6B5" w:rsidR="00472D79" w:rsidRPr="000C71A6" w:rsidRDefault="0051079A" w:rsidP="00472D79">
      <w:pPr>
        <w:divId w:val="684404335"/>
        <w:rPr>
          <w:rFonts w:cs="Arial"/>
          <w:color w:val="000000"/>
        </w:rPr>
      </w:pPr>
      <w:r>
        <w:rPr>
          <w:rFonts w:cs="Arial"/>
          <w:color w:val="000000"/>
        </w:rPr>
        <w:t>Host</w:t>
      </w:r>
      <w:r w:rsidR="00E32282" w:rsidRPr="000C71A6">
        <w:rPr>
          <w:rFonts w:cs="Arial"/>
          <w:color w:val="000000"/>
        </w:rPr>
        <w:t xml:space="preserve"> resistance</w:t>
      </w:r>
      <w:r>
        <w:rPr>
          <w:rFonts w:cs="Arial"/>
          <w:color w:val="000000"/>
        </w:rPr>
        <w:t xml:space="preserve"> to</w:t>
      </w:r>
      <w:r w:rsidR="00E32282" w:rsidRPr="000C71A6">
        <w:rPr>
          <w:rFonts w:cs="Arial"/>
          <w:color w:val="000000"/>
        </w:rPr>
        <w:t xml:space="preserve"> </w:t>
      </w:r>
      <w:r w:rsidRPr="000C71A6">
        <w:rPr>
          <w:rFonts w:cs="Arial"/>
          <w:i/>
          <w:color w:val="000000"/>
        </w:rPr>
        <w:t>N</w:t>
      </w:r>
      <w:r>
        <w:rPr>
          <w:rFonts w:cs="Arial"/>
          <w:i/>
          <w:color w:val="000000"/>
        </w:rPr>
        <w:t>.</w:t>
      </w:r>
      <w:r w:rsidRPr="000C71A6">
        <w:rPr>
          <w:rFonts w:cs="Arial"/>
          <w:i/>
          <w:color w:val="000000"/>
        </w:rPr>
        <w:t xml:space="preserve"> caninum </w:t>
      </w:r>
      <w:r w:rsidR="00E32282" w:rsidRPr="000C71A6">
        <w:rPr>
          <w:rFonts w:cs="Arial"/>
          <w:color w:val="000000"/>
        </w:rPr>
        <w:t xml:space="preserve">is associated with a predominant </w:t>
      </w:r>
      <w:r w:rsidR="004A7B04" w:rsidRPr="000C71A6">
        <w:rPr>
          <w:rFonts w:cs="Arial"/>
          <w:color w:val="000000"/>
        </w:rPr>
        <w:t xml:space="preserve">T helper </w:t>
      </w:r>
      <w:r w:rsidR="00E32282" w:rsidRPr="000C71A6">
        <w:rPr>
          <w:rFonts w:cs="Arial"/>
          <w:color w:val="000000"/>
        </w:rPr>
        <w:t xml:space="preserve">type 1 (Th1) response where pro-inflammatory cytokines interleukin (IL)-12 and interferon (IFN)-γ have a key role </w:t>
      </w:r>
      <w:r>
        <w:rPr>
          <w:rFonts w:cs="Arial"/>
          <w:color w:val="000000"/>
        </w:rPr>
        <w:t>i</w:t>
      </w:r>
      <w:r w:rsidR="00E32282" w:rsidRPr="000C71A6">
        <w:rPr>
          <w:rFonts w:cs="Arial"/>
          <w:color w:val="000000"/>
        </w:rPr>
        <w:t>n controlling the acute infection by promoting Th</w:t>
      </w:r>
      <w:r w:rsidR="006B7B6F">
        <w:rPr>
          <w:rFonts w:cs="Arial"/>
          <w:color w:val="000000"/>
        </w:rPr>
        <w:t>1</w:t>
      </w:r>
      <w:r w:rsidR="00E32282" w:rsidRPr="000C71A6">
        <w:rPr>
          <w:rFonts w:cs="Arial"/>
          <w:color w:val="000000"/>
        </w:rPr>
        <w:t xml:space="preserve"> cells development </w:t>
      </w:r>
      <w:r w:rsidR="00E32282" w:rsidRPr="000C71A6">
        <w:rPr>
          <w:rFonts w:cs="Arial"/>
          <w:color w:val="000000"/>
        </w:rPr>
        <w:fldChar w:fldCharType="begin" w:fldLock="1"/>
      </w:r>
      <w:r w:rsidR="004A4DFA">
        <w:rPr>
          <w:rFonts w:cs="Arial"/>
          <w:color w:val="000000"/>
        </w:rPr>
        <w:instrText>ADDIN CSL_CITATION {"citationItems":[{"id":"ITEM-1","itemData":{"DOI":"10.1016/J.IJPPAW.2015.04.002","ISSN":"2213-2244","abstract":"Neospora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Wildlife","id":"ITEM-1","issue":"2","issued":{"date-parts":[["2015","8","1"]]},"page":"216-238","publisher":"Elsevier","title":"A review of neosporosis and pathologic findings of Neospora caninum infection in wildlife","type":"article-journal","volume":"4"},"uris":["http://www.mendeley.com/documents/?uuid=0eb21b67-0b11-310b-bb97-5e8fd960f5bc"]},{"id":"ITEM-2","itemData":{"DOI":"10.1038/ICB.2009.65","ISSN":"1440-1711","PMID":"19755980","abstract":"Neospora caninum is a coccidian parasite causative of clinical infections in a wide range of animal hosts. The maturation and activation of splenic conventional dendritic cells (cDCs) and plasmacytoid dendritic cells (pDCs) were studied here in BALB/c mice challenged intraperitoneal with N. caninum tachyzoites. The number of cDCs was found to decrease in the spleen of the infected mice 12 h and 2 days after the parasitic challenge, whereas at day 5 after infection it was significantly above that of mock-infected controls. In contrast, the number of splenic pDCs did not change significantly on infection. In the infected mice, both cell subtypes displayed an activated phenotype with upregulation of costimulatory and MHC class II molecules. This stimulatory effect was more marked at the earliest assessed time point after infection, 12 h, when a clear increase in the frequency of cDCs (CD8α+ and CD8α- ) and pDCs producing interleukin-12 (IL-12) was also observed. N. caninum tachyzoites could be observed by confocal microscopy associated with sorted DCs. Overall, these results present the first evidence that both cDCs and pDCs mediate in vivo the innate immune response to N. caninum infection through the production of IL-12, a key cytokine for host resistance to neosporosis. © 2010 Australasian Society for Immunology Inc. All rights reserved.","author":[{"dropping-particle":"","family":"Teixeira","given":"Luzia","non-dropping-particle":"","parse-names":false,"suffix":""},{"dropping-particle":"","family":"Botelho","given":"Ana Sofia","non-dropping-particle":"","parse-names":false,"suffix":""},{"dropping-particle":"","family":"Mesquita","given":"Sandro Dá","non-dropping-particle":"","parse-names":false,"suffix":""},{"dropping-particle":"","family":"Correia","given":"Alexandra","non-dropping-particle":"","parse-names":false,"suffix":""},{"dropping-particle":"","family":"Cerca","given":"Filipe","non-dropping-particle":"","parse-names":false,"suffix":""},{"dropping-particle":"","family":"Costa","given":"Renata","non-dropping-particle":"","parse-names":false,"suffix":""},{"dropping-particle":"","family":"Sampaio","given":"Paula","non-dropping-particle":"","parse-names":false,"suffix":""},{"dropping-particle":"","family":"Castro","given":"António Gil","non-dropping-particle":"","parse-names":false,"suffix":""},{"dropping-particle":"","family":"Vilanova","given":"Manuel","non-dropping-particle":"","parse-names":false,"suffix":""}],"container-title":"Immunology and Cell Biology","id":"ITEM-2","issue":"1","issued":{"date-parts":[["2010","1","1"]]},"page":"79-86","publisher":"John Wiley &amp; Sons, Ltd","title":"Plasmacytoid and conventional dendritic cells are early producers of IL-12 in Neospora caninum-infected mice","type":"article-journal","volume":"88"},"uris":["http://www.mendeley.com/documents/?uuid=00e2a0c6-3d6a-3f46-8712-987fa6750b3e"]},{"id":"ITEM-3","itemData":{"DOI":"10.1016/S0020-7519(99)00141-1","ISSN":"00207519","PMID":"10608450","abstract":"The type of immune response required to protect mice against clinical disease during acute Neospora caninum challenge was investigated in BALB/c mice. Groups of female BALB/c mice were infected i.p. with N. caninum tachyzoites concomitant with either: (1) antibody to interferon-γ; (2) recombinant murine interleukin-12; or (3) recombinant murine interleukin-12 plus antibody to interferon-γ. Mice treated with anti-interferon-γ alone had increased morbidity/mortality, decreased body weight, increased foci of liver necrosis and increased numbers of N. caninum tachyzoites in the lung by 7 days p.i. compared with controls. Increased disease and parasite load in the anti-interferon-γ-treated mice was associated with antigen-specific antibody IgG1 &gt; IgG2a and a three-fold decreased ratio of antigen-specific interferon-γ:interleukin-4. Mice treated with recombinant murine interleukin-12 had decreased encephalitis and brain parasite load at 3 weeks p.i. compared with control mice treated with PBS. In recombinant murine interleukin-12-treated mice, decreased brain lesions and parasite load were associated with antigen-specific antibody IgG2a &gt; IgG1 and a three-fold increased ratio of antigen-specific interferon-γ:interleukin-4 from splenocytes; the interleukin-12 effect was dependent upon interferon-γ, as indicated by concomitant in vivo interferon-γ neutralisation. By 6 weeks p.i. with N. caninum, there were no differences in brain lesions and parasite load between interleukin-12- and PBS-treated groups, indicating that the effects of interleukin-12 on driving a protective type 1 response were transient. These data indicate a role for interferon-γ, interleukin-12 and type 1 immune responses in control of acute neosporosis in mice.","author":[{"dropping-particle":"V.","family":"Baszler","given":"Timothy","non-dropping-particle":"","parse-names":false,"suffix":""},{"dropping-particle":"","family":"Long","given":"Maureen T.","non-dropping-particle":"","parse-names":false,"suffix":""},{"dropping-particle":"","family":"McElwain","given":"Terry F.","non-dropping-particle":"","parse-names":false,"suffix":""},{"dropping-particle":"","family":"Mathison","given":"Bruce A.","non-dropping-particle":"","parse-names":false,"suffix":""}],"container-title":"International Journal for Parasitology","id":"ITEM-3","issue":"10","issued":{"date-parts":[["1999"]]},"page":"1635-1646","publisher":"Elsevier Ltd","title":"Interferon-γ and interleukin-12 mediate protection to acute Neospora caninum infection in BALB/c mice","type":"article-journal","volume":"29"},"uris":["http://www.mendeley.com/documents/?uuid=c01e2452-6513-3b8b-a67d-9127f55db327"]}],"mendeley":{"formattedCitation":"[10], [17], [18]","manualFormatting":"[10, 16, 17]","plainTextFormattedCitation":"[10], [17], [18]","previouslyFormattedCitation":"[10], [17], [18]"},"properties":{"noteIndex":0},"schema":"https://github.com/citation-style-language/schema/raw/master/csl-citation.json"}</w:instrText>
      </w:r>
      <w:r w:rsidR="00E32282" w:rsidRPr="000C71A6">
        <w:rPr>
          <w:rFonts w:cs="Arial"/>
          <w:color w:val="000000"/>
        </w:rPr>
        <w:fldChar w:fldCharType="separate"/>
      </w:r>
      <w:r w:rsidR="002410E7">
        <w:rPr>
          <w:rFonts w:cs="Arial"/>
          <w:noProof/>
          <w:color w:val="000000"/>
        </w:rPr>
        <w:t xml:space="preserve">[10, 16, </w:t>
      </w:r>
      <w:r w:rsidR="00F00084" w:rsidRPr="00F00084">
        <w:rPr>
          <w:rFonts w:cs="Arial"/>
          <w:noProof/>
          <w:color w:val="000000"/>
        </w:rPr>
        <w:t>17]</w:t>
      </w:r>
      <w:r w:rsidR="00E32282" w:rsidRPr="000C71A6">
        <w:rPr>
          <w:rFonts w:cs="Arial"/>
          <w:color w:val="000000"/>
        </w:rPr>
        <w:fldChar w:fldCharType="end"/>
      </w:r>
      <w:r w:rsidR="00E32282" w:rsidRPr="000C71A6">
        <w:rPr>
          <w:rFonts w:cs="Arial"/>
          <w:color w:val="000000"/>
        </w:rPr>
        <w:t xml:space="preserve">. </w:t>
      </w:r>
      <w:r w:rsidR="00472D79" w:rsidRPr="000C71A6">
        <w:rPr>
          <w:rFonts w:cs="Arial"/>
          <w:color w:val="000000"/>
        </w:rPr>
        <w:t>Interleukin-12 is a heterodimer produced by a wide range of cells from the first line of the immune defence</w:t>
      </w:r>
      <w:r w:rsidR="00D93CD2">
        <w:rPr>
          <w:rFonts w:cs="Arial"/>
          <w:color w:val="000000"/>
        </w:rPr>
        <w:t>, including</w:t>
      </w:r>
      <w:r w:rsidR="00472D79" w:rsidRPr="000C71A6">
        <w:rPr>
          <w:rFonts w:cs="Arial"/>
          <w:color w:val="000000"/>
        </w:rPr>
        <w:t xml:space="preserve"> </w:t>
      </w:r>
      <w:r w:rsidR="00472D79">
        <w:rPr>
          <w:rFonts w:cs="Arial"/>
          <w:color w:val="000000"/>
        </w:rPr>
        <w:t xml:space="preserve">antigen-presenting cells (APC), such as </w:t>
      </w:r>
      <w:r w:rsidR="00472D79" w:rsidRPr="000C71A6">
        <w:rPr>
          <w:rFonts w:cs="Arial"/>
          <w:color w:val="000000"/>
        </w:rPr>
        <w:t xml:space="preserve">dendritic cells, monocytes and macrophages </w:t>
      </w:r>
      <w:r w:rsidR="00472D79" w:rsidRPr="000C71A6">
        <w:rPr>
          <w:rFonts w:cs="Arial"/>
          <w:color w:val="000000"/>
        </w:rPr>
        <w:fldChar w:fldCharType="begin" w:fldLock="1"/>
      </w:r>
      <w:r w:rsidR="004A4DFA">
        <w:rPr>
          <w:rFonts w:cs="Arial"/>
          <w:color w:val="000000"/>
        </w:rPr>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mendeley":{"formattedCitation":"[19]","plainTextFormattedCitation":"[19]","previouslyFormattedCitation":"[19]"},"properties":{"noteIndex":0},"schema":"https://github.com/citation-style-language/schema/raw/master/csl-citation.json"}</w:instrText>
      </w:r>
      <w:r w:rsidR="00472D79" w:rsidRPr="000C71A6">
        <w:rPr>
          <w:rFonts w:cs="Arial"/>
          <w:color w:val="000000"/>
        </w:rPr>
        <w:fldChar w:fldCharType="separate"/>
      </w:r>
      <w:r w:rsidR="004A4DFA" w:rsidRPr="004A4DFA">
        <w:rPr>
          <w:rFonts w:cs="Arial"/>
          <w:noProof/>
          <w:color w:val="000000"/>
        </w:rPr>
        <w:t>[19]</w:t>
      </w:r>
      <w:r w:rsidR="00472D79" w:rsidRPr="000C71A6">
        <w:rPr>
          <w:rFonts w:cs="Arial"/>
          <w:color w:val="000000"/>
        </w:rPr>
        <w:fldChar w:fldCharType="end"/>
      </w:r>
      <w:r w:rsidR="00472D79" w:rsidRPr="000C71A6">
        <w:rPr>
          <w:rFonts w:cs="Arial"/>
          <w:color w:val="000000"/>
        </w:rPr>
        <w:t xml:space="preserve">. </w:t>
      </w:r>
      <w:r w:rsidR="00472D79" w:rsidRPr="000C71A6">
        <w:rPr>
          <w:rFonts w:cs="Arial"/>
          <w:color w:val="000000"/>
        </w:rPr>
        <w:fldChar w:fldCharType="begin" w:fldLock="1"/>
      </w:r>
      <w:r w:rsidR="004A4DFA">
        <w:rPr>
          <w:rFonts w:cs="Arial"/>
          <w:color w:val="000000"/>
        </w:rPr>
        <w:instrText>ADDIN CSL_CITATION {"citationItems":[{"id":"ITEM-1","itemData":{"DOI":"10.1038/ICB.2009.65","ISSN":"1440-1711","PMID":"19755980","abstract":"Neospora caninum is a coccidian parasite causative of clinical infections in a wide range of animal hosts. The maturation and activation of splenic conventional dendritic cells (cDCs) and plasmacytoid dendritic cells (pDCs) were studied here in BALB/c mice challenged intraperitoneal with N. caninum tachyzoites. The number of cDCs was found to decrease in the spleen of the infected mice 12 h and 2 days after the parasitic challenge, whereas at day 5 after infection it was significantly above that of mock-infected controls. In contrast, the number of splenic pDCs did not change significantly on infection. In the infected mice, both cell subtypes displayed an activated phenotype with upregulation of costimulatory and MHC class II molecules. This stimulatory effect was more marked at the earliest assessed time point after infection, 12 h, when a clear increase in the frequency of cDCs (CD8α+ and CD8α- ) and pDCs producing interleukin-12 (IL-12) was also observed. N. caninum tachyzoites could be observed by confocal microscopy associated with sorted DCs. Overall, these results present the first evidence that both cDCs and pDCs mediate in vivo the innate immune response to N. caninum infection through the production of IL-12, a key cytokine for host resistance to neosporosis. © 2010 Australasian Society for Immunology Inc. All rights reserved.","author":[{"dropping-particle":"","family":"Teixeira","given":"Luzia","non-dropping-particle":"","parse-names":false,"suffix":""},{"dropping-particle":"","family":"Botelho","given":"Ana Sofia","non-dropping-particle":"","parse-names":false,"suffix":""},{"dropping-particle":"","family":"Mesquita","given":"Sandro Dá","non-dropping-particle":"","parse-names":false,"suffix":""},{"dropping-particle":"","family":"Correia","given":"Alexandra","non-dropping-particle":"","parse-names":false,"suffix":""},{"dropping-particle":"","family":"Cerca","given":"Filipe","non-dropping-particle":"","parse-names":false,"suffix":""},{"dropping-particle":"","family":"Costa","given":"Renata","non-dropping-particle":"","parse-names":false,"suffix":""},{"dropping-particle":"","family":"Sampaio","given":"Paula","non-dropping-particle":"","parse-names":false,"suffix":""},{"dropping-particle":"","family":"Castro","given":"António Gil","non-dropping-particle":"","parse-names":false,"suffix":""},{"dropping-particle":"","family":"Vilanova","given":"Manuel","non-dropping-particle":"","parse-names":false,"suffix":""}],"container-title":"Immunology and Cell Biology","id":"ITEM-1","issue":"1","issued":{"date-parts":[["2010","1","1"]]},"page":"79-86","publisher":"John Wiley &amp; Sons, Ltd","title":"Plasmacytoid and conventional dendritic cells are early producers of IL-12 in Neospora caninum-infected mice","type":"article-journal","volume":"88"},"uris":["http://www.mendeley.com/documents/?uuid=00e2a0c6-3d6a-3f46-8712-987fa6750b3e"]}],"mendeley":{"formattedCitation":"[17]","manualFormatting":"Teixeira et al. ","plainTextFormattedCitation":"[17]","previouslyFormattedCitation":"[17]"},"properties":{"noteIndex":0},"schema":"https://github.com/citation-style-language/schema/raw/master/csl-citation.json"}</w:instrText>
      </w:r>
      <w:r w:rsidR="00472D79" w:rsidRPr="000C71A6">
        <w:rPr>
          <w:rFonts w:cs="Arial"/>
          <w:color w:val="000000"/>
        </w:rPr>
        <w:fldChar w:fldCharType="separate"/>
      </w:r>
      <w:r w:rsidR="004A4DFA">
        <w:rPr>
          <w:rFonts w:cs="Arial"/>
          <w:noProof/>
          <w:color w:val="000000"/>
        </w:rPr>
        <w:t xml:space="preserve">Teixeira </w:t>
      </w:r>
      <w:r w:rsidR="004A4DFA" w:rsidRPr="004A4DFA">
        <w:rPr>
          <w:rFonts w:cs="Arial"/>
          <w:i/>
          <w:noProof/>
          <w:color w:val="000000"/>
        </w:rPr>
        <w:t>et al.</w:t>
      </w:r>
      <w:r w:rsidR="004A4DFA">
        <w:rPr>
          <w:rFonts w:cs="Arial"/>
          <w:noProof/>
          <w:color w:val="000000"/>
        </w:rPr>
        <w:t xml:space="preserve"> </w:t>
      </w:r>
      <w:r w:rsidR="00472D79" w:rsidRPr="000C71A6">
        <w:rPr>
          <w:rFonts w:cs="Arial"/>
          <w:color w:val="000000"/>
        </w:rPr>
        <w:fldChar w:fldCharType="end"/>
      </w:r>
      <w:r w:rsidR="00472D79" w:rsidRPr="000C71A6">
        <w:rPr>
          <w:rFonts w:cs="Arial"/>
          <w:color w:val="000000"/>
        </w:rPr>
        <w:t>identified both convention</w:t>
      </w:r>
      <w:r>
        <w:rPr>
          <w:rFonts w:cs="Arial"/>
          <w:color w:val="000000"/>
        </w:rPr>
        <w:t>al</w:t>
      </w:r>
      <w:r w:rsidR="00472D79" w:rsidRPr="000C71A6">
        <w:rPr>
          <w:rFonts w:cs="Arial"/>
          <w:color w:val="000000"/>
        </w:rPr>
        <w:t xml:space="preserve"> and plasmacytoid dendritic cells as early sources of this interleukin in </w:t>
      </w:r>
      <w:r w:rsidR="00B56A12">
        <w:rPr>
          <w:rFonts w:cs="Arial"/>
          <w:color w:val="000000"/>
        </w:rPr>
        <w:t>a</w:t>
      </w:r>
      <w:r w:rsidR="00472D79" w:rsidRPr="000C71A6">
        <w:rPr>
          <w:rFonts w:cs="Arial"/>
          <w:color w:val="000000"/>
        </w:rPr>
        <w:t xml:space="preserve"> murine model</w:t>
      </w:r>
      <w:r w:rsidR="00B56A12">
        <w:rPr>
          <w:rFonts w:cs="Arial"/>
          <w:color w:val="000000"/>
        </w:rPr>
        <w:t xml:space="preserve"> of intraperitoneal neosporosis</w:t>
      </w:r>
      <w:r w:rsidR="003D7092">
        <w:rPr>
          <w:rFonts w:cs="Arial"/>
          <w:color w:val="000000"/>
        </w:rPr>
        <w:t xml:space="preserve"> </w:t>
      </w:r>
      <w:r w:rsidR="003D7092">
        <w:rPr>
          <w:rFonts w:cs="Arial"/>
          <w:color w:val="000000"/>
        </w:rPr>
        <w:fldChar w:fldCharType="begin" w:fldLock="1"/>
      </w:r>
      <w:r w:rsidR="003D7092">
        <w:rPr>
          <w:rFonts w:cs="Arial"/>
          <w:color w:val="000000"/>
        </w:rPr>
        <w:instrText>ADDIN CSL_CITATION {"citationItems":[{"id":"ITEM-1","itemData":{"DOI":"10.1038/ICB.2009.65","ISSN":"08189641","PMID":"19755980","abstract":"Neospora caninum is a coccidian parasite causative of clinical infections in a wide range of animal hosts. The maturation and activation of splenic conventional dendritic cells (cDCs) and plasmacytoid dendritic cells (pDCs) were studied here in BALB/c mice challenged intraperitoneal with N. caninum tachyzoites. The number of cDCs was found to decrease in the spleen of the infected mice 12 h and 2 days after the parasitic challenge, whereas at day 5 after infection it was significantly above that of mock-infected controls. In contrast, the number of splenic pDCs did not change significantly on infection. In the infected mice, both cell subtypes displayed an activated phenotype with upregulation of costimulatory and MHC class II molecules. This stimulatory effect was more marked at the earliest assessed time point after infection, 12 h, when a clear increase in the frequency of cDCs (CD8α+ and CD8α- ) and pDCs producing interleukin-12 (IL-12) was also observed. N. caninum tachyzoites could be observed by confocal microscopy associated with sorted DCs. Overall, these results present the first evidence that both cDCs and pDCs mediate in vivo the innate immune response to N. caninum infection through the production of IL-12, a key cytokine for host resistance to neosporosis. © 2010 Australasian Society for Immunology Inc. All rights reserved.","author":[{"dropping-particle":"","family":"Teixeira","given":"Luzia","non-dropping-particle":"","parse-names":false,"suffix":""},{"dropping-particle":"","family":"Botelho","given":"Ana Sofia","non-dropping-particle":"","parse-names":false,"suffix":""},{"dropping-particle":"","family":"Mesquita","given":"Sandro Dá","non-dropping-particle":"","parse-names":false,"suffix":""},{"dropping-particle":"","family":"Correia","given":"Alexandra","non-dropping-particle":"","parse-names":false,"suffix":""},{"dropping-particle":"","family":"Cerca","given":"Filipe","non-dropping-particle":"","parse-names":false,"suffix":""},{"dropping-particle":"","family":"Costa","given":"Renata","non-dropping-particle":"","parse-names":false,"suffix":""},{"dropping-particle":"","family":"Sampaio","given":"Paula","non-dropping-particle":"","parse-names":false,"suffix":""},{"dropping-particle":"","family":"Castro","given":"António Gil","non-dropping-particle":"","parse-names":false,"suffix":""},{"dropping-particle":"","family":"Vilanova","given":"Manuel","non-dropping-particle":"","parse-names":false,"suffix":""}],"container-title":"Immunology and Cell Biology","id":"ITEM-1","issue":"1","issued":{"date-parts":[["2010","1"]]},"page":"79-86","title":"Plasmacytoid and conventional dendritic cells are early producers of IL-12 in Neospora caninum-infected mice","type":"article-journal","volume":"88"},"uris":["http://www.mendeley.com/documents/?uuid=43aff45a-072b-3ace-af93-8001df685b67"]}],"mendeley":{"formattedCitation":"[20]","plainTextFormattedCitation":"[20]","previouslyFormattedCitation":"[20]"},"properties":{"noteIndex":0},"schema":"https://github.com/citation-style-language/schema/raw/master/csl-citation.json"}</w:instrText>
      </w:r>
      <w:r w:rsidR="003D7092">
        <w:rPr>
          <w:rFonts w:cs="Arial"/>
          <w:color w:val="000000"/>
        </w:rPr>
        <w:fldChar w:fldCharType="separate"/>
      </w:r>
      <w:r w:rsidR="003D7092" w:rsidRPr="003D7092">
        <w:rPr>
          <w:rFonts w:cs="Arial"/>
          <w:noProof/>
          <w:color w:val="000000"/>
        </w:rPr>
        <w:t>[20]</w:t>
      </w:r>
      <w:r w:rsidR="003D7092">
        <w:rPr>
          <w:rFonts w:cs="Arial"/>
          <w:color w:val="000000"/>
        </w:rPr>
        <w:fldChar w:fldCharType="end"/>
      </w:r>
      <w:r w:rsidR="00472D79" w:rsidRPr="000C71A6">
        <w:rPr>
          <w:rFonts w:cs="Arial"/>
          <w:color w:val="000000"/>
        </w:rPr>
        <w:t xml:space="preserve">. </w:t>
      </w:r>
      <w:r w:rsidR="00472D79">
        <w:rPr>
          <w:rFonts w:cs="Arial"/>
          <w:color w:val="000000"/>
        </w:rPr>
        <w:t xml:space="preserve">Prior studies have </w:t>
      </w:r>
      <w:r w:rsidR="004A7B04">
        <w:rPr>
          <w:rFonts w:cs="Arial"/>
          <w:color w:val="000000"/>
        </w:rPr>
        <w:t>highlighted</w:t>
      </w:r>
      <w:r w:rsidR="00472D79">
        <w:rPr>
          <w:rFonts w:cs="Arial"/>
          <w:color w:val="000000"/>
        </w:rPr>
        <w:t xml:space="preserve"> the importance of this cytokine by showing that </w:t>
      </w:r>
      <w:r w:rsidR="008601F3">
        <w:rPr>
          <w:rFonts w:cs="Arial"/>
          <w:color w:val="000000"/>
        </w:rPr>
        <w:t xml:space="preserve">mice that have a defect in IL-12 signalling succumb to infection </w:t>
      </w:r>
      <w:r w:rsidR="004A4DFA">
        <w:rPr>
          <w:rFonts w:cs="Arial"/>
          <w:color w:val="000000"/>
        </w:rPr>
        <w:fldChar w:fldCharType="begin" w:fldLock="1"/>
      </w:r>
      <w:r w:rsidR="003D7092">
        <w:rPr>
          <w:rFonts w:cs="Arial"/>
          <w:color w:val="000000"/>
        </w:rPr>
        <w:instrText>ADDIN CSL_CITATION {"citationItems":[{"id":"ITEM-1","itemData":{"DOI":"10.1111/J.1365-3024.2006.00911.X","ISSN":"1365-3024","PMID":"17187652","abstract":"To study experimental Neospora caninum infection initiated at the gastrointestinal tract, Toll-like Receptor 4- and functional IL-12Rβ2 chain-deficient C57BL/10 ScCr mice were challenged intragastrically with 5 × 106 N. caninum tachyzoites. All parasite-inoculated mice eventually died with disseminated infection. In contrast, immunocompetent BALB/c mice challenged with 1 × 107 N. caninum tachyzoites by the intragastric (i.g.) or the intraperitoneal (i.p.) route remained alive for at least 6 months. Expansion of splenic B- and T-cells, the latter displaying both activated and regulatory phenotypes, and increased levels of IFN-γ and IL-10 mRNA were detected in both groups of infected BALB/c mice compared with non-infected controls, whereas in the Peyer's patches only IFN-γ mRNA levels were found to be increased. Parasite-specific IgG1, IgG2a and IgA antibody levels were elevated in the sera of all infected mice, whereas increased N. caninum-specific IgA levels were detected in intestinal lavage fluids of i.g. challenged mice only. These results show that N. caninum infection can be successfully established in mice by i.g. administration of tachyzoites. They also show that the immune response elicited in i.g. or i.p. infected BALB/c mice, although conferring some degree of protection, was not sufficient for complete parasite clearance. © 2006 The Authors.","author":[{"dropping-particle":"","family":"Teixeira","given":"L.","non-dropping-particle":"","parse-names":false,"suffix":""},{"dropping-particle":"","family":"Botelho","given":"A. S.","non-dropping-particle":"","parse-names":false,"suffix":""},{"dropping-particle":"","family":"Batista","given":"A. R.","non-dropping-particle":"","parse-names":false,"suffix":""},{"dropping-particle":"","family":"Meireles","given":"C. S.","non-dropping-particle":"","parse-names":false,"suffix":""},{"dropping-particle":"","family":"Ribeiro","given":"A.","non-dropping-particle":"","parse-names":false,"suffix":""},{"dropping-particle":"","family":"Domingues","given":"H. S.","non-dropping-particle":"","parse-names":false,"suffix":""},{"dropping-particle":"","family":"Correia Da Costa","given":"J. M.","non-dropping-particle":"","parse-names":false,"suffix":""},{"dropping-particle":"","family":"Castro","given":"A. G.","non-dropping-particle":"","parse-names":false,"suffix":""},{"dropping-particle":"","family":"Faustino","given":"A. M.R.","non-dropping-particle":"","parse-names":false,"suffix":""},{"dropping-particle":"","family":"Vilanova","given":"M.","non-dropping-particle":"","parse-names":false,"suffix":""}],"container-title":"Parasite Immunology","id":"ITEM-1","issue":"1","issued":{"date-parts":[["2007","1","1"]]},"page":"23-36","publisher":"John Wiley &amp; Sons, Ltd","title":"Analysis of the immune response to Neospora caninum in a model of intragastric infection in mice","type":"article-journal","volume":"29"},"uris":["http://www.mendeley.com/documents/?uuid=6b5f28ef-eed0-3fb1-8f1f-2ba103c765ae"]}],"mendeley":{"formattedCitation":"[21]","plainTextFormattedCitation":"[21]","previouslyFormattedCitation":"[21]"},"properties":{"noteIndex":0},"schema":"https://github.com/citation-style-language/schema/raw/master/csl-citation.json"}</w:instrText>
      </w:r>
      <w:r w:rsidR="004A4DFA">
        <w:rPr>
          <w:rFonts w:cs="Arial"/>
          <w:color w:val="000000"/>
        </w:rPr>
        <w:fldChar w:fldCharType="separate"/>
      </w:r>
      <w:r w:rsidR="003D7092" w:rsidRPr="003D7092">
        <w:rPr>
          <w:rFonts w:cs="Arial"/>
          <w:noProof/>
          <w:color w:val="000000"/>
        </w:rPr>
        <w:t>[21]</w:t>
      </w:r>
      <w:r w:rsidR="004A4DFA">
        <w:rPr>
          <w:rFonts w:cs="Arial"/>
          <w:color w:val="000000"/>
        </w:rPr>
        <w:fldChar w:fldCharType="end"/>
      </w:r>
      <w:r w:rsidR="004A4DFA">
        <w:rPr>
          <w:rFonts w:cs="Arial"/>
          <w:color w:val="000000"/>
        </w:rPr>
        <w:t xml:space="preserve"> </w:t>
      </w:r>
      <w:r w:rsidR="008601F3">
        <w:rPr>
          <w:rFonts w:cs="Arial"/>
          <w:color w:val="000000"/>
        </w:rPr>
        <w:t>and that treatment of BALB/c mice</w:t>
      </w:r>
      <w:r w:rsidR="00472D79">
        <w:rPr>
          <w:rFonts w:cs="Arial"/>
          <w:color w:val="000000"/>
        </w:rPr>
        <w:t xml:space="preserve"> </w:t>
      </w:r>
      <w:r w:rsidR="008601F3">
        <w:rPr>
          <w:rFonts w:cs="Arial"/>
          <w:color w:val="000000"/>
        </w:rPr>
        <w:t xml:space="preserve">with recombinant IL-12 </w:t>
      </w:r>
      <w:r w:rsidR="00472D79">
        <w:rPr>
          <w:rFonts w:cs="Arial"/>
          <w:color w:val="000000"/>
        </w:rPr>
        <w:t xml:space="preserve">decreased the </w:t>
      </w:r>
      <w:r w:rsidR="00472D79" w:rsidRPr="000C71A6">
        <w:rPr>
          <w:rFonts w:cs="Arial"/>
          <w:color w:val="000000"/>
        </w:rPr>
        <w:t xml:space="preserve">severity of clinical manifestations, including less lesions and parasite load in the brain tissue </w:t>
      </w:r>
      <w:r w:rsidR="00472D79" w:rsidRPr="000C71A6">
        <w:rPr>
          <w:rFonts w:cs="Arial"/>
          <w:color w:val="000000"/>
        </w:rPr>
        <w:fldChar w:fldCharType="begin" w:fldLock="1"/>
      </w:r>
      <w:r w:rsidR="004A4DFA">
        <w:rPr>
          <w:rFonts w:cs="Arial"/>
          <w:color w:val="000000"/>
        </w:rPr>
        <w:instrText>ADDIN CSL_CITATION {"citationItems":[{"id":"ITEM-1","itemData":{"DOI":"10.1016/S0020-7519(99)00141-1","ISSN":"00207519","PMID":"10608450","abstract":"The type of immune response required to protect mice against clinical disease during acute Neospora caninum challenge was investigated in BALB/c mice. Groups of female BALB/c mice were infected i.p. with N. caninum tachyzoites concomitant with either: (1) antibody to interferon-γ; (2) recombinant murine interleukin-12; or (3) recombinant murine interleukin-12 plus antibody to interferon-γ. Mice treated with anti-interferon-γ alone had increased morbidity/mortality, decreased body weight, increased foci of liver necrosis and increased numbers of N. caninum tachyzoites in the lung by 7 days p.i. compared with controls. Increased disease and parasite load in the anti-interferon-γ-treated mice was associated with antigen-specific antibody IgG1 &gt; IgG2a and a three-fold decreased ratio of antigen-specific interferon-γ:interleukin-4. Mice treated with recombinant murine interleukin-12 had decreased encephalitis and brain parasite load at 3 weeks p.i. compared with control mice treated with PBS. In recombinant murine interleukin-12-treated mice, decreased brain lesions and parasite load were associated with antigen-specific antibody IgG2a &gt; IgG1 and a three-fold increased ratio of antigen-specific interferon-γ:interleukin-4 from splenocytes; the interleukin-12 effect was dependent upon interferon-γ, as indicated by concomitant in vivo interferon-γ neutralisation. By 6 weeks p.i. with N. caninum, there were no differences in brain lesions and parasite load between interleukin-12- and PBS-treated groups, indicating that the effects of interleukin-12 on driving a protective type 1 response were transient. These data indicate a role for interferon-γ, interleukin-12 and type 1 immune responses in control of acute neosporosis in mice.","author":[{"dropping-particle":"V.","family":"Baszler","given":"Timothy","non-dropping-particle":"","parse-names":false,"suffix":""},{"dropping-particle":"","family":"Long","given":"Maureen T.","non-dropping-particle":"","parse-names":false,"suffix":""},{"dropping-particle":"","family":"McElwain","given":"Terry F.","non-dropping-particle":"","parse-names":false,"suffix":""},{"dropping-particle":"","family":"Mathison","given":"Bruce A.","non-dropping-particle":"","parse-names":false,"suffix":""}],"container-title":"International Journal for Parasitology","id":"ITEM-1","issue":"10","issued":{"date-parts":[["1999"]]},"page":"1635-1646","publisher":"Elsevier Ltd","title":"Interferon-γ and interleukin-12 mediate protection to acute Neospora caninum infection in BALB/c mice","type":"article-journal","volume":"29"},"uris":["http://www.mendeley.com/documents/?uuid=c01e2452-6513-3b8b-a67d-9127f55db327"]}],"mendeley":{"formattedCitation":"[18]","plainTextFormattedCitation":"[18]","previouslyFormattedCitation":"[18]"},"properties":{"noteIndex":0},"schema":"https://github.com/citation-style-language/schema/raw/master/csl-citation.json"}</w:instrText>
      </w:r>
      <w:r w:rsidR="00472D79" w:rsidRPr="000C71A6">
        <w:rPr>
          <w:rFonts w:cs="Arial"/>
          <w:color w:val="000000"/>
        </w:rPr>
        <w:fldChar w:fldCharType="separate"/>
      </w:r>
      <w:r w:rsidR="004A4DFA" w:rsidRPr="004A4DFA">
        <w:rPr>
          <w:rFonts w:cs="Arial"/>
          <w:noProof/>
          <w:color w:val="000000"/>
        </w:rPr>
        <w:t>[18]</w:t>
      </w:r>
      <w:r w:rsidR="00472D79" w:rsidRPr="000C71A6">
        <w:rPr>
          <w:rFonts w:cs="Arial"/>
          <w:color w:val="000000"/>
        </w:rPr>
        <w:fldChar w:fldCharType="end"/>
      </w:r>
      <w:r w:rsidR="00472D79" w:rsidRPr="000C71A6">
        <w:rPr>
          <w:rFonts w:cs="Arial"/>
          <w:color w:val="000000"/>
        </w:rPr>
        <w:t xml:space="preserve">. </w:t>
      </w:r>
      <w:r w:rsidR="0081620D">
        <w:rPr>
          <w:rFonts w:cs="Arial"/>
          <w:color w:val="000000"/>
        </w:rPr>
        <w:t xml:space="preserve">The protective effect of IL-12 </w:t>
      </w:r>
      <w:r w:rsidR="00FE5F32">
        <w:rPr>
          <w:rFonts w:cs="Arial"/>
          <w:color w:val="000000"/>
        </w:rPr>
        <w:t>is attributed to</w:t>
      </w:r>
      <w:r w:rsidR="0081620D">
        <w:rPr>
          <w:rFonts w:cs="Arial"/>
          <w:color w:val="000000"/>
        </w:rPr>
        <w:t xml:space="preserve"> its ability to </w:t>
      </w:r>
      <w:r w:rsidR="00FE5F32">
        <w:rPr>
          <w:rFonts w:cs="Arial"/>
          <w:color w:val="000000"/>
        </w:rPr>
        <w:t xml:space="preserve">activate Th1 and NK cells and </w:t>
      </w:r>
      <w:r w:rsidR="007F3670">
        <w:rPr>
          <w:rFonts w:cs="Arial"/>
          <w:color w:val="000000"/>
        </w:rPr>
        <w:t xml:space="preserve">to </w:t>
      </w:r>
      <w:r w:rsidR="0081620D">
        <w:rPr>
          <w:rFonts w:cs="Arial"/>
          <w:color w:val="000000"/>
        </w:rPr>
        <w:t>induce the production of</w:t>
      </w:r>
      <w:r w:rsidR="0081620D" w:rsidRPr="0081620D">
        <w:rPr>
          <w:rFonts w:cs="Arial"/>
          <w:color w:val="000000"/>
        </w:rPr>
        <w:t xml:space="preserve"> </w:t>
      </w:r>
      <w:r w:rsidR="0081620D" w:rsidRPr="000C71A6">
        <w:rPr>
          <w:rFonts w:cs="Arial"/>
          <w:color w:val="000000"/>
        </w:rPr>
        <w:t>INF-γ</w:t>
      </w:r>
      <w:r w:rsidR="00FE5F32">
        <w:rPr>
          <w:rFonts w:cs="Arial"/>
          <w:color w:val="000000"/>
        </w:rPr>
        <w:t xml:space="preserve"> </w:t>
      </w:r>
      <w:r w:rsidR="00FE5F32" w:rsidRPr="000C71A6">
        <w:rPr>
          <w:rFonts w:cs="Arial"/>
          <w:color w:val="000000"/>
        </w:rPr>
        <w:fldChar w:fldCharType="begin" w:fldLock="1"/>
      </w:r>
      <w:r w:rsidR="004A4DFA">
        <w:rPr>
          <w:rFonts w:cs="Arial"/>
          <w:color w:val="000000"/>
        </w:rPr>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mendeley":{"formattedCitation":"[19]","plainTextFormattedCitation":"[19]","previouslyFormattedCitation":"[19]"},"properties":{"noteIndex":0},"schema":"https://github.com/citation-style-language/schema/raw/master/csl-citation.json"}</w:instrText>
      </w:r>
      <w:r w:rsidR="00FE5F32" w:rsidRPr="000C71A6">
        <w:rPr>
          <w:rFonts w:cs="Arial"/>
          <w:color w:val="000000"/>
        </w:rPr>
        <w:fldChar w:fldCharType="separate"/>
      </w:r>
      <w:r w:rsidR="004A4DFA" w:rsidRPr="004A4DFA">
        <w:rPr>
          <w:rFonts w:cs="Arial"/>
          <w:noProof/>
          <w:color w:val="000000"/>
        </w:rPr>
        <w:t>[19]</w:t>
      </w:r>
      <w:r w:rsidR="00FE5F32" w:rsidRPr="000C71A6">
        <w:rPr>
          <w:rFonts w:cs="Arial"/>
          <w:color w:val="000000"/>
        </w:rPr>
        <w:fldChar w:fldCharType="end"/>
      </w:r>
      <w:r w:rsidR="0081620D">
        <w:rPr>
          <w:rFonts w:cs="Arial"/>
          <w:color w:val="000000"/>
        </w:rPr>
        <w:t xml:space="preserve">. However, </w:t>
      </w:r>
      <w:r w:rsidR="0081620D" w:rsidRPr="000C71A6">
        <w:rPr>
          <w:rFonts w:cs="Arial"/>
          <w:color w:val="000000"/>
        </w:rPr>
        <w:fldChar w:fldCharType="begin" w:fldLock="1"/>
      </w:r>
      <w:r w:rsidR="003D7092">
        <w:rPr>
          <w:rFonts w:cs="Arial"/>
          <w:color w:val="000000"/>
        </w:rPr>
        <w:instrText>ADDIN CSL_CITATION {"citationItems":[{"id":"ITEM-1","itemData":{"DOI":"10.1128/IAI.74.2.953-960.2006","ISSN":"00199567","PMID":"16428740","abstract":"Natural killer (NK) cells are considered to be key players in the early innate responses to protozoan infections, primarily indirectly by producing gamma interferon (IFN-γ) in response to cytokines, like interleukin 12 (IL-12). VVe demonstrate that live, as well as heat-inactivated, tachyzoites of Neospora caninum, a Toxoplasma-like protozoan, directly trigger production of IFN-γ from purified, IL-2-activated bovine NK cells. This response occurred independently of IL-12 but was increased by the addition of the cytokine. A similar IFN-γ response was measured in cocultures of NK cells and N. caninum-infected autologous fibroblasts. However, no NK cell-derived IFN-γ response was detected when cells were cultured with soluble antigens from the organism, indicating that intact tachyzoites or nonsoluble components are necessary for NK cell triggering. Furthermore, N. caninum-infected autologous fibroblasts had increased susceptibility to NK cell cytotoxicity compared to uninfected fibroblasts. This cytotoxicity was largely mediated by a perforin-mediated mechanism. The activating receptor NKp46 was involved in cytotoxicity against fibroblasts but could not explain the increased cytotoxicity against infected targets. Interestingly, N. caninum tachyzoites were able to infect cultured NK cells, in which tachyzoites proliferated inside parasitophorous vacuoles. Together, these findings underscore the role of NK cells as primary responders during a protozoan infection, describe intracellular protozoan infection of NK cells in vitro for the first time, and represent the first functional study of purified bovine NK cells in response to infection. Copyright © 2006, American Society for Microbiology. All Rights Reserved.","author":[{"dropping-particle":"","family":"Boysen","given":"Preben","non-dropping-particle":"","parse-names":false,"suffix":""},{"dropping-particle":"","family":"Klevar","given":"Siv","non-dropping-particle":"","parse-names":false,"suffix":""},{"dropping-particle":"","family":"Olsen","given":"Ingrid","non-dropping-particle":"","parse-names":false,"suffix":""},{"dropping-particle":"","family":"Storset","given":"Anne K.","non-dropping-particle":"","parse-names":false,"suffix":""}],"container-title":"Infection and Immunity","id":"ITEM-1","issue":"2","issued":{"date-parts":[["2006","2"]]},"page":"953","publisher":"American Society for Microbiology (ASM)","title":"The Protozoan Neospora caninum Directly Triggers Bovine NK Cells To Produce Gamma Interferon and To Kill Infected Fibroblasts","type":"article-journal","volume":"74"},"uris":["http://www.mendeley.com/documents/?uuid=e33a1f23-cdba-30a0-9e61-25f1541e21c3"]}],"mendeley":{"formattedCitation":"[22]","manualFormatting":"Boysen et al. ","plainTextFormattedCitation":"[22]","previouslyFormattedCitation":"[22]"},"properties":{"noteIndex":0},"schema":"https://github.com/citation-style-language/schema/raw/master/csl-citation.json"}</w:instrText>
      </w:r>
      <w:r w:rsidR="0081620D" w:rsidRPr="000C71A6">
        <w:rPr>
          <w:rFonts w:cs="Arial"/>
          <w:color w:val="000000"/>
        </w:rPr>
        <w:fldChar w:fldCharType="separate"/>
      </w:r>
      <w:r w:rsidR="0081620D" w:rsidRPr="000C71A6">
        <w:rPr>
          <w:rFonts w:cs="Arial"/>
          <w:noProof/>
          <w:color w:val="000000"/>
        </w:rPr>
        <w:t xml:space="preserve">Boysen </w:t>
      </w:r>
      <w:r w:rsidR="0081620D" w:rsidRPr="004A4DFA">
        <w:rPr>
          <w:rFonts w:cs="Arial"/>
          <w:i/>
          <w:noProof/>
          <w:color w:val="000000"/>
        </w:rPr>
        <w:t>et al.</w:t>
      </w:r>
      <w:r w:rsidR="0081620D" w:rsidRPr="000C71A6">
        <w:rPr>
          <w:rFonts w:cs="Arial"/>
          <w:noProof/>
          <w:color w:val="000000"/>
        </w:rPr>
        <w:t xml:space="preserve"> </w:t>
      </w:r>
      <w:r w:rsidR="0081620D" w:rsidRPr="000C71A6">
        <w:rPr>
          <w:rFonts w:cs="Arial"/>
          <w:color w:val="000000"/>
        </w:rPr>
        <w:fldChar w:fldCharType="end"/>
      </w:r>
      <w:r w:rsidR="0081620D" w:rsidRPr="000C71A6">
        <w:rPr>
          <w:rFonts w:cs="Arial"/>
          <w:color w:val="000000"/>
        </w:rPr>
        <w:t>demonstrated that NK cells</w:t>
      </w:r>
      <w:r w:rsidR="0081620D">
        <w:rPr>
          <w:rFonts w:cs="Arial"/>
          <w:color w:val="000000"/>
        </w:rPr>
        <w:t xml:space="preserve"> </w:t>
      </w:r>
      <w:r w:rsidR="0081620D" w:rsidRPr="000C71A6">
        <w:rPr>
          <w:rFonts w:cs="Arial"/>
          <w:color w:val="000000"/>
        </w:rPr>
        <w:t xml:space="preserve">were able to produce INF-γ </w:t>
      </w:r>
      <w:r w:rsidR="0081620D">
        <w:rPr>
          <w:rFonts w:cs="Arial"/>
          <w:color w:val="000000"/>
        </w:rPr>
        <w:t xml:space="preserve">independently of IL-12, </w:t>
      </w:r>
      <w:r w:rsidR="0081620D" w:rsidRPr="000C71A6">
        <w:rPr>
          <w:rFonts w:cs="Arial"/>
          <w:color w:val="000000"/>
        </w:rPr>
        <w:t>when stimulated directly by the protozoan</w:t>
      </w:r>
      <w:r w:rsidR="003D7092">
        <w:rPr>
          <w:rFonts w:cs="Arial"/>
          <w:color w:val="000000"/>
        </w:rPr>
        <w:t xml:space="preserve"> </w:t>
      </w:r>
      <w:r w:rsidR="003D7092">
        <w:rPr>
          <w:rFonts w:cs="Arial"/>
          <w:color w:val="000000"/>
        </w:rPr>
        <w:fldChar w:fldCharType="begin" w:fldLock="1"/>
      </w:r>
      <w:r w:rsidR="003D7092">
        <w:rPr>
          <w:rFonts w:cs="Arial"/>
          <w:color w:val="000000"/>
        </w:rPr>
        <w:instrText>ADDIN CSL_CITATION {"citationItems":[{"id":"ITEM-1","itemData":{"DOI":"10.1128/IAI.74.2.953-960.2006","ISSN":"00199567","PMID":"16428740","abstract":"Natural killer (NK) cells are considered to be key players in the early innate responses to protozoan infections, primarily indirectly by producing gamma interferon (IFN-γ) in response to cytokines, like interleukin 12 (IL-12). VVe demonstrate that live, as well as heat-inactivated, tachyzoites of Neospora caninum, a Toxoplasma-like protozoan, directly trigger production of IFN-γ from purified, IL-2-activated bovine NK cells. This response occurred independently of IL-12 but was increased by the addition of the cytokine. A similar IFN-γ response was measured in cocultures of NK cells and N. caninum-infected autologous fibroblasts. However, no NK cell-derived IFN-γ response was detected when cells were cultured with soluble antigens from the organism, indicating that intact tachyzoites or nonsoluble components are necessary for NK cell triggering. Furthermore, N. caninum-infected autologous fibroblasts had increased susceptibility to NK cell cytotoxicity compared to uninfected fibroblasts. This cytotoxicity was largely mediated by a perforin-mediated mechanism. The activating receptor NKp46 was involved in cytotoxicity against fibroblasts but could not explain the increased cytotoxicity against infected targets. Interestingly, N. caninum tachyzoites were able to infect cultured NK cells, in which tachyzoites proliferated inside parasitophorous vacuoles. Together, these findings underscore the role of NK cells as primary responders during a protozoan infection, describe intracellular protozoan infection of NK cells in vitro for the first time, and represent the first functional study of purified bovine NK cells in response to infection. Copyright © 2006, American Society for Microbiology. All Rights Reserved.","author":[{"dropping-particle":"","family":"Boysen","given":"Preben","non-dropping-particle":"","parse-names":false,"suffix":""},{"dropping-particle":"","family":"Klevar","given":"Siv","non-dropping-particle":"","parse-names":false,"suffix":""},{"dropping-particle":"","family":"Olsen","given":"Ingrid","non-dropping-particle":"","parse-names":false,"suffix":""},{"dropping-particle":"","family":"Storset","given":"Anne K.","non-dropping-particle":"","parse-names":false,"suffix":""}],"container-title":"Infection and Immunity","id":"ITEM-1","issue":"2","issued":{"date-parts":[["2006","2"]]},"page":"953","publisher":"American Society for Microbiology (ASM)","title":"The Protozoan Neospora caninum Directly Triggers Bovine NK Cells To Produce Gamma Interferon and To Kill Infected Fibroblasts","type":"article-journal","volume":"74"},"uris":["http://www.mendeley.com/documents/?uuid=e33a1f23-cdba-30a0-9e61-25f1541e21c3"]}],"mendeley":{"formattedCitation":"[22]","plainTextFormattedCitation":"[22]","previouslyFormattedCitation":"[22]"},"properties":{"noteIndex":0},"schema":"https://github.com/citation-style-language/schema/raw/master/csl-citation.json"}</w:instrText>
      </w:r>
      <w:r w:rsidR="003D7092">
        <w:rPr>
          <w:rFonts w:cs="Arial"/>
          <w:color w:val="000000"/>
        </w:rPr>
        <w:fldChar w:fldCharType="separate"/>
      </w:r>
      <w:r w:rsidR="003D7092" w:rsidRPr="003D7092">
        <w:rPr>
          <w:rFonts w:cs="Arial"/>
          <w:noProof/>
          <w:color w:val="000000"/>
        </w:rPr>
        <w:t>[22]</w:t>
      </w:r>
      <w:r w:rsidR="003D7092">
        <w:rPr>
          <w:rFonts w:cs="Arial"/>
          <w:color w:val="000000"/>
        </w:rPr>
        <w:fldChar w:fldCharType="end"/>
      </w:r>
      <w:r w:rsidR="007F3670">
        <w:rPr>
          <w:rFonts w:cs="Arial"/>
          <w:color w:val="000000"/>
        </w:rPr>
        <w:t>. It is thus recognized that</w:t>
      </w:r>
      <w:r w:rsidR="00F33D6D">
        <w:rPr>
          <w:rFonts w:cs="Arial"/>
          <w:color w:val="000000"/>
        </w:rPr>
        <w:t xml:space="preserve"> </w:t>
      </w:r>
      <w:r w:rsidR="00F33D6D" w:rsidRPr="00F33D6D">
        <w:rPr>
          <w:rFonts w:cs="Arial"/>
          <w:color w:val="000000"/>
        </w:rPr>
        <w:t xml:space="preserve">parasite antigens </w:t>
      </w:r>
      <w:r w:rsidR="00F33D6D">
        <w:rPr>
          <w:rFonts w:cs="Arial"/>
          <w:color w:val="000000"/>
        </w:rPr>
        <w:t xml:space="preserve">can directly induce the production of both </w:t>
      </w:r>
      <w:r w:rsidR="00F33D6D" w:rsidRPr="00F33D6D">
        <w:rPr>
          <w:rFonts w:cs="Arial"/>
          <w:color w:val="000000"/>
        </w:rPr>
        <w:t xml:space="preserve">IL-12 </w:t>
      </w:r>
      <w:r w:rsidR="00F33D6D">
        <w:rPr>
          <w:rFonts w:cs="Arial"/>
          <w:color w:val="000000"/>
        </w:rPr>
        <w:t xml:space="preserve">and </w:t>
      </w:r>
      <w:r w:rsidR="00F33D6D" w:rsidRPr="000C71A6">
        <w:rPr>
          <w:rFonts w:cs="Arial"/>
          <w:color w:val="000000"/>
        </w:rPr>
        <w:t>INF-γ</w:t>
      </w:r>
      <w:r w:rsidR="0081620D" w:rsidRPr="000C71A6">
        <w:rPr>
          <w:rFonts w:cs="Arial"/>
          <w:color w:val="000000"/>
        </w:rPr>
        <w:t>.</w:t>
      </w:r>
      <w:r w:rsidR="0081620D">
        <w:rPr>
          <w:rFonts w:cs="Arial"/>
          <w:color w:val="000000"/>
        </w:rPr>
        <w:t xml:space="preserve"> During t</w:t>
      </w:r>
      <w:r w:rsidR="00472D79">
        <w:rPr>
          <w:rFonts w:cs="Arial"/>
          <w:color w:val="000000"/>
        </w:rPr>
        <w:t>oxoplasmosis</w:t>
      </w:r>
      <w:r w:rsidR="0081620D">
        <w:rPr>
          <w:rFonts w:cs="Arial"/>
          <w:color w:val="000000"/>
        </w:rPr>
        <w:t>,</w:t>
      </w:r>
      <w:r w:rsidR="00472D79">
        <w:rPr>
          <w:rFonts w:cs="Arial"/>
          <w:color w:val="000000"/>
        </w:rPr>
        <w:t xml:space="preserve"> IL-12 production</w:t>
      </w:r>
      <w:r w:rsidR="0081620D">
        <w:rPr>
          <w:rFonts w:cs="Arial"/>
          <w:color w:val="000000"/>
        </w:rPr>
        <w:t xml:space="preserve"> is also induced</w:t>
      </w:r>
      <w:r w:rsidR="004A7B04">
        <w:rPr>
          <w:rFonts w:cs="Arial"/>
          <w:color w:val="000000"/>
        </w:rPr>
        <w:t>,</w:t>
      </w:r>
      <w:r w:rsidR="00472D79">
        <w:rPr>
          <w:rFonts w:cs="Arial"/>
          <w:color w:val="000000"/>
        </w:rPr>
        <w:t xml:space="preserve"> however, this production has been shown to be dependent on the translocation of commensal bacteria from the gastrointestinal tract due to inflammation </w:t>
      </w:r>
      <w:r w:rsidR="00472D79" w:rsidRPr="000C71A6">
        <w:rPr>
          <w:rFonts w:cs="Arial"/>
          <w:color w:val="000000"/>
        </w:rPr>
        <w:fldChar w:fldCharType="begin" w:fldLock="1"/>
      </w:r>
      <w:r w:rsidR="003D7092">
        <w:rPr>
          <w:rFonts w:cs="Arial"/>
          <w:color w:val="000000"/>
        </w:rPr>
        <w:instrText>ADDIN CSL_CITATION {"citationItems":[{"id":"ITEM-1","itemData":{"DOI":"10.1016/J.CHOM.2009.06.005","ISSN":"19313128","PMID":"19683684","abstract":"Toxoplasma gondii is a universally distributed pathogen that infects over one billion people worldwide. Host resistance to this protozoan parasite depends on a Th1 immune response with potent production of the cytokines interleukin-12 and interferon γ. Although Toll-like receptor 11 (TLR11) plays a major role in controlling Th1 immunity to this pathogen in mice, this innate immune receptor is nonfunctional in humans, and the mechanisms of TLR11-independent sensing of T. gondii remain elusive. Here, we show that oral infection by T. gondii triggers a TLR11-independent but MyD88-dependent Th1 response that is impaired in TLR2xTLR4 double knockout and TLR9 single knockout mice. These mucosal innate and adaptive immune responses to T. gondii rely on the indirect stimulation of dendritic cells by normal gut microflora. Thus, our results reveal that gut commensal bacteria can serve as molecular adjuvants during parasitic infection, providing indirect immunostimulation that protects against T. gondii in the absence of TLR11. © 2009 Elsevier Inc. All rights reserved.","author":[{"dropping-particle":"","family":"Benson","given":"Alicia","non-dropping-particle":"","parse-names":false,"suffix":""},{"dropping-particle":"","family":"Pifer","given":"Reed","non-dropping-particle":"","parse-names":false,"suffix":""},{"dropping-particle":"","family":"Behrendt","given":"Cassie L.","non-dropping-particle":"","parse-names":false,"suffix":""},{"dropping-particle":"V.","family":"Hooper","given":"Lora","non-dropping-particle":"","parse-names":false,"suffix":""},{"dropping-particle":"","family":"Yarovinsky","given":"Felix","non-dropping-particle":"","parse-names":false,"suffix":""}],"container-title":"Cell host &amp; microbe","id":"ITEM-1","issue":"2","issued":{"date-parts":[["2009","8","8"]]},"page":"187","publisher":"NIH Public Access","title":"Gut commensal bacteria direct a protective immune response against the human pathogen Toxoplasma gondii","type":"article-journal","volume":"6"},"uris":["http://www.mendeley.com/documents/?uuid=e488f600-a9c2-3b1b-ab98-4865e93fc8eb"]}],"mendeley":{"formattedCitation":"[23]","plainTextFormattedCitation":"[23]","previouslyFormattedCitation":"[23]"},"properties":{"noteIndex":0},"schema":"https://github.com/citation-style-language/schema/raw/master/csl-citation.json"}</w:instrText>
      </w:r>
      <w:r w:rsidR="00472D79" w:rsidRPr="000C71A6">
        <w:rPr>
          <w:rFonts w:cs="Arial"/>
          <w:color w:val="000000"/>
        </w:rPr>
        <w:fldChar w:fldCharType="separate"/>
      </w:r>
      <w:r w:rsidR="003D7092" w:rsidRPr="003D7092">
        <w:rPr>
          <w:rFonts w:cs="Arial"/>
          <w:noProof/>
          <w:color w:val="000000"/>
        </w:rPr>
        <w:t>[23]</w:t>
      </w:r>
      <w:r w:rsidR="00472D79" w:rsidRPr="000C71A6">
        <w:rPr>
          <w:rFonts w:cs="Arial"/>
          <w:color w:val="000000"/>
        </w:rPr>
        <w:fldChar w:fldCharType="end"/>
      </w:r>
      <w:r w:rsidR="00472D79">
        <w:rPr>
          <w:rFonts w:cs="Arial"/>
          <w:color w:val="000000"/>
        </w:rPr>
        <w:t>. In n</w:t>
      </w:r>
      <w:r w:rsidR="00472D79" w:rsidRPr="00753B17">
        <w:rPr>
          <w:rFonts w:cs="Arial"/>
          <w:color w:val="000000"/>
        </w:rPr>
        <w:t>eosporosis</w:t>
      </w:r>
      <w:r w:rsidR="00472D79">
        <w:rPr>
          <w:rFonts w:cs="Arial"/>
          <w:color w:val="000000"/>
        </w:rPr>
        <w:t>, however, noteworthy inflammation of the intestine was not shown</w:t>
      </w:r>
      <w:r w:rsidR="001F3F7A">
        <w:rPr>
          <w:rFonts w:cs="Arial"/>
          <w:color w:val="000000"/>
        </w:rPr>
        <w:t xml:space="preserve">, despite considerable IL-12 production by both conventional and plasmacytoid dendritic cells </w:t>
      </w:r>
      <w:r w:rsidR="00FF6168">
        <w:rPr>
          <w:rFonts w:cs="Arial"/>
          <w:color w:val="000000"/>
        </w:rPr>
        <w:t>of</w:t>
      </w:r>
      <w:r w:rsidR="001F3F7A">
        <w:rPr>
          <w:rFonts w:cs="Arial"/>
          <w:color w:val="000000"/>
        </w:rPr>
        <w:t xml:space="preserve"> the mesenteric lymph nodes </w:t>
      </w:r>
      <w:r w:rsidR="001F3F7A" w:rsidRPr="000C71A6">
        <w:rPr>
          <w:rFonts w:cs="Arial"/>
        </w:rPr>
        <w:fldChar w:fldCharType="begin" w:fldLock="1"/>
      </w:r>
      <w:r w:rsidR="004A4DFA">
        <w:rPr>
          <w:rFonts w:cs="Arial"/>
        </w:rPr>
        <w:instrText>ADDIN CSL_CITATION {"citationItems":[{"id":"ITEM-1","itemData":{"DOI":"10.1371/journal.pone.0268903","ISSN":"1932-6203","PMID":"35604902","abstract":"Background","author":[{"dropping-particle":"","family":"Nayeri","given":"Tooran","non-dropping-particle":"","parse-names":false,"suffix":""},{"dropping-particle":"","family":"Moosazadeh","given":"Mahmood","non-dropping-particle":"","parse-names":false,"suffix":""},{"dropping-particle":"","family":"Sarvi","given":"Shahabeddin","non-dropping-particle":"","parse-names":false,"suffix":""},{"dropping-particle":"","family":"Daryani","given":"Ahmad","non-dropping-particle":"","parse-names":false,"suffix":""}],"container-title":"PLOS ONE","editor":[{"dropping-particle":"","family":"Rosenthal","given":"Benjamin M.","non-dropping-particle":"","parse-names":false,"suffix":""}],"id":"ITEM-1","issue":"5","issued":{"date-parts":[["2022","5","23"]]},"page":"e0268903","publisher":"PLoS One","title":"Neospora caninum infection in aborting bovines and lost fetuses: A systematic review and meta-analysis","type":"article-journal","volume":"17"},"uris":["http://www.mendeley.com/documents/?uuid=213fcfe5-2cf2-3ed1-986b-a5773735de14"]},{"id":"ITEM-2","itemData":{"DOI":"10.1186/1297-9716-44-69","ISSN":"1297-9716","abstract":"The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Research","id":"ITEM-2","issue":"1","issued":{"date-parts":[["2013","12","10"]]},"page":"69","title":"Mucosal and systemic T cell response in mice intragastrically infected with Neospora caninum tachyzoites","type":"article-journal","volume":"44"},"uris":["http://www.mendeley.com/documents/?uuid=19882f4e-bdad-3bfb-8938-a1dba45db020"]}],"mendeley":{"formattedCitation":"[1], [13]","manualFormatting":"[12]","plainTextFormattedCitation":"[1], [13]","previouslyFormattedCitation":"[1], [13]"},"properties":{"noteIndex":0},"schema":"https://github.com/citation-style-language/schema/raw/master/csl-citation.json"}</w:instrText>
      </w:r>
      <w:r w:rsidR="001F3F7A" w:rsidRPr="000C71A6">
        <w:rPr>
          <w:rFonts w:cs="Arial"/>
        </w:rPr>
        <w:fldChar w:fldCharType="separate"/>
      </w:r>
      <w:r w:rsidR="001F3F7A">
        <w:rPr>
          <w:rFonts w:cs="Arial"/>
          <w:noProof/>
        </w:rPr>
        <w:t>[</w:t>
      </w:r>
      <w:r w:rsidR="001F3F7A" w:rsidRPr="00F00084">
        <w:rPr>
          <w:rFonts w:cs="Arial"/>
          <w:noProof/>
        </w:rPr>
        <w:t>12]</w:t>
      </w:r>
      <w:r w:rsidR="001F3F7A" w:rsidRPr="000C71A6">
        <w:rPr>
          <w:rFonts w:cs="Arial"/>
        </w:rPr>
        <w:fldChar w:fldCharType="end"/>
      </w:r>
      <w:r w:rsidR="00472D79">
        <w:rPr>
          <w:rFonts w:cs="Arial"/>
          <w:color w:val="000000"/>
        </w:rPr>
        <w:t xml:space="preserve">. Gut inflammation can be attributed to IL-17, a pro-inflammatory cytokine associated with inflammation against extracellular bacteria and fungi, but that has also been identified in protozoan infections </w:t>
      </w:r>
      <w:r w:rsidR="00472D79">
        <w:rPr>
          <w:rFonts w:cs="Arial"/>
          <w:color w:val="000000"/>
        </w:rPr>
        <w:fldChar w:fldCharType="begin" w:fldLock="1"/>
      </w:r>
      <w:r w:rsidR="003D7092">
        <w:rPr>
          <w:rFonts w:cs="Arial"/>
          <w:color w:val="000000"/>
        </w:rPr>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Immunology","type":"chapter"},"uris":["http://www.mendeley.com/documents/?uuid=5b612fa0-4782-467b-a937-4cc8cbeba109"]},{"id":"ITEM-2","itemData":{"DOI":"10.3390/VACCINES10060925","ISSN":"2076-393X","PMID":"35746533","abstract":"Neospora caninum is an obligate intracellular protozoan responsible for abortion and stillbirths in cattle. We previously developed a mucosal vaccination approach using N. caninum membrane proteins and CpG adjuvant that conferred long-term protection against neosporosis in mice. Here, we have extended this approach by alternatively using the carbomer-based adjuvant Carbigen™ in the immunizing preparation. Immunized mice presented higher proportions and numbers of memory CD4+ and CD8+ T cells. Stimulation of spleen, lungs and liver leukocytes with parasite antigens induced a marked production of IFN-γ and IL-17A and, less markedly, IL-4. This balanced response was also evident in that both parasite-specific IgG1 and IgG2c were raised by immunization, together with specific intestinal IgA. Upon intraperitoneal infection with N. caninum, immunized mice presented lower parasitic burdens than sham-immunized controls. In the infected immunized mice, memory CD4+ T cells predominantly expressed T-bet and RORγt, and CD8+ T cells expressing T-bet were found increased. While spleen, lungs and liver leukocytes of both immunized and sham-immunized infected animals produced high amounts of IFN-γ, only the cells from immunized mice responded with high IL-17A production. Since in cattle both IFN-γ and IL-17A have been associated with protective mechanisms against N. caninum infection, the elicited cytokine profile obtained using CarbigenTM as adjuvant indicates that it could be worth exploring for bovine neosporosis vaccination.","author":[{"dropping-particle":"","family":"Correia","given":"Alexandra","non-dropping-particle":"","parse-names":false,"suffix":""},{"dropping-particle":"","family":"Alves","given":"Pedro","non-dropping-particle":"","parse-names":false,"suffix":""},{"dropping-particle":"","family":"Fróis-Martins","given":"Ricardo","non-dropping-particle":"","parse-names":false,"suffix":""},{"dropping-particle":"","family":"Teixeira","given":"Luzia","non-dropping-particle":"","parse-names":false,"suffix":""},{"dropping-particle":"","family":"Vilanova","given":"Manuel","non-dropping-particle":"","parse-names":false,"suffix":""}],"container-title":"Vaccines","id":"ITEM-2","issue":"6","issued":{"date-parts":[["2022","6","10"]]},"note":"T-bet and RORgt associated with Th1 and Th17 cell populations responses, respectively.\n\nIL-17A is generally associated with bacterial and fungal infections, however it has been detected to establish a protective role in protozoan infections such as toxoplasmosis.","page":"925","publisher":"Vaccines (Basel)","title":"Protective Effect against Neosporosis Induced by Intranasal Immunization with Neospora caninum Membrane Antigens Plus Carbomer-Based Adjuvant","type":"article-journal","volume":"10"},"uris":["http://www.mendeley.com/documents/?uuid=55936595-3a35-3056-b6ba-7a00f7805700"]}],"mendeley":{"formattedCitation":"[19], [24]","manualFormatting":"[19, 21]","plainTextFormattedCitation":"[19], [24]","previouslyFormattedCitation":"[19], [24]"},"properties":{"noteIndex":0},"schema":"https://github.com/citation-style-language/schema/raw/master/csl-citation.json"}</w:instrText>
      </w:r>
      <w:r w:rsidR="00472D79">
        <w:rPr>
          <w:rFonts w:cs="Arial"/>
          <w:color w:val="000000"/>
        </w:rPr>
        <w:fldChar w:fldCharType="separate"/>
      </w:r>
      <w:r w:rsidR="00472D79">
        <w:rPr>
          <w:rFonts w:cs="Arial"/>
          <w:noProof/>
          <w:color w:val="000000"/>
        </w:rPr>
        <w:t xml:space="preserve">[19, </w:t>
      </w:r>
      <w:r w:rsidR="00472D79" w:rsidRPr="00F00084">
        <w:rPr>
          <w:rFonts w:cs="Arial"/>
          <w:noProof/>
          <w:color w:val="000000"/>
        </w:rPr>
        <w:t>21]</w:t>
      </w:r>
      <w:r w:rsidR="00472D79">
        <w:rPr>
          <w:rFonts w:cs="Arial"/>
          <w:color w:val="000000"/>
        </w:rPr>
        <w:fldChar w:fldCharType="end"/>
      </w:r>
      <w:r w:rsidR="00BB67A9">
        <w:rPr>
          <w:rFonts w:cs="Arial"/>
          <w:color w:val="000000"/>
        </w:rPr>
        <w:t>.</w:t>
      </w:r>
      <w:r w:rsidR="00472D79">
        <w:rPr>
          <w:rFonts w:cs="Arial"/>
          <w:color w:val="000000"/>
        </w:rPr>
        <w:t xml:space="preserve"> </w:t>
      </w:r>
      <w:r w:rsidR="00BB67A9">
        <w:rPr>
          <w:rFonts w:cs="Arial"/>
          <w:color w:val="000000"/>
        </w:rPr>
        <w:t xml:space="preserve">It was already associated with gut immunopathology in response to experimental infection with </w:t>
      </w:r>
      <w:r w:rsidR="00BB67A9" w:rsidRPr="00BB67A9">
        <w:rPr>
          <w:rFonts w:cs="Arial"/>
          <w:i/>
          <w:iCs/>
          <w:color w:val="000000"/>
        </w:rPr>
        <w:t>T. gondii</w:t>
      </w:r>
      <w:r w:rsidR="00BB67A9">
        <w:rPr>
          <w:rFonts w:cs="Arial"/>
          <w:color w:val="000000"/>
        </w:rPr>
        <w:t xml:space="preserve"> </w:t>
      </w:r>
      <w:r w:rsidR="004A4DFA">
        <w:rPr>
          <w:rFonts w:cs="Arial"/>
          <w:color w:val="000000"/>
        </w:rPr>
        <w:fldChar w:fldCharType="begin" w:fldLock="1"/>
      </w:r>
      <w:r w:rsidR="003D7092">
        <w:rPr>
          <w:rFonts w:cs="Arial"/>
          <w:color w:val="000000"/>
        </w:rPr>
        <w:instrText>ADDIN CSL_CITATION {"citationItems":[{"id":"ITEM-1","itemData":{"DOI":"10.1086/653738","abstract":"Th17 cells are involved in host defense against several pathogens. Using interleukin (IL) 17RA-deficient mice, we demonstrated reduced ileitis with diminished neutrophil recruitment and inflammatory lesions in the ileum, in the regional lymph node, in the spleen, and in the liver at day 7 and prolonged survival after Toxoplasma gondii infection. In addition, IL-17A antibody neutralization reduced inflammation and enhanced survival in BL6 mice. Diminished inflammation is associated with augmented interferon (IFN) g serum levels and enhanced production of IL-10 and IFN-g in cultured splenocytes upon antigen restimulation. Finally, cyst load and inflammation in the brain at 40 days are greater in surviving BL6 mice than in IL-17RA-deficient mice. In conclusion, oral T. gondii infection increases IL-17 expression and contributes to the inflammatory response, and IL-17 neutralization has a partial protective effect against fatal T. gondii-associated inflammation. Toxoplasma gondii is an opportunistic parasite with a worldwide distribution that triggers an innate immune response characterized by a rapid recruitment of neu-trophils to the site of infection, followed by a strong Th1 protective response associated with the production of proinflammatory cytokines, including interleukin (IL) 12 and tumor necrosis factor (TNF) a. Neutrophils are critical and complementary to dendritic cells and","author":[{"dropping-particle":"","family":"Guiton","given":"Rachel","non-dropping-particle":"","parse-names":false,"suffix":""},{"dropping-particle":"","family":"Vasseur","given":"Virginie","non-dropping-particle":"","parse-names":false,"suffix":""},{"dropping-particle":"","family":"Charron","given":"Sabine","non-dropping-particle":"","parse-names":false,"suffix":""},{"dropping-particle":"","family":"Arias","given":"Marbel Torres","non-dropping-particle":"","parse-names":false,"suffix":""},{"dropping-particle":"Van","family":"Langendonck","given":"Nathalie","non-dropping-particle":"","parse-names":false,"suffix":""},{"dropping-particle":"","family":"Buzoni-Gatel","given":"Dominique","non-dropping-particle":"","parse-names":false,"suffix":""},{"dropping-particle":"","family":"Ryffel","given":"Bernhard","non-dropping-particle":"","parse-names":false,"suffix":""},{"dropping-particle":"","family":"Dimier-Poisson","given":"Isabelle","non-dropping-particle":"","parse-names":false,"suffix":""}],"container-title":"The Journal of Infectious Diseases","id":"ITEM-1","issue":"3","issued":{"date-parts":[["2010"]]},"page":"427-435","title":"Interleukin 17 Receptor Signaling Is Deleterious during Toxoplasma gondii Infection in Susceptible BL6 Mice","type":"article-journal","volume":"427"},"uris":["http://www.mendeley.com/documents/?uuid=a9bc5b8c-91ae-361d-b545-dfe929f50b3c"]}],"mendeley":{"formattedCitation":"[25]","plainTextFormattedCitation":"[25]","previouslyFormattedCitation":"[25]"},"properties":{"noteIndex":0},"schema":"https://github.com/citation-style-language/schema/raw/master/csl-citation.json"}</w:instrText>
      </w:r>
      <w:r w:rsidR="004A4DFA">
        <w:rPr>
          <w:rFonts w:cs="Arial"/>
          <w:color w:val="000000"/>
        </w:rPr>
        <w:fldChar w:fldCharType="separate"/>
      </w:r>
      <w:r w:rsidR="003D7092" w:rsidRPr="003D7092">
        <w:rPr>
          <w:rFonts w:cs="Arial"/>
          <w:noProof/>
          <w:color w:val="000000"/>
        </w:rPr>
        <w:t>[25]</w:t>
      </w:r>
      <w:r w:rsidR="004A4DFA">
        <w:rPr>
          <w:rFonts w:cs="Arial"/>
          <w:color w:val="000000"/>
        </w:rPr>
        <w:fldChar w:fldCharType="end"/>
      </w:r>
      <w:r w:rsidR="004A4DFA">
        <w:rPr>
          <w:rFonts w:cs="Arial"/>
          <w:color w:val="000000"/>
        </w:rPr>
        <w:t xml:space="preserve"> </w:t>
      </w:r>
      <w:r w:rsidR="00BB67A9">
        <w:rPr>
          <w:rFonts w:cs="Arial"/>
          <w:color w:val="000000"/>
        </w:rPr>
        <w:t xml:space="preserve">and </w:t>
      </w:r>
      <w:r w:rsidR="00BB67A9" w:rsidRPr="0055247E">
        <w:rPr>
          <w:rFonts w:cs="Arial"/>
          <w:i/>
          <w:iCs/>
          <w:color w:val="000000"/>
        </w:rPr>
        <w:t>Eimeria tenella</w:t>
      </w:r>
      <w:r w:rsidR="004A4DFA">
        <w:rPr>
          <w:rFonts w:cs="Arial"/>
          <w:i/>
          <w:iCs/>
          <w:color w:val="000000"/>
        </w:rPr>
        <w:t xml:space="preserve"> </w:t>
      </w:r>
      <w:r w:rsidR="00A327F3">
        <w:rPr>
          <w:rFonts w:cs="Arial"/>
          <w:i/>
          <w:iCs/>
          <w:color w:val="000000"/>
        </w:rPr>
        <w:fldChar w:fldCharType="begin" w:fldLock="1"/>
      </w:r>
      <w:r w:rsidR="003D7092">
        <w:rPr>
          <w:rFonts w:cs="Arial"/>
          <w:i/>
          <w:iCs/>
          <w:color w:val="000000"/>
        </w:rPr>
        <w:instrText>ADDIN CSL_CITATION {"citationItems":[{"id":"ITEM-1","itemData":{"DOI":"10.1016/J.EXPPARA.2012.11.009","ISSN":"0014-4894","PMID":"23201216","abstract":"Although IL-17 is a key factor in Th17 lineage host responses and plays critical roles in immunological control of a variety of infectious diseases, the contribution of IL-17 to immune function during Eimeria tenella infection is unknown. In the present study, we used an experimental E. tenella infection model to clarify the role of Th17-associated response in the resulting immune response by quantitative real-time PCR assays. We observed robust production of STAT-3 (the transcription factors), IL-1β, IL-6 and IL-17 in cecal intraepithelial lymphocytes during the early infection, peaking at 6. h p.i. and declining thereafter. The expression of TGF-β was moderately upregulated and had 2 peaks at 6 and 72. h p.i. during the early infection. To further investigate the role of chIL-17 during the infection, we treated the infected chickens with IL-17 and its neutralized antibody. As a result, the reduced fecal oocyst shedding and cecal lesion scores, but enhanced body weight gains were observed in IL-17 neutralized chickens. The results of histopathology showed that the neutrophils recruitment diminished and the parasite burden in IL-17 neutralized chickens decreased. These results may be due to the significant decrease in the production of IL-17, IL-6 and TGF-β, but enhanced IL-12 and IFN-γ expression in IL-17 neutralized chickens. The converse results were shown in IL-17 treated infected-chickens in which chickens showed increased fecal oocyst shedding, exacerbated lesion scores, and reduced body weight gains. These results suggested that chicken IL-17 might mediate E. tenella - induced immunopathology during the infection. © 2012 Elsevier Inc.","author":[{"dropping-particle":"","family":"Zhang","given":"Lei","non-dropping-particle":"","parse-names":false,"suffix":""},{"dropping-particle":"","family":"Liu","given":"Renqiang","non-dropping-particle":"","parse-names":false,"suffix":""},{"dropping-particle":"","family":"Song","given":"Meng","non-dropping-particle":"","parse-names":false,"suffix":""},{"dropping-particle":"","family":"Hu","given":"Yanxin","non-dropping-particle":"","parse-names":false,"suffix":""},{"dropping-particle":"","family":"Pan","given":"Baoliang","non-dropping-particle":"","parse-names":false,"suffix":""},{"dropping-particle":"","family":"Cai","given":"Jianping","non-dropping-particle":"","parse-names":false,"suffix":""},{"dropping-particle":"","family":"Wang","given":"Ming","non-dropping-particle":"","parse-names":false,"suffix":""}],"container-title":"Experimental Parasitology","id":"ITEM-1","issue":"2","issued":{"date-parts":[["2013","2","1"]]},"page":"121-130","publisher":"Academic Press","title":"Eimeria tenella: Interleukin 17 contributes to host immunopathology in the gut during experimental infection","type":"article-journal","volume":"133"},"uris":["http://www.mendeley.com/documents/?uuid=c3d71874-7804-36f8-b1d4-05db3816d29d"]}],"mendeley":{"formattedCitation":"[26]","plainTextFormattedCitation":"[26]","previouslyFormattedCitation":"[26]"},"properties":{"noteIndex":0},"schema":"https://github.com/citation-style-language/schema/raw/master/csl-citation.json"}</w:instrText>
      </w:r>
      <w:r w:rsidR="00A327F3">
        <w:rPr>
          <w:rFonts w:cs="Arial"/>
          <w:i/>
          <w:iCs/>
          <w:color w:val="000000"/>
        </w:rPr>
        <w:fldChar w:fldCharType="separate"/>
      </w:r>
      <w:r w:rsidR="003D7092" w:rsidRPr="003D7092">
        <w:rPr>
          <w:rFonts w:cs="Arial"/>
          <w:iCs/>
          <w:noProof/>
          <w:color w:val="000000"/>
        </w:rPr>
        <w:t>[26]</w:t>
      </w:r>
      <w:r w:rsidR="00A327F3">
        <w:rPr>
          <w:rFonts w:cs="Arial"/>
          <w:i/>
          <w:iCs/>
          <w:color w:val="000000"/>
        </w:rPr>
        <w:fldChar w:fldCharType="end"/>
      </w:r>
      <w:r w:rsidR="00BB67A9" w:rsidRPr="00A327F3">
        <w:rPr>
          <w:rFonts w:cs="Arial"/>
          <w:iCs/>
          <w:color w:val="000000"/>
        </w:rPr>
        <w:t>.</w:t>
      </w:r>
      <w:r w:rsidR="00BB67A9" w:rsidRPr="00A327F3">
        <w:rPr>
          <w:rFonts w:cs="Arial"/>
          <w:color w:val="000000"/>
        </w:rPr>
        <w:t xml:space="preserve"> </w:t>
      </w:r>
    </w:p>
    <w:p w14:paraId="42A693DC" w14:textId="5C8AD36F" w:rsidR="00050C2A" w:rsidRPr="000C71A6" w:rsidRDefault="00E32282" w:rsidP="00050C2A">
      <w:pPr>
        <w:divId w:val="684404335"/>
        <w:rPr>
          <w:rFonts w:cs="Arial"/>
          <w:color w:val="000000"/>
        </w:rPr>
      </w:pPr>
      <w:r w:rsidRPr="000C71A6">
        <w:rPr>
          <w:rFonts w:cs="Arial"/>
          <w:color w:val="000000"/>
        </w:rPr>
        <w:t xml:space="preserve">Activated Th1 cells </w:t>
      </w:r>
      <w:r w:rsidR="00425D7B" w:rsidRPr="000C71A6">
        <w:rPr>
          <w:rFonts w:cs="Arial"/>
          <w:color w:val="000000"/>
        </w:rPr>
        <w:t>produce IL-2, IFN-γ and tumour necrosis factor (TNF)</w:t>
      </w:r>
      <w:r w:rsidR="008B7087">
        <w:rPr>
          <w:rFonts w:cs="Arial"/>
          <w:color w:val="000000"/>
        </w:rPr>
        <w:t>-</w:t>
      </w:r>
      <w:r w:rsidR="008B7087">
        <w:rPr>
          <w:rFonts w:ascii="Times New Roman" w:hAnsi="Times New Roman" w:cs="Times New Roman"/>
          <w:color w:val="000000"/>
        </w:rPr>
        <w:t>α</w:t>
      </w:r>
      <w:r w:rsidR="00425D7B" w:rsidRPr="000C71A6">
        <w:rPr>
          <w:rFonts w:cs="Arial"/>
          <w:color w:val="000000"/>
        </w:rPr>
        <w:t xml:space="preserve">, and promote antibody-dependent cytolysis </w:t>
      </w:r>
      <w:r w:rsidR="00425D7B" w:rsidRPr="000C71A6">
        <w:rPr>
          <w:rFonts w:cs="Arial"/>
          <w:color w:val="000000"/>
        </w:rPr>
        <w:fldChar w:fldCharType="begin" w:fldLock="1"/>
      </w:r>
      <w:r w:rsidR="004A4DFA">
        <w:rPr>
          <w:rFonts w:cs="Arial"/>
          <w:color w:val="000000"/>
        </w:rPr>
        <w:instrText>ADDIN CSL_CITATION {"citationItems":[{"id":"ITEM-1","itemData":{"DOI":"10.1016/S0020-7519(99)00141-1","ISSN":"00207519","PMID":"10608450","abstract":"The type of immune response required to protect mice against clinical disease during acute Neospora caninum challenge was investigated in BALB/c mice. Groups of female BALB/c mice were infected i.p. with N. caninum tachyzoites concomitant with either: (1) antibody to interferon-γ; (2) recombinant murine interleukin-12; or (3) recombinant murine interleukin-12 plus antibody to interferon-γ. Mice treated with anti-interferon-γ alone had increased morbidity/mortality, decreased body weight, increased foci of liver necrosis and increased numbers of N. caninum tachyzoites in the lung by 7 days p.i. compared with controls. Increased disease and parasite load in the anti-interferon-γ-treated mice was associated with antigen-specific antibody IgG1 &gt; IgG2a and a three-fold decreased ratio of antigen-specific interferon-γ:interleukin-4. Mice treated with recombinant murine interleukin-12 had decreased encephalitis and brain parasite load at 3 weeks p.i. compared with control mice treated with PBS. In recombinant murine interleukin-12-treated mice, decreased brain lesions and parasite load were associated with antigen-specific antibody IgG2a &gt; IgG1 and a three-fold increased ratio of antigen-specific interferon-γ:interleukin-4 from splenocytes; the interleukin-12 effect was dependent upon interferon-γ, as indicated by concomitant in vivo interferon-γ neutralisation. By 6 weeks p.i. with N. caninum, there were no differences in brain lesions and parasite load between interleukin-12- and PBS-treated groups, indicating that the effects of interleukin-12 on driving a protective type 1 response were transient. These data indicate a role for interferon-γ, interleukin-12 and type 1 immune responses in control of acute neosporosis in mice.","author":[{"dropping-particle":"V.","family":"Baszler","given":"Timothy","non-dropping-particle":"","parse-names":false,"suffix":""},{"dropping-particle":"","family":"Long","given":"Maureen T.","non-dropping-particle":"","parse-names":false,"suffix":""},{"dropping-particle":"","family":"McElwain","given":"Terry F.","non-dropping-particle":"","parse-names":false,"suffix":""},{"dropping-particle":"","family":"Mathison","given":"Bruce A.","non-dropping-particle":"","parse-names":false,"suffix":""}],"container-title":"International Journal for Parasitology","id":"ITEM-1","issue":"10","issued":{"date-parts":[["1999"]]},"page":"1635-1646","publisher":"Elsevier Ltd","title":"Interferon-γ and interleukin-12 mediate protection to acute Neospora caninum infection in BALB/c mice","type":"article-journal","volume":"29"},"uris":["http://www.mendeley.com/documents/?uuid=c01e2452-6513-3b8b-a67d-9127f55db327"]}],"mendeley":{"formattedCitation":"[18]","plainTextFormattedCitation":"[18]","previouslyFormattedCitation":"[18]"},"properties":{"noteIndex":0},"schema":"https://github.com/citation-style-language/schema/raw/master/csl-citation.json"}</w:instrText>
      </w:r>
      <w:r w:rsidR="00425D7B" w:rsidRPr="000C71A6">
        <w:rPr>
          <w:rFonts w:cs="Arial"/>
          <w:color w:val="000000"/>
        </w:rPr>
        <w:fldChar w:fldCharType="separate"/>
      </w:r>
      <w:r w:rsidR="004A4DFA" w:rsidRPr="004A4DFA">
        <w:rPr>
          <w:rFonts w:cs="Arial"/>
          <w:noProof/>
          <w:color w:val="000000"/>
        </w:rPr>
        <w:t>[18]</w:t>
      </w:r>
      <w:r w:rsidR="00425D7B" w:rsidRPr="000C71A6">
        <w:rPr>
          <w:rFonts w:cs="Arial"/>
          <w:color w:val="000000"/>
        </w:rPr>
        <w:fldChar w:fldCharType="end"/>
      </w:r>
      <w:r w:rsidR="00425D7B" w:rsidRPr="000C71A6">
        <w:rPr>
          <w:rFonts w:cs="Arial"/>
          <w:color w:val="000000"/>
        </w:rPr>
        <w:t xml:space="preserve">. </w:t>
      </w:r>
      <w:r w:rsidR="00A23A4E" w:rsidRPr="000C71A6">
        <w:rPr>
          <w:rFonts w:cs="Arial"/>
          <w:color w:val="000000"/>
        </w:rPr>
        <w:t xml:space="preserve">This response explains the maintenance of a latent asymptomatic infection by containing the slow-replicating bradyzoites </w:t>
      </w:r>
      <w:r w:rsidR="005547AF" w:rsidRPr="000C71A6">
        <w:rPr>
          <w:rFonts w:cs="Arial"/>
          <w:color w:val="000000"/>
        </w:rPr>
        <w:t xml:space="preserve">inside cysts in the tissues </w:t>
      </w:r>
      <w:r w:rsidR="005547AF" w:rsidRPr="000C71A6">
        <w:rPr>
          <w:rFonts w:cs="Arial"/>
          <w:color w:val="000000"/>
        </w:rPr>
        <w:fldChar w:fldCharType="begin" w:fldLock="1"/>
      </w:r>
      <w:r w:rsidR="008824FA">
        <w:rPr>
          <w:rFonts w:cs="Arial"/>
          <w:color w:val="000000"/>
        </w:rPr>
        <w:instrText>ADDIN CSL_CITATION {"citationItems":[{"id":"ITEM-1","itemData":{"DOI":"10.1016/J.IJPPAW.2015.04.002","ISSN":"2213-2244","abstract":"Neospora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Wildlife","id":"ITEM-1","issue":"2","issued":{"date-parts":[["2015","8","1"]]},"page":"216-238","publisher":"Elsevier","title":"A review of neosporosis and pathologic findings of Neospora caninum infection in wildlife","type":"article-journal","volume":"4"},"uris":["http://www.mendeley.com/documents/?uuid=0eb21b67-0b11-310b-bb97-5e8fd960f5bc"]}],"mendeley":{"formattedCitation":"[10]","plainTextFormattedCitation":"[10]","previouslyFormattedCitation":"[10]"},"properties":{"noteIndex":0},"schema":"https://github.com/citation-style-language/schema/raw/master/csl-citation.json"}</w:instrText>
      </w:r>
      <w:r w:rsidR="005547AF" w:rsidRPr="000C71A6">
        <w:rPr>
          <w:rFonts w:cs="Arial"/>
          <w:color w:val="000000"/>
        </w:rPr>
        <w:fldChar w:fldCharType="separate"/>
      </w:r>
      <w:r w:rsidR="00F00084" w:rsidRPr="00F00084">
        <w:rPr>
          <w:rFonts w:cs="Arial"/>
          <w:noProof/>
          <w:color w:val="000000"/>
        </w:rPr>
        <w:t>[10]</w:t>
      </w:r>
      <w:r w:rsidR="005547AF" w:rsidRPr="000C71A6">
        <w:rPr>
          <w:rFonts w:cs="Arial"/>
          <w:color w:val="000000"/>
        </w:rPr>
        <w:fldChar w:fldCharType="end"/>
      </w:r>
      <w:r w:rsidR="005547AF" w:rsidRPr="000C71A6">
        <w:rPr>
          <w:rFonts w:cs="Arial"/>
          <w:color w:val="000000"/>
        </w:rPr>
        <w:t xml:space="preserve">. </w:t>
      </w:r>
      <w:r w:rsidR="00050C2A" w:rsidRPr="000C71A6">
        <w:rPr>
          <w:rFonts w:cs="Arial"/>
          <w:color w:val="000000"/>
        </w:rPr>
        <w:t xml:space="preserve">Interferon-γ is a glycoprotein produced </w:t>
      </w:r>
      <w:r w:rsidR="00050C2A">
        <w:rPr>
          <w:rFonts w:cs="Arial"/>
          <w:color w:val="000000"/>
        </w:rPr>
        <w:t xml:space="preserve">mainly </w:t>
      </w:r>
      <w:r w:rsidR="00050C2A" w:rsidRPr="000C71A6">
        <w:rPr>
          <w:rFonts w:cs="Arial"/>
          <w:color w:val="000000"/>
        </w:rPr>
        <w:t xml:space="preserve">by NK </w:t>
      </w:r>
      <w:r w:rsidR="00050C2A">
        <w:rPr>
          <w:rFonts w:cs="Arial"/>
          <w:color w:val="000000"/>
        </w:rPr>
        <w:t xml:space="preserve">and </w:t>
      </w:r>
      <w:r w:rsidR="00050C2A" w:rsidRPr="000C71A6">
        <w:rPr>
          <w:rFonts w:cs="Arial"/>
          <w:color w:val="000000"/>
        </w:rPr>
        <w:t>Th1</w:t>
      </w:r>
      <w:r w:rsidR="00050C2A">
        <w:rPr>
          <w:rFonts w:cs="Arial"/>
          <w:color w:val="000000"/>
        </w:rPr>
        <w:t xml:space="preserve"> </w:t>
      </w:r>
      <w:r w:rsidR="00050C2A" w:rsidRPr="000C71A6">
        <w:rPr>
          <w:rFonts w:cs="Arial"/>
          <w:color w:val="000000"/>
        </w:rPr>
        <w:t>CD4</w:t>
      </w:r>
      <w:r w:rsidR="00050C2A" w:rsidRPr="00C91DE0">
        <w:rPr>
          <w:rFonts w:cs="Arial"/>
          <w:color w:val="000000"/>
          <w:vertAlign w:val="superscript"/>
        </w:rPr>
        <w:t>+</w:t>
      </w:r>
      <w:r w:rsidR="00050C2A" w:rsidRPr="000C71A6">
        <w:rPr>
          <w:rFonts w:cs="Arial"/>
          <w:color w:val="000000"/>
        </w:rPr>
        <w:t>, CD8</w:t>
      </w:r>
      <w:r w:rsidR="00050C2A" w:rsidRPr="00C91DE0">
        <w:rPr>
          <w:rFonts w:cs="Arial"/>
          <w:color w:val="000000"/>
          <w:vertAlign w:val="superscript"/>
        </w:rPr>
        <w:t>+</w:t>
      </w:r>
      <w:r w:rsidR="00050C2A" w:rsidRPr="000C71A6">
        <w:rPr>
          <w:rFonts w:cs="Arial"/>
          <w:color w:val="000000"/>
        </w:rPr>
        <w:t xml:space="preserve">, and </w:t>
      </w:r>
      <w:r w:rsidR="00050C2A">
        <w:rPr>
          <w:rFonts w:cs="Arial"/>
          <w:color w:val="000000"/>
        </w:rPr>
        <w:t xml:space="preserve">TCR </w:t>
      </w:r>
      <w:r w:rsidR="00050C2A" w:rsidRPr="00C91DE0">
        <w:rPr>
          <w:rFonts w:cs="Arial"/>
          <w:color w:val="000000"/>
        </w:rPr>
        <w:t>γδ</w:t>
      </w:r>
      <w:r w:rsidR="00050C2A">
        <w:rPr>
          <w:rFonts w:cs="Arial"/>
          <w:color w:val="000000"/>
        </w:rPr>
        <w:t xml:space="preserve"> T </w:t>
      </w:r>
      <w:r w:rsidR="00050C2A" w:rsidRPr="00C91DE0">
        <w:rPr>
          <w:rFonts w:cs="Arial"/>
          <w:color w:val="000000"/>
        </w:rPr>
        <w:t>c</w:t>
      </w:r>
      <w:r w:rsidR="00050C2A" w:rsidRPr="000C71A6">
        <w:rPr>
          <w:rFonts w:cs="Arial"/>
          <w:color w:val="000000"/>
        </w:rPr>
        <w:t xml:space="preserve">ells </w:t>
      </w:r>
      <w:r w:rsidR="00050C2A" w:rsidRPr="000C71A6">
        <w:rPr>
          <w:rFonts w:cs="Arial"/>
          <w:color w:val="000000"/>
        </w:rPr>
        <w:fldChar w:fldCharType="begin" w:fldLock="1"/>
      </w:r>
      <w:r w:rsidR="004A4DFA">
        <w:rPr>
          <w:rFonts w:cs="Arial"/>
          <w:color w:val="000000"/>
        </w:rPr>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mendeley":{"formattedCitation":"[19]","plainTextFormattedCitation":"[19]","previouslyFormattedCitation":"[19]"},"properties":{"noteIndex":0},"schema":"https://github.com/citation-style-language/schema/raw/master/csl-citation.json"}</w:instrText>
      </w:r>
      <w:r w:rsidR="00050C2A" w:rsidRPr="000C71A6">
        <w:rPr>
          <w:rFonts w:cs="Arial"/>
          <w:color w:val="000000"/>
        </w:rPr>
        <w:fldChar w:fldCharType="separate"/>
      </w:r>
      <w:r w:rsidR="004A4DFA" w:rsidRPr="004A4DFA">
        <w:rPr>
          <w:rFonts w:cs="Arial"/>
          <w:noProof/>
          <w:color w:val="000000"/>
        </w:rPr>
        <w:t>[19]</w:t>
      </w:r>
      <w:r w:rsidR="00050C2A" w:rsidRPr="000C71A6">
        <w:rPr>
          <w:rFonts w:cs="Arial"/>
          <w:color w:val="000000"/>
        </w:rPr>
        <w:fldChar w:fldCharType="end"/>
      </w:r>
      <w:r w:rsidR="00050C2A" w:rsidRPr="000C71A6">
        <w:rPr>
          <w:rFonts w:cs="Arial"/>
          <w:color w:val="000000"/>
        </w:rPr>
        <w:t xml:space="preserve">. </w:t>
      </w:r>
      <w:r w:rsidR="00050C2A" w:rsidRPr="000C71A6">
        <w:rPr>
          <w:rFonts w:cs="Arial"/>
          <w:color w:val="000000"/>
        </w:rPr>
        <w:fldChar w:fldCharType="begin" w:fldLock="1"/>
      </w:r>
      <w:r w:rsidR="00A327F3">
        <w:rPr>
          <w:rFonts w:cs="Arial"/>
          <w:color w:val="000000"/>
        </w:rPr>
        <w:instrText>ADDIN CSL_CITATION {"citationItems":[{"id":"ITEM-1","itemData":{"DOI":"10.1186/1297-9716-44-69","ISSN":"1297-9716","abstract":"The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Research","id":"ITEM-1","issue":"1","issued":{"date-parts":[["2013","12","10"]]},"page":"69","title":"Mucosal and systemic T cell response in mice intragastrically infected with Neospora caninum tachyzoites","type":"article-journal","volume":"44"},"uris":["http://www.mendeley.com/documents/?uuid=19882f4e-bdad-3bfb-8938-a1dba45db020"]}],"mendeley":{"formattedCitation":"[13]","manualFormatting":"Correia et al.","plainTextFormattedCitation":"[13]","previouslyFormattedCitation":"[13]"},"properties":{"noteIndex":0},"schema":"https://github.com/citation-style-language/schema/raw/master/csl-citation.json"}</w:instrText>
      </w:r>
      <w:r w:rsidR="00050C2A" w:rsidRPr="000C71A6">
        <w:rPr>
          <w:rFonts w:cs="Arial"/>
          <w:color w:val="000000"/>
        </w:rPr>
        <w:fldChar w:fldCharType="separate"/>
      </w:r>
      <w:r w:rsidR="00050C2A" w:rsidRPr="000C71A6">
        <w:rPr>
          <w:rFonts w:cs="Arial"/>
          <w:noProof/>
          <w:color w:val="000000"/>
        </w:rPr>
        <w:t xml:space="preserve">Correia </w:t>
      </w:r>
      <w:r w:rsidR="00050C2A" w:rsidRPr="00A327F3">
        <w:rPr>
          <w:rFonts w:cs="Arial"/>
          <w:i/>
          <w:noProof/>
          <w:color w:val="000000"/>
        </w:rPr>
        <w:t>et al.</w:t>
      </w:r>
      <w:r w:rsidR="00050C2A" w:rsidRPr="000C71A6">
        <w:rPr>
          <w:rFonts w:cs="Arial"/>
          <w:color w:val="000000"/>
        </w:rPr>
        <w:fldChar w:fldCharType="end"/>
      </w:r>
      <w:r w:rsidR="00050C2A" w:rsidRPr="000C71A6">
        <w:rPr>
          <w:rFonts w:cs="Arial"/>
          <w:color w:val="000000"/>
        </w:rPr>
        <w:t xml:space="preserve"> demonstrated</w:t>
      </w:r>
      <w:r w:rsidR="00050C2A">
        <w:rPr>
          <w:rFonts w:cs="Arial"/>
          <w:color w:val="000000"/>
        </w:rPr>
        <w:t>,</w:t>
      </w:r>
      <w:r w:rsidR="00050C2A" w:rsidRPr="000C71A6">
        <w:rPr>
          <w:rFonts w:cs="Arial"/>
          <w:color w:val="000000"/>
        </w:rPr>
        <w:t xml:space="preserve"> in intragastrically infected mice</w:t>
      </w:r>
      <w:r w:rsidR="00050C2A">
        <w:rPr>
          <w:rFonts w:cs="Arial"/>
          <w:color w:val="000000"/>
        </w:rPr>
        <w:t>,</w:t>
      </w:r>
      <w:r w:rsidR="00050C2A" w:rsidRPr="000C71A6">
        <w:rPr>
          <w:rFonts w:cs="Arial"/>
          <w:color w:val="000000"/>
        </w:rPr>
        <w:t xml:space="preserve"> that CD8</w:t>
      </w:r>
      <w:r w:rsidR="00050C2A" w:rsidRPr="00753B17">
        <w:rPr>
          <w:rFonts w:cs="Arial"/>
          <w:color w:val="000000"/>
          <w:vertAlign w:val="superscript"/>
        </w:rPr>
        <w:t>+</w:t>
      </w:r>
      <w:r w:rsidR="00050C2A" w:rsidRPr="000C71A6">
        <w:rPr>
          <w:rFonts w:cs="Arial"/>
          <w:color w:val="000000"/>
        </w:rPr>
        <w:t xml:space="preserve"> T cells were </w:t>
      </w:r>
      <w:r w:rsidR="00050C2A">
        <w:rPr>
          <w:rFonts w:cs="Arial"/>
          <w:color w:val="000000"/>
        </w:rPr>
        <w:t>early</w:t>
      </w:r>
      <w:r w:rsidR="00050C2A" w:rsidRPr="000C71A6">
        <w:rPr>
          <w:rFonts w:cs="Arial"/>
          <w:color w:val="000000"/>
        </w:rPr>
        <w:t xml:space="preserve"> sources for this cytokine while CD4</w:t>
      </w:r>
      <w:r w:rsidR="00050C2A" w:rsidRPr="00C91DE0">
        <w:rPr>
          <w:rFonts w:cs="Arial"/>
          <w:color w:val="000000"/>
          <w:vertAlign w:val="superscript"/>
        </w:rPr>
        <w:t>+</w:t>
      </w:r>
      <w:r w:rsidR="00050C2A" w:rsidRPr="000C71A6">
        <w:rPr>
          <w:rFonts w:cs="Arial"/>
          <w:color w:val="000000"/>
        </w:rPr>
        <w:t xml:space="preserve"> T cells were only detected later in the infection</w:t>
      </w:r>
      <w:r w:rsidR="003D7092">
        <w:rPr>
          <w:rFonts w:cs="Arial"/>
          <w:color w:val="000000"/>
        </w:rPr>
        <w:t xml:space="preserve"> </w:t>
      </w:r>
      <w:r w:rsidR="003D7092">
        <w:rPr>
          <w:rFonts w:cs="Arial"/>
          <w:color w:val="000000"/>
        </w:rPr>
        <w:fldChar w:fldCharType="begin" w:fldLock="1"/>
      </w:r>
      <w:r w:rsidR="003D7092">
        <w:rPr>
          <w:rFonts w:cs="Arial"/>
          <w:color w:val="000000"/>
        </w:rPr>
        <w:instrText>ADDIN CSL_CITATION {"citationItems":[{"id":"ITEM-1","itemData":{"DOI":"10.1186/1297-9716-44-69","ISSN":"1297-9716","abstract":"The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Research","id":"ITEM-1","issue":"1","issued":{"date-parts":[["2013","12","10"]]},"page":"69","title":"Mucosal and systemic T cell response in mice intragastrically infected with Neospora caninum tachyzoites","type":"article-journal","volume":"44"},"uris":["http://www.mendeley.com/documents/?uuid=19882f4e-bdad-3bfb-8938-a1dba45db020"]}],"mendeley":{"formattedCitation":"[13]","plainTextFormattedCitation":"[13]","previouslyFormattedCitation":"[13]"},"properties":{"noteIndex":0},"schema":"https://github.com/citation-style-language/schema/raw/master/csl-citation.json"}</w:instrText>
      </w:r>
      <w:r w:rsidR="003D7092">
        <w:rPr>
          <w:rFonts w:cs="Arial"/>
          <w:color w:val="000000"/>
        </w:rPr>
        <w:fldChar w:fldCharType="separate"/>
      </w:r>
      <w:r w:rsidR="003D7092" w:rsidRPr="003D7092">
        <w:rPr>
          <w:rFonts w:cs="Arial"/>
          <w:noProof/>
          <w:color w:val="000000"/>
        </w:rPr>
        <w:t>[13]</w:t>
      </w:r>
      <w:r w:rsidR="003D7092">
        <w:rPr>
          <w:rFonts w:cs="Arial"/>
          <w:color w:val="000000"/>
        </w:rPr>
        <w:fldChar w:fldCharType="end"/>
      </w:r>
      <w:r w:rsidR="00050C2A" w:rsidRPr="000C71A6">
        <w:rPr>
          <w:rFonts w:cs="Arial"/>
          <w:color w:val="000000"/>
        </w:rPr>
        <w:t>. IFN-γ suppresses parasitic growth in brain cells</w:t>
      </w:r>
      <w:r w:rsidR="00050C2A">
        <w:rPr>
          <w:rFonts w:cs="Arial"/>
          <w:color w:val="000000"/>
        </w:rPr>
        <w:t>,</w:t>
      </w:r>
      <w:r w:rsidR="00050C2A" w:rsidRPr="000C71A6">
        <w:rPr>
          <w:rFonts w:cs="Arial"/>
          <w:color w:val="000000"/>
        </w:rPr>
        <w:t xml:space="preserve"> and </w:t>
      </w:r>
      <w:r w:rsidR="00050C2A">
        <w:rPr>
          <w:rFonts w:cs="Arial"/>
          <w:color w:val="000000"/>
        </w:rPr>
        <w:t xml:space="preserve">the lack of this cytokine in mice rendered them highly susceptible to the infection </w:t>
      </w:r>
      <w:r w:rsidR="00050C2A" w:rsidRPr="000C71A6">
        <w:rPr>
          <w:rFonts w:cs="Arial"/>
          <w:i/>
          <w:color w:val="000000"/>
        </w:rPr>
        <w:fldChar w:fldCharType="begin" w:fldLock="1"/>
      </w:r>
      <w:r w:rsidR="003D7092">
        <w:rPr>
          <w:rFonts w:cs="Arial"/>
          <w:i/>
          <w:color w:val="000000"/>
        </w:rPr>
        <w:instrText>ADDIN CSL_CITATION {"citationItems":[{"id":"ITEM-1","itemData":{"abstract":"Primary culture of bovine brain cells was examined for its susceptibility to Neospora caninum infections, and this model was used to investigate the effects of bovine interferon gamma (IFN-γ) and tumor necrosis factors alpha (TNF-α) on tachyzoite growth. Tachyzoites of N. caninum grew well in this culture, and tachyzoite growth in astroglia and microglia were confirmed by immunocytochemical staining. IFN-γ inhibited the tachyzoite growth, and this inhibition was not reversed by the addition of nitric oxide antagonist. TNF-α, to a lesser extent, also inhibited the tachyzoite growth. Th-1 type cytokines may play an important role in host defense mechanisms in N. caninum infection.-KEY WORDS: brain culture, cytokine, Neospora caninum.","author":[{"dropping-particle":"","family":"Yamane","given":"Itsuro","non-dropping-particle":"","parse-names":false,"suffix":""},{"dropping-particle":"","family":"Kitani","given":"Hiroshi","non-dropping-particle":"","parse-names":false,"suffix":""},{"dropping-particle":"","family":"Kokuho","given":"Takehiro","non-dropping-particle":"","parse-names":false,"suffix":""},{"dropping-particle":"","family":"Shibahara","given":"Tomoyuki","non-dropping-particle":"","parse-names":false,"suffix":""},{"dropping-particle":"","family":"Haritani","given":"Makoto","non-dropping-particle":"","parse-names":false,"suffix":""},{"dropping-particle":"","family":"Hamaoka","given":"Takafumi","non-dropping-particle":"","parse-names":false,"suffix":""},{"dropping-particle":"","family":"Shimizu","given":"Shinya","non-dropping-particle":"","parse-names":false,"suffix":""},{"dropping-particle":"","family":"Koiwai","given":"Masahiro","non-dropping-particle":"","parse-names":false,"suffix":""},{"dropping-particle":"","family":"Shimura","given":"Kameo","non-dropping-particle":"","parse-names":false,"suffix":""},{"dropping-particle":"","family":"Yokomizo","given":"Yuichi","non-dropping-particle":"","parse-names":false,"suffix":""}],"container-title":"J. Vet. Med. Sci","id":"ITEM-1","issue":"3","issued":{"date-parts":[["2000"]]},"number-of-pages":"347-351","title":"The Inhibitory Effect of Interferon Gamma and Tumor Necrosis Factor Alpha on Intracellular Multiplication of Neospora caninum in Primary Bovine Brain Cells","type":"report","volume":"62"},"uris":["http://www.mendeley.com/documents/?uuid=7c41e702-156f-3fc7-851e-a12f40e9a3b3"]}],"mendeley":{"formattedCitation":"[27]","plainTextFormattedCitation":"[27]","previouslyFormattedCitation":"[27]"},"properties":{"noteIndex":0},"schema":"https://github.com/citation-style-language/schema/raw/master/csl-citation.json"}</w:instrText>
      </w:r>
      <w:r w:rsidR="00050C2A" w:rsidRPr="000C71A6">
        <w:rPr>
          <w:rFonts w:cs="Arial"/>
          <w:i/>
          <w:color w:val="000000"/>
        </w:rPr>
        <w:fldChar w:fldCharType="separate"/>
      </w:r>
      <w:r w:rsidR="003D7092" w:rsidRPr="003D7092">
        <w:rPr>
          <w:rFonts w:cs="Arial"/>
          <w:noProof/>
          <w:color w:val="000000"/>
        </w:rPr>
        <w:t>[27]</w:t>
      </w:r>
      <w:r w:rsidR="00050C2A" w:rsidRPr="000C71A6">
        <w:rPr>
          <w:rFonts w:cs="Arial"/>
          <w:i/>
          <w:color w:val="000000"/>
        </w:rPr>
        <w:fldChar w:fldCharType="end"/>
      </w:r>
      <w:r w:rsidR="00050C2A" w:rsidRPr="000C71A6">
        <w:rPr>
          <w:rFonts w:cs="Arial"/>
          <w:color w:val="000000"/>
        </w:rPr>
        <w:t xml:space="preserve">. Therefore, IFN-γ is considered a crucial element in </w:t>
      </w:r>
      <w:r w:rsidR="00050C2A">
        <w:rPr>
          <w:rFonts w:cs="Arial"/>
          <w:color w:val="000000"/>
        </w:rPr>
        <w:t>managing</w:t>
      </w:r>
      <w:r w:rsidR="00050C2A" w:rsidRPr="000C71A6">
        <w:rPr>
          <w:rFonts w:cs="Arial"/>
          <w:color w:val="000000"/>
        </w:rPr>
        <w:t xml:space="preserve"> the </w:t>
      </w:r>
      <w:r w:rsidR="00050C2A">
        <w:rPr>
          <w:rFonts w:cs="Arial"/>
          <w:color w:val="000000"/>
        </w:rPr>
        <w:t xml:space="preserve">infection caused by </w:t>
      </w:r>
      <w:r w:rsidR="00050C2A">
        <w:rPr>
          <w:rFonts w:cs="Arial"/>
          <w:i/>
          <w:iCs/>
          <w:color w:val="000000"/>
        </w:rPr>
        <w:t>N. caninum</w:t>
      </w:r>
      <w:r w:rsidR="00050C2A">
        <w:rPr>
          <w:rFonts w:cs="Arial"/>
          <w:color w:val="000000"/>
        </w:rPr>
        <w:t>.</w:t>
      </w:r>
      <w:r w:rsidR="00050C2A" w:rsidRPr="000C71A6">
        <w:rPr>
          <w:rFonts w:cs="Arial"/>
          <w:color w:val="000000"/>
        </w:rPr>
        <w:t xml:space="preserve"> </w:t>
      </w:r>
    </w:p>
    <w:p w14:paraId="0B8342E1" w14:textId="2EA5FCEB" w:rsidR="00050C2A" w:rsidRPr="000C71A6" w:rsidRDefault="00050C2A" w:rsidP="00050C2A">
      <w:pPr>
        <w:divId w:val="684404335"/>
        <w:rPr>
          <w:rFonts w:cs="Arial"/>
          <w:color w:val="000000"/>
        </w:rPr>
      </w:pPr>
      <w:r w:rsidRPr="000C71A6">
        <w:rPr>
          <w:rFonts w:cs="Arial"/>
          <w:color w:val="000000"/>
        </w:rPr>
        <w:t xml:space="preserve">Interleukin-2 is a glycoprotein </w:t>
      </w:r>
      <w:r>
        <w:rPr>
          <w:rFonts w:cs="Arial"/>
          <w:color w:val="000000"/>
        </w:rPr>
        <w:t xml:space="preserve">produced by Th1 cells that enhances T cell proliferation, IFN-γ and antibody production, as well as cell cytotoxicity </w:t>
      </w:r>
      <w:r w:rsidRPr="000C71A6">
        <w:rPr>
          <w:rFonts w:cs="Arial"/>
          <w:color w:val="000000"/>
        </w:rPr>
        <w:fldChar w:fldCharType="begin" w:fldLock="1"/>
      </w:r>
      <w:r w:rsidR="004A4DFA">
        <w:rPr>
          <w:rFonts w:cs="Arial"/>
          <w:color w:val="000000"/>
        </w:rPr>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mendeley":{"formattedCitation":"[19]","plainTextFormattedCitation":"[19]","previouslyFormattedCitation":"[19]"},"properties":{"noteIndex":0},"schema":"https://github.com/citation-style-language/schema/raw/master/csl-citation.json"}</w:instrText>
      </w:r>
      <w:r w:rsidRPr="000C71A6">
        <w:rPr>
          <w:rFonts w:cs="Arial"/>
          <w:color w:val="000000"/>
        </w:rPr>
        <w:fldChar w:fldCharType="separate"/>
      </w:r>
      <w:r w:rsidR="004A4DFA" w:rsidRPr="004A4DFA">
        <w:rPr>
          <w:rFonts w:cs="Arial"/>
          <w:noProof/>
          <w:color w:val="000000"/>
        </w:rPr>
        <w:t>[19]</w:t>
      </w:r>
      <w:r w:rsidRPr="000C71A6">
        <w:rPr>
          <w:rFonts w:cs="Arial"/>
          <w:color w:val="000000"/>
        </w:rPr>
        <w:fldChar w:fldCharType="end"/>
      </w:r>
      <w:r w:rsidRPr="000C71A6">
        <w:rPr>
          <w:rFonts w:cs="Arial"/>
          <w:color w:val="000000"/>
        </w:rPr>
        <w:t>.</w:t>
      </w:r>
      <w:r>
        <w:rPr>
          <w:rFonts w:cs="Arial"/>
          <w:color w:val="000000"/>
        </w:rPr>
        <w:t xml:space="preserve"> </w:t>
      </w:r>
      <w:r w:rsidRPr="000C71A6">
        <w:rPr>
          <w:rFonts w:cs="Arial"/>
          <w:color w:val="000000"/>
        </w:rPr>
        <w:t>Tumour necrosis factor-</w:t>
      </w:r>
      <w:r>
        <w:rPr>
          <w:rFonts w:cs="Arial"/>
          <w:color w:val="000000"/>
        </w:rPr>
        <w:t>α</w:t>
      </w:r>
      <w:r w:rsidRPr="000C71A6">
        <w:rPr>
          <w:rFonts w:cs="Arial"/>
          <w:color w:val="000000"/>
        </w:rPr>
        <w:t xml:space="preserve"> </w:t>
      </w:r>
      <w:r w:rsidRPr="00050C2A">
        <w:rPr>
          <w:rFonts w:cs="Arial"/>
          <w:color w:val="000000"/>
        </w:rPr>
        <w:t>(TNF-α)</w:t>
      </w:r>
      <w:r w:rsidRPr="000C71A6">
        <w:rPr>
          <w:rFonts w:cs="Arial"/>
          <w:color w:val="000000"/>
        </w:rPr>
        <w:t xml:space="preserve"> is a protein produced by</w:t>
      </w:r>
      <w:r>
        <w:rPr>
          <w:rFonts w:cs="Arial"/>
          <w:color w:val="000000"/>
        </w:rPr>
        <w:t xml:space="preserve"> numerous cell types including monocytes/macrophages, </w:t>
      </w:r>
      <w:r w:rsidRPr="000C71A6">
        <w:rPr>
          <w:rFonts w:cs="Arial"/>
          <w:color w:val="000000"/>
        </w:rPr>
        <w:t xml:space="preserve">Th1 and </w:t>
      </w:r>
      <w:r>
        <w:rPr>
          <w:rFonts w:cs="Arial"/>
          <w:color w:val="000000"/>
        </w:rPr>
        <w:t>cytotoxic</w:t>
      </w:r>
      <w:r w:rsidRPr="000C71A6">
        <w:rPr>
          <w:rFonts w:cs="Arial"/>
          <w:color w:val="000000"/>
        </w:rPr>
        <w:t xml:space="preserve"> T cells</w:t>
      </w:r>
      <w:r w:rsidR="00533D05">
        <w:rPr>
          <w:rFonts w:cs="Arial"/>
          <w:color w:val="000000"/>
        </w:rPr>
        <w:t>.</w:t>
      </w:r>
      <w:r w:rsidRPr="000C71A6">
        <w:rPr>
          <w:rFonts w:cs="Arial"/>
          <w:color w:val="000000"/>
        </w:rPr>
        <w:t xml:space="preserve"> </w:t>
      </w:r>
      <w:r w:rsidR="00533D05">
        <w:rPr>
          <w:rFonts w:cs="Arial"/>
          <w:color w:val="000000"/>
        </w:rPr>
        <w:t>It</w:t>
      </w:r>
      <w:r w:rsidRPr="000C71A6">
        <w:rPr>
          <w:rFonts w:cs="Arial"/>
          <w:color w:val="000000"/>
        </w:rPr>
        <w:t xml:space="preserve"> </w:t>
      </w:r>
      <w:r w:rsidR="00533D05" w:rsidRPr="00533D05">
        <w:rPr>
          <w:rFonts w:cs="Arial"/>
          <w:color w:val="000000"/>
        </w:rPr>
        <w:t>has pleiotropic effects on various cell types</w:t>
      </w:r>
      <w:r w:rsidR="00533D05">
        <w:rPr>
          <w:rFonts w:cs="Arial"/>
          <w:color w:val="000000"/>
        </w:rPr>
        <w:t xml:space="preserve">, </w:t>
      </w:r>
      <w:r w:rsidR="00CC0BE6">
        <w:rPr>
          <w:rFonts w:cs="Arial"/>
          <w:color w:val="000000"/>
        </w:rPr>
        <w:t xml:space="preserve">and its protective role in infection with intracellular pathogens </w:t>
      </w:r>
      <w:r w:rsidR="00533D05">
        <w:rPr>
          <w:rFonts w:cs="Arial"/>
          <w:color w:val="000000"/>
        </w:rPr>
        <w:t>includ</w:t>
      </w:r>
      <w:r w:rsidR="00CC0BE6">
        <w:rPr>
          <w:rFonts w:cs="Arial"/>
          <w:color w:val="000000"/>
        </w:rPr>
        <w:t>es</w:t>
      </w:r>
      <w:r w:rsidR="00533D05" w:rsidRPr="00533D05">
        <w:rPr>
          <w:rFonts w:cs="Arial"/>
          <w:color w:val="000000"/>
        </w:rPr>
        <w:t xml:space="preserve"> </w:t>
      </w:r>
      <w:r>
        <w:rPr>
          <w:rFonts w:cs="Arial"/>
          <w:color w:val="000000"/>
        </w:rPr>
        <w:t xml:space="preserve">macrophage </w:t>
      </w:r>
      <w:r w:rsidR="00533D05">
        <w:rPr>
          <w:rFonts w:cs="Arial"/>
          <w:color w:val="000000"/>
        </w:rPr>
        <w:t xml:space="preserve">activation </w:t>
      </w:r>
      <w:r>
        <w:rPr>
          <w:rFonts w:cs="Arial"/>
          <w:color w:val="000000"/>
        </w:rPr>
        <w:t xml:space="preserve">and </w:t>
      </w:r>
      <w:r w:rsidR="00CC0BE6">
        <w:rPr>
          <w:rFonts w:cs="Arial"/>
          <w:color w:val="000000"/>
        </w:rPr>
        <w:t xml:space="preserve">stimulation of microbicidal molecule production, </w:t>
      </w:r>
      <w:r>
        <w:rPr>
          <w:rFonts w:cs="Arial"/>
          <w:color w:val="000000"/>
        </w:rPr>
        <w:t>target cell killing</w:t>
      </w:r>
      <w:r w:rsidR="00CC0BE6">
        <w:rPr>
          <w:rFonts w:cs="Arial"/>
          <w:color w:val="000000"/>
        </w:rPr>
        <w:t xml:space="preserve"> and IFN-</w:t>
      </w:r>
      <w:r w:rsidR="00CC0BE6" w:rsidRPr="00CC0BE6">
        <w:rPr>
          <w:rFonts w:cs="Arial"/>
          <w:color w:val="000000"/>
        </w:rPr>
        <w:t xml:space="preserve"> </w:t>
      </w:r>
      <w:r w:rsidR="00CC0BE6">
        <w:rPr>
          <w:rFonts w:cs="Arial"/>
          <w:color w:val="000000"/>
        </w:rPr>
        <w:t>γ induction</w:t>
      </w:r>
      <w:r>
        <w:rPr>
          <w:rFonts w:cs="Arial"/>
          <w:color w:val="000000"/>
        </w:rPr>
        <w:t xml:space="preserve"> </w:t>
      </w:r>
      <w:r w:rsidRPr="000C71A6">
        <w:rPr>
          <w:rFonts w:cs="Arial"/>
          <w:color w:val="000000"/>
        </w:rPr>
        <w:fldChar w:fldCharType="begin" w:fldLock="1"/>
      </w:r>
      <w:r w:rsidR="003D7092">
        <w:rPr>
          <w:rFonts w:cs="Arial"/>
          <w:color w:val="000000"/>
        </w:rPr>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Immunology","type":"chapter"},"uris":["http://www.mendeley.com/documents/?uuid=5b612fa0-4782-467b-a937-4cc8cbeba109"]},{"id":"ITEM-2","itemData":{"DOI":"10.3389/FMICB.2020.01643/BIBTEX","ISSN":"1664302X","abstract":"An interesting puzzle is the fact that an infection of a tumor necrosis factor α (TNF)-deficient host with pathogens such as bacteria or parasites that reside intracellularly inevitably ends fatally. Is this due to one specific role of TNF in the immune defense or are different functions responsible for this outcome? In this review we provide an update of the functions of TNF in the defense against the intracellular pathogens Listeria monocytogenes, Mycobacterium tuberculosis, and Leishmania major. Furthermore, we discuss the role of TNF in the generation of proinflammatory macrophages in mouse models of infection and summarize briefly the potential consequences of anti-TNF treatment for infectious diseases.","author":[{"dropping-particle":"","family":"Li","given":"Xinying","non-dropping-particle":"","parse-names":false,"suffix":""},{"dropping-particle":"","family":"Körner","given":"Heinrich","non-dropping-particle":"","parse-names":false,"suffix":""},{"dropping-particle":"","family":"Liu","given":"Xiaoying","non-dropping-particle":"","parse-names":false,"suffix":""}],"container-title":"Frontiers in Microbiology","id":"ITEM-2","issued":{"date-parts":[["2020","7","15"]]},"page":"1643","publisher":"Frontiers Media S.A.","title":"Susceptibility to Intracellular Infections: Contributions of TNF to Immune Defense","type":"article-journal","volume":"11"},"uris":["http://www.mendeley.com/documents/?uuid=f1ca7bc9-5b39-3b6d-9208-a872635c4b0f"]}],"mendeley":{"formattedCitation":"[19], [28]","manualFormatting":"[19, 28]","plainTextFormattedCitation":"[19], [28]","previouslyFormattedCitation":"[19], [28]"},"properties":{"noteIndex":0},"schema":"https://github.com/citation-style-language/schema/raw/master/csl-citation.json"}</w:instrText>
      </w:r>
      <w:r w:rsidRPr="000C71A6">
        <w:rPr>
          <w:rFonts w:cs="Arial"/>
          <w:color w:val="000000"/>
        </w:rPr>
        <w:fldChar w:fldCharType="separate"/>
      </w:r>
      <w:r w:rsidR="003D7092">
        <w:rPr>
          <w:rFonts w:cs="Arial"/>
          <w:noProof/>
          <w:color w:val="000000"/>
        </w:rPr>
        <w:t xml:space="preserve">[19, </w:t>
      </w:r>
      <w:r w:rsidR="003D7092" w:rsidRPr="003D7092">
        <w:rPr>
          <w:rFonts w:cs="Arial"/>
          <w:noProof/>
          <w:color w:val="000000"/>
        </w:rPr>
        <w:t>28]</w:t>
      </w:r>
      <w:r w:rsidRPr="000C71A6">
        <w:rPr>
          <w:rFonts w:cs="Arial"/>
          <w:color w:val="000000"/>
        </w:rPr>
        <w:fldChar w:fldCharType="end"/>
      </w:r>
      <w:r w:rsidRPr="000C71A6">
        <w:rPr>
          <w:rFonts w:cs="Arial"/>
          <w:color w:val="000000"/>
        </w:rPr>
        <w:t>.</w:t>
      </w:r>
      <w:r>
        <w:rPr>
          <w:rFonts w:cs="Arial"/>
          <w:color w:val="000000"/>
        </w:rPr>
        <w:t xml:space="preserve"> Nevertheless, although infected mice produce high levels of TNF-</w:t>
      </w:r>
      <w:r>
        <w:rPr>
          <w:rFonts w:ascii="Times New Roman" w:hAnsi="Times New Roman" w:cs="Times New Roman"/>
          <w:color w:val="000000"/>
        </w:rPr>
        <w:t>α</w:t>
      </w:r>
      <w:r>
        <w:rPr>
          <w:rFonts w:cs="Arial"/>
          <w:color w:val="000000"/>
        </w:rPr>
        <w:t xml:space="preserve">, this cytokine does not seem to be essential for protection in murine neosporosis </w:t>
      </w:r>
      <w:r w:rsidRPr="000C71A6">
        <w:rPr>
          <w:rFonts w:cs="Arial"/>
          <w:color w:val="000000"/>
        </w:rPr>
        <w:fldChar w:fldCharType="begin" w:fldLock="1"/>
      </w:r>
      <w:r w:rsidR="003D7092">
        <w:rPr>
          <w:rFonts w:cs="Arial"/>
          <w:color w:val="000000"/>
        </w:rPr>
        <w:instrText>ADDIN CSL_CITATION {"citationItems":[{"id":"ITEM-1","itemData":{"DOI":"10.1186/1297-9716-44-69","ISSN":"1297-9716","abstract":"The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Research","id":"ITEM-1","issue":"1","issued":{"date-parts":[["2013","12","10"]]},"page":"69","title":"Mucosal and systemic T cell response in mice intragastrically infected with Neospora caninum tachyzoites","type":"article-journal","volume":"44"},"uris":["http://www.mendeley.com/documents/?uuid=19882f4e-bdad-3bfb-8938-a1dba45db020"]},{"id":"ITEM-2","itemData":{"DOI":"10.1038/srep14913","ISSN":"2045-2322","abstract":"It is well established that CD8 + T cells play an important role in protective immunity against protozoan infections. However, their role in the course of Neospora caninum infection has not been fully elucidated. Here we report that CD8-deficient mice infected with N. caninum presented higher parasitic loads in the brain and lungs and lower spleen and brain immunity-related GTPases than their wild-type counterparts. Moreover, adoptive transfer of splenic CD8 + T cells sorted from N. caninum-primed immunosufficient C57BL/10 ScSn mice prolonged the survival of infected IL-12-unresponsive C57BL/10 ScCr recipients. In both C57BL/6 and C57BL/10 ScSn mice CD8 + T cells are activated and produce interferon-γ (IFN-γ) upon challenged with N. caninum. The host protective role of IFN-γ produced by CD8 + T cells was confirmed in N. caninum-infected RAG2-deficient mice reconstituted with CD8 + T cells obtained from either IFN-γ-deficient or wild-type donors. Mice receiving IFN-γ-expressing CD8 + T cells presented lower parasitic burdens than counterparts having IFN-γ-deficient CD8 + T cells. Moreover, we observed that N. caninum-infected perforin-deficient mice presented parasitic burdens similar to those of infected wild-type controls. Altogether these results demonstrate that production of IFN-γ is a predominant protective mechanism conferred by CD8 + T cells in the course of neosporosis. Neospora caninum is a cyst-forming coccidian parasite responsible for clinical infections in a wide range of animal hosts including bovines 1. In cattle N. caninum is a major cause of abortions and stillbirths occurring worldwide thus having a major economic impact on dairy industry 2. Currently, no effective commercially available vaccine exists against neosporosis 3. Therefore, a better understanding of immune mechanisms mediating host resistance to this infectious disease may be helpful in designing immune-mediated preventive approaches for neosporosis. Studies performed in mice and cattle infected with N. caninum have shown that dendritic cells and macrophages 4-6 , NK cells 7,8 and CD4 + T cells 9-11 provide different effector functions in protective immunity to neosporosis. As N. caninum is an obligate intracellular parasite, it could also be expected that CD8","author":[{"dropping-particle":"","family":"Correia","given":"Alexandra","non-dropping-particle":"","parse-names":false,"suffix":""},{"dropping-particle":"","family":"Ferreirinha","given":"Pedro","non-dropping-particle":"","parse-names":false,"suffix":""},{"dropping-particle":"","family":"Botelho","given":"Sofia","non-dropping-particle":"","parse-names":false,"suffix":""},{"dropping-particle":"","family":"Belinha","given":"Ana","non-dropping-particle":"","parse-names":false,"suffix":""},{"dropping-particle":"","family":"Leitão","given":"Catarina","non-dropping-particle":"","parse-names":false,"suffix":""},{"dropping-particle":"","family":"Caramalho","given":"Íris","non-dropping-particle":"","parse-names":false,"suffix":""},{"dropping-particle":"","family":"Teixeira","given":"Luzia","non-dropping-particle":"","parse-names":false,"suffix":""},{"dropping-particle":"","family":"González-Fernandéz","given":"África","non-dropping-particle":"","parse-names":false,"suffix":""},{"dropping-particle":"","family":"Appelberg","given":"Rui","non-dropping-particle":"","parse-names":false,"suffix":""},{"dropping-particle":"","family":"Vilanova","given":"Manuel","non-dropping-particle":"","parse-names":false,"suffix":""}],"container-title":"Scientific Reports","id":"ITEM-2","issue":"1","issued":{"date-parts":[["2015","12","9"]]},"page":"14913","title":"Predominant role of interferon-γ in the host protective effect of CD8+ T cells against Neospora caninum infection","type":"article-journal","volume":"5"},"uris":["http://www.mendeley.com/documents/?uuid=e9601cac-1f12-3ec6-a281-1d96368641f8"]}],"mendeley":{"formattedCitation":"[13], [29]","manualFormatting":"[24]","plainTextFormattedCitation":"[13], [29]","previouslyFormattedCitation":"[13], [29]"},"properties":{"noteIndex":0},"schema":"https://github.com/citation-style-language/schema/raw/master/csl-citation.json"}</w:instrText>
      </w:r>
      <w:r w:rsidRPr="000C71A6">
        <w:rPr>
          <w:rFonts w:cs="Arial"/>
          <w:color w:val="000000"/>
        </w:rPr>
        <w:fldChar w:fldCharType="separate"/>
      </w:r>
      <w:r>
        <w:rPr>
          <w:rFonts w:cs="Arial"/>
          <w:noProof/>
          <w:color w:val="000000"/>
        </w:rPr>
        <w:t>[</w:t>
      </w:r>
      <w:r w:rsidRPr="00F00084">
        <w:rPr>
          <w:rFonts w:cs="Arial"/>
          <w:noProof/>
          <w:color w:val="000000"/>
        </w:rPr>
        <w:t>24]</w:t>
      </w:r>
      <w:r w:rsidRPr="000C71A6">
        <w:rPr>
          <w:rFonts w:cs="Arial"/>
          <w:color w:val="000000"/>
        </w:rPr>
        <w:fldChar w:fldCharType="end"/>
      </w:r>
      <w:r>
        <w:rPr>
          <w:rFonts w:cs="Arial"/>
          <w:color w:val="000000"/>
        </w:rPr>
        <w:t>.</w:t>
      </w:r>
    </w:p>
    <w:p w14:paraId="112B0636" w14:textId="2CD75FA6" w:rsidR="00371E01" w:rsidRPr="000C71A6" w:rsidRDefault="00BC15F6" w:rsidP="00FB1727">
      <w:pPr>
        <w:divId w:val="684404335"/>
        <w:rPr>
          <w:rFonts w:cs="Arial"/>
          <w:color w:val="000000"/>
        </w:rPr>
      </w:pPr>
      <w:r w:rsidRPr="000C71A6">
        <w:rPr>
          <w:rFonts w:cs="Arial"/>
          <w:color w:val="000000"/>
        </w:rPr>
        <w:t xml:space="preserve">While the IL-12/IFN-γ pathway provides host resistance to </w:t>
      </w:r>
      <w:r w:rsidRPr="000C71A6">
        <w:rPr>
          <w:rFonts w:cs="Arial"/>
          <w:i/>
          <w:color w:val="000000"/>
        </w:rPr>
        <w:t>N</w:t>
      </w:r>
      <w:r>
        <w:rPr>
          <w:rFonts w:cs="Arial"/>
          <w:i/>
          <w:color w:val="000000"/>
        </w:rPr>
        <w:t>.</w:t>
      </w:r>
      <w:r w:rsidRPr="000C71A6">
        <w:rPr>
          <w:rFonts w:cs="Arial"/>
          <w:i/>
          <w:color w:val="000000"/>
        </w:rPr>
        <w:t xml:space="preserve"> caninum</w:t>
      </w:r>
      <w:r w:rsidRPr="000C71A6">
        <w:rPr>
          <w:rFonts w:cs="Arial"/>
          <w:color w:val="000000"/>
        </w:rPr>
        <w:t xml:space="preserve">, there are mechanisms that allow the parasite to evade the host immune response </w:t>
      </w:r>
      <w:r w:rsidRPr="000C71A6">
        <w:rPr>
          <w:rFonts w:cs="Arial"/>
          <w:color w:val="000000"/>
        </w:rPr>
        <w:fldChar w:fldCharType="begin" w:fldLock="1"/>
      </w:r>
      <w:r w:rsidR="003D7092">
        <w:rPr>
          <w:rFonts w:cs="Arial"/>
          <w:color w:val="000000"/>
        </w:rPr>
        <w:instrText>ADDIN CSL_CITATION {"citationItems":[{"id":"ITEM-1","itemData":{"DOI":"10.1186/1297-9716-44-69","ISSN":"1297-9716","abstract":"The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Research","id":"ITEM-1","issue":"1","issued":{"date-parts":[["2013","12","10"]]},"page":"69","title":"Mucosal and systemic T cell response in mice intragastrically infected with Neospora caninum tachyzoites","type":"article-journal","volume":"44"},"uris":["http://www.mendeley.com/documents/?uuid=19882f4e-bdad-3bfb-8938-a1dba45db020"]},{"id":"ITEM-2","itemData":{"DOI":"10.1038/srep14913","ISSN":"2045-2322","abstract":"It is well established that CD8 + T cells play an important role in protective immunity against protozoan infections. However, their role in the course of Neospora caninum infection has not been fully elucidated. Here we report that CD8-deficient mice infected with N. caninum presented higher parasitic loads in the brain and lungs and lower spleen and brain immunity-related GTPases than their wild-type counterparts. Moreover, adoptive transfer of splenic CD8 + T cells sorted from N. caninum-primed immunosufficient C57BL/10 ScSn mice prolonged the survival of infected IL-12-unresponsive C57BL/10 ScCr recipients. In both C57BL/6 and C57BL/10 ScSn mice CD8 + T cells are activated and produce interferon-γ (IFN-γ) upon challenged with N. caninum. The host protective role of IFN-γ produced by CD8 + T cells was confirmed in N. caninum-infected RAG2-deficient mice reconstituted with CD8 + T cells obtained from either IFN-γ-deficient or wild-type donors. Mice receiving IFN-γ-expressing CD8 + T cells presented lower parasitic burdens than counterparts having IFN-γ-deficient CD8 + T cells. Moreover, we observed that N. caninum-infected perforin-deficient mice presented parasitic burdens similar to those of infected wild-type controls. Altogether these results demonstrate that production of IFN-γ is a predominant protective mechanism conferred by CD8 + T cells in the course of neosporosis. Neospora caninum is a cyst-forming coccidian parasite responsible for clinical infections in a wide range of animal hosts including bovines 1. In cattle N. caninum is a major cause of abortions and stillbirths occurring worldwide thus having a major economic impact on dairy industry 2. Currently, no effective commercially available vaccine exists against neosporosis 3. Therefore, a better understanding of immune mechanisms mediating host resistance to this infectious disease may be helpful in designing immune-mediated preventive approaches for neosporosis. Studies performed in mice and cattle infected with N. caninum have shown that dendritic cells and macrophages 4-6 , NK cells 7,8 and CD4 + T cells 9-11 provide different effector functions in protective immunity to neosporosis. As N. caninum is an obligate intracellular parasite, it could also be expected that CD8","author":[{"dropping-particle":"","family":"Correia","given":"Alexandra","non-dropping-particle":"","parse-names":false,"suffix":""},{"dropping-particle":"","family":"Ferreirinha","given":"Pedro","non-dropping-particle":"","parse-names":false,"suffix":""},{"dropping-particle":"","family":"Botelho","given":"Sofia","non-dropping-particle":"","parse-names":false,"suffix":""},{"dropping-particle":"","family":"Belinha","given":"Ana","non-dropping-particle":"","parse-names":false,"suffix":""},{"dropping-particle":"","family":"Leitão","given":"Catarina","non-dropping-particle":"","parse-names":false,"suffix":""},{"dropping-particle":"","family":"Caramalho","given":"Íris","non-dropping-particle":"","parse-names":false,"suffix":""},{"dropping-particle":"","family":"Teixeira","given":"Luzia","non-dropping-particle":"","parse-names":false,"suffix":""},{"dropping-particle":"","family":"González-Fernandéz","given":"África","non-dropping-particle":"","parse-names":false,"suffix":""},{"dropping-particle":"","family":"Appelberg","given":"Rui","non-dropping-particle":"","parse-names":false,"suffix":""},{"dropping-particle":"","family":"Vilanova","given":"Manuel","non-dropping-particle":"","parse-names":false,"suffix":""}],"container-title":"Scientific Reports","id":"ITEM-2","issue":"1","issued":{"date-parts":[["2015","12","9"]]},"page":"14913","title":"Predominant role of interferon-γ in the host protective effect of CD8+ T cells against Neospora caninum infection","type":"article-journal","volume":"5"},"uris":["http://www.mendeley.com/documents/?uuid=e9601cac-1f12-3ec6-a281-1d96368641f8"]}],"mendeley":{"formattedCitation":"[13], [29]","manualFormatting":"[12, 24]","plainTextFormattedCitation":"[13], [29]","previouslyFormattedCitation":"[13], [29]"},"properties":{"noteIndex":0},"schema":"https://github.com/citation-style-language/schema/raw/master/csl-citation.json"}</w:instrText>
      </w:r>
      <w:r w:rsidRPr="000C71A6">
        <w:rPr>
          <w:rFonts w:cs="Arial"/>
          <w:color w:val="000000"/>
        </w:rPr>
        <w:fldChar w:fldCharType="separate"/>
      </w:r>
      <w:r>
        <w:rPr>
          <w:rFonts w:cs="Arial"/>
          <w:noProof/>
          <w:color w:val="000000"/>
        </w:rPr>
        <w:t xml:space="preserve">[12, </w:t>
      </w:r>
      <w:r w:rsidRPr="00F00084">
        <w:rPr>
          <w:rFonts w:cs="Arial"/>
          <w:noProof/>
          <w:color w:val="000000"/>
        </w:rPr>
        <w:t>24]</w:t>
      </w:r>
      <w:r w:rsidRPr="000C71A6">
        <w:rPr>
          <w:rFonts w:cs="Arial"/>
          <w:color w:val="000000"/>
        </w:rPr>
        <w:fldChar w:fldCharType="end"/>
      </w:r>
      <w:r w:rsidRPr="000C71A6">
        <w:rPr>
          <w:rFonts w:cs="Arial"/>
          <w:color w:val="000000"/>
        </w:rPr>
        <w:t>.</w:t>
      </w:r>
      <w:r>
        <w:rPr>
          <w:rFonts w:cs="Arial"/>
          <w:color w:val="000000"/>
        </w:rPr>
        <w:t xml:space="preserve"> </w:t>
      </w:r>
      <w:r w:rsidR="005547AF" w:rsidRPr="000C71A6">
        <w:rPr>
          <w:rFonts w:cs="Arial"/>
          <w:color w:val="000000"/>
        </w:rPr>
        <w:t xml:space="preserve">A Th2-type response is associated with </w:t>
      </w:r>
      <w:r w:rsidR="00483C2F" w:rsidRPr="000C71A6">
        <w:rPr>
          <w:rFonts w:cs="Arial"/>
          <w:color w:val="000000"/>
        </w:rPr>
        <w:t xml:space="preserve">host susceptibility against intracellular organisms, such as </w:t>
      </w:r>
      <w:r w:rsidR="00483C2F" w:rsidRPr="000C71A6">
        <w:rPr>
          <w:rFonts w:cs="Arial"/>
          <w:i/>
          <w:color w:val="000000"/>
        </w:rPr>
        <w:t>N</w:t>
      </w:r>
      <w:r w:rsidR="00483C2F">
        <w:rPr>
          <w:rFonts w:cs="Arial"/>
          <w:i/>
          <w:color w:val="000000"/>
        </w:rPr>
        <w:t>.</w:t>
      </w:r>
      <w:r w:rsidR="00483C2F" w:rsidRPr="000C71A6">
        <w:rPr>
          <w:rFonts w:cs="Arial"/>
          <w:i/>
          <w:color w:val="000000"/>
        </w:rPr>
        <w:t xml:space="preserve"> caninum</w:t>
      </w:r>
      <w:r w:rsidR="00483C2F">
        <w:rPr>
          <w:rFonts w:cs="Arial"/>
          <w:i/>
          <w:color w:val="000000"/>
        </w:rPr>
        <w:t xml:space="preserve">. </w:t>
      </w:r>
      <w:r w:rsidR="00483C2F">
        <w:rPr>
          <w:rFonts w:cs="Arial"/>
          <w:iCs/>
          <w:color w:val="000000"/>
        </w:rPr>
        <w:t xml:space="preserve">This type of response, mostly mediated by </w:t>
      </w:r>
      <w:r w:rsidR="00483C2F" w:rsidRPr="000C71A6">
        <w:rPr>
          <w:rFonts w:cs="Arial"/>
          <w:color w:val="000000"/>
        </w:rPr>
        <w:t>IL-4</w:t>
      </w:r>
      <w:r w:rsidR="00483C2F">
        <w:rPr>
          <w:rFonts w:cs="Arial"/>
          <w:color w:val="000000"/>
        </w:rPr>
        <w:t>,</w:t>
      </w:r>
      <w:r w:rsidR="00483C2F" w:rsidRPr="000C71A6">
        <w:rPr>
          <w:rFonts w:cs="Arial"/>
          <w:color w:val="000000"/>
        </w:rPr>
        <w:t xml:space="preserve"> suppress IFN-γ production </w:t>
      </w:r>
      <w:r w:rsidR="00483C2F" w:rsidRPr="000C71A6">
        <w:rPr>
          <w:rFonts w:cs="Arial"/>
          <w:color w:val="000000"/>
        </w:rPr>
        <w:fldChar w:fldCharType="begin" w:fldLock="1"/>
      </w:r>
      <w:r w:rsidR="004A4DFA">
        <w:rPr>
          <w:rFonts w:cs="Arial"/>
          <w:color w:val="000000"/>
        </w:rPr>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mendeley":{"formattedCitation":"[19]","plainTextFormattedCitation":"[19]","previouslyFormattedCitation":"[19]"},"properties":{"noteIndex":0},"schema":"https://github.com/citation-style-language/schema/raw/master/csl-citation.json"}</w:instrText>
      </w:r>
      <w:r w:rsidR="00483C2F" w:rsidRPr="000C71A6">
        <w:rPr>
          <w:rFonts w:cs="Arial"/>
          <w:color w:val="000000"/>
        </w:rPr>
        <w:fldChar w:fldCharType="separate"/>
      </w:r>
      <w:r w:rsidR="004A4DFA" w:rsidRPr="004A4DFA">
        <w:rPr>
          <w:rFonts w:cs="Arial"/>
          <w:noProof/>
          <w:color w:val="000000"/>
        </w:rPr>
        <w:t>[19]</w:t>
      </w:r>
      <w:r w:rsidR="00483C2F" w:rsidRPr="000C71A6">
        <w:rPr>
          <w:rFonts w:cs="Arial"/>
          <w:color w:val="000000"/>
        </w:rPr>
        <w:fldChar w:fldCharType="end"/>
      </w:r>
      <w:r w:rsidR="00483C2F">
        <w:rPr>
          <w:rFonts w:cs="Arial"/>
          <w:color w:val="000000"/>
        </w:rPr>
        <w:t xml:space="preserve"> and </w:t>
      </w:r>
      <w:r w:rsidR="00483C2F">
        <w:rPr>
          <w:rFonts w:cs="Arial"/>
          <w:iCs/>
          <w:color w:val="000000"/>
        </w:rPr>
        <w:t>allows</w:t>
      </w:r>
      <w:r w:rsidR="00483C2F" w:rsidRPr="000C71A6">
        <w:rPr>
          <w:rFonts w:cs="Arial"/>
          <w:color w:val="000000"/>
        </w:rPr>
        <w:t xml:space="preserve"> </w:t>
      </w:r>
      <w:r w:rsidR="005547AF" w:rsidRPr="000C71A6">
        <w:rPr>
          <w:rFonts w:cs="Arial"/>
          <w:color w:val="000000"/>
        </w:rPr>
        <w:t>the recrudescence of the infection (where t</w:t>
      </w:r>
      <w:r w:rsidR="00425D7B" w:rsidRPr="000C71A6">
        <w:rPr>
          <w:rFonts w:cs="Arial"/>
          <w:color w:val="000000"/>
        </w:rPr>
        <w:t>he cystic</w:t>
      </w:r>
      <w:r w:rsidR="005547AF" w:rsidRPr="000C71A6">
        <w:rPr>
          <w:rFonts w:cs="Arial"/>
          <w:color w:val="000000"/>
        </w:rPr>
        <w:t xml:space="preserve"> wall weakens and the bradyzoites switch back into rapid-replicating</w:t>
      </w:r>
      <w:r w:rsidR="00914377">
        <w:rPr>
          <w:rFonts w:cs="Arial"/>
          <w:color w:val="000000"/>
        </w:rPr>
        <w:t xml:space="preserve">, </w:t>
      </w:r>
      <w:r w:rsidR="005547AF" w:rsidRPr="000C71A6">
        <w:rPr>
          <w:rFonts w:cs="Arial"/>
          <w:color w:val="000000"/>
        </w:rPr>
        <w:t>fast-disseminating tachyzoites)</w:t>
      </w:r>
      <w:r w:rsidR="00622E99">
        <w:rPr>
          <w:rFonts w:cs="Arial"/>
          <w:color w:val="000000"/>
        </w:rPr>
        <w:t>.</w:t>
      </w:r>
      <w:r w:rsidR="00483C2F">
        <w:rPr>
          <w:rFonts w:cs="Arial"/>
          <w:color w:val="000000"/>
        </w:rPr>
        <w:t xml:space="preserve"> </w:t>
      </w:r>
      <w:r w:rsidR="00737691">
        <w:rPr>
          <w:rFonts w:cs="Arial"/>
          <w:color w:val="000000"/>
        </w:rPr>
        <w:t>Nevertheless, i</w:t>
      </w:r>
      <w:r w:rsidR="005547AF" w:rsidRPr="000C71A6">
        <w:rPr>
          <w:rFonts w:cs="Arial"/>
          <w:color w:val="000000"/>
        </w:rPr>
        <w:t>ncrease</w:t>
      </w:r>
      <w:r w:rsidR="00622E99">
        <w:rPr>
          <w:rFonts w:cs="Arial"/>
          <w:color w:val="000000"/>
        </w:rPr>
        <w:t>d</w:t>
      </w:r>
      <w:r w:rsidR="005547AF" w:rsidRPr="000C71A6">
        <w:rPr>
          <w:rFonts w:cs="Arial"/>
          <w:color w:val="000000"/>
        </w:rPr>
        <w:t xml:space="preserve"> </w:t>
      </w:r>
      <w:r w:rsidR="00622E99" w:rsidRPr="000C71A6">
        <w:rPr>
          <w:rFonts w:cs="Arial"/>
          <w:color w:val="000000"/>
        </w:rPr>
        <w:t>IL-4</w:t>
      </w:r>
      <w:r w:rsidR="00B139A9">
        <w:rPr>
          <w:rFonts w:cs="Arial"/>
          <w:color w:val="000000"/>
        </w:rPr>
        <w:t xml:space="preserve">, </w:t>
      </w:r>
      <w:r w:rsidR="00483C2F">
        <w:rPr>
          <w:rFonts w:cs="Arial"/>
          <w:color w:val="000000"/>
        </w:rPr>
        <w:t xml:space="preserve">also </w:t>
      </w:r>
      <w:r w:rsidR="00B139A9">
        <w:rPr>
          <w:rFonts w:cs="Arial"/>
          <w:color w:val="000000"/>
        </w:rPr>
        <w:t>promotes the</w:t>
      </w:r>
      <w:r w:rsidR="00B139A9" w:rsidRPr="000C71A6">
        <w:rPr>
          <w:rFonts w:cs="Arial"/>
          <w:color w:val="000000"/>
        </w:rPr>
        <w:t xml:space="preserve"> proliferation of B cells and</w:t>
      </w:r>
      <w:r w:rsidR="00B139A9">
        <w:rPr>
          <w:rFonts w:cs="Arial"/>
          <w:color w:val="000000"/>
        </w:rPr>
        <w:t xml:space="preserve"> </w:t>
      </w:r>
      <w:r w:rsidR="00622E99">
        <w:rPr>
          <w:rFonts w:cs="Arial"/>
          <w:color w:val="000000"/>
        </w:rPr>
        <w:t>is associated with</w:t>
      </w:r>
      <w:r w:rsidR="005547AF" w:rsidRPr="000C71A6">
        <w:rPr>
          <w:rFonts w:cs="Arial"/>
          <w:color w:val="000000"/>
        </w:rPr>
        <w:t xml:space="preserve"> </w:t>
      </w:r>
      <w:r w:rsidR="00622E99">
        <w:rPr>
          <w:rFonts w:cs="Arial"/>
          <w:color w:val="000000"/>
        </w:rPr>
        <w:t xml:space="preserve">a </w:t>
      </w:r>
      <w:r w:rsidR="005547AF" w:rsidRPr="000C71A6">
        <w:rPr>
          <w:rFonts w:cs="Arial"/>
          <w:color w:val="000000"/>
        </w:rPr>
        <w:t xml:space="preserve">humoral </w:t>
      </w:r>
      <w:r w:rsidR="00622E99">
        <w:rPr>
          <w:rFonts w:cs="Arial"/>
          <w:color w:val="000000"/>
        </w:rPr>
        <w:t>response</w:t>
      </w:r>
      <w:r w:rsidR="003062E4">
        <w:rPr>
          <w:rFonts w:cs="Arial"/>
          <w:color w:val="000000"/>
        </w:rPr>
        <w:t>, particularly</w:t>
      </w:r>
      <w:r w:rsidR="005547AF" w:rsidRPr="000C71A6">
        <w:rPr>
          <w:rFonts w:cs="Arial"/>
          <w:color w:val="000000"/>
        </w:rPr>
        <w:t xml:space="preserve"> </w:t>
      </w:r>
      <w:r w:rsidR="003062E4">
        <w:rPr>
          <w:rFonts w:cs="Arial"/>
          <w:color w:val="000000"/>
        </w:rPr>
        <w:t xml:space="preserve">inducing the production of </w:t>
      </w:r>
      <w:r w:rsidR="005547AF" w:rsidRPr="000C71A6">
        <w:rPr>
          <w:rFonts w:cs="Arial"/>
          <w:color w:val="000000"/>
        </w:rPr>
        <w:t>immunoglobulin G</w:t>
      </w:r>
      <w:r w:rsidR="003062E4">
        <w:rPr>
          <w:rFonts w:cs="Arial"/>
          <w:color w:val="000000"/>
        </w:rPr>
        <w:t xml:space="preserve">1 </w:t>
      </w:r>
      <w:r w:rsidR="003062E4" w:rsidRPr="000C71A6">
        <w:rPr>
          <w:rFonts w:cs="Arial"/>
          <w:color w:val="000000"/>
        </w:rPr>
        <w:t>(IgG</w:t>
      </w:r>
      <w:r w:rsidR="003062E4">
        <w:rPr>
          <w:rFonts w:cs="Arial"/>
          <w:color w:val="000000"/>
        </w:rPr>
        <w:t>1</w:t>
      </w:r>
      <w:r w:rsidR="003062E4" w:rsidRPr="000C71A6">
        <w:rPr>
          <w:rFonts w:cs="Arial"/>
          <w:color w:val="000000"/>
        </w:rPr>
        <w:t>)</w:t>
      </w:r>
      <w:r w:rsidR="003062E4">
        <w:rPr>
          <w:rFonts w:cs="Arial"/>
          <w:color w:val="000000"/>
        </w:rPr>
        <w:t>,</w:t>
      </w:r>
      <w:r w:rsidR="003062E4" w:rsidRPr="000C71A6">
        <w:rPr>
          <w:rFonts w:cs="Arial"/>
          <w:color w:val="000000"/>
        </w:rPr>
        <w:t xml:space="preserve"> that </w:t>
      </w:r>
      <w:r w:rsidR="003062E4">
        <w:rPr>
          <w:rFonts w:cs="Arial"/>
          <w:color w:val="000000"/>
        </w:rPr>
        <w:t xml:space="preserve">can recognize </w:t>
      </w:r>
      <w:r w:rsidR="003062E4" w:rsidRPr="000C71A6">
        <w:rPr>
          <w:rFonts w:cs="Arial"/>
          <w:color w:val="000000"/>
        </w:rPr>
        <w:t xml:space="preserve">the parasite </w:t>
      </w:r>
      <w:r w:rsidR="003062E4">
        <w:rPr>
          <w:rFonts w:cs="Arial"/>
          <w:color w:val="000000"/>
        </w:rPr>
        <w:t>i</w:t>
      </w:r>
      <w:r w:rsidR="003062E4" w:rsidRPr="000C71A6">
        <w:rPr>
          <w:rFonts w:cs="Arial"/>
          <w:color w:val="000000"/>
        </w:rPr>
        <w:t xml:space="preserve">n </w:t>
      </w:r>
      <w:r w:rsidR="003062E4">
        <w:rPr>
          <w:rFonts w:cs="Arial"/>
          <w:color w:val="000000"/>
        </w:rPr>
        <w:t>a transient</w:t>
      </w:r>
      <w:r w:rsidR="003062E4" w:rsidRPr="000C71A6">
        <w:rPr>
          <w:rFonts w:cs="Arial"/>
          <w:color w:val="000000"/>
        </w:rPr>
        <w:t xml:space="preserve"> extracellular state</w:t>
      </w:r>
      <w:r w:rsidR="005547AF" w:rsidRPr="000C71A6">
        <w:rPr>
          <w:rFonts w:cs="Arial"/>
          <w:color w:val="000000"/>
        </w:rPr>
        <w:t xml:space="preserve"> </w:t>
      </w:r>
      <w:r w:rsidR="005547AF" w:rsidRPr="000C71A6">
        <w:rPr>
          <w:rFonts w:cs="Arial"/>
          <w:color w:val="000000"/>
        </w:rPr>
        <w:fldChar w:fldCharType="begin" w:fldLock="1"/>
      </w:r>
      <w:r w:rsidR="003D7092">
        <w:rPr>
          <w:rFonts w:cs="Arial"/>
          <w:color w:val="000000"/>
        </w:rPr>
        <w:instrText>ADDIN CSL_CITATION {"citationItems":[{"id":"ITEM-1","itemData":{"DOI":"10.1016/J.IJPPAW.2015.04.002","ISSN":"2213-2244","abstract":"Neospora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Wildlife","id":"ITEM-1","issue":"2","issued":{"date-parts":[["2015","8","1"]]},"page":"216-238","publisher":"Elsevier","title":"A review of neosporosis and pathologic findings of Neospora caninum infection in wildlife","type":"article-journal","volume":"4"},"uris":["http://www.mendeley.com/documents/?uuid=0eb21b67-0b11-310b-bb97-5e8fd960f5bc"]},{"id":"ITEM-2","itemData":{"DOI":"10.1038/srep23475","abstract":"Here we report that lean mice infected with the intracellular parasite Neospora caninum show a fast but sustained increase in the frequency of IFN-γ-producing cells noticeable in distinct adipose tissue depots. Moreover, IFN-γ-mediated immune memory could be evoked in vitro in parasite antigen-stimulated adipose tissue stromal vascular fraction cells collected from mice infected one year before. Innate or innate-like cells such as NK, NK T and TCRγδ + cells, but also CD4 + and CD8 + TCRβ + lymphocytes contributed to the IFN-γ production observed since day one of infection. This early cytokine production was largely abrogated in IL-12/IL23 p40-deficient mice. Moreover, production of IFN-γ by stromal vascular fraction cells isolated from these mice was markedly lower than that of wild-type counterparts upon stimulation with parasite antigen. In wild-type mice the increased IFN-γ production was concomitant with up-regulated expression of genes encoding interferon-inducible GTPases and nitric oxide synthase, which are important effector molecules in controlling intracellular parasite growth. This increased gene expression was markedly impaired in the p40-deficient mice. Overall, these results show that NK cells but also diverse T cell populations mediate a prompt and widespread production of IFN-γ in the adipose tissue of N. caninum infected mice.","author":[{"dropping-particle":"","family":"Teixeira","given":"Luzia","non-dropping-particle":"","parse-names":false,"suffix":""},{"dropping-particle":"","family":"Marques","given":"Raquel M","non-dropping-particle":"","parse-names":false,"suffix":""},{"dropping-particle":"","family":"Ferreirinha","given":"Pedro","non-dropping-particle":"","parse-names":false,"suffix":""},{"dropping-particle":"","family":"Bezerra","given":"Filipa","non-dropping-particle":"","parse-names":false,"suffix":""},{"dropping-particle":"","family":"Melo","given":"Joana","non-dropping-particle":"","parse-names":false,"suffix":""},{"dropping-particle":"","family":"Moreira","given":"João","non-dropping-particle":"","parse-names":false,"suffix":""},{"dropping-particle":"","family":"Pinto","given":"Ana","non-dropping-particle":"","parse-names":false,"suffix":""},{"dropping-particle":"","family":"Correia","given":"Alexandra","non-dropping-particle":"","parse-names":false,"suffix":""},{"dropping-particle":"","family":"Ferreira","given":"Paula G","non-dropping-particle":"","parse-names":false,"suffix":""},{"dropping-particle":"","family":"Vilanova","given":"Manuel","non-dropping-particle":"","parse-names":false,"suffix":""}],"container-title":"Nature Publishing Group","id":"ITEM-2","issued":{"date-parts":[["2016"]]},"title":"Enrichment of IFN-γ producing cells in different murine adipose tissue depots upon infection with an apicomplexan parasite","type":"article-journal"},"uris":["http://www.mendeley.com/documents/?uuid=b9d70f49-e3fa-3e01-a02c-3c6cf123fe0d"]},{"id":"ITEM-3","itemData":{"DOI":"10.1016/J.MEEGID.2012.08.012","ISSN":"1567-1348","PMID":"22985682","abstract":"This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B.V.","author":[{"dropping-particle":"","family":"Goodswen","given":"Stephen J.","non-dropping-particle":"","parse-names":false,"suffix":""},{"dropping-particle":"","family":"Kennedy","given":"Paul J.","non-dropping-particle":"","parse-names":false,"suffix":""},{"dropping-particle":"","family":"Ellis","given":"John T.","non-dropping-particle":"","parse-names":false,"suffix":""}],"container-title":"Infection, Genetics and Evolution","id":"ITEM-3","issue":"1","issued":{"date-parts":[["2013","1","1"]]},"page":"133-150","publisher":"Elsevier","title":"A review of the infection, genetics, and evolution of Neospora caninum: From the past to the present","type":"article-journal","volume":"13"},"uris":["http://www.mendeley.com/documents/?uuid=ec998491-25c0-3ac3-a2aa-a141fbdeeff9"]}],"mendeley":{"formattedCitation":"[10], [11], [30]","manualFormatting":"[10, 11, 18]","plainTextFormattedCitation":"[10], [11], [30]","previouslyFormattedCitation":"[10], [11], [30]"},"properties":{"noteIndex":0},"schema":"https://github.com/citation-style-language/schema/raw/master/csl-citation.json"}</w:instrText>
      </w:r>
      <w:r w:rsidR="005547AF" w:rsidRPr="000C71A6">
        <w:rPr>
          <w:rFonts w:cs="Arial"/>
          <w:color w:val="000000"/>
        </w:rPr>
        <w:fldChar w:fldCharType="separate"/>
      </w:r>
      <w:r w:rsidR="002410E7">
        <w:rPr>
          <w:rFonts w:cs="Arial"/>
          <w:noProof/>
          <w:color w:val="000000"/>
        </w:rPr>
        <w:t xml:space="preserve">[10, 11, </w:t>
      </w:r>
      <w:r w:rsidR="00F00084" w:rsidRPr="00F00084">
        <w:rPr>
          <w:rFonts w:cs="Arial"/>
          <w:noProof/>
          <w:color w:val="000000"/>
        </w:rPr>
        <w:t>18]</w:t>
      </w:r>
      <w:r w:rsidR="005547AF" w:rsidRPr="000C71A6">
        <w:rPr>
          <w:rFonts w:cs="Arial"/>
          <w:color w:val="000000"/>
        </w:rPr>
        <w:fldChar w:fldCharType="end"/>
      </w:r>
      <w:r w:rsidR="005547AF" w:rsidRPr="000C71A6">
        <w:rPr>
          <w:rFonts w:cs="Arial"/>
          <w:color w:val="000000"/>
        </w:rPr>
        <w:t>.</w:t>
      </w:r>
      <w:r w:rsidR="00B139A9" w:rsidRPr="00B139A9">
        <w:rPr>
          <w:rFonts w:cs="Arial"/>
          <w:color w:val="000000"/>
        </w:rPr>
        <w:t xml:space="preserve"> </w:t>
      </w:r>
      <w:r w:rsidR="00B139A9">
        <w:rPr>
          <w:rFonts w:cs="Arial"/>
          <w:color w:val="000000"/>
        </w:rPr>
        <w:t xml:space="preserve">The immunomodulation that occurs during pregnancy favours a Th2-biased immune response and decreased Th1-type immune responses, and is associated with the resurgence of the infection and tachyzoite dissemination </w:t>
      </w:r>
      <w:r w:rsidR="00B139A9" w:rsidRPr="000C71A6">
        <w:rPr>
          <w:rFonts w:cs="Arial"/>
          <w:color w:val="000000"/>
        </w:rPr>
        <w:fldChar w:fldCharType="begin" w:fldLock="1"/>
      </w:r>
      <w:r w:rsidR="004A4DFA">
        <w:rPr>
          <w:rFonts w:cs="Arial"/>
          <w:color w:val="000000"/>
        </w:rPr>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Immunology","type":"chapter"},"uris":["http://www.mendeley.com/documents/?uuid=5b612fa0-4782-467b-a937-4cc8cbeba109"]},{"id":"ITEM-2","itemData":{"DOI":"10.1016/J.IJPPAW.2015.04.002","ISSN":"2213-2244","abstract":"Neospora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Wildlife","id":"ITEM-2","issue":"2","issued":{"date-parts":[["2015","8","1"]]},"page":"216-238","publisher":"Elsevier","title":"A review of neosporosis and pathologic findings of Neospora caninum infection in wildlife","type":"article-journal","volume":"4"},"uris":["http://www.mendeley.com/documents/?uuid=0eb21b67-0b11-310b-bb97-5e8fd960f5bc"]}],"mendeley":{"formattedCitation":"[10], [19]","manualFormatting":"[10, 19]","plainTextFormattedCitation":"[10], [19]","previouslyFormattedCitation":"[10], [19]"},"properties":{"noteIndex":0},"schema":"https://github.com/citation-style-language/schema/raw/master/csl-citation.json"}</w:instrText>
      </w:r>
      <w:r w:rsidR="00B139A9" w:rsidRPr="000C71A6">
        <w:rPr>
          <w:rFonts w:cs="Arial"/>
          <w:color w:val="000000"/>
        </w:rPr>
        <w:fldChar w:fldCharType="separate"/>
      </w:r>
      <w:r w:rsidR="00B139A9">
        <w:rPr>
          <w:rFonts w:cs="Arial"/>
          <w:noProof/>
          <w:color w:val="000000"/>
        </w:rPr>
        <w:t xml:space="preserve">[10, </w:t>
      </w:r>
      <w:r w:rsidR="00B139A9" w:rsidRPr="00F00084">
        <w:rPr>
          <w:rFonts w:cs="Arial"/>
          <w:noProof/>
          <w:color w:val="000000"/>
        </w:rPr>
        <w:t>19]</w:t>
      </w:r>
      <w:r w:rsidR="00B139A9" w:rsidRPr="000C71A6">
        <w:rPr>
          <w:rFonts w:cs="Arial"/>
          <w:color w:val="000000"/>
        </w:rPr>
        <w:fldChar w:fldCharType="end"/>
      </w:r>
      <w:r w:rsidR="00B139A9">
        <w:rPr>
          <w:rFonts w:cs="Arial"/>
          <w:color w:val="000000"/>
        </w:rPr>
        <w:t>.</w:t>
      </w:r>
      <w:r>
        <w:rPr>
          <w:rFonts w:cs="Arial"/>
          <w:color w:val="000000"/>
        </w:rPr>
        <w:t xml:space="preserve"> It also involves the induction of a tolerogenic status </w:t>
      </w:r>
      <w:r w:rsidR="00914208">
        <w:rPr>
          <w:rFonts w:cs="Arial"/>
          <w:color w:val="000000"/>
        </w:rPr>
        <w:t xml:space="preserve">to avoid foetus rejection </w:t>
      </w:r>
      <w:r>
        <w:rPr>
          <w:rFonts w:cs="Arial"/>
          <w:color w:val="000000"/>
        </w:rPr>
        <w:t>that can be exploited by pathogens</w:t>
      </w:r>
      <w:r w:rsidR="00914208" w:rsidRPr="00914208">
        <w:rPr>
          <w:rFonts w:cs="Arial"/>
          <w:color w:val="000000"/>
        </w:rPr>
        <w:t xml:space="preserve"> </w:t>
      </w:r>
      <w:r w:rsidR="00914208">
        <w:rPr>
          <w:rFonts w:cs="Arial"/>
          <w:color w:val="000000"/>
        </w:rPr>
        <w:t>that cause prenatal infection</w:t>
      </w:r>
      <w:r w:rsidR="003D7092">
        <w:rPr>
          <w:rFonts w:cs="Arial"/>
          <w:color w:val="000000"/>
        </w:rPr>
        <w:t xml:space="preserve"> </w:t>
      </w:r>
      <w:r w:rsidR="003D7092">
        <w:rPr>
          <w:rFonts w:cs="Arial"/>
          <w:color w:val="000000"/>
        </w:rPr>
        <w:fldChar w:fldCharType="begin" w:fldLock="1"/>
      </w:r>
      <w:r w:rsidR="003D7092">
        <w:rPr>
          <w:rFonts w:cs="Arial"/>
          <w:color w:val="000000"/>
        </w:rPr>
        <w:instrText>ADDIN CSL_CITATION {"citationItems":[{"id":"ITEM-1","itemData":{"DOI":"10.1530/REP-13-0262","ISSN":"1741-7899","PMID":"23929902","abstract":"Pregnancy in placental mammals offers exceptional comprehensive benefits of in utero protection, nutrition, and metabolic waste elimination for the developing fetus. However, these benefits also require durable strategies to mitigate maternal rejection of fetal tissues expressing foreign paternal antigens. Since the initial postulate of expanded maternal immune tolerance by Sir Peter Medawar 60 years ago, an amazingly elaborate assortment of molecular and cellular modifications acting both locally at the maternal-placental interface and systemically have been shown to silence potentially detrimental maternal immune responses. In turn, simultaneously maintaining host defense against the infinite array of potential pathogens during pregnancy is equally important. Fortunately, resistance against most infections is preserved seamlessly throughout gestation. On the other hand, recent studies on pathogens with unique predisposition for prenatal infections have uncovered distinctive holes in host defense associated with the reproductive process. Using these infections to probe the response during pregnancy, the immune suppressive regulatory subset of maternal CD4 T cells has been increasingly shown to dictate the inter-workings between prenatal infection susceptibility and pathogenesis of ensuing pregnancy complications. Herein, the recent literature suggesting a necessity for maternal regulatory T cells (Tregs) in pregnancy-induced immunological shifts that sustain fetal tolerance is reviewed. Additional discussion is focused on how expansion of maternal Treg suppression may become exploited by pathogens that cause prenatal infections and the perilous potential of infection-induced immune activation that may mitigate fetal tolerance and inadvertently inject hostility into the protective in utero environment. © 2013 Society for Reproduction and Fertility.","author":[{"dropping-particle":"","family":"Rowe","given":"Jared H.","non-dropping-particle":"","parse-names":false,"suffix":""},{"dropping-particle":"","family":"Ertelt","given":"James M.","non-dropping-particle":"","parse-names":false,"suffix":""},{"dropping-particle":"","family":"Xin","given":"Lijun","non-dropping-particle":"","parse-names":false,"suffix":""},{"dropping-particle":"","family":"Way","given":"Sing Sing","non-dropping-particle":"","parse-names":false,"suffix":""}],"container-title":"Reproduction","id":"ITEM-1","issue":"6","issued":{"date-parts":[["2013","12","1"]]},"page":"R191-R203","publisher":"BioScientifica","title":"Regulatory T cells and the immune pathogenesis of prenatal infection","type":"article-journal","volume":"146"},"uris":["http://www.mendeley.com/documents/?uuid=435a8969-115c-3d42-bc5c-8151e5e0f28d"]}],"mendeley":{"formattedCitation":"[31]","plainTextFormattedCitation":"[31]","previouslyFormattedCitation":"[31]"},"properties":{"noteIndex":0},"schema":"https://github.com/citation-style-language/schema/raw/master/csl-citation.json"}</w:instrText>
      </w:r>
      <w:r w:rsidR="003D7092">
        <w:rPr>
          <w:rFonts w:cs="Arial"/>
          <w:color w:val="000000"/>
        </w:rPr>
        <w:fldChar w:fldCharType="separate"/>
      </w:r>
      <w:r w:rsidR="003D7092" w:rsidRPr="003D7092">
        <w:rPr>
          <w:rFonts w:cs="Arial"/>
          <w:noProof/>
          <w:color w:val="000000"/>
        </w:rPr>
        <w:t>[31]</w:t>
      </w:r>
      <w:r w:rsidR="003D7092">
        <w:rPr>
          <w:rFonts w:cs="Arial"/>
          <w:color w:val="000000"/>
        </w:rPr>
        <w:fldChar w:fldCharType="end"/>
      </w:r>
      <w:r w:rsidR="00914208">
        <w:rPr>
          <w:rFonts w:cs="Arial"/>
          <w:color w:val="000000"/>
        </w:rPr>
        <w:t xml:space="preserve">. </w:t>
      </w:r>
      <w:r w:rsidR="009D555C">
        <w:rPr>
          <w:rFonts w:cs="Arial"/>
          <w:color w:val="000000"/>
        </w:rPr>
        <w:t>The immune system has the capacity of self-regulation to ensure the maintenance of an immune response that is efficient but does not harm the individual. This is possible due to the existence of T regulatory cells</w:t>
      </w:r>
      <w:r w:rsidR="00FB05F1">
        <w:rPr>
          <w:rFonts w:cs="Arial"/>
          <w:color w:val="000000"/>
        </w:rPr>
        <w:t xml:space="preserve"> (Tregs) </w:t>
      </w:r>
      <w:r w:rsidR="009D555C">
        <w:rPr>
          <w:rFonts w:cs="Arial"/>
          <w:color w:val="000000"/>
        </w:rPr>
        <w:t xml:space="preserve"> </w:t>
      </w:r>
      <w:r w:rsidR="009D555C" w:rsidRPr="000C71A6">
        <w:rPr>
          <w:rFonts w:cs="Arial"/>
          <w:color w:val="000000"/>
        </w:rPr>
        <w:fldChar w:fldCharType="begin" w:fldLock="1"/>
      </w:r>
      <w:r w:rsidR="00F373F9">
        <w:rPr>
          <w:rFonts w:cs="Arial"/>
          <w:color w:val="000000"/>
        </w:rPr>
        <w:instrText>ADDIN CSL_CITATION {"citationItems":[{"id":"ITEM-1","itemData":{"DOI":"10.1146/annurev.immunol.021908.132723","abstract":"Each microenvironment requires a specific set of regulatory elements that are finely and constantly tuned to maintain local homeostasis. Various populations of regulatory T cells contribute to the maintenance of this equilibrium and establishment of controlled immune responses. In particular, regulatory T cells limit the magnitude of effector responses, which may result in failure to adequately control infection. However, regulatory T cells also help limit collateral tissue damage caused by vigorous antimicrobial immune responses against pathogenic microbes as well as commensals. In this review, we describe various situations in which the balance between regulatory T cells and effector immune functions influence the outcome of host-microorganism coexistence and discuss current hypotheses and points of polemic associated with the origin, target, and antigen specificity of both endogenous and induced regulatory T cells during these interactions. 551","author":[{"dropping-particle":"","family":"Belkaid","given":"Yasmine","non-dropping-particle":"","parse-names":false,"suffix":""},{"dropping-particle":"","family":"Tarbell","given":"Kristin","non-dropping-particle":"","parse-names":false,"suffix":""}],"container-title":"Annual Review of Immunology","id":"ITEM-1","issued":{"date-parts":[["2009"]]},"page":"551-589","title":"Regulatory T Cells in the Control of Host-Microorganism Interactions *","type":"article-journal","volume":"27"},"uris":["http://www.mendeley.com/documents/?uuid=2a2d925e-c358-3603-8595-9d2a0267ece5"]},{"id":"ITEM-2","itemData":{"DOI":"10.1007/S00281-006-0024-5/TABLES/1","ISSN":"03444325","PMID":"16874537","abstract":"Natural T regulatory cells (NatTReg) limit immunopathology and protective immune responses induced upon microbial infection. In addition, infection increases the number and activity of NatTReg. These findings need to be conciliated with the process of 'self-nonself' discrimination based on the function of NatTReg committed intrathymically and positively selected (and activated) on thymic epithelial cells. A review of the available evidence comforts the assumptions that, in physiological conditions, NatTReg engaged in the immune responses to microbial infections are drawn from the autoreactive repertoire even if some may appear to be microbe specific. This contention also provides a suitable explanation for the 'hygiene hypothesis': infections re-enforce the physiological mechanisms of natural dominant tolerance, through the expansion of naturally occurring regulatory T cells. Accumulating evidence demonstrates that pro-inflammatory ligands of Toll-like receptors expressed by NatTReg, both of microbial (e.g., lipopolysaccharide, flagellin, peptidoglycans) and endogenous (e.g., stress proteins and degradation products of the extracellular matrix) origin, may play a critical role in their activation and expansion. As NatTReg vigorously respond to IL-2/IL-15 locally produced by ongoing effector responses, this whole set of mechanisms provides for a robust feedback process that limits tissue damage and accounts for an 'organism-centered' quality control of immune responses. Detailed knowledge on these molecular and cellular bases should open novel opportunities for intervention in a variety of critical conditions, such as autoimmunity, allergy, chronic infections, and cancer, for which we currently lack effective therapies. © Springer-Verlag 2006.","author":[{"dropping-particle":"","family":"Demengeot","given":"Jocelyne","non-dropping-particle":"","parse-names":false,"suffix":""},{"dropping-particle":"","family":"Zelenay","given":"Santiago","non-dropping-particle":"","parse-names":false,"suffix":""},{"dropping-particle":"","family":"Moraes-Fontes","given":"Maria Francisca","non-dropping-particle":"","parse-names":false,"suffix":""},{"dropping-particle":"","family":"Caramalho","given":"Íris","non-dropping-particle":"","parse-names":false,"suffix":""},{"dropping-particle":"","family":"Coutinho","given":"António","non-dropping-particle":"","parse-names":false,"suffix":""}],"container-title":"Springer Seminars in Immunopathology","id":"ITEM-2","issue":"1","issued":{"date-parts":[["2006","9","28"]]},"page":"41-50","publisher":"Springer","title":"Regulatory T cells in microbial infection","type":"article-journal","volume":"28"},"uris":["http://www.mendeley.com/documents/?uuid=a9f617d6-2542-3824-913e-afc126e2cec5"]}],"mendeley":{"formattedCitation":"[32], [33]","manualFormatting":"[25, 26]","plainTextFormattedCitation":"[32], [33]","previouslyFormattedCitation":"[32], [33]"},"properties":{"noteIndex":0},"schema":"https://github.com/citation-style-language/schema/raw/master/csl-citation.json"}</w:instrText>
      </w:r>
      <w:r w:rsidR="009D555C" w:rsidRPr="000C71A6">
        <w:rPr>
          <w:rFonts w:cs="Arial"/>
          <w:color w:val="000000"/>
        </w:rPr>
        <w:fldChar w:fldCharType="separate"/>
      </w:r>
      <w:r w:rsidR="00F00084" w:rsidRPr="00F00084">
        <w:rPr>
          <w:rFonts w:cs="Arial"/>
          <w:noProof/>
          <w:color w:val="000000"/>
        </w:rPr>
        <w:t>[25,</w:t>
      </w:r>
      <w:r>
        <w:rPr>
          <w:rFonts w:cs="Arial"/>
          <w:noProof/>
          <w:color w:val="000000"/>
        </w:rPr>
        <w:t xml:space="preserve"> </w:t>
      </w:r>
      <w:r w:rsidR="00F00084" w:rsidRPr="00F00084">
        <w:rPr>
          <w:rFonts w:cs="Arial"/>
          <w:noProof/>
          <w:color w:val="000000"/>
        </w:rPr>
        <w:t>26]</w:t>
      </w:r>
      <w:r w:rsidR="009D555C" w:rsidRPr="000C71A6">
        <w:rPr>
          <w:rFonts w:cs="Arial"/>
          <w:color w:val="000000"/>
        </w:rPr>
        <w:fldChar w:fldCharType="end"/>
      </w:r>
      <w:r w:rsidR="009D555C">
        <w:rPr>
          <w:rFonts w:cs="Arial"/>
          <w:color w:val="000000"/>
        </w:rPr>
        <w:t xml:space="preserve">. </w:t>
      </w:r>
      <w:r w:rsidR="00FB1727">
        <w:rPr>
          <w:rFonts w:cs="Arial"/>
          <w:color w:val="000000"/>
        </w:rPr>
        <w:t>Maternal Tregs accumulate during pregnancy and their sustained expansion is crucial for pregnancy maintenance</w:t>
      </w:r>
      <w:r w:rsidR="003D7092">
        <w:rPr>
          <w:rFonts w:cs="Arial"/>
          <w:color w:val="000000"/>
        </w:rPr>
        <w:t xml:space="preserve"> </w:t>
      </w:r>
      <w:r w:rsidR="003D7092">
        <w:rPr>
          <w:rFonts w:cs="Arial"/>
          <w:color w:val="000000"/>
        </w:rPr>
        <w:fldChar w:fldCharType="begin" w:fldLock="1"/>
      </w:r>
      <w:r w:rsidR="003D7092">
        <w:rPr>
          <w:rFonts w:cs="Arial"/>
          <w:color w:val="000000"/>
        </w:rPr>
        <w:instrText>ADDIN CSL_CITATION {"citationItems":[{"id":"ITEM-1","itemData":{"DOI":"10.1530/REP-13-0262","ISSN":"1741-7899","PMID":"23929902","abstract":"Pregnancy in placental mammals offers exceptional comprehensive benefits of in utero protection, nutrition, and metabolic waste elimination for the developing fetus. However, these benefits also require durable strategies to mitigate maternal rejection of fetal tissues expressing foreign paternal antigens. Since the initial postulate of expanded maternal immune tolerance by Sir Peter Medawar 60 years ago, an amazingly elaborate assortment of molecular and cellular modifications acting both locally at the maternal-placental interface and systemically have been shown to silence potentially detrimental maternal immune responses. In turn, simultaneously maintaining host defense against the infinite array of potential pathogens during pregnancy is equally important. Fortunately, resistance against most infections is preserved seamlessly throughout gestation. On the other hand, recent studies on pathogens with unique predisposition for prenatal infections have uncovered distinctive holes in host defense associated with the reproductive process. Using these infections to probe the response during pregnancy, the immune suppressive regulatory subset of maternal CD4 T cells has been increasingly shown to dictate the inter-workings between prenatal infection susceptibility and pathogenesis of ensuing pregnancy complications. Herein, the recent literature suggesting a necessity for maternal regulatory T cells (Tregs) in pregnancy-induced immunological shifts that sustain fetal tolerance is reviewed. Additional discussion is focused on how expansion of maternal Treg suppression may become exploited by pathogens that cause prenatal infections and the perilous potential of infection-induced immune activation that may mitigate fetal tolerance and inadvertently inject hostility into the protective in utero environment. © 2013 Society for Reproduction and Fertility.","author":[{"dropping-particle":"","family":"Rowe","given":"Jared H.","non-dropping-particle":"","parse-names":false,"suffix":""},{"dropping-particle":"","family":"Ertelt","given":"James M.","non-dropping-particle":"","parse-names":false,"suffix":""},{"dropping-particle":"","family":"Xin","given":"Lijun","non-dropping-particle":"","parse-names":false,"suffix":""},{"dropping-particle":"","family":"Way","given":"Sing Sing","non-dropping-particle":"","parse-names":false,"suffix":""}],"container-title":"Reproduction","id":"ITEM-1","issue":"6","issued":{"date-parts":[["2013","12","1"]]},"page":"R191-R203","publisher":"BioScientifica","title":"Regulatory T cells and the immune pathogenesis of prenatal infection","type":"article-journal","volume":"146"},"uris":["http://www.mendeley.com/documents/?uuid=435a8969-115c-3d42-bc5c-8151e5e0f28d"]}],"mendeley":{"formattedCitation":"[31]","plainTextFormattedCitation":"[31]","previouslyFormattedCitation":"[31]"},"properties":{"noteIndex":0},"schema":"https://github.com/citation-style-language/schema/raw/master/csl-citation.json"}</w:instrText>
      </w:r>
      <w:r w:rsidR="003D7092">
        <w:rPr>
          <w:rFonts w:cs="Arial"/>
          <w:color w:val="000000"/>
        </w:rPr>
        <w:fldChar w:fldCharType="separate"/>
      </w:r>
      <w:r w:rsidR="003D7092" w:rsidRPr="003D7092">
        <w:rPr>
          <w:rFonts w:cs="Arial"/>
          <w:noProof/>
          <w:color w:val="000000"/>
        </w:rPr>
        <w:t>[31]</w:t>
      </w:r>
      <w:r w:rsidR="003D7092">
        <w:rPr>
          <w:rFonts w:cs="Arial"/>
          <w:color w:val="000000"/>
        </w:rPr>
        <w:fldChar w:fldCharType="end"/>
      </w:r>
      <w:r w:rsidR="00FB1727">
        <w:rPr>
          <w:rFonts w:cs="Arial"/>
          <w:color w:val="000000"/>
        </w:rPr>
        <w:t>. The</w:t>
      </w:r>
      <w:r w:rsidR="00D85A64">
        <w:rPr>
          <w:rFonts w:cs="Arial"/>
          <w:color w:val="000000"/>
        </w:rPr>
        <w:t xml:space="preserve"> </w:t>
      </w:r>
      <w:r w:rsidR="00C17A9C">
        <w:rPr>
          <w:rFonts w:cs="Arial"/>
          <w:color w:val="000000"/>
        </w:rPr>
        <w:t>role of Tregs</w:t>
      </w:r>
      <w:r w:rsidR="00D85A64">
        <w:rPr>
          <w:rFonts w:cs="Arial"/>
          <w:color w:val="000000"/>
        </w:rPr>
        <w:t xml:space="preserve"> regarding the infection is paradoxical</w:t>
      </w:r>
      <w:r w:rsidR="00371E01" w:rsidRPr="000C71A6">
        <w:rPr>
          <w:rFonts w:cs="Arial"/>
          <w:color w:val="000000"/>
        </w:rPr>
        <w:t>: while Treg</w:t>
      </w:r>
      <w:r w:rsidR="003E6902">
        <w:rPr>
          <w:rFonts w:cs="Arial"/>
          <w:color w:val="000000"/>
        </w:rPr>
        <w:t xml:space="preserve">s </w:t>
      </w:r>
      <w:r w:rsidR="00371E01" w:rsidRPr="000C71A6">
        <w:rPr>
          <w:rFonts w:cs="Arial"/>
          <w:color w:val="000000"/>
        </w:rPr>
        <w:t xml:space="preserve">protect the host by limiting tissue lesions along with inflammation complications, this happens by a dampening of the immune response, which favours the survival of the parasite and host susceptibility </w:t>
      </w:r>
      <w:r w:rsidR="00371E01" w:rsidRPr="000C71A6">
        <w:rPr>
          <w:rFonts w:cs="Arial"/>
          <w:color w:val="000000"/>
        </w:rPr>
        <w:fldChar w:fldCharType="begin" w:fldLock="1"/>
      </w:r>
      <w:r w:rsidR="003D7092">
        <w:rPr>
          <w:rFonts w:cs="Arial"/>
          <w:color w:val="000000"/>
        </w:rPr>
        <w:instrText>ADDIN CSL_CITATION {"citationItems":[{"id":"ITEM-1","itemData":{"DOI":"10.1007/S00281-006-0024-5/TABLES/1","ISSN":"03444325","PMID":"16874537","abstract":"Natural T regulatory cells (NatTReg) limit immunopathology and protective immune responses induced upon microbial infection. In addition, infection increases the number and activity of NatTReg. These findings need to be conciliated with the process of 'self-nonself' discrimination based on the function of NatTReg committed intrathymically and positively selected (and activated) on thymic epithelial cells. A review of the available evidence comforts the assumptions that, in physiological conditions, NatTReg engaged in the immune responses to microbial infections are drawn from the autoreactive repertoire even if some may appear to be microbe specific. This contention also provides a suitable explanation for the 'hygiene hypothesis': infections re-enforce the physiological mechanisms of natural dominant tolerance, through the expansion of naturally occurring regulatory T cells. Accumulating evidence demonstrates that pro-inflammatory ligands of Toll-like receptors expressed by NatTReg, both of microbial (e.g., lipopolysaccharide, flagellin, peptidoglycans) and endogenous (e.g., stress proteins and degradation products of the extracellular matrix) origin, may play a critical role in their activation and expansion. As NatTReg vigorously respond to IL-2/IL-15 locally produced by ongoing effector responses, this whole set of mechanisms provides for a robust feedback process that limits tissue damage and accounts for an 'organism-centered' quality control of immune responses. Detailed knowledge on these molecular and cellular bases should open novel opportunities for intervention in a variety of critical conditions, such as autoimmunity, allergy, chronic infections, and cancer, for which we currently lack effective therapies. © Springer-Verlag 2006.","author":[{"dropping-particle":"","family":"Demengeot","given":"Jocelyne","non-dropping-particle":"","parse-names":false,"suffix":""},{"dropping-particle":"","family":"Zelenay","given":"Santiago","non-dropping-particle":"","parse-names":false,"suffix":""},{"dropping-particle":"","family":"Moraes-Fontes","given":"Maria Francisca","non-dropping-particle":"","parse-names":false,"suffix":""},{"dropping-particle":"","family":"Caramalho","given":"Íris","non-dropping-particle":"","parse-names":false,"suffix":""},{"dropping-particle":"","family":"Coutinho","given":"António","non-dropping-particle":"","parse-names":false,"suffix":""}],"container-title":"Springer Seminars in Immunopathology","id":"ITEM-1","issue":"1","issued":{"date-parts":[["2006","9","28"]]},"page":"41-50","publisher":"Springer","title":"Regulatory T cells in microbial infection","type":"article-journal","volume":"28"},"uris":["http://www.mendeley.com/documents/?uuid=a9f617d6-2542-3824-913e-afc126e2cec5"]}],"mendeley":{"formattedCitation":"[33]","plainTextFormattedCitation":"[33]","previouslyFormattedCitation":"[33]"},"properties":{"noteIndex":0},"schema":"https://github.com/citation-style-language/schema/raw/master/csl-citation.json"}</w:instrText>
      </w:r>
      <w:r w:rsidR="00371E01" w:rsidRPr="000C71A6">
        <w:rPr>
          <w:rFonts w:cs="Arial"/>
          <w:color w:val="000000"/>
        </w:rPr>
        <w:fldChar w:fldCharType="separate"/>
      </w:r>
      <w:r w:rsidR="003D7092" w:rsidRPr="003D7092">
        <w:rPr>
          <w:rFonts w:cs="Arial"/>
          <w:noProof/>
          <w:color w:val="000000"/>
        </w:rPr>
        <w:t>[33]</w:t>
      </w:r>
      <w:r w:rsidR="00371E01" w:rsidRPr="000C71A6">
        <w:rPr>
          <w:rFonts w:cs="Arial"/>
          <w:color w:val="000000"/>
        </w:rPr>
        <w:fldChar w:fldCharType="end"/>
      </w:r>
      <w:r w:rsidR="00371E01" w:rsidRPr="000C71A6">
        <w:rPr>
          <w:rFonts w:cs="Arial"/>
          <w:color w:val="000000"/>
        </w:rPr>
        <w:t>.</w:t>
      </w:r>
      <w:r w:rsidR="00510E23" w:rsidRPr="000C71A6">
        <w:rPr>
          <w:rFonts w:cs="Arial"/>
          <w:color w:val="000000"/>
        </w:rPr>
        <w:t xml:space="preserve"> In toxoplasmosis during pregnancy, the decrease in Treg cells is associated with abortion and studies sugge</w:t>
      </w:r>
      <w:r w:rsidR="00D85A64">
        <w:rPr>
          <w:rFonts w:cs="Arial"/>
          <w:color w:val="000000"/>
        </w:rPr>
        <w:t xml:space="preserve">st that transferring regulatory </w:t>
      </w:r>
      <w:r w:rsidR="00510E23" w:rsidRPr="000C71A6">
        <w:rPr>
          <w:rFonts w:cs="Arial"/>
          <w:color w:val="000000"/>
        </w:rPr>
        <w:t xml:space="preserve">T cells </w:t>
      </w:r>
      <w:r>
        <w:rPr>
          <w:rFonts w:cs="Arial"/>
          <w:color w:val="000000"/>
        </w:rPr>
        <w:t>had</w:t>
      </w:r>
      <w:r w:rsidR="00510E23" w:rsidRPr="000C71A6">
        <w:rPr>
          <w:rFonts w:cs="Arial"/>
          <w:color w:val="000000"/>
        </w:rPr>
        <w:t xml:space="preserve"> a favourable outcome for the foetus </w:t>
      </w:r>
      <w:r w:rsidR="00510E23" w:rsidRPr="000C71A6">
        <w:rPr>
          <w:rFonts w:cs="Arial"/>
          <w:color w:val="000000"/>
        </w:rPr>
        <w:fldChar w:fldCharType="begin" w:fldLock="1"/>
      </w:r>
      <w:r w:rsidR="00F373F9">
        <w:rPr>
          <w:rFonts w:cs="Arial"/>
          <w:color w:val="000000"/>
        </w:rPr>
        <w:instrText>ADDIN CSL_CITATION {"citationItems":[{"id":"ITEM-1","itemData":{"DOI":"10.1146/annurev.immunol.021908.132723","abstract":"Each microenvironment requires a specific set of regulatory elements that are finely and constantly tuned to maintain local homeostasis. Various populations of regulatory T cells contribute to the maintenance of this equilibrium and establishment of controlled immune responses. In particular, regulatory T cells limit the magnitude of effector responses, which may result in failure to adequately control infection. However, regulatory T cells also help limit collateral tissue damage caused by vigorous antimicrobial immune responses against pathogenic microbes as well as commensals. In this review, we describe various situations in which the balance between regulatory T cells and effector immune functions influence the outcome of host-microorganism coexistence and discuss current hypotheses and points of polemic associated with the origin, target, and antigen specificity of both endogenous and induced regulatory T cells during these interactions. 551","author":[{"dropping-particle":"","family":"Belkaid","given":"Yasmine","non-dropping-particle":"","parse-names":false,"suffix":""},{"dropping-particle":"","family":"Tarbell","given":"Kristin","non-dropping-particle":"","parse-names":false,"suffix":""}],"container-title":"Annual Review of Immunology","id":"ITEM-1","issued":{"date-parts":[["2009"]]},"page":"551-589","title":"Regulatory T Cells in the Control of Host-Microorganism Interactions *","type":"article-journal","volume":"27"},"uris":["http://www.mendeley.com/documents/?uuid=2a2d925e-c358-3603-8595-9d2a0267ece5"]}],"mendeley":{"formattedCitation":"[32]","plainTextFormattedCitation":"[32]","previouslyFormattedCitation":"[32]"},"properties":{"noteIndex":0},"schema":"https://github.com/citation-style-language/schema/raw/master/csl-citation.json"}</w:instrText>
      </w:r>
      <w:r w:rsidR="00510E23" w:rsidRPr="000C71A6">
        <w:rPr>
          <w:rFonts w:cs="Arial"/>
          <w:color w:val="000000"/>
        </w:rPr>
        <w:fldChar w:fldCharType="separate"/>
      </w:r>
      <w:r w:rsidR="003D7092" w:rsidRPr="003D7092">
        <w:rPr>
          <w:rFonts w:cs="Arial"/>
          <w:noProof/>
          <w:color w:val="000000"/>
        </w:rPr>
        <w:t>[32]</w:t>
      </w:r>
      <w:r w:rsidR="00510E23" w:rsidRPr="000C71A6">
        <w:rPr>
          <w:rFonts w:cs="Arial"/>
          <w:color w:val="000000"/>
        </w:rPr>
        <w:fldChar w:fldCharType="end"/>
      </w:r>
      <w:r w:rsidR="00510E23" w:rsidRPr="000C71A6">
        <w:rPr>
          <w:rFonts w:cs="Arial"/>
          <w:color w:val="000000"/>
        </w:rPr>
        <w:t xml:space="preserve">. Similarly, </w:t>
      </w:r>
      <w:r w:rsidR="00681C03" w:rsidRPr="000C71A6">
        <w:rPr>
          <w:rFonts w:cs="Arial"/>
          <w:i/>
          <w:color w:val="000000"/>
        </w:rPr>
        <w:t>N</w:t>
      </w:r>
      <w:r w:rsidR="00681C03">
        <w:rPr>
          <w:rFonts w:cs="Arial"/>
          <w:i/>
          <w:color w:val="000000"/>
        </w:rPr>
        <w:t>.</w:t>
      </w:r>
      <w:r w:rsidR="00681C03" w:rsidRPr="000C71A6">
        <w:rPr>
          <w:rFonts w:cs="Arial"/>
          <w:i/>
          <w:color w:val="000000"/>
        </w:rPr>
        <w:t xml:space="preserve"> </w:t>
      </w:r>
      <w:r w:rsidR="00510E23" w:rsidRPr="000C71A6">
        <w:rPr>
          <w:rFonts w:cs="Arial"/>
          <w:i/>
          <w:color w:val="000000"/>
        </w:rPr>
        <w:t xml:space="preserve">caninum </w:t>
      </w:r>
      <w:r w:rsidR="00510E23" w:rsidRPr="000C71A6">
        <w:rPr>
          <w:rFonts w:cs="Arial"/>
          <w:color w:val="000000"/>
        </w:rPr>
        <w:t xml:space="preserve">might take advantage of </w:t>
      </w:r>
      <w:r w:rsidR="004175B2">
        <w:rPr>
          <w:rFonts w:cs="Arial"/>
          <w:color w:val="000000"/>
        </w:rPr>
        <w:t>their</w:t>
      </w:r>
      <w:r w:rsidR="00510E23" w:rsidRPr="000C71A6">
        <w:rPr>
          <w:rFonts w:cs="Arial"/>
          <w:color w:val="000000"/>
        </w:rPr>
        <w:t xml:space="preserve"> high suppressive </w:t>
      </w:r>
      <w:r w:rsidR="00205FFA" w:rsidRPr="000C71A6">
        <w:rPr>
          <w:rFonts w:cs="Arial"/>
          <w:color w:val="000000"/>
        </w:rPr>
        <w:t xml:space="preserve">Treg activity to guarantee its survival within the host </w:t>
      </w:r>
      <w:r w:rsidR="00205FFA" w:rsidRPr="000C71A6">
        <w:rPr>
          <w:rFonts w:cs="Arial"/>
          <w:color w:val="000000"/>
        </w:rPr>
        <w:fldChar w:fldCharType="begin" w:fldLock="1"/>
      </w:r>
      <w:r w:rsidR="004A4DFA">
        <w:rPr>
          <w:rFonts w:cs="Arial"/>
          <w:color w:val="000000"/>
        </w:rPr>
        <w:instrText>ADDIN CSL_CITATION {"citationItems":[{"id":"ITEM-1","itemData":{"DOI":"10.1186/1297-9716-44-69","ISSN":"1297-9716","abstract":"The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Research","id":"ITEM-1","issue":"1","issued":{"date-parts":[["2013","12","10"]]},"page":"69","title":"Mucosal and systemic T cell response in mice intragastrically infected with Neospora caninum tachyzoites","type":"article-journal","volume":"44"},"uris":["http://www.mendeley.com/documents/?uuid=19882f4e-bdad-3bfb-8938-a1dba45db020"]}],"mendeley":{"formattedCitation":"[13]","plainTextFormattedCitation":"[13]","previouslyFormattedCitation":"[13]"},"properties":{"noteIndex":0},"schema":"https://github.com/citation-style-language/schema/raw/master/csl-citation.json"}</w:instrText>
      </w:r>
      <w:r w:rsidR="00205FFA" w:rsidRPr="000C71A6">
        <w:rPr>
          <w:rFonts w:cs="Arial"/>
          <w:color w:val="000000"/>
        </w:rPr>
        <w:fldChar w:fldCharType="separate"/>
      </w:r>
      <w:r w:rsidR="004A4DFA" w:rsidRPr="004A4DFA">
        <w:rPr>
          <w:rFonts w:cs="Arial"/>
          <w:noProof/>
          <w:color w:val="000000"/>
        </w:rPr>
        <w:t>[13]</w:t>
      </w:r>
      <w:r w:rsidR="00205FFA" w:rsidRPr="000C71A6">
        <w:rPr>
          <w:rFonts w:cs="Arial"/>
          <w:color w:val="000000"/>
        </w:rPr>
        <w:fldChar w:fldCharType="end"/>
      </w:r>
      <w:r w:rsidR="00205FFA" w:rsidRPr="000C71A6">
        <w:rPr>
          <w:rFonts w:cs="Arial"/>
          <w:color w:val="000000"/>
        </w:rPr>
        <w:t>.</w:t>
      </w:r>
    </w:p>
    <w:p w14:paraId="5B319504" w14:textId="56B90D04" w:rsidR="00205FFA" w:rsidRPr="000C71A6" w:rsidRDefault="00972294" w:rsidP="00F05A74">
      <w:pPr>
        <w:divId w:val="684404335"/>
        <w:rPr>
          <w:rFonts w:cs="Arial"/>
          <w:color w:val="000000"/>
        </w:rPr>
      </w:pPr>
      <w:r>
        <w:rPr>
          <w:rFonts w:cs="Arial"/>
          <w:color w:val="000000"/>
        </w:rPr>
        <w:t>A</w:t>
      </w:r>
      <w:r w:rsidRPr="000C71A6">
        <w:rPr>
          <w:rFonts w:cs="Arial"/>
          <w:color w:val="000000"/>
        </w:rPr>
        <w:t xml:space="preserve"> new mechanism of evasion</w:t>
      </w:r>
      <w:r>
        <w:rPr>
          <w:rFonts w:cs="Arial"/>
          <w:color w:val="000000"/>
        </w:rPr>
        <w:t xml:space="preserve"> was recently</w:t>
      </w:r>
      <w:r w:rsidRPr="000C71A6">
        <w:rPr>
          <w:rFonts w:cs="Arial"/>
          <w:color w:val="000000"/>
        </w:rPr>
        <w:t xml:space="preserve"> </w:t>
      </w:r>
      <w:r>
        <w:rPr>
          <w:rFonts w:cs="Arial"/>
          <w:color w:val="000000"/>
        </w:rPr>
        <w:t>described by</w:t>
      </w:r>
      <w:r w:rsidRPr="000C71A6">
        <w:rPr>
          <w:rFonts w:cs="Arial"/>
          <w:color w:val="000000"/>
        </w:rPr>
        <w:t xml:space="preserve"> </w:t>
      </w:r>
      <w:r w:rsidR="00205FFA" w:rsidRPr="000C71A6">
        <w:rPr>
          <w:rFonts w:cs="Arial"/>
          <w:color w:val="000000"/>
        </w:rPr>
        <w:fldChar w:fldCharType="begin" w:fldLock="1"/>
      </w:r>
      <w:r w:rsidR="003D7092">
        <w:rPr>
          <w:rFonts w:cs="Arial"/>
          <w:color w:val="000000"/>
        </w:rPr>
        <w:instrText>ADDIN CSL_CITATION {"citationItems":[{"id":"ITEM-1","itemData":{"DOI":"10.3389/FIMMU.2022.827004/BIBTEX","ISSN":"16643224","PMID":"35355995","abstract":"Neospora caninum is an intracellular protozoan that mainly infects cattle to cause abortion and significant economic losses worldwide. A better understanding of the immune evasion mechanisms of N. caninum could help to search for an effective approach to prevent and treat neosporosis. Mitophagy is used by some viruses to evade host immune surveillance. However, host cell mitophagy and its effect on N. caninum infection is unclear. In the present study, N. caninum-induced host cell mitophagy and its role in parasite infection were investigated in vitro and in vivo. Furthermore, the regulation of N. caninum-induced host cell mitophagy on the production of Reactive Oxygen Species (ROS), the secretions of proinflammatory cytokines, and the signals of p38, ERK, and Nlrp3 inflammasome were explored. Our results showed that autophagosomes and co-localization of LC3 with mitochondria were observed in N. caninum-infected macrophages. The mtDNA/nDNA ratio and the levels of mitochondrial marker proteins (Hsp60 and Tim23) were decreased with the increase of N. caninum numbers or infection time. N. caninum could induce mitophagy in brain and peritoneal lavage fluid cells of mice. Promoting mitophagy via mitophagy inducers (CCCP) could shorten survival time, decrease body weight, increase parasite load, and attenuate secretion of cytokines in N. caninum infected mice. CCCP treatment decreased the production of cytokines and Reactive Oxygen Species (ROS), and increased parasite burden in N. caninum-infected macrophages. Furthermore, CCCP or NAC (ROS inhibitor) treatment could inhibit ERK signal, Nlrp3 inflammasome, and cytokine production, while promote p38 signal in N. caninum-infected macrophages. The opposite results were obtained when using a mitophagy inhibitor (Mdivi1). Taken together, N. caninum-induced mitophagy could regulate the activations of p38, ERK, Nlrp3 inflammasome to inhibit the production of inflammatory cytokines in a ROS-dependent manner to escape host immune surveillance.","author":[{"dropping-particle":"","family":"Zhang","given":"Xu","non-dropping-particle":"","parse-names":false,"suffix":""},{"dropping-particle":"","family":"Wang","given":"Yuru","non-dropping-particle":"","parse-names":false,"suffix":""},{"dropping-particle":"","family":"Gong","given":"Pengtao","non-dropping-particle":"","parse-names":false,"suffix":""},{"dropping-particle":"","family":"Wang","given":"Xiaocen","non-dropping-particle":"","parse-names":false,"suffix":""},{"dropping-particle":"","family":"Zhang","given":"Nan","non-dropping-particle":"","parse-names":false,"suffix":""},{"dropping-particle":"","family":"Chen","given":"Mengge","non-dropping-particle":"","parse-names":false,"suffix":""},{"dropping-particle":"","family":"Wei","given":"Ran","non-dropping-particle":"","parse-names":false,"suffix":""},{"dropping-particle":"","family":"Zhang","given":"Xichen","non-dropping-particle":"","parse-names":false,"suffix":""},{"dropping-particle":"","family":"Li","given":"Xin","non-dropping-particle":"","parse-names":false,"suffix":""},{"dropping-particle":"","family":"Li","given":"Jianhua","non-dropping-particle":"","parse-names":false,"suffix":""}],"container-title":"Frontiers in Immunology","id":"ITEM-1","issued":{"date-parts":[["2022","3","9"]]},"page":"858","publisher":"Frontiers Media S.A.","title":"Neospora caninum Evades Immunity via Inducing Host Cell Mitophagy to Inhibit Production of Proinflammatory Cytokines in a ROS-Dependent Manner","type":"article-journal","volume":"13"},"uris":["http://www.mendeley.com/documents/?uuid=3de345e5-47d4-317c-a10a-805e8bc9c620"]}],"mendeley":{"formattedCitation":"[34]","manualFormatting":"Zhang et al.","plainTextFormattedCitation":"[34]","previouslyFormattedCitation":"[34]"},"properties":{"noteIndex":0},"schema":"https://github.com/citation-style-language/schema/raw/master/csl-citation.json"}</w:instrText>
      </w:r>
      <w:r w:rsidR="00205FFA" w:rsidRPr="000C71A6">
        <w:rPr>
          <w:rFonts w:cs="Arial"/>
          <w:color w:val="000000"/>
        </w:rPr>
        <w:fldChar w:fldCharType="separate"/>
      </w:r>
      <w:r w:rsidR="00205FFA" w:rsidRPr="000C71A6">
        <w:rPr>
          <w:rFonts w:cs="Arial"/>
          <w:noProof/>
          <w:color w:val="000000"/>
        </w:rPr>
        <w:t xml:space="preserve">Zhang </w:t>
      </w:r>
      <w:r w:rsidR="00205FFA" w:rsidRPr="003D7092">
        <w:rPr>
          <w:rFonts w:cs="Arial"/>
          <w:i/>
          <w:noProof/>
          <w:color w:val="000000"/>
        </w:rPr>
        <w:t>et al.</w:t>
      </w:r>
      <w:r w:rsidR="00205FFA" w:rsidRPr="000C71A6">
        <w:rPr>
          <w:rFonts w:cs="Arial"/>
          <w:color w:val="000000"/>
        </w:rPr>
        <w:fldChar w:fldCharType="end"/>
      </w:r>
      <w:r w:rsidR="004E24D1">
        <w:rPr>
          <w:rFonts w:cs="Arial"/>
          <w:color w:val="000000"/>
        </w:rPr>
        <w:t xml:space="preserve"> </w:t>
      </w:r>
      <w:r w:rsidR="00205FFA" w:rsidRPr="000C71A6">
        <w:rPr>
          <w:rFonts w:cs="Arial"/>
          <w:color w:val="000000"/>
        </w:rPr>
        <w:t xml:space="preserve">that </w:t>
      </w:r>
      <w:r>
        <w:rPr>
          <w:rFonts w:cs="Arial"/>
          <w:color w:val="000000"/>
        </w:rPr>
        <w:t>had</w:t>
      </w:r>
      <w:r w:rsidR="00026BD3" w:rsidRPr="000C71A6">
        <w:rPr>
          <w:rFonts w:cs="Arial"/>
          <w:color w:val="000000"/>
        </w:rPr>
        <w:t xml:space="preserve"> only</w:t>
      </w:r>
      <w:r w:rsidR="00205FFA" w:rsidRPr="000C71A6">
        <w:rPr>
          <w:rFonts w:cs="Arial"/>
          <w:color w:val="000000"/>
        </w:rPr>
        <w:t xml:space="preserve"> been identified thus far in specific bacterial and viral infections: </w:t>
      </w:r>
      <w:r w:rsidR="00681C03" w:rsidRPr="000C71A6">
        <w:rPr>
          <w:rFonts w:cs="Arial"/>
          <w:i/>
          <w:color w:val="000000"/>
        </w:rPr>
        <w:t>N</w:t>
      </w:r>
      <w:r w:rsidR="00681C03">
        <w:rPr>
          <w:rFonts w:cs="Arial"/>
          <w:i/>
          <w:color w:val="000000"/>
        </w:rPr>
        <w:t>.</w:t>
      </w:r>
      <w:r w:rsidR="00681C03" w:rsidRPr="000C71A6">
        <w:rPr>
          <w:rFonts w:cs="Arial"/>
          <w:i/>
          <w:color w:val="000000"/>
        </w:rPr>
        <w:t xml:space="preserve"> </w:t>
      </w:r>
      <w:r w:rsidR="00026BD3" w:rsidRPr="000C71A6">
        <w:rPr>
          <w:rFonts w:cs="Arial"/>
          <w:i/>
          <w:color w:val="000000"/>
        </w:rPr>
        <w:t xml:space="preserve">caninum </w:t>
      </w:r>
      <w:r w:rsidR="00026BD3" w:rsidRPr="000C71A6">
        <w:rPr>
          <w:rFonts w:cs="Arial"/>
          <w:color w:val="000000"/>
        </w:rPr>
        <w:t xml:space="preserve">induced mitophagy </w:t>
      </w:r>
      <w:r w:rsidR="00026BD3" w:rsidRPr="000C71A6">
        <w:rPr>
          <w:rFonts w:cs="Arial"/>
          <w:i/>
          <w:color w:val="000000"/>
        </w:rPr>
        <w:t xml:space="preserve">in vitro </w:t>
      </w:r>
      <w:r w:rsidR="00026BD3" w:rsidRPr="000C71A6">
        <w:rPr>
          <w:rFonts w:cs="Arial"/>
          <w:color w:val="000000"/>
        </w:rPr>
        <w:t xml:space="preserve">and </w:t>
      </w:r>
      <w:r w:rsidR="00026BD3" w:rsidRPr="000C71A6">
        <w:rPr>
          <w:rFonts w:cs="Arial"/>
          <w:i/>
          <w:color w:val="000000"/>
        </w:rPr>
        <w:t>in vivo</w:t>
      </w:r>
      <w:r w:rsidR="00026BD3" w:rsidRPr="000C71A6">
        <w:rPr>
          <w:rFonts w:cs="Arial"/>
          <w:color w:val="000000"/>
        </w:rPr>
        <w:t>, which results in decreas</w:t>
      </w:r>
      <w:r>
        <w:rPr>
          <w:rFonts w:cs="Arial"/>
          <w:color w:val="000000"/>
        </w:rPr>
        <w:t xml:space="preserve">ed </w:t>
      </w:r>
      <w:r w:rsidR="00026BD3" w:rsidRPr="000C71A6">
        <w:rPr>
          <w:rFonts w:cs="Arial"/>
          <w:color w:val="000000"/>
        </w:rPr>
        <w:t>production of pro-inflammatory cytokines and, therefore, halts the host immune response</w:t>
      </w:r>
      <w:r w:rsidR="003D7092">
        <w:rPr>
          <w:rFonts w:cs="Arial"/>
          <w:color w:val="000000"/>
        </w:rPr>
        <w:t xml:space="preserve"> </w:t>
      </w:r>
      <w:r w:rsidR="003D7092">
        <w:rPr>
          <w:rFonts w:cs="Arial"/>
          <w:color w:val="000000"/>
        </w:rPr>
        <w:fldChar w:fldCharType="begin" w:fldLock="1"/>
      </w:r>
      <w:r w:rsidR="003D7092">
        <w:rPr>
          <w:rFonts w:cs="Arial"/>
          <w:color w:val="000000"/>
        </w:rPr>
        <w:instrText>ADDIN CSL_CITATION {"citationItems":[{"id":"ITEM-1","itemData":{"DOI":"10.3389/FIMMU.2022.827004/BIBTEX","ISSN":"16643224","PMID":"35355995","abstract":"Neospora caninum is an intracellular protozoan that mainly infects cattle to cause abortion and significant economic losses worldwide. A better understanding of the immune evasion mechanisms of N. caninum could help to search for an effective approach to prevent and treat neosporosis. Mitophagy is used by some viruses to evade host immune surveillance. However, host cell mitophagy and its effect on N. caninum infection is unclear. In the present study, N. caninum-induced host cell mitophagy and its role in parasite infection were investigated in vitro and in vivo. Furthermore, the regulation of N. caninum-induced host cell mitophagy on the production of Reactive Oxygen Species (ROS), the secretions of proinflammatory cytokines, and the signals of p38, ERK, and Nlrp3 inflammasome were explored. Our results showed that autophagosomes and co-localization of LC3 with mitochondria were observed in N. caninum-infected macrophages. The mtDNA/nDNA ratio and the levels of mitochondrial marker proteins (Hsp60 and Tim23) were decreased with the increase of N. caninum numbers or infection time. N. caninum could induce mitophagy in brain and peritoneal lavage fluid cells of mice. Promoting mitophagy via mitophagy inducers (CCCP) could shorten survival time, decrease body weight, increase parasite load, and attenuate secretion of cytokines in N. caninum infected mice. CCCP treatment decreased the production of cytokines and Reactive Oxygen Species (ROS), and increased parasite burden in N. caninum-infected macrophages. Furthermore, CCCP or NAC (ROS inhibitor) treatment could inhibit ERK signal, Nlrp3 inflammasome, and cytokine production, while promote p38 signal in N. caninum-infected macrophages. The opposite results were obtained when using a mitophagy inhibitor (Mdivi1). Taken together, N. caninum-induced mitophagy could regulate the activations of p38, ERK, Nlrp3 inflammasome to inhibit the production of inflammatory cytokines in a ROS-dependent manner to escape host immune surveillance.","author":[{"dropping-particle":"","family":"Zhang","given":"Xu","non-dropping-particle":"","parse-names":false,"suffix":""},{"dropping-particle":"","family":"Wang","given":"Yuru","non-dropping-particle":"","parse-names":false,"suffix":""},{"dropping-particle":"","family":"Gong","given":"Pengtao","non-dropping-particle":"","parse-names":false,"suffix":""},{"dropping-particle":"","family":"Wang","given":"Xiaocen","non-dropping-particle":"","parse-names":false,"suffix":""},{"dropping-particle":"","family":"Zhang","given":"Nan","non-dropping-particle":"","parse-names":false,"suffix":""},{"dropping-particle":"","family":"Chen","given":"Mengge","non-dropping-particle":"","parse-names":false,"suffix":""},{"dropping-particle":"","family":"Wei","given":"Ran","non-dropping-particle":"","parse-names":false,"suffix":""},{"dropping-particle":"","family":"Zhang","given":"Xichen","non-dropping-particle":"","parse-names":false,"suffix":""},{"dropping-particle":"","family":"Li","given":"Xin","non-dropping-particle":"","parse-names":false,"suffix":""},{"dropping-particle":"","family":"Li","given":"Jianhua","non-dropping-particle":"","parse-names":false,"suffix":""}],"container-title":"Frontiers in Immunology","id":"ITEM-1","issued":{"date-parts":[["2022","3","9"]]},"page":"858","publisher":"Frontiers Media S.A.","title":"Neospora caninum Evades Immunity via Inducing Host Cell Mitophagy to Inhibit Production of Proinflammatory Cytokines in a ROS-Dependent Manner","type":"article-journal","volume":"13"},"uris":["http://www.mendeley.com/documents/?uuid=3de345e5-47d4-317c-a10a-805e8bc9c620"]}],"mendeley":{"formattedCitation":"[34]","plainTextFormattedCitation":"[34]","previouslyFormattedCitation":"[34]"},"properties":{"noteIndex":0},"schema":"https://github.com/citation-style-language/schema/raw/master/csl-citation.json"}</w:instrText>
      </w:r>
      <w:r w:rsidR="003D7092">
        <w:rPr>
          <w:rFonts w:cs="Arial"/>
          <w:color w:val="000000"/>
        </w:rPr>
        <w:fldChar w:fldCharType="separate"/>
      </w:r>
      <w:r w:rsidR="003D7092" w:rsidRPr="003D7092">
        <w:rPr>
          <w:rFonts w:cs="Arial"/>
          <w:noProof/>
          <w:color w:val="000000"/>
        </w:rPr>
        <w:t>[34]</w:t>
      </w:r>
      <w:r w:rsidR="003D7092">
        <w:rPr>
          <w:rFonts w:cs="Arial"/>
          <w:color w:val="000000"/>
        </w:rPr>
        <w:fldChar w:fldCharType="end"/>
      </w:r>
      <w:r w:rsidR="00026BD3" w:rsidRPr="000C71A6">
        <w:rPr>
          <w:rFonts w:cs="Arial"/>
          <w:color w:val="000000"/>
        </w:rPr>
        <w:t xml:space="preserve">. </w:t>
      </w:r>
    </w:p>
    <w:p w14:paraId="006F9DE5" w14:textId="125C74E7" w:rsidR="00D93713" w:rsidRPr="000C71A6" w:rsidRDefault="00E90F8F" w:rsidP="00A078BC">
      <w:pPr>
        <w:pStyle w:val="Estilo1"/>
        <w:divId w:val="684404335"/>
      </w:pPr>
      <w:bookmarkStart w:id="15" w:name="_Toc115037808"/>
      <w:r>
        <w:t xml:space="preserve">1.3. </w:t>
      </w:r>
      <w:r w:rsidR="007B7986" w:rsidRPr="000C71A6">
        <w:t xml:space="preserve">Immunization </w:t>
      </w:r>
      <w:r w:rsidR="00A55A3C">
        <w:t>strategies</w:t>
      </w:r>
      <w:bookmarkEnd w:id="15"/>
    </w:p>
    <w:p w14:paraId="1A51D5F5" w14:textId="59C30357" w:rsidR="007B7986" w:rsidRPr="000C71A6" w:rsidRDefault="00D44DE2" w:rsidP="00BB6DD5">
      <w:pPr>
        <w:divId w:val="684404335"/>
        <w:rPr>
          <w:rFonts w:cs="Arial"/>
          <w:color w:val="000000"/>
        </w:rPr>
      </w:pPr>
      <w:r>
        <w:rPr>
          <w:rFonts w:cs="Arial"/>
          <w:color w:val="000000"/>
        </w:rPr>
        <w:t>Several experimental vaccines have been developed against neosporosis</w:t>
      </w:r>
      <w:r w:rsidR="00E12016">
        <w:rPr>
          <w:rFonts w:cs="Arial"/>
          <w:color w:val="000000"/>
        </w:rPr>
        <w:t>,</w:t>
      </w:r>
      <w:r w:rsidR="00E12016" w:rsidRPr="00E12016">
        <w:rPr>
          <w:rFonts w:cs="Arial"/>
          <w:color w:val="000000"/>
        </w:rPr>
        <w:t xml:space="preserve"> </w:t>
      </w:r>
      <w:r w:rsidR="00E12016">
        <w:rPr>
          <w:rFonts w:cs="Arial"/>
          <w:color w:val="000000"/>
        </w:rPr>
        <w:t xml:space="preserve">both </w:t>
      </w:r>
      <w:r w:rsidR="00E12016" w:rsidRPr="000C71A6">
        <w:rPr>
          <w:rFonts w:cs="Arial"/>
          <w:color w:val="000000"/>
        </w:rPr>
        <w:t>in mice and bovines</w:t>
      </w:r>
      <w:r>
        <w:rPr>
          <w:rFonts w:cs="Arial"/>
          <w:color w:val="000000"/>
        </w:rPr>
        <w:t xml:space="preserve">. </w:t>
      </w:r>
      <w:r w:rsidR="00B12FD9">
        <w:rPr>
          <w:rFonts w:cs="Arial"/>
          <w:color w:val="000000"/>
        </w:rPr>
        <w:t>Most</w:t>
      </w:r>
      <w:r w:rsidR="001462A0" w:rsidRPr="000C71A6">
        <w:rPr>
          <w:rFonts w:cs="Arial"/>
          <w:color w:val="000000"/>
        </w:rPr>
        <w:t xml:space="preserve"> </w:t>
      </w:r>
      <w:r w:rsidR="00B12FD9">
        <w:rPr>
          <w:rFonts w:cs="Arial"/>
          <w:color w:val="000000"/>
        </w:rPr>
        <w:t>studies</w:t>
      </w:r>
      <w:r w:rsidR="00B12FD9" w:rsidRPr="000C71A6">
        <w:rPr>
          <w:rFonts w:cs="Arial"/>
          <w:color w:val="000000"/>
        </w:rPr>
        <w:t xml:space="preserve"> </w:t>
      </w:r>
      <w:r w:rsidR="001462A0" w:rsidRPr="000C71A6">
        <w:rPr>
          <w:rFonts w:cs="Arial"/>
          <w:color w:val="000000"/>
        </w:rPr>
        <w:t xml:space="preserve">have focused on studying the </w:t>
      </w:r>
      <w:r>
        <w:rPr>
          <w:rFonts w:cs="Arial"/>
          <w:color w:val="000000"/>
        </w:rPr>
        <w:t xml:space="preserve">generated </w:t>
      </w:r>
      <w:r w:rsidR="00F5620E">
        <w:rPr>
          <w:rFonts w:cs="Arial"/>
          <w:color w:val="000000"/>
        </w:rPr>
        <w:t xml:space="preserve">systemic </w:t>
      </w:r>
      <w:r w:rsidR="001462A0" w:rsidRPr="000C71A6">
        <w:rPr>
          <w:rFonts w:cs="Arial"/>
          <w:color w:val="000000"/>
        </w:rPr>
        <w:t xml:space="preserve">immune response </w:t>
      </w:r>
      <w:r>
        <w:rPr>
          <w:rFonts w:cs="Arial"/>
          <w:color w:val="000000"/>
        </w:rPr>
        <w:t xml:space="preserve">and conferred protection </w:t>
      </w:r>
      <w:r w:rsidR="00B12FD9">
        <w:rPr>
          <w:rFonts w:cs="Arial"/>
          <w:color w:val="000000"/>
        </w:rPr>
        <w:t xml:space="preserve">first </w:t>
      </w:r>
      <w:r w:rsidR="001462A0" w:rsidRPr="000C71A6">
        <w:rPr>
          <w:rFonts w:cs="Arial"/>
          <w:color w:val="000000"/>
        </w:rPr>
        <w:t xml:space="preserve">in the mouse </w:t>
      </w:r>
      <w:r w:rsidR="00B12FD9">
        <w:rPr>
          <w:rFonts w:cs="Arial"/>
          <w:color w:val="000000"/>
        </w:rPr>
        <w:t>model, since it is</w:t>
      </w:r>
      <w:r w:rsidR="001462A0" w:rsidRPr="000C71A6">
        <w:rPr>
          <w:rFonts w:cs="Arial"/>
          <w:color w:val="000000"/>
        </w:rPr>
        <w:t xml:space="preserve"> a </w:t>
      </w:r>
      <w:r w:rsidR="00B12FD9">
        <w:rPr>
          <w:rFonts w:cs="Arial"/>
          <w:color w:val="000000"/>
        </w:rPr>
        <w:t xml:space="preserve">suitable </w:t>
      </w:r>
      <w:r w:rsidR="001462A0" w:rsidRPr="000C71A6">
        <w:rPr>
          <w:rFonts w:cs="Arial"/>
          <w:color w:val="000000"/>
        </w:rPr>
        <w:t xml:space="preserve">model </w:t>
      </w:r>
      <w:r w:rsidR="00B12FD9">
        <w:rPr>
          <w:rFonts w:cs="Arial"/>
          <w:color w:val="000000"/>
        </w:rPr>
        <w:t xml:space="preserve">that mimics many </w:t>
      </w:r>
      <w:r w:rsidR="009B7F92">
        <w:rPr>
          <w:rFonts w:cs="Arial"/>
          <w:color w:val="000000"/>
        </w:rPr>
        <w:t>features</w:t>
      </w:r>
      <w:r w:rsidR="00B12FD9">
        <w:rPr>
          <w:rFonts w:cs="Arial"/>
          <w:color w:val="000000"/>
        </w:rPr>
        <w:t xml:space="preserve"> </w:t>
      </w:r>
      <w:r w:rsidR="009B7F92">
        <w:rPr>
          <w:rFonts w:cs="Arial"/>
          <w:color w:val="000000"/>
        </w:rPr>
        <w:t>of</w:t>
      </w:r>
      <w:r w:rsidR="00B12FD9">
        <w:rPr>
          <w:rFonts w:cs="Arial"/>
          <w:color w:val="000000"/>
        </w:rPr>
        <w:t xml:space="preserve"> bovine neosporosis and thus allows </w:t>
      </w:r>
      <w:r w:rsidR="001462A0" w:rsidRPr="000C71A6">
        <w:rPr>
          <w:rFonts w:cs="Arial"/>
          <w:color w:val="000000"/>
        </w:rPr>
        <w:t>later extrapolation to bovines</w:t>
      </w:r>
      <w:r w:rsidR="002541D2">
        <w:rPr>
          <w:rFonts w:cs="Arial"/>
          <w:color w:val="000000"/>
        </w:rPr>
        <w:t xml:space="preserve"> </w:t>
      </w:r>
      <w:r w:rsidR="002541D2">
        <w:rPr>
          <w:rFonts w:cs="Arial"/>
          <w:color w:val="000000"/>
        </w:rPr>
        <w:fldChar w:fldCharType="begin" w:fldLock="1"/>
      </w:r>
      <w:r w:rsidR="003D7092">
        <w:rPr>
          <w:rFonts w:cs="Arial"/>
          <w:color w:val="000000"/>
        </w:rPr>
        <w:instrText>ADDIN CSL_CITATION {"citationItems":[{"id":"ITEM-1","itemData":{"DOI":"10.1016/S1471-4922(02)02414-5","ISSN":"14714922","PMID":"12482540","abstract":"Since its first description in dogs in 1984, the protozoan parasite Neospora caninum has been found to infect a wide range of animals, worldwide. In cattle, N. caninum has particular significance as a cause of abortion in which persistence of infection in the mother, recrudescence of the parasite during pregnancy, and the vulnerability of the placenta and foetus to invasion are important features. This article discusses how Neospora invades cells, how it infects and causes disease in several animal species, and particularly how it has evolved a special niche in cattle and dogs that ensures its survival.","author":[{"dropping-particle":"","family":"Buxton","given":"David","non-dropping-particle":"","parse-names":false,"suffix":""},{"dropping-particle":"","family":"McAllister","given":"Milton M.","non-dropping-particle":"","parse-names":false,"suffix":""},{"dropping-particle":"","family":"Dubey","given":"J. P.","non-dropping-particle":"","parse-names":false,"suffix":""}],"container-title":"Trends in Parasitology","id":"ITEM-1","issue":"12","issued":{"date-parts":[["2002","12","1"]]},"page":"546-552","publisher":"Trends Parasitol","title":"The comparative pathogenesis of neosporosis","type":"article-journal","volume":"18"},"uris":["http://www.mendeley.com/documents/?uuid=898592eb-2520-3028-8324-d7d9fe15f615"]},{"id":"ITEM-2","itemData":{"DOI":"10.1016/J.EXPPARA.2014.02.015","ISSN":"1090-2449","PMID":"24602874","abstract":"Neospora caninum is an intracellular apicomplexan parasite, which is a leading cause of abortion in cattle thus neosporosis represents an important veterinary health problem and is of high economic significance. The parasite can infect cattle via trans-placental transmission from an infected cow to its fetus (vertical transmission), or through the oral route via ingestion of food or water contaminated with oocysts that were previously shed with the feces of a canid definitive host (horizontal transmission). Although vaccination was considered a rational strategy to prevent bovine neosporosis, the only commercialized vaccine (Neoguard®) produced ambiguous results with relatively low efficacy, and was recently removed from the market. Therefore, there is a need to develop an efficient vaccine capable of preventing both, the horizontal transmission through infected food or water to a naïve animal as well as the vertical transmission from infected but clinically asymptomatic dams to the fetus. Different vaccine strategies have been investigated, including the use of live attenuated vaccines, killed parasite lysates, total antigens or antigen fractions from killed parasites, and subunit vaccines. The vast majority of experimental studies were performed in mice, and to a certain extent in gerbils, but there is also a large number of investigations that were conducted in cattle and sheep. However, it is difficult to directly compare these studies due to the high variability of the parameters employed. In this review, we will summarize the recent advances made in vaccine development against N. caninum in cattle and in mice and highlight the most important factors, which are likely to influence the degree of protection mediated by vaccination. © 2014 Elsevier Inc.","author":[{"dropping-particle":"","family":"Monney","given":"Thierry","non-dropping-particle":"","parse-names":false,"suffix":""},{"dropping-particle":"","family":"Hemphill","given":"Andrew","non-dropping-particle":"","parse-names":false,"suffix":""}],"container-title":"Experimental parasitology","id":"ITEM-2","issue":"1","issued":{"date-parts":[["2014"]]},"page":"52-70","publisher":"Exp Parasitol","title":"Vaccines against neosporosis: what can we learn from the past studies?","type":"article-journal","volume":"140"},"uris":["http://www.mendeley.com/documents/?uuid=c698d758-e605-3ed4-bcd8-3b4552b17bb5"]}],"mendeley":{"formattedCitation":"[35], [36]","manualFormatting":"[28, 29]","plainTextFormattedCitation":"[35], [36]","previouslyFormattedCitation":"[35], [36]"},"properties":{"noteIndex":0},"schema":"https://github.com/citation-style-language/schema/raw/master/csl-citation.json"}</w:instrText>
      </w:r>
      <w:r w:rsidR="002541D2">
        <w:rPr>
          <w:rFonts w:cs="Arial"/>
          <w:color w:val="000000"/>
        </w:rPr>
        <w:fldChar w:fldCharType="separate"/>
      </w:r>
      <w:r w:rsidR="002410E7">
        <w:rPr>
          <w:rFonts w:cs="Arial"/>
          <w:noProof/>
          <w:color w:val="000000"/>
        </w:rPr>
        <w:t xml:space="preserve">[28, </w:t>
      </w:r>
      <w:r w:rsidR="00F00084" w:rsidRPr="00F00084">
        <w:rPr>
          <w:rFonts w:cs="Arial"/>
          <w:noProof/>
          <w:color w:val="000000"/>
        </w:rPr>
        <w:t>29]</w:t>
      </w:r>
      <w:r w:rsidR="002541D2">
        <w:rPr>
          <w:rFonts w:cs="Arial"/>
          <w:color w:val="000000"/>
        </w:rPr>
        <w:fldChar w:fldCharType="end"/>
      </w:r>
      <w:r w:rsidR="00B12FD9">
        <w:rPr>
          <w:rFonts w:cs="Arial"/>
          <w:color w:val="000000"/>
        </w:rPr>
        <w:t>.</w:t>
      </w:r>
      <w:r w:rsidR="001462A0" w:rsidRPr="000C71A6">
        <w:rPr>
          <w:rFonts w:cs="Arial"/>
          <w:color w:val="000000"/>
        </w:rPr>
        <w:t xml:space="preserve"> </w:t>
      </w:r>
      <w:r w:rsidR="00BB6DD5">
        <w:rPr>
          <w:rFonts w:cs="Arial"/>
          <w:color w:val="000000"/>
        </w:rPr>
        <w:t xml:space="preserve">Live vaccines </w:t>
      </w:r>
      <w:r w:rsidR="003D7092">
        <w:rPr>
          <w:rFonts w:cs="Arial"/>
          <w:color w:val="000000"/>
        </w:rPr>
        <w:fldChar w:fldCharType="begin" w:fldLock="1"/>
      </w:r>
      <w:r w:rsidR="0023236C">
        <w:rPr>
          <w:rFonts w:cs="Arial"/>
          <w:color w:val="000000"/>
        </w:rPr>
        <w:instrText>ADDIN CSL_CITATION {"citationItems":[{"id":"ITEM-1","itemData":{"DOI":"10.2147/RIP.S71454","abstract":"The apicomplexan parasite Neospora caninum represents an important abortion-causing parasite in cattle. The economic impact of neosporosis has led to considerable investments to develop vaccines that would prevent infection and abortion. Live-attenuated vaccines have been shown to confer some protection against N. caninum infection, but may cause problems due to regulatory issues and other drawbacks. Therefore, efforts have been undertaken to develop recombinant subunit vaccines based on antigens involved in adhesion/invasion or other parasite-host cell interaction processes. Concerning chemotherapeutical agents, the currently known arsenal of active drugs that act against N. caninum is limited to a small number of compounds with suitable in vitro properties including low inhibition constants, parasitocidal effects, and low cytotoxicity. For in vivo studies, mostly small laboratory animal models that mimic cerebral infection, acute disease, and fetal loss upon infection during pregnancy have been applied for the assessment of vaccines or drug candidates. However, only a small number of recombinant vaccines and drug candidates have met the expectations, and small laboratory models for neosporosis need to be standardized in order to be able to compare the results of different laboratories. Few vaccines and compounds have made it into trials involving ruminant models such as cattle or sheep, including live-attenuated vaccines and the anticoccidial drug toltrazuril. We here summarize the current status of vaccine and drug development for neosporosis.","author":[{"dropping-particle":"","family":"Hemphill","given":"Andrew","non-dropping-particle":"","parse-names":false,"suffix":""},{"dropping-particle":"","family":"Müller","given":"Joachim","non-dropping-particle":"","parse-names":false,"suffix":""}],"container-title":"Reports in Parasitology","id":"ITEM-1","issued":{"date-parts":[["2015","9","18"]]},"page":"31-41","publisher":"Dove Press","title":"Vaccines and drugs against &lt;em&gt;Neospora caninum&lt;/em&gt;, an important apicomplexan causing abortion in cattle and other farm animals","type":"article-journal","volume":"4"},"uris":["http://www.mendeley.com/documents/?uuid=fafc2ede-2a11-3ffc-896f-f2ad926fb873"]}],"mendeley":{"formattedCitation":"[37]","plainTextFormattedCitation":"[37]","previouslyFormattedCitation":"[37]"},"properties":{"noteIndex":0},"schema":"https://github.com/citation-style-language/schema/raw/master/csl-citation.json"}</w:instrText>
      </w:r>
      <w:r w:rsidR="003D7092">
        <w:rPr>
          <w:rFonts w:cs="Arial"/>
          <w:color w:val="000000"/>
        </w:rPr>
        <w:fldChar w:fldCharType="separate"/>
      </w:r>
      <w:r w:rsidR="003D7092" w:rsidRPr="003D7092">
        <w:rPr>
          <w:rFonts w:cs="Arial"/>
          <w:noProof/>
          <w:color w:val="000000"/>
        </w:rPr>
        <w:t>[37]</w:t>
      </w:r>
      <w:r w:rsidR="003D7092">
        <w:rPr>
          <w:rFonts w:cs="Arial"/>
          <w:color w:val="000000"/>
        </w:rPr>
        <w:fldChar w:fldCharType="end"/>
      </w:r>
      <w:r w:rsidR="003D7092">
        <w:rPr>
          <w:rFonts w:cs="Arial"/>
          <w:color w:val="000000"/>
        </w:rPr>
        <w:t xml:space="preserve"> </w:t>
      </w:r>
      <w:r w:rsidR="00BB6DD5">
        <w:rPr>
          <w:rFonts w:cs="Arial"/>
          <w:color w:val="000000"/>
        </w:rPr>
        <w:t xml:space="preserve">and live vaccine vectors </w:t>
      </w:r>
      <w:r w:rsidR="00626C39">
        <w:rPr>
          <w:rFonts w:cs="Arial"/>
          <w:color w:val="000000"/>
        </w:rPr>
        <w:fldChar w:fldCharType="begin" w:fldLock="1"/>
      </w:r>
      <w:r w:rsidR="0023236C">
        <w:rPr>
          <w:rFonts w:cs="Arial"/>
          <w:color w:val="000000"/>
        </w:rPr>
        <w:instrText>ADDIN CSL_CITATION {"citationItems":[{"id":"ITEM-1","itemData":{"DOI":"10.3390/VACCINES9121400","ISSN":"2076-393X","PMID":"34960146","abstract":"The apicomplexan parasite Neospora caninum is the worldwide leading cause of abortion and stillbirth in cattle. An attenuated mutant Listeria monocytogenes strain (Lm3Dx) was engineered by deleting the virulence genes actA, inlA, and inlB in order to avoid systemic infection and to target the vector to antigen-presenting cells (APCs). Insertion of sag1, coding for the major surface protein NcSAG1 of N. caninum, yielded the vaccine strain Lm3Dx_NcSAG1. The efficacy of Lm3Dx_NcSAG1 was assessed by inoculating 1 × 105, 1 × 106, or 1 × 107 CFU of Lm3Dx_NcSAG1 into female BALB/c mice by intramuscular injection three times at two-week intervals, and subsequent challenge with 1 × 105 N. caninum tachyzoites of the highly virulent NcSpain-7 strain on day 7 of pregnancy. Dose-dependent protective effects were seen, with a postnatal offspring survival rate of 67% in the group treated with 1 × 107 CFU of Lm3Dx_NcSAG1 compared to 5% survival in the non-vaccinated control group. At euthanasia (25 days post-partum), IgG antibody titers were significantly decreased in the groups receiving the two higher doses and cytokines recall responses in splenocyte culture supernatants (IFN-γ, IL-4, and IL-10) were increased in the vaccinated groups. Thus, Lm3Dx_NcSAG1 induces immune-protective effects associated with a balanced Th1/Th2 response in a pregnant neosporosis mouse model and should be further assessed in ruminant models.","author":[{"dropping-particle":"","family":"Imhof","given":"Dennis","non-dropping-particle":"","parse-names":false,"suffix":""},{"dropping-particle":"","family":"Pownall","given":"William Robert","non-dropping-particle":"","parse-names":false,"suffix":""},{"dropping-particle":"","family":"Monney","given":"Camille","non-dropping-particle":"","parse-names":false,"suffix":""},{"dropping-particle":"","family":"Oevermann","given":"Anna","non-dropping-particle":"","parse-names":false,"suffix":""},{"dropping-particle":"","family":"Hemphill","given":"Andrew","non-dropping-particle":"","parse-names":false,"suffix":""}],"container-title":"Vaccines","id":"ITEM-1","issue":"12","issued":{"date-parts":[["2021","12","1"]]},"publisher":"Vaccines (Basel)","title":"A Listeria monocytogenes-Based Vaccine Formulation Reduces Vertical Transmission and Leads to Enhanced Pup Survival in a Pregnant Neosporosis Mouse Model","type":"article-journal","volume":"9"},"uris":["http://www.mendeley.com/documents/?uuid=1fa0d236-d4bb-3599-a593-7364f39fe16c"]}],"mendeley":{"formattedCitation":"[38]","plainTextFormattedCitation":"[38]","previouslyFormattedCitation":"[38]"},"properties":{"noteIndex":0},"schema":"https://github.com/citation-style-language/schema/raw/master/csl-citation.json"}</w:instrText>
      </w:r>
      <w:r w:rsidR="00626C39">
        <w:rPr>
          <w:rFonts w:cs="Arial"/>
          <w:color w:val="000000"/>
        </w:rPr>
        <w:fldChar w:fldCharType="separate"/>
      </w:r>
      <w:r w:rsidR="003D7092" w:rsidRPr="003D7092">
        <w:rPr>
          <w:rFonts w:cs="Arial"/>
          <w:noProof/>
          <w:color w:val="000000"/>
        </w:rPr>
        <w:t>[38]</w:t>
      </w:r>
      <w:r w:rsidR="00626C39">
        <w:rPr>
          <w:rFonts w:cs="Arial"/>
          <w:color w:val="000000"/>
        </w:rPr>
        <w:fldChar w:fldCharType="end"/>
      </w:r>
      <w:r w:rsidR="00626C39">
        <w:rPr>
          <w:rFonts w:cs="Arial"/>
          <w:color w:val="000000"/>
        </w:rPr>
        <w:t xml:space="preserve"> </w:t>
      </w:r>
      <w:r w:rsidR="00BB6DD5">
        <w:rPr>
          <w:rFonts w:cs="Arial"/>
          <w:color w:val="000000"/>
        </w:rPr>
        <w:t>have been used against neosporosis</w:t>
      </w:r>
      <w:r w:rsidR="00626C39">
        <w:rPr>
          <w:rFonts w:cs="Arial"/>
          <w:color w:val="000000"/>
        </w:rPr>
        <w:t xml:space="preserve">, some of them with promising results against vertical </w:t>
      </w:r>
      <w:r w:rsidR="00626C39" w:rsidRPr="00626C39">
        <w:rPr>
          <w:rFonts w:cs="Arial"/>
          <w:i/>
          <w:iCs/>
          <w:color w:val="000000"/>
        </w:rPr>
        <w:t>N. caninum</w:t>
      </w:r>
      <w:r w:rsidR="00626C39">
        <w:rPr>
          <w:rFonts w:cs="Arial"/>
          <w:color w:val="000000"/>
        </w:rPr>
        <w:t xml:space="preserve"> transmission</w:t>
      </w:r>
      <w:r w:rsidR="00B41D91">
        <w:rPr>
          <w:rFonts w:cs="Arial"/>
          <w:color w:val="000000"/>
        </w:rPr>
        <w:t>, but safety problems due to possible reversion of virulence</w:t>
      </w:r>
      <w:r w:rsidR="00B41D91" w:rsidRPr="00B41D91">
        <w:rPr>
          <w:rFonts w:cs="Arial"/>
          <w:color w:val="000000"/>
        </w:rPr>
        <w:t xml:space="preserve"> </w:t>
      </w:r>
      <w:r w:rsidR="00B41D91">
        <w:rPr>
          <w:rFonts w:cs="Arial"/>
          <w:color w:val="000000"/>
        </w:rPr>
        <w:t>of live vaccines or disease induced by the vector cannot be excluded</w:t>
      </w:r>
      <w:r w:rsidR="0023236C">
        <w:rPr>
          <w:rFonts w:cs="Arial"/>
          <w:color w:val="000000"/>
        </w:rPr>
        <w:t xml:space="preserve"> </w:t>
      </w:r>
      <w:r w:rsidR="0023236C">
        <w:rPr>
          <w:rFonts w:cs="Arial"/>
          <w:color w:val="000000"/>
        </w:rPr>
        <w:fldChar w:fldCharType="begin" w:fldLock="1"/>
      </w:r>
      <w:r w:rsidR="0023236C">
        <w:rPr>
          <w:rFonts w:cs="Arial"/>
          <w:color w:val="000000"/>
        </w:rPr>
        <w:instrText>ADDIN CSL_CITATION {"citationItems":[{"id":"ITEM-1","itemData":{"DOI":"10.1111/PIM.12342","ISSN":"1365-3024","PMID":"27314818","abstract":"Bovine neosporosis is a worldwide concern due to its global distribution and great economic impact. Reproductive failure in cattle due to abortion leads to major economic losses associated with the disease. Currently, there is no treatment or vaccine available against abortion or transmission caused by Neospora caninum infection in cattle. However, vaccination is considered the best measure of control against bovine neosporosis. Several host and parasite factors can influence the dynamics of the infection in bovines. Moreover, the availability of well-defined infection models is a key factor for the evaluation of vaccine candidates. However, working with cattle is not easy due to difficult handling, facilities and costs, and therefore, ‘more affordable’ models could be used for screening of promising vaccines to establish proof of concept. So far, live-attenuated vaccines have shown good efficacy against exogenous transplacental transmission; however, they have relevant disadvantages and associated risks, which render inactivated or subunit vaccines the best way forward. The identification of novel potential targets and vaccines, and the application of innovative vaccine technologies in harmonized experimental animal models, will accelerate the development of an effective vaccine against bovine neosporosis.","author":[{"dropping-particle":"","family":"Horcajo","given":"P.","non-dropping-particle":"","parse-names":false,"suffix":""},{"dropping-particle":"","family":"Regidor-Cerrillo","given":"J.","non-dropping-particle":"","parse-names":false,"suffix":""},{"dropping-particle":"","family":"Aguado-Martínez","given":"A.","non-dropping-particle":"","parse-names":false,"suffix":""},{"dropping-particle":"","family":"Hemphill","given":"A.","non-dropping-particle":"","parse-names":false,"suffix":""},{"dropping-particle":"","family":"Ortega-Mora","given":"L. M.","non-dropping-particle":"","parse-names":false,"suffix":""}],"container-title":"Parasite immunology","id":"ITEM-1","issue":"12","issued":{"date-parts":[["2016","12","1"]]},"page":"709-723","publisher":"Parasite Immunol","title":"Vaccines for bovine neosporosis: current status and key aspects for development","type":"article-journal","volume":"38"},"uris":["http://www.mendeley.com/documents/?uuid=476e47a0-231f-324d-be82-a42ef7b28157"]}],"mendeley":{"formattedCitation":"[39]","plainTextFormattedCitation":"[39]","previouslyFormattedCitation":"[39]"},"properties":{"noteIndex":0},"schema":"https://github.com/citation-style-language/schema/raw/master/csl-citation.json"}</w:instrText>
      </w:r>
      <w:r w:rsidR="0023236C">
        <w:rPr>
          <w:rFonts w:cs="Arial"/>
          <w:color w:val="000000"/>
        </w:rPr>
        <w:fldChar w:fldCharType="separate"/>
      </w:r>
      <w:r w:rsidR="0023236C" w:rsidRPr="0023236C">
        <w:rPr>
          <w:rFonts w:cs="Arial"/>
          <w:noProof/>
          <w:color w:val="000000"/>
        </w:rPr>
        <w:t>[39]</w:t>
      </w:r>
      <w:r w:rsidR="0023236C">
        <w:rPr>
          <w:rFonts w:cs="Arial"/>
          <w:color w:val="000000"/>
        </w:rPr>
        <w:fldChar w:fldCharType="end"/>
      </w:r>
      <w:r w:rsidR="00626C39">
        <w:rPr>
          <w:rFonts w:cs="Arial"/>
          <w:color w:val="000000"/>
        </w:rPr>
        <w:t xml:space="preserve">. </w:t>
      </w:r>
      <w:r w:rsidR="00A55A3C">
        <w:rPr>
          <w:rFonts w:cs="Arial"/>
          <w:color w:val="000000"/>
        </w:rPr>
        <w:t>To overcome those limitations, several subunit vaccines have been developed</w:t>
      </w:r>
      <w:r w:rsidR="0023236C">
        <w:rPr>
          <w:rFonts w:cs="Arial"/>
          <w:color w:val="000000"/>
        </w:rPr>
        <w:t xml:space="preserve"> </w:t>
      </w:r>
      <w:r w:rsidR="0023236C">
        <w:rPr>
          <w:rFonts w:cs="Arial"/>
          <w:color w:val="000000"/>
        </w:rPr>
        <w:fldChar w:fldCharType="begin" w:fldLock="1"/>
      </w:r>
      <w:r w:rsidR="0023236C">
        <w:rPr>
          <w:rFonts w:cs="Arial"/>
          <w:color w:val="000000"/>
        </w:rPr>
        <w:instrText>ADDIN CSL_CITATION {"citationItems":[{"id":"ITEM-1","itemData":{"DOI":"10.2147/RIP.S71454","abstract":"The apicomplexan parasite Neospora caninum represents an important abortion-causing parasite in cattle. The economic impact of neosporosis has led to considerable investments to develop vaccines that would prevent infection and abortion. Live-attenuated vaccines have been shown to confer some protection against N. caninum infection, but may cause problems due to regulatory issues and other drawbacks. Therefore, efforts have been undertaken to develop recombinant subunit vaccines based on antigens involved in adhesion/invasion or other parasite-host cell interaction processes. Concerning chemotherapeutical agents, the currently known arsenal of active drugs that act against N. caninum is limited to a small number of compounds with suitable in vitro properties including low inhibition constants, parasitocidal effects, and low cytotoxicity. For in vivo studies, mostly small laboratory animal models that mimic cerebral infection, acute disease, and fetal loss upon infection during pregnancy have been applied for the assessment of vaccines or drug candidates. However, only a small number of recombinant vaccines and drug candidates have met the expectations, and small laboratory models for neosporosis need to be standardized in order to be able to compare the results of different laboratories. Few vaccines and compounds have made it into trials involving ruminant models such as cattle or sheep, including live-attenuated vaccines and the anticoccidial drug toltrazuril. We here summarize the current status of vaccine and drug development for neosporosis.","author":[{"dropping-particle":"","family":"Hemphill","given":"Andrew","non-dropping-particle":"","parse-names":false,"suffix":""},{"dropping-particle":"","family":"Müller","given":"Joachim","non-dropping-particle":"","parse-names":false,"suffix":""}],"container-title":"Reports in Parasitology","id":"ITEM-1","issued":{"date-parts":[["2015","9","18"]]},"page":"31-41","publisher":"Dove Press","title":"Vaccines and drugs against &lt;em&gt;Neospora caninum&lt;/em&gt;, an important apicomplexan causing abortion in cattle and other farm animals","type":"article-journal","volume":"4"},"uris":["http://www.mendeley.com/documents/?uuid=fafc2ede-2a11-3ffc-896f-f2ad926fb873"]},{"id":"ITEM-2","itemData":{"DOI":"10.1111/PIM.12342","ISSN":"1365-3024","PMID":"27314818","abstract":"Bovine neosporosis is a worldwide concern due to its global distribution and great economic impact. Reproductive failure in cattle due to abortion leads to major economic losses associated with the disease. Currently, there is no treatment or vaccine available against abortion or transmission caused by Neospora caninum infection in cattle. However, vaccination is considered the best measure of control against bovine neosporosis. Several host and parasite factors can influence the dynamics of the infection in bovines. Moreover, the availability of well-defined infection models is a key factor for the evaluation of vaccine candidates. However, working with cattle is not easy due to difficult handling, facilities and costs, and therefore, ‘more affordable’ models could be used for screening of promising vaccines to establish proof of concept. So far, live-attenuated vaccines have shown good efficacy against exogenous transplacental transmission; however, they have relevant disadvantages and associated risks, which render inactivated or subunit vaccines the best way forward. The identification of novel potential targets and vaccines, and the application of innovative vaccine technologies in harmonized experimental animal models, will accelerate the development of an effective vaccine against bovine neosporosis.","author":[{"dropping-particle":"","family":"Horcajo","given":"P.","non-dropping-particle":"","parse-names":false,"suffix":""},{"dropping-particle":"","family":"Regidor-Cerrillo","given":"J.","non-dropping-particle":"","parse-names":false,"suffix":""},{"dropping-particle":"","family":"Aguado-Martínez","given":"A.","non-dropping-particle":"","parse-names":false,"suffix":""},{"dropping-particle":"","family":"Hemphill","given":"A.","non-dropping-particle":"","parse-names":false,"suffix":""},{"dropping-particle":"","family":"Ortega-Mora","given":"L. M.","non-dropping-particle":"","parse-names":false,"suffix":""}],"container-title":"Parasite immunology","id":"ITEM-2","issue":"12","issued":{"date-parts":[["2016","12","1"]]},"page":"709-723","publisher":"Parasite Immunol","title":"Vaccines for bovine neosporosis: current status and key aspects for development","type":"article-journal","volume":"38"},"uris":["http://www.mendeley.com/documents/?uuid=476e47a0-231f-324d-be82-a42ef7b28157"]}],"mendeley":{"formattedCitation":"[37], [39]","manualFormatting":"[37, 39]","plainTextFormattedCitation":"[37], [39]","previouslyFormattedCitation":"[37], [39]"},"properties":{"noteIndex":0},"schema":"https://github.com/citation-style-language/schema/raw/master/csl-citation.json"}</w:instrText>
      </w:r>
      <w:r w:rsidR="0023236C">
        <w:rPr>
          <w:rFonts w:cs="Arial"/>
          <w:color w:val="000000"/>
        </w:rPr>
        <w:fldChar w:fldCharType="separate"/>
      </w:r>
      <w:r w:rsidR="0023236C">
        <w:rPr>
          <w:rFonts w:cs="Arial"/>
          <w:noProof/>
          <w:color w:val="000000"/>
        </w:rPr>
        <w:t xml:space="preserve">[37, </w:t>
      </w:r>
      <w:r w:rsidR="0023236C" w:rsidRPr="0023236C">
        <w:rPr>
          <w:rFonts w:cs="Arial"/>
          <w:noProof/>
          <w:color w:val="000000"/>
        </w:rPr>
        <w:t>39]</w:t>
      </w:r>
      <w:r w:rsidR="0023236C">
        <w:rPr>
          <w:rFonts w:cs="Arial"/>
          <w:color w:val="000000"/>
        </w:rPr>
        <w:fldChar w:fldCharType="end"/>
      </w:r>
      <w:r w:rsidR="00A55A3C">
        <w:rPr>
          <w:rFonts w:cs="Arial"/>
          <w:color w:val="000000"/>
        </w:rPr>
        <w:t>.</w:t>
      </w:r>
      <w:r w:rsidR="00BB6DD5">
        <w:rPr>
          <w:rFonts w:cs="Arial"/>
          <w:color w:val="000000"/>
        </w:rPr>
        <w:t xml:space="preserve"> </w:t>
      </w:r>
      <w:r w:rsidR="00BB6DD5">
        <w:rPr>
          <w:rFonts w:cs="Arial"/>
          <w:i/>
          <w:color w:val="000000"/>
        </w:rPr>
        <w:t xml:space="preserve">In silico </w:t>
      </w:r>
      <w:r w:rsidR="00BB6DD5">
        <w:rPr>
          <w:rFonts w:cs="Arial"/>
          <w:color w:val="000000"/>
        </w:rPr>
        <w:t xml:space="preserve">approaches to </w:t>
      </w:r>
      <w:r w:rsidR="006B4B8C">
        <w:rPr>
          <w:rFonts w:cs="Arial"/>
          <w:color w:val="000000"/>
        </w:rPr>
        <w:t xml:space="preserve">subunit </w:t>
      </w:r>
      <w:r w:rsidR="00BB6DD5">
        <w:rPr>
          <w:rFonts w:cs="Arial"/>
          <w:color w:val="000000"/>
        </w:rPr>
        <w:t xml:space="preserve">vaccine investigation have been a growing tendency in the later years </w:t>
      </w:r>
      <w:r w:rsidR="00BB6DD5">
        <w:rPr>
          <w:rFonts w:cs="Arial"/>
          <w:color w:val="000000"/>
        </w:rPr>
        <w:fldChar w:fldCharType="begin" w:fldLock="1"/>
      </w:r>
      <w:r w:rsidR="004A4DFA">
        <w:rPr>
          <w:rFonts w:cs="Arial"/>
          <w:color w:val="000000"/>
        </w:rPr>
        <w:instrText>ADDIN CSL_CITATION {"citationItems":[{"id":"ITEM-1","itemData":{"DOI":"10.3390/PATHOGENS9060505","ISSN":"2076-0817","PMID":"32585955","abstract":"Background: Neospora caninum has been recognised world-wide, first as a disease of dogs, then as an important cause of abortions in cattle for the past thirty years. Over that time period, there have been improvements in the diagnosis of infection and abortion, new tests have been developed and validated, and it is timely to review progress to date. Methods: Bibliometric methods were used to identify major trends and research topics present in the published literature on N. caninum. The tools used were SWIFT-Review, VOSviewer and SciMAT, along with the published papers found in the MEDLINE, Dimensions and Web of Science databases. A systematic review of the published Neospora literature (n = 2933) was also carried out via MEDLINE and systematically appraised for publications relevant to the pathogenesis, pathology and diagnosis of Neospora abortions. Results: A total of 92 publications were included in the final analysis and grouped into four main time periods. In these four different time periods, the main research themes were “dogs”, “abortion”, “seroprevalence” and “infection”. Diagnostics, including PCR, dominated the first two time periods, with an increased focus on transmission and abortions, and its risk factors in cattle. Conclusions: Longitudinal analyses indicated that the main themes were consistently investigated over the last 30 years through a wide range of studies, with evolving emphasis initially on dogs and diagnostic test development, followed by application to cattle, the identification of the risk factors leading to abortion, and in the latter time periods, an understanding of the immunity and a search for vaccines.","author":[{"dropping-particle":"","family":"Reichel","given":"Michael P.","non-dropping-particle":"","parse-names":false,"suffix":""},{"dropping-particle":"","family":"Wahl","given":"Lloyd C.","non-dropping-particle":"","parse-names":false,"suffix":""},{"dropping-particle":"","family":"Ellis","given":"John T.","non-dropping-particle":"","parse-names":false,"suffix":""}],"container-title":"Pathogens (Basel, Switzerland)","id":"ITEM-1","issue":"6","issued":{"date-parts":[["2020","6","1"]]},"page":"1-18","publisher":"Pathogens","title":"Research into Neospora caninum-What Have We Learnt in the Last Thirty Years?","type":"article-journal","volume":"9"},"uris":["http://www.mendeley.com/documents/?uuid=dc62490f-1ac7-311b-9349-3a260b3cb981"]}],"mendeley":{"formattedCitation":"[16]","plainTextFormattedCitation":"[16]","previouslyFormattedCitation":"[16]"},"properties":{"noteIndex":0},"schema":"https://github.com/citation-style-language/schema/raw/master/csl-citation.json"}</w:instrText>
      </w:r>
      <w:r w:rsidR="00BB6DD5">
        <w:rPr>
          <w:rFonts w:cs="Arial"/>
          <w:color w:val="000000"/>
        </w:rPr>
        <w:fldChar w:fldCharType="separate"/>
      </w:r>
      <w:r w:rsidR="004A4DFA" w:rsidRPr="004A4DFA">
        <w:rPr>
          <w:rFonts w:cs="Arial"/>
          <w:noProof/>
          <w:color w:val="000000"/>
        </w:rPr>
        <w:t>[16]</w:t>
      </w:r>
      <w:r w:rsidR="00BB6DD5">
        <w:rPr>
          <w:rFonts w:cs="Arial"/>
          <w:color w:val="000000"/>
        </w:rPr>
        <w:fldChar w:fldCharType="end"/>
      </w:r>
      <w:r w:rsidR="00BB6DD5">
        <w:rPr>
          <w:rFonts w:cs="Arial"/>
          <w:color w:val="000000"/>
        </w:rPr>
        <w:t xml:space="preserve">. For this effect, </w:t>
      </w:r>
      <w:r w:rsidR="00BB6DD5">
        <w:rPr>
          <w:rFonts w:cs="Arial"/>
          <w:i/>
          <w:color w:val="000000"/>
        </w:rPr>
        <w:t xml:space="preserve">N. caninum </w:t>
      </w:r>
      <w:r w:rsidR="00BB6DD5">
        <w:rPr>
          <w:rFonts w:cs="Arial"/>
          <w:color w:val="000000"/>
        </w:rPr>
        <w:t xml:space="preserve">genes and proteins, as well as cell receptors that interact with those proteins, have been extensively described </w:t>
      </w:r>
      <w:r w:rsidR="00BB6DD5">
        <w:rPr>
          <w:rFonts w:cs="Arial"/>
          <w:color w:val="000000"/>
        </w:rPr>
        <w:fldChar w:fldCharType="begin" w:fldLock="1"/>
      </w:r>
      <w:r w:rsidR="0023236C">
        <w:rPr>
          <w:rFonts w:cs="Arial"/>
          <w:color w:val="000000"/>
        </w:rPr>
        <w:instrText>ADDIN CSL_CITATION {"citationItems":[{"id":"ITEM-1","itemData":{"DOI":"10.1155/2022/2508050","ISSN":"2314-6141","PMID":"35434130","abstract":"Prevention of neosporosis is advantageous for cattle health and productivity. Previously, several vaccine candidates were nominated for vaccination against Neospora caninum. This study was premised on in silico evaluation of N. caninum IMP-1 in order to determine its physicochemical features and immunogenic epitopes. We employed a wide array of network-based tools for the prediction of antigenicity, allergenicity, solubility, posttranslational modification (PTM) sites, physicochemical properties, transmembrane domains and signal peptide, secondary and tertiary structures, and intrinsically disordered regions. Also, prediction and screening of potential continuous B cell peptides and those epitopes having stringent affinity to couple with mouse major histocompatibility complex (MHC) and cytotoxic T lymphocyte (CTL) receptors were accomplished. The protein had 393 residues with a molecular weight of 42.71 kDa, representing aliphatic index of 85.83 (thermotolerant) and GRAVY score of -0.447 (hydrophilic). There were 47 PTM sites without a signal peptide in the sequence. Secondary structure comprised mostly of extended strand and helices, followed by coils. The Ramachandran plot of the refined model showed 90.1%, 9.9%, 0.0%, and 0.0% residues in the favored, additional allowed, generously allowed, and disallowed regions, correspondingly. Additionally, various potential B cell (linear and conformational), CTL, and MHC binding epitopes were predicted for N. caninum IMP-1. The findings of the present study could be further directed for next-generation vaccine design against neosporosis.","author":[{"dropping-particle":"","family":"Nazari","given":"Naser","non-dropping-particle":"","parse-names":false,"suffix":""},{"dropping-particle":"","family":"Kordi","given":"Bahareh","non-dropping-particle":"","parse-names":false,"suffix":""},{"dropping-particle":"","family":"Maleki","given":"Bahman","non-dropping-particle":"","parse-names":false,"suffix":""},{"dropping-particle":"","family":"Shams","given":"Morteza","non-dropping-particle":"","parse-names":false,"suffix":""},{"dropping-particle":"","family":"Azizi","given":"Esfandiar","non-dropping-particle":"","parse-names":false,"suffix":""},{"dropping-particle":"","family":"Majidiani","given":"Hamidreza","non-dropping-particle":"","parse-names":false,"suffix":""},{"dropping-particle":"","family":"Naserifar","given":"Razi","non-dropping-particle":"","parse-names":false,"suffix":""}],"container-title":"BioMed research international","id":"ITEM-1","issued":{"date-parts":[["2022"]]},"publisher":"Biomed Res Int","title":"Determination of B and T Cell Epitopes in Neospora caninum Immune Mapped Protein-1 (IMP-1): Implications in Vaccine Design against Neosporosis","type":"article-journal","volume":"2022"},"uris":["http://www.mendeley.com/documents/?uuid=cbff7c23-33b6-38ff-955a-843b880129f2"]},{"id":"ITEM-2","itemData":{"DOI":"10.1155/2022/7070144","ISSN":"2314-6141","PMID":"35434127","abstract":"Vaccination is a standout preventive measure to combat neosporosis among cattle herds. The present in silico study was done to evaluate the physicochemical properties and potent immunogenic epitopes of N. caninum SRS2 protein as a possible vaccine candidate. Web-based tools were used to predict physicochemical properties, antigenicity, allergenicity, solubility, posttranslational modification (PTM) sites, transmembrane domains and signal peptide, and secondary and tertiary structures as well as intrinsically disordered regions, followed by identification and screening of potential linear and conformational B-cell epitopes and those peptides having affinity to bind mouse major histocompatibility complex (MHC) and cytotoxic T lymphocyte (CTL). The protein had 401 residues with a molecular weight of 42 kDa, representing aliphatic index of 69.35 (thermotolerant) and GRAVY score of -0.294 (hydrophilic). There were 53 PTM sites without a signal peptide in the sequence. Secondary structure comprised mostly by extended strand, followed by helices and coils. The Ramachandran plot of the refined model showed 90.2%, 8.8%, 0.5%, and 0.5% residues in the favored, additional allowed, generously allowed, and disallowed regions, correspondingly. Additionally, various potential B-cell (linear and conformational), CTL, and MHC-binding epitopes were predicted for N. caninum SRS2. These epitopes could be further utilized in the multiepitope vaccine constructs directed against neosporosis.","author":[{"dropping-particle":"","family":"Asghari","given":"Ali","non-dropping-particle":"","parse-names":false,"suffix":""},{"dropping-particle":"","family":"Kordi","given":"Bahareh","non-dropping-particle":"","parse-names":false,"suffix":""},{"dropping-particle":"","family":"Maleki","given":"Bahman","non-dropping-particle":"","parse-names":false,"suffix":""},{"dropping-particle":"","family":"Majidiani","given":"Hamidreza","non-dropping-particle":"","parse-names":false,"suffix":""},{"dropping-particle":"","family":"Shams","given":"Morteza","non-dropping-particle":"","parse-names":false,"suffix":""},{"dropping-particle":"","family":"Naserifar","given":"Razi","non-dropping-particle":"","parse-names":false,"suffix":""}],"container-title":"BioMed research international","id":"ITEM-2","issued":{"date-parts":[["2022"]]},"publisher":"Biomed Res Int","title":"Neospora caninum SRS2 Protein: Essential Vaccination Targets and Biochemical Features for Next-Generation Vaccine Design","type":"article-journal","volume":"2022"},"uris":["http://www.mendeley.com/documents/?uuid=9b9f7905-f4b2-365d-b700-813d8a53b331"]}],"mendeley":{"formattedCitation":"[40], [41]","manualFormatting":"[34, 35]","plainTextFormattedCitation":"[40], [41]","previouslyFormattedCitation":"[40], [41]"},"properties":{"noteIndex":0},"schema":"https://github.com/citation-style-language/schema/raw/master/csl-citation.json"}</w:instrText>
      </w:r>
      <w:r w:rsidR="00BB6DD5">
        <w:rPr>
          <w:rFonts w:cs="Arial"/>
          <w:color w:val="000000"/>
        </w:rPr>
        <w:fldChar w:fldCharType="separate"/>
      </w:r>
      <w:r w:rsidR="00BB6DD5">
        <w:rPr>
          <w:rFonts w:cs="Arial"/>
          <w:noProof/>
          <w:color w:val="000000"/>
        </w:rPr>
        <w:t xml:space="preserve">[34, </w:t>
      </w:r>
      <w:r w:rsidR="00BB6DD5" w:rsidRPr="00F00084">
        <w:rPr>
          <w:rFonts w:cs="Arial"/>
          <w:noProof/>
          <w:color w:val="000000"/>
        </w:rPr>
        <w:t>35]</w:t>
      </w:r>
      <w:r w:rsidR="00BB6DD5">
        <w:rPr>
          <w:rFonts w:cs="Arial"/>
          <w:color w:val="000000"/>
        </w:rPr>
        <w:fldChar w:fldCharType="end"/>
      </w:r>
      <w:r w:rsidR="00BB6DD5">
        <w:rPr>
          <w:rFonts w:cs="Arial"/>
          <w:color w:val="000000"/>
        </w:rPr>
        <w:t xml:space="preserve">, and attempts at designing vaccines using these predictive programs have been made </w:t>
      </w:r>
      <w:r w:rsidR="00BB6DD5">
        <w:rPr>
          <w:rFonts w:cs="Arial"/>
          <w:color w:val="000000"/>
        </w:rPr>
        <w:fldChar w:fldCharType="begin" w:fldLock="1"/>
      </w:r>
      <w:r w:rsidR="0023236C">
        <w:rPr>
          <w:rFonts w:cs="Arial"/>
          <w:color w:val="000000"/>
        </w:rPr>
        <w:instrText>ADDIN CSL_CITATION {"citationItems":[{"id":"ITEM-1","itemData":{"DOI":"10.1155/2022/2644667","abstract":"Neospora caninum is an economically significant parasite among livestock, particularly in dairy cattle herds, causing storm abortions. Vaccination seems necessary to limit the infection and its harsh consequences. This is the first steps towards developing a multiepitope vaccine candidate against N. caninum using in silico approaches. High-ranked mouse MHC-binding and shared linear B-cell epitopes from six proteins (SRS2, MIC3, MIC6, GRA1, IMP-1, and profilin) as well as IFN-γ-inducing epitopes (from SAG1) were predicted, screened, and connected together through appropriate linkers. Finally, RS-09 protein (TLR4 agonist) and histidine tag were added to N-and C-terminal of the vaccine sequence, yielding 486 residues in length. Physicochemical properties showed a stable (instability index: 27.23), highly soluble, antigenic (VaxiJen score: 0.9554), and nonallergenic candidate. Secondary structure of the multiepitope protein included 58.85% random coil, 20.99% extended strand, and 20.16% alpha helix. Also, the tertiary structure was predicted, and further analyses validated a stable interaction between the vaccine model and mouse TLR4 (binding score:-1261.6). Virtual simulation of immune profile demonstrated potently stimulated humoral (IgG+IgM) and cell-mediated (IFN-γ) responses upon multiepitope vaccine injection. Altogether, a potentially immunogenic vaccine candidate was developed using several N. caninum proteins, with the capability to elicit IFN-γ upsurge and other components of cellular immunity, and can be used in prophylactic purposes against neosporosis.","author":[{"dropping-particle":"","family":"Shams","given":"Morteza","non-dropping-particle":"","parse-names":false,"suffix":""},{"dropping-particle":"","family":"Maleki","given":"Bahman","non-dropping-particle":"","parse-names":false,"suffix":""},{"dropping-particle":"","family":"Kordi","given":"Bahareh","non-dropping-particle":"","parse-names":false,"suffix":""},{"dropping-particle":"","family":"Majidiani","given":"Hamidreza","non-dropping-particle":"","parse-names":false,"suffix":""},{"dropping-particle":"","family":"Nazari","given":"Naser","non-dropping-particle":"","parse-names":false,"suffix":""},{"dropping-particle":"","family":"Irannejad","given":"Hamid","non-dropping-particle":"","parse-names":false,"suffix":""},{"dropping-particle":"","family":"Asghari","given":"Ali","non-dropping-particle":"","parse-names":false,"suffix":""}],"id":"ITEM-1","issued":{"date-parts":[["2022"]]},"title":"Towards the First Multiepitope Vaccine Candidate against Neospora caninum in Mouse Model: Immunoinformatic Standpoint","type":"article-journal"},"uris":["http://www.mendeley.com/documents/?uuid=21b65d18-c1e8-38e5-a342-384a30782952"]}],"mendeley":{"formattedCitation":"[42]","plainTextFormattedCitation":"[42]","previouslyFormattedCitation":"[42]"},"properties":{"noteIndex":0},"schema":"https://github.com/citation-style-language/schema/raw/master/csl-citation.json"}</w:instrText>
      </w:r>
      <w:r w:rsidR="00BB6DD5">
        <w:rPr>
          <w:rFonts w:cs="Arial"/>
          <w:color w:val="000000"/>
        </w:rPr>
        <w:fldChar w:fldCharType="separate"/>
      </w:r>
      <w:r w:rsidR="0023236C" w:rsidRPr="0023236C">
        <w:rPr>
          <w:rFonts w:cs="Arial"/>
          <w:noProof/>
          <w:color w:val="000000"/>
        </w:rPr>
        <w:t>[42]</w:t>
      </w:r>
      <w:r w:rsidR="00BB6DD5">
        <w:rPr>
          <w:rFonts w:cs="Arial"/>
          <w:color w:val="000000"/>
        </w:rPr>
        <w:fldChar w:fldCharType="end"/>
      </w:r>
      <w:r w:rsidR="00BB6DD5">
        <w:rPr>
          <w:rFonts w:cs="Arial"/>
          <w:color w:val="000000"/>
        </w:rPr>
        <w:t xml:space="preserve">. Immunoinformatics cannot replace the wet lab procedures and testing, however, it </w:t>
      </w:r>
      <w:r w:rsidR="006B4B8C">
        <w:rPr>
          <w:rFonts w:cs="Arial"/>
          <w:color w:val="000000"/>
        </w:rPr>
        <w:t>can represent</w:t>
      </w:r>
      <w:r w:rsidR="00BB6DD5">
        <w:rPr>
          <w:rFonts w:cs="Arial"/>
          <w:color w:val="000000"/>
        </w:rPr>
        <w:t xml:space="preserve"> a supported and rational use of resources </w:t>
      </w:r>
      <w:r w:rsidR="00BB6DD5">
        <w:rPr>
          <w:rFonts w:cs="Arial"/>
          <w:color w:val="000000"/>
        </w:rPr>
        <w:fldChar w:fldCharType="begin" w:fldLock="1"/>
      </w:r>
      <w:r w:rsidR="0023236C">
        <w:rPr>
          <w:rFonts w:cs="Arial"/>
          <w:color w:val="000000"/>
        </w:rPr>
        <w:instrText>ADDIN CSL_CITATION {"citationItems":[{"id":"ITEM-1","itemData":{"DOI":"10.1155/2022/2644667","abstract":"Neospora caninum is an economically significant parasite among livestock, particularly in dairy cattle herds, causing storm abortions. Vaccination seems necessary to limit the infection and its harsh consequences. This is the first steps towards developing a multiepitope vaccine candidate against N. caninum using in silico approaches. High-ranked mouse MHC-binding and shared linear B-cell epitopes from six proteins (SRS2, MIC3, MIC6, GRA1, IMP-1, and profilin) as well as IFN-γ-inducing epitopes (from SAG1) were predicted, screened, and connected together through appropriate linkers. Finally, RS-09 protein (TLR4 agonist) and histidine tag were added to N-and C-terminal of the vaccine sequence, yielding 486 residues in length. Physicochemical properties showed a stable (instability index: 27.23), highly soluble, antigenic (VaxiJen score: 0.9554), and nonallergenic candidate. Secondary structure of the multiepitope protein included 58.85% random coil, 20.99% extended strand, and 20.16% alpha helix. Also, the tertiary structure was predicted, and further analyses validated a stable interaction between the vaccine model and mouse TLR4 (binding score:-1261.6). Virtual simulation of immune profile demonstrated potently stimulated humoral (IgG+IgM) and cell-mediated (IFN-γ) responses upon multiepitope vaccine injection. Altogether, a potentially immunogenic vaccine candidate was developed using several N. caninum proteins, with the capability to elicit IFN-γ upsurge and other components of cellular immunity, and can be used in prophylactic purposes against neosporosis.","author":[{"dropping-particle":"","family":"Shams","given":"Morteza","non-dropping-particle":"","parse-names":false,"suffix":""},{"dropping-particle":"","family":"Maleki","given":"Bahman","non-dropping-particle":"","parse-names":false,"suffix":""},{"dropping-particle":"","family":"Kordi","given":"Bahareh","non-dropping-particle":"","parse-names":false,"suffix":""},{"dropping-particle":"","family":"Majidiani","given":"Hamidreza","non-dropping-particle":"","parse-names":false,"suffix":""},{"dropping-particle":"","family":"Nazari","given":"Naser","non-dropping-particle":"","parse-names":false,"suffix":""},{"dropping-particle":"","family":"Irannejad","given":"Hamid","non-dropping-particle":"","parse-names":false,"suffix":""},{"dropping-particle":"","family":"Asghari","given":"Ali","non-dropping-particle":"","parse-names":false,"suffix":""}],"id":"ITEM-1","issued":{"date-parts":[["2022"]]},"title":"Towards the First Multiepitope Vaccine Candidate against Neospora caninum in Mouse Model: Immunoinformatic Standpoint","type":"article-journal"},"uris":["http://www.mendeley.com/documents/?uuid=21b65d18-c1e8-38e5-a342-384a30782952"]}],"mendeley":{"formattedCitation":"[42]","plainTextFormattedCitation":"[42]","previouslyFormattedCitation":"[42]"},"properties":{"noteIndex":0},"schema":"https://github.com/citation-style-language/schema/raw/master/csl-citation.json"}</w:instrText>
      </w:r>
      <w:r w:rsidR="00BB6DD5">
        <w:rPr>
          <w:rFonts w:cs="Arial"/>
          <w:color w:val="000000"/>
        </w:rPr>
        <w:fldChar w:fldCharType="separate"/>
      </w:r>
      <w:r w:rsidR="0023236C" w:rsidRPr="0023236C">
        <w:rPr>
          <w:rFonts w:cs="Arial"/>
          <w:noProof/>
          <w:color w:val="000000"/>
        </w:rPr>
        <w:t>[42]</w:t>
      </w:r>
      <w:r w:rsidR="00BB6DD5">
        <w:rPr>
          <w:rFonts w:cs="Arial"/>
          <w:color w:val="000000"/>
        </w:rPr>
        <w:fldChar w:fldCharType="end"/>
      </w:r>
      <w:r w:rsidR="00BB6DD5">
        <w:rPr>
          <w:rFonts w:cs="Arial"/>
          <w:color w:val="000000"/>
        </w:rPr>
        <w:t>.</w:t>
      </w:r>
    </w:p>
    <w:p w14:paraId="6DE6C1EB" w14:textId="0CF0B0D4" w:rsidR="00AA658F" w:rsidRPr="000C71A6" w:rsidRDefault="00AA658F" w:rsidP="003B7041">
      <w:pPr>
        <w:divId w:val="684404335"/>
        <w:rPr>
          <w:rFonts w:cs="Arial"/>
          <w:color w:val="000000"/>
        </w:rPr>
      </w:pPr>
      <w:r w:rsidRPr="000C71A6">
        <w:rPr>
          <w:rFonts w:cs="Arial"/>
          <w:color w:val="000000"/>
        </w:rPr>
        <w:t>There are several aspects that must be considered when designing a</w:t>
      </w:r>
      <w:r w:rsidR="00E97979" w:rsidRPr="000C71A6">
        <w:rPr>
          <w:rFonts w:cs="Arial"/>
          <w:color w:val="000000"/>
        </w:rPr>
        <w:t xml:space="preserve"> vaccine that </w:t>
      </w:r>
      <w:r w:rsidR="003C6AF6">
        <w:rPr>
          <w:rFonts w:cs="Arial"/>
          <w:color w:val="000000"/>
        </w:rPr>
        <w:t xml:space="preserve">could </w:t>
      </w:r>
      <w:r w:rsidR="00E97979" w:rsidRPr="000C71A6">
        <w:rPr>
          <w:rFonts w:cs="Arial"/>
          <w:color w:val="000000"/>
        </w:rPr>
        <w:t xml:space="preserve">prevent neosporosis: (1) </w:t>
      </w:r>
      <w:r w:rsidR="00681C03" w:rsidRPr="000C71A6">
        <w:rPr>
          <w:rFonts w:cs="Arial"/>
          <w:i/>
          <w:color w:val="000000"/>
        </w:rPr>
        <w:t>N</w:t>
      </w:r>
      <w:r w:rsidR="00681C03">
        <w:rPr>
          <w:rFonts w:cs="Arial"/>
          <w:i/>
          <w:color w:val="000000"/>
        </w:rPr>
        <w:t>.</w:t>
      </w:r>
      <w:r w:rsidR="00681C03" w:rsidRPr="000C71A6">
        <w:rPr>
          <w:rFonts w:cs="Arial"/>
          <w:i/>
          <w:color w:val="000000"/>
        </w:rPr>
        <w:t xml:space="preserve"> </w:t>
      </w:r>
      <w:r w:rsidR="00E97979" w:rsidRPr="000C71A6">
        <w:rPr>
          <w:rFonts w:cs="Arial"/>
          <w:i/>
          <w:color w:val="000000"/>
        </w:rPr>
        <w:t xml:space="preserve">caninum </w:t>
      </w:r>
      <w:r w:rsidR="00412044">
        <w:rPr>
          <w:rFonts w:cs="Arial"/>
          <w:color w:val="000000"/>
        </w:rPr>
        <w:t xml:space="preserve">is an obligate </w:t>
      </w:r>
      <w:r w:rsidR="00E97979" w:rsidRPr="000C71A6">
        <w:rPr>
          <w:rFonts w:cs="Arial"/>
          <w:color w:val="000000"/>
        </w:rPr>
        <w:t xml:space="preserve">intracellular agent, for what a cell-mediated response is required; (2) the IL-12/IFN-γ pathway </w:t>
      </w:r>
      <w:r w:rsidR="004E24D1">
        <w:rPr>
          <w:rFonts w:cs="Arial"/>
          <w:color w:val="000000"/>
        </w:rPr>
        <w:t>is</w:t>
      </w:r>
      <w:r w:rsidR="00E97979" w:rsidRPr="000C71A6">
        <w:rPr>
          <w:rFonts w:cs="Arial"/>
          <w:color w:val="000000"/>
        </w:rPr>
        <w:t xml:space="preserve"> essential for host resistance, even though a strong Th1 response and increased levels of IFN-γ </w:t>
      </w:r>
      <w:r w:rsidR="00B53318">
        <w:rPr>
          <w:rFonts w:cs="Arial"/>
          <w:color w:val="000000"/>
        </w:rPr>
        <w:t xml:space="preserve">might </w:t>
      </w:r>
      <w:r w:rsidR="00E97979" w:rsidRPr="000C71A6">
        <w:rPr>
          <w:rFonts w:cs="Arial"/>
          <w:color w:val="000000"/>
        </w:rPr>
        <w:t xml:space="preserve">increase the risk </w:t>
      </w:r>
      <w:r w:rsidR="003C6AF6">
        <w:rPr>
          <w:rFonts w:cs="Arial"/>
          <w:color w:val="000000"/>
        </w:rPr>
        <w:t>of</w:t>
      </w:r>
      <w:r w:rsidR="00E97979" w:rsidRPr="000C71A6">
        <w:rPr>
          <w:rFonts w:cs="Arial"/>
          <w:color w:val="000000"/>
        </w:rPr>
        <w:t xml:space="preserve"> abortion</w:t>
      </w:r>
      <w:r w:rsidR="00B53318">
        <w:rPr>
          <w:rFonts w:cs="Arial"/>
          <w:color w:val="000000"/>
        </w:rPr>
        <w:t xml:space="preserve">; </w:t>
      </w:r>
      <w:r w:rsidR="00E97979" w:rsidRPr="000C71A6">
        <w:rPr>
          <w:rFonts w:cs="Arial"/>
          <w:color w:val="000000"/>
        </w:rPr>
        <w:t>(</w:t>
      </w:r>
      <w:r w:rsidR="00B53318">
        <w:rPr>
          <w:rFonts w:cs="Arial"/>
          <w:color w:val="000000"/>
        </w:rPr>
        <w:t>3</w:t>
      </w:r>
      <w:r w:rsidR="00E97979" w:rsidRPr="000C71A6">
        <w:rPr>
          <w:rFonts w:cs="Arial"/>
          <w:color w:val="000000"/>
        </w:rPr>
        <w:t>) there is a natural immunomodulation towards Th2 to avoid foetus rejection that favours infection</w:t>
      </w:r>
      <w:r w:rsidR="00CB69B7" w:rsidRPr="000C71A6">
        <w:rPr>
          <w:rFonts w:cs="Arial"/>
          <w:color w:val="000000"/>
        </w:rPr>
        <w:t xml:space="preserve"> </w:t>
      </w:r>
      <w:r w:rsidR="003C6AF6">
        <w:rPr>
          <w:rFonts w:cs="Arial"/>
          <w:color w:val="000000"/>
        </w:rPr>
        <w:t>and</w:t>
      </w:r>
      <w:r w:rsidR="00CB69B7" w:rsidRPr="000C71A6">
        <w:rPr>
          <w:rFonts w:cs="Arial"/>
          <w:color w:val="000000"/>
        </w:rPr>
        <w:t xml:space="preserve"> vertical transmission</w:t>
      </w:r>
      <w:r w:rsidR="00E97979" w:rsidRPr="000C71A6">
        <w:rPr>
          <w:rFonts w:cs="Arial"/>
          <w:color w:val="000000"/>
        </w:rPr>
        <w:t>; (</w:t>
      </w:r>
      <w:r w:rsidR="002541D2">
        <w:rPr>
          <w:rFonts w:cs="Arial"/>
          <w:color w:val="000000"/>
        </w:rPr>
        <w:t>4</w:t>
      </w:r>
      <w:r w:rsidR="00E97979" w:rsidRPr="000C71A6">
        <w:rPr>
          <w:rFonts w:cs="Arial"/>
          <w:color w:val="000000"/>
        </w:rPr>
        <w:t xml:space="preserve">) even though the intracellular nature of the parasite, a humoral response may be effective at controlling </w:t>
      </w:r>
      <w:r w:rsidR="003C6AF6">
        <w:rPr>
          <w:rFonts w:cs="Arial"/>
          <w:color w:val="000000"/>
        </w:rPr>
        <w:t xml:space="preserve">parasite </w:t>
      </w:r>
      <w:r w:rsidR="00C05EFC">
        <w:rPr>
          <w:rFonts w:cs="Arial"/>
          <w:color w:val="000000"/>
        </w:rPr>
        <w:t>dissemination during</w:t>
      </w:r>
      <w:r w:rsidR="00CB69B7" w:rsidRPr="000C71A6">
        <w:rPr>
          <w:rFonts w:cs="Arial"/>
          <w:color w:val="000000"/>
        </w:rPr>
        <w:t xml:space="preserve"> its extracellular stage </w:t>
      </w:r>
      <w:r w:rsidR="00CB69B7" w:rsidRPr="000C71A6">
        <w:rPr>
          <w:rFonts w:cs="Arial"/>
          <w:color w:val="000000"/>
        </w:rPr>
        <w:fldChar w:fldCharType="begin" w:fldLock="1"/>
      </w:r>
      <w:r w:rsidR="008824FA">
        <w:rPr>
          <w:rFonts w:cs="Arial"/>
          <w:color w:val="000000"/>
        </w:rPr>
        <w:instrText>ADDIN CSL_CITATION {"citationItems":[{"id":"ITEM-1","itemData":{"DOI":"10.1128/CMR.00031-06","ISSN":"0893-8512","PMID":"17428888","abstract":"Neospora caninum is a protozoan parasite of animals. Until 1988, it was misidentified as Toxoplasma gondii. Since its first recognition in dogs in 1984 and the description of the new genus and species Neospora caninum in 1988, neosporosis has emerged as a serious disease of cattle and dogs worldwide. Abortions and neonatal mortality are a major problem in livestock operations, and neosporosis is a major cause of abortion in cattle. Although antibodies to N. caninum have been reported, the parasite has not been detected in human tissues. Thus, the zoonotic potential is uncertain. This review is focused mainly on the epidemiology and control of neosporosis in cattle, but worldwide seroprevalences of N. caninum in animals and humans are tabulated. The role of wildlife in the life cycle of N. caninum and strategies for the control of neosporosis in cattle are discussed. Copyright © 2007, American Society for Microbiology. All Rights Reserved.","author":[{"dropping-particle":"","family":"Dubey","given":"J. P.","non-dropping-particle":"","parse-names":false,"suffix":""},{"dropping-particle":"","family":"Schares","given":"G.","non-dropping-particle":"","parse-names":false,"suffix":""},{"dropping-particle":"","family":"Ortega-Mora","given":"L. M.","non-dropping-particle":"","parse-names":false,"suffix":""}],"container-title":"Clinical Microbiology Reviews","id":"ITEM-1","issue":"2","issued":{"date-parts":[["2007","4"]]},"page":"323-367","publisher":"American Society for Microbiology (ASM)","title":"Epidemiology and Control of Neosporosis and Neospora caninum","type":"article-journal","volume":"20"},"uris":["http://www.mendeley.com/documents/?uuid=70fcd63a-553e-3413-ab2d-6114b98716c2"]}],"mendeley":{"formattedCitation":"[9]","plainTextFormattedCitation":"[9]","previouslyFormattedCitation":"[9]"},"properties":{"noteIndex":0},"schema":"https://github.com/citation-style-language/schema/raw/master/csl-citation.json"}</w:instrText>
      </w:r>
      <w:r w:rsidR="00CB69B7" w:rsidRPr="000C71A6">
        <w:rPr>
          <w:rFonts w:cs="Arial"/>
          <w:color w:val="000000"/>
        </w:rPr>
        <w:fldChar w:fldCharType="separate"/>
      </w:r>
      <w:r w:rsidR="00F00084" w:rsidRPr="00F00084">
        <w:rPr>
          <w:rFonts w:cs="Arial"/>
          <w:noProof/>
          <w:color w:val="000000"/>
        </w:rPr>
        <w:t>[9]</w:t>
      </w:r>
      <w:r w:rsidR="00CB69B7" w:rsidRPr="000C71A6">
        <w:rPr>
          <w:rFonts w:cs="Arial"/>
          <w:color w:val="000000"/>
        </w:rPr>
        <w:fldChar w:fldCharType="end"/>
      </w:r>
      <w:r w:rsidR="00B53318">
        <w:rPr>
          <w:rFonts w:cs="Arial"/>
          <w:color w:val="000000"/>
        </w:rPr>
        <w:t>.</w:t>
      </w:r>
    </w:p>
    <w:p w14:paraId="32885BCC" w14:textId="0D1B092D" w:rsidR="00AA658F" w:rsidRPr="000C71A6" w:rsidRDefault="00CB69B7" w:rsidP="00CD43B5">
      <w:pPr>
        <w:divId w:val="684404335"/>
        <w:rPr>
          <w:rFonts w:cs="Arial"/>
          <w:color w:val="000000"/>
        </w:rPr>
      </w:pPr>
      <w:r w:rsidRPr="000C71A6">
        <w:rPr>
          <w:rFonts w:cs="Arial"/>
          <w:color w:val="000000"/>
        </w:rPr>
        <w:t>The intraperitoneal or subcutaneous routes of infection are usually preferred in mouse model</w:t>
      </w:r>
      <w:r w:rsidR="008625B1">
        <w:rPr>
          <w:rFonts w:cs="Arial"/>
          <w:color w:val="000000"/>
        </w:rPr>
        <w:t xml:space="preserve"> studies</w:t>
      </w:r>
      <w:r w:rsidRPr="000C71A6">
        <w:rPr>
          <w:rFonts w:cs="Arial"/>
          <w:color w:val="000000"/>
        </w:rPr>
        <w:t xml:space="preserve">; however, the most similar route of infection for </w:t>
      </w:r>
      <w:r w:rsidR="004E7153" w:rsidRPr="000C71A6">
        <w:rPr>
          <w:rFonts w:cs="Arial"/>
          <w:i/>
          <w:color w:val="000000"/>
        </w:rPr>
        <w:t>N</w:t>
      </w:r>
      <w:r w:rsidR="004E7153">
        <w:rPr>
          <w:rFonts w:cs="Arial"/>
          <w:i/>
          <w:color w:val="000000"/>
        </w:rPr>
        <w:t>.</w:t>
      </w:r>
      <w:r w:rsidR="004E7153" w:rsidRPr="000C71A6">
        <w:rPr>
          <w:rFonts w:cs="Arial"/>
          <w:i/>
          <w:color w:val="000000"/>
        </w:rPr>
        <w:t xml:space="preserve"> </w:t>
      </w:r>
      <w:r w:rsidRPr="000C71A6">
        <w:rPr>
          <w:rFonts w:cs="Arial"/>
          <w:i/>
          <w:color w:val="000000"/>
        </w:rPr>
        <w:t xml:space="preserve">caninum </w:t>
      </w:r>
      <w:r w:rsidRPr="000C71A6">
        <w:rPr>
          <w:rFonts w:cs="Arial"/>
          <w:color w:val="000000"/>
        </w:rPr>
        <w:t xml:space="preserve">on natural setups is the intragastric </w:t>
      </w:r>
      <w:r w:rsidRPr="000C71A6">
        <w:rPr>
          <w:rFonts w:cs="Arial"/>
          <w:color w:val="000000"/>
        </w:rPr>
        <w:fldChar w:fldCharType="begin" w:fldLock="1"/>
      </w:r>
      <w:r w:rsidR="004A4DFA">
        <w:rPr>
          <w:rFonts w:cs="Arial"/>
          <w:color w:val="000000"/>
        </w:rPr>
        <w:instrText>ADDIN CSL_CITATION {"citationItems":[{"id":"ITEM-1","itemData":{"DOI":"10.1186/1297-9716-44-69","ISSN":"1297-9716","abstract":"The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Research","id":"ITEM-1","issue":"1","issued":{"date-parts":[["2013","12","10"]]},"page":"69","title":"Mucosal and systemic T cell response in mice intragastrically infected with Neospora caninum tachyzoites","type":"article-journal","volume":"44"},"uris":["http://www.mendeley.com/documents/?uuid=19882f4e-bdad-3bfb-8938-a1dba45db020"]}],"mendeley":{"formattedCitation":"[13]","plainTextFormattedCitation":"[13]","previouslyFormattedCitation":"[13]"},"properties":{"noteIndex":0},"schema":"https://github.com/citation-style-language/schema/raw/master/csl-citation.json"}</w:instrText>
      </w:r>
      <w:r w:rsidRPr="000C71A6">
        <w:rPr>
          <w:rFonts w:cs="Arial"/>
          <w:color w:val="000000"/>
        </w:rPr>
        <w:fldChar w:fldCharType="separate"/>
      </w:r>
      <w:r w:rsidR="004A4DFA" w:rsidRPr="004A4DFA">
        <w:rPr>
          <w:rFonts w:cs="Arial"/>
          <w:noProof/>
          <w:color w:val="000000"/>
        </w:rPr>
        <w:t>[13]</w:t>
      </w:r>
      <w:r w:rsidRPr="000C71A6">
        <w:rPr>
          <w:rFonts w:cs="Arial"/>
          <w:color w:val="000000"/>
        </w:rPr>
        <w:fldChar w:fldCharType="end"/>
      </w:r>
      <w:r w:rsidRPr="000C71A6">
        <w:rPr>
          <w:rFonts w:cs="Arial"/>
          <w:color w:val="000000"/>
        </w:rPr>
        <w:t xml:space="preserve">. </w:t>
      </w:r>
      <w:r w:rsidR="00EF4AA3">
        <w:rPr>
          <w:rFonts w:cs="Arial"/>
          <w:color w:val="000000"/>
        </w:rPr>
        <w:t xml:space="preserve"> </w:t>
      </w:r>
      <w:r w:rsidRPr="000C71A6">
        <w:rPr>
          <w:rFonts w:cs="Arial"/>
          <w:color w:val="000000"/>
        </w:rPr>
        <w:t xml:space="preserve">Therefore, </w:t>
      </w:r>
      <w:r w:rsidR="00F5620E">
        <w:rPr>
          <w:rFonts w:cs="Arial"/>
          <w:color w:val="000000"/>
        </w:rPr>
        <w:t xml:space="preserve">the Immunology group </w:t>
      </w:r>
      <w:r w:rsidR="000017CA">
        <w:rPr>
          <w:rFonts w:cs="Arial"/>
          <w:color w:val="000000"/>
        </w:rPr>
        <w:t xml:space="preserve">of the Instituto de Investigação e Inovação em Saúde of Universidade do Porto </w:t>
      </w:r>
      <w:r w:rsidR="00F5620E">
        <w:rPr>
          <w:rFonts w:cs="Arial"/>
          <w:color w:val="000000"/>
        </w:rPr>
        <w:t xml:space="preserve">has long been interested in understanding the </w:t>
      </w:r>
      <w:r w:rsidRPr="000C71A6">
        <w:rPr>
          <w:rFonts w:cs="Arial"/>
          <w:color w:val="000000"/>
        </w:rPr>
        <w:t xml:space="preserve">immune </w:t>
      </w:r>
      <w:r w:rsidR="009C2C94" w:rsidRPr="000C71A6">
        <w:rPr>
          <w:rFonts w:cs="Arial"/>
          <w:color w:val="000000"/>
        </w:rPr>
        <w:t xml:space="preserve">response </w:t>
      </w:r>
      <w:r w:rsidR="00F5620E">
        <w:rPr>
          <w:rFonts w:cs="Arial"/>
          <w:color w:val="000000"/>
        </w:rPr>
        <w:t xml:space="preserve">generated </w:t>
      </w:r>
      <w:r w:rsidR="00180B3B">
        <w:rPr>
          <w:rFonts w:cs="Arial"/>
          <w:color w:val="000000"/>
        </w:rPr>
        <w:t>in</w:t>
      </w:r>
      <w:r w:rsidR="00180B3B" w:rsidRPr="000C71A6">
        <w:rPr>
          <w:rFonts w:cs="Arial"/>
          <w:color w:val="000000"/>
        </w:rPr>
        <w:t xml:space="preserve"> </w:t>
      </w:r>
      <w:r w:rsidR="009C2C94" w:rsidRPr="000C71A6">
        <w:rPr>
          <w:rFonts w:cs="Arial"/>
          <w:color w:val="000000"/>
        </w:rPr>
        <w:t xml:space="preserve">the </w:t>
      </w:r>
      <w:r w:rsidR="00F5620E">
        <w:rPr>
          <w:rFonts w:cs="Arial"/>
          <w:color w:val="000000"/>
        </w:rPr>
        <w:t xml:space="preserve">gut </w:t>
      </w:r>
      <w:r w:rsidR="009C2C94" w:rsidRPr="000C71A6">
        <w:rPr>
          <w:rFonts w:cs="Arial"/>
          <w:color w:val="000000"/>
        </w:rPr>
        <w:t>mucosa</w:t>
      </w:r>
      <w:r w:rsidR="004938C4">
        <w:rPr>
          <w:rFonts w:cs="Arial"/>
          <w:color w:val="000000"/>
        </w:rPr>
        <w:t xml:space="preserve"> upon intragastric infection with </w:t>
      </w:r>
      <w:r w:rsidR="004938C4" w:rsidRPr="004938C4">
        <w:rPr>
          <w:rFonts w:cs="Arial"/>
          <w:i/>
          <w:iCs/>
          <w:color w:val="000000"/>
        </w:rPr>
        <w:t>N. caninum</w:t>
      </w:r>
      <w:r w:rsidR="00EC2A7E">
        <w:rPr>
          <w:rFonts w:cs="Arial"/>
          <w:color w:val="000000"/>
        </w:rPr>
        <w:t xml:space="preserve"> </w:t>
      </w:r>
      <w:r w:rsidR="00C62877" w:rsidRPr="000C71A6">
        <w:rPr>
          <w:rFonts w:cs="Arial"/>
          <w:color w:val="000000"/>
        </w:rPr>
        <w:fldChar w:fldCharType="begin" w:fldLock="1"/>
      </w:r>
      <w:r w:rsidR="004A4DFA">
        <w:rPr>
          <w:rFonts w:cs="Arial"/>
          <w:color w:val="000000"/>
        </w:rPr>
        <w:instrText>ADDIN CSL_CITATION {"citationItems":[{"id":"ITEM-1","itemData":{"DOI":"10.1186/1297-9716-44-69","ISSN":"1297-9716","abstract":"The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Research","id":"ITEM-1","issue":"1","issued":{"date-parts":[["2013","12","10"]]},"page":"69","title":"Mucosal and systemic T cell response in mice intragastrically infected with Neospora caninum tachyzoites","type":"article-journal","volume":"44"},"uris":["http://www.mendeley.com/documents/?uuid=19882f4e-bdad-3bfb-8938-a1dba45db020"]}],"mendeley":{"formattedCitation":"[13]","plainTextFormattedCitation":"[13]","previouslyFormattedCitation":"[13]"},"properties":{"noteIndex":0},"schema":"https://github.com/citation-style-language/schema/raw/master/csl-citation.json"}</w:instrText>
      </w:r>
      <w:r w:rsidR="00C62877" w:rsidRPr="000C71A6">
        <w:rPr>
          <w:rFonts w:cs="Arial"/>
          <w:color w:val="000000"/>
        </w:rPr>
        <w:fldChar w:fldCharType="separate"/>
      </w:r>
      <w:r w:rsidR="004A4DFA" w:rsidRPr="004A4DFA">
        <w:rPr>
          <w:rFonts w:cs="Arial"/>
          <w:noProof/>
          <w:color w:val="000000"/>
        </w:rPr>
        <w:t>[13]</w:t>
      </w:r>
      <w:r w:rsidR="00C62877" w:rsidRPr="000C71A6">
        <w:rPr>
          <w:rFonts w:cs="Arial"/>
          <w:color w:val="000000"/>
        </w:rPr>
        <w:fldChar w:fldCharType="end"/>
      </w:r>
      <w:r w:rsidR="00F5620E">
        <w:rPr>
          <w:rFonts w:cs="Arial"/>
          <w:color w:val="000000"/>
        </w:rPr>
        <w:t xml:space="preserve">. </w:t>
      </w:r>
      <w:r w:rsidR="009C2C94" w:rsidRPr="000C71A6">
        <w:rPr>
          <w:rFonts w:cs="Arial"/>
          <w:color w:val="000000"/>
        </w:rPr>
        <w:t xml:space="preserve"> </w:t>
      </w:r>
      <w:r w:rsidR="00F5620E">
        <w:rPr>
          <w:rFonts w:cs="Arial"/>
          <w:color w:val="000000"/>
        </w:rPr>
        <w:t>T</w:t>
      </w:r>
      <w:r w:rsidR="00F5620E" w:rsidRPr="000C71A6">
        <w:rPr>
          <w:rFonts w:cs="Arial"/>
          <w:color w:val="000000"/>
        </w:rPr>
        <w:t>his route of infection</w:t>
      </w:r>
      <w:r w:rsidR="00F5620E">
        <w:rPr>
          <w:rFonts w:cs="Arial"/>
          <w:color w:val="000000"/>
        </w:rPr>
        <w:t xml:space="preserve"> was </w:t>
      </w:r>
      <w:r w:rsidR="004938C4">
        <w:rPr>
          <w:rFonts w:cs="Arial"/>
          <w:color w:val="000000"/>
        </w:rPr>
        <w:t xml:space="preserve">then </w:t>
      </w:r>
      <w:r w:rsidR="00F5620E">
        <w:rPr>
          <w:rFonts w:cs="Arial"/>
          <w:color w:val="000000"/>
        </w:rPr>
        <w:t xml:space="preserve">used in mucosal vaccination studies against </w:t>
      </w:r>
      <w:r w:rsidR="004938C4">
        <w:rPr>
          <w:rFonts w:cs="Arial"/>
          <w:color w:val="000000"/>
        </w:rPr>
        <w:t xml:space="preserve">murine </w:t>
      </w:r>
      <w:r w:rsidR="00F5620E">
        <w:rPr>
          <w:rFonts w:cs="Arial"/>
          <w:color w:val="000000"/>
        </w:rPr>
        <w:t>neosporosis</w:t>
      </w:r>
      <w:r w:rsidR="004938C4">
        <w:rPr>
          <w:rFonts w:cs="Arial"/>
          <w:color w:val="000000"/>
        </w:rPr>
        <w:t xml:space="preserve"> </w:t>
      </w:r>
      <w:r w:rsidR="004938C4" w:rsidRPr="000C71A6">
        <w:rPr>
          <w:rFonts w:cs="Arial"/>
          <w:color w:val="000000"/>
        </w:rPr>
        <w:fldChar w:fldCharType="begin" w:fldLock="1"/>
      </w:r>
      <w:r w:rsidR="00207072">
        <w:rPr>
          <w:rFonts w:cs="Arial"/>
          <w:color w:val="000000"/>
        </w:rPr>
        <w:instrText>ADDIN CSL_CITATION {"citationItems":[{"id":"ITEM-1","itemData":{"DOI":"10.1016/j.vaccine.2016.10.056","ISSN":"0264410X","PMID":"27814932","abstract":"Neospora caninum is an obligate intracellular protozoan parasite responsible for heavy economic losses in dairy and beef cattle farms worldwide. Although vaccination is widely regarded as the preferable strategy to prevent neosporosis no commercial vaccine is currently available. We have previously shown that intranasal immunization with an N. caninum antigen extract enriched in hydrophobic proteins plus CpG adjuvant protected mice against intragastrically established neosporosis. Nevertheless, the antigen specificity as well as the long-term protective effect of this immunization strategy were not determined. Here, we show that the protective effect of this intranasal immunization procedure lasted for at least 20 weeks. Protection was accompanied by long-lasting elevated levels of parasite-specific serum IgG and intestinal IgA. Moreover, spleen and mesenteric lymph node cells obtained from non-infected long-term immunized mice responded by producing interferon-γ following in vitro parasite-antigen recall. Analysis of serum IgG and intestinal IgA antibody reactivity in immunized mice identified dense granule antigen 7 (NcGRA7) and microneme associated protein 1 (NcMIC1) as immunodominant antigens respectively recognized by those antibody fractions. In summary, this work shows that a previously reported mucosal immunization strategy against N. caninum infection established through the gastrointestinal tract is effective in the long term.","author":[{"dropping-particle":"","family":"Ferreirinha","given":"Pedro","non-dropping-particle":"","parse-names":false,"suffix":""},{"dropping-particle":"","family":"Correia","given":"Alexandra","non-dropping-particle":"","parse-names":false,"suffix":""},{"dropping-particle":"","family":"Teixeira-Coelho","given":"Maria","non-dropping-particle":"","parse-names":false,"suffix":""},{"dropping-particle":"","family":"Osório","given":"Hug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accine","id":"ITEM-1","issue":"50","issued":{"date-parts":[["2016","12","7"]]},"page":"6250-6258","publisher":"Elsevier","title":"Mucosal immunization confers long-term protection against intragastrically established Neospora caninum infection","type":"article-journal","volume":"34"},"uris":["http://www.mendeley.com/documents/?uuid=347fba2f-7f3f-3597-90ed-94381d92a6e5"]},{"id":"ITEM-2","itemData":{"DOI":"10.1111/imm.12191","ISSN":"00192805","PMID":"24128071","abstract":"Neospora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-2","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tract","type":"article-journal","volume":"141"},"uris":["http://www.mendeley.com/documents/?uuid=fbd4020b-89bd-3c5d-8320-1ddc6afb78c0"]}],"mendeley":{"formattedCitation":"[43], [44]","manualFormatting":"[30, 31]","plainTextFormattedCitation":"[43], [44]","previouslyFormattedCitation":"[43], [44]"},"properties":{"noteIndex":0},"schema":"https://github.com/citation-style-language/schema/raw/master/csl-citation.json"}</w:instrText>
      </w:r>
      <w:r w:rsidR="004938C4" w:rsidRPr="000C71A6">
        <w:rPr>
          <w:rFonts w:cs="Arial"/>
          <w:color w:val="000000"/>
        </w:rPr>
        <w:fldChar w:fldCharType="separate"/>
      </w:r>
      <w:r w:rsidR="004938C4">
        <w:rPr>
          <w:rFonts w:cs="Arial"/>
          <w:noProof/>
          <w:color w:val="000000"/>
        </w:rPr>
        <w:t xml:space="preserve">[30, </w:t>
      </w:r>
      <w:r w:rsidR="004938C4" w:rsidRPr="00F00084">
        <w:rPr>
          <w:rFonts w:cs="Arial"/>
          <w:noProof/>
          <w:color w:val="000000"/>
        </w:rPr>
        <w:t>31]</w:t>
      </w:r>
      <w:r w:rsidR="004938C4" w:rsidRPr="000C71A6">
        <w:rPr>
          <w:rFonts w:cs="Arial"/>
          <w:color w:val="000000"/>
        </w:rPr>
        <w:fldChar w:fldCharType="end"/>
      </w:r>
      <w:r w:rsidR="00F5620E">
        <w:rPr>
          <w:rFonts w:cs="Arial"/>
          <w:color w:val="000000"/>
        </w:rPr>
        <w:t>.</w:t>
      </w:r>
      <w:r w:rsidR="00F5620E" w:rsidRPr="000C71A6">
        <w:rPr>
          <w:rFonts w:cs="Arial"/>
          <w:color w:val="000000"/>
        </w:rPr>
        <w:t xml:space="preserve"> </w:t>
      </w:r>
      <w:r w:rsidR="009C2C94" w:rsidRPr="000C71A6">
        <w:rPr>
          <w:rFonts w:cs="Arial"/>
          <w:color w:val="000000"/>
        </w:rPr>
        <w:fldChar w:fldCharType="begin" w:fldLock="1"/>
      </w:r>
      <w:r w:rsidR="0023236C">
        <w:rPr>
          <w:rFonts w:cs="Arial"/>
          <w:color w:val="000000"/>
        </w:rPr>
        <w:instrText>ADDIN CSL_CITATION {"citationItems":[{"id":"ITEM-1","itemData":{"DOI":"10.1111/imm.12191","ISSN":"00192805","PMID":"24128071","abstract":"Neospora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-1","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tract","type":"article-journal","volume":"141"},"uris":["http://www.mendeley.com/documents/?uuid=fbd4020b-89bd-3c5d-8320-1ddc6afb78c0"]}],"mendeley":{"formattedCitation":"[44]","manualFormatting":"Ferreirinha et al.","plainTextFormattedCitation":"[44]","previouslyFormattedCitation":"[44]"},"properties":{"noteIndex":0},"schema":"https://github.com/citation-style-language/schema/raw/master/csl-citation.json"}</w:instrText>
      </w:r>
      <w:r w:rsidR="009C2C94" w:rsidRPr="000C71A6">
        <w:rPr>
          <w:rFonts w:cs="Arial"/>
          <w:color w:val="000000"/>
        </w:rPr>
        <w:fldChar w:fldCharType="separate"/>
      </w:r>
      <w:r w:rsidR="009C2C94" w:rsidRPr="000C71A6">
        <w:rPr>
          <w:rFonts w:cs="Arial"/>
          <w:noProof/>
          <w:color w:val="000000"/>
        </w:rPr>
        <w:t xml:space="preserve">Ferreirinha </w:t>
      </w:r>
      <w:r w:rsidR="009C2C94" w:rsidRPr="0023236C">
        <w:rPr>
          <w:rFonts w:cs="Arial"/>
          <w:i/>
          <w:noProof/>
          <w:color w:val="000000"/>
        </w:rPr>
        <w:t>et al.</w:t>
      </w:r>
      <w:r w:rsidR="009C2C94" w:rsidRPr="000C71A6">
        <w:rPr>
          <w:rFonts w:cs="Arial"/>
          <w:color w:val="000000"/>
        </w:rPr>
        <w:fldChar w:fldCharType="end"/>
      </w:r>
      <w:r w:rsidR="009C2C94" w:rsidRPr="000C71A6">
        <w:rPr>
          <w:rFonts w:cs="Arial"/>
          <w:color w:val="000000"/>
        </w:rPr>
        <w:t xml:space="preserve"> </w:t>
      </w:r>
      <w:r w:rsidR="00EC2A7E">
        <w:rPr>
          <w:rFonts w:cs="Arial"/>
          <w:color w:val="000000"/>
        </w:rPr>
        <w:t>evaluate</w:t>
      </w:r>
      <w:r w:rsidR="00F5620E">
        <w:rPr>
          <w:rFonts w:cs="Arial"/>
          <w:color w:val="000000"/>
        </w:rPr>
        <w:t>d</w:t>
      </w:r>
      <w:r w:rsidR="00EC2A7E">
        <w:rPr>
          <w:rFonts w:cs="Arial"/>
          <w:color w:val="000000"/>
        </w:rPr>
        <w:t xml:space="preserve"> protection conferred by an </w:t>
      </w:r>
      <w:r w:rsidR="00EC2A7E" w:rsidRPr="000C71A6">
        <w:rPr>
          <w:rFonts w:cs="Arial"/>
          <w:color w:val="000000"/>
        </w:rPr>
        <w:t>intranasal immunization strategy</w:t>
      </w:r>
      <w:r w:rsidR="00EC2A7E">
        <w:rPr>
          <w:rFonts w:cs="Arial"/>
          <w:color w:val="000000"/>
        </w:rPr>
        <w:t xml:space="preserve"> </w:t>
      </w:r>
      <w:r w:rsidR="009C2C94" w:rsidRPr="000C71A6">
        <w:rPr>
          <w:rFonts w:cs="Arial"/>
          <w:color w:val="000000"/>
        </w:rPr>
        <w:t xml:space="preserve">in </w:t>
      </w:r>
      <w:r w:rsidR="00F5620E">
        <w:rPr>
          <w:rFonts w:cs="Arial"/>
          <w:color w:val="000000"/>
        </w:rPr>
        <w:t xml:space="preserve">intragastrically </w:t>
      </w:r>
      <w:r w:rsidR="009C2C94" w:rsidRPr="000C71A6">
        <w:rPr>
          <w:rFonts w:cs="Arial"/>
          <w:color w:val="000000"/>
        </w:rPr>
        <w:t>challenged mice</w:t>
      </w:r>
      <w:r w:rsidR="0023236C">
        <w:rPr>
          <w:rFonts w:cs="Arial"/>
          <w:color w:val="000000"/>
        </w:rPr>
        <w:t xml:space="preserve"> </w:t>
      </w:r>
      <w:r w:rsidR="0023236C">
        <w:rPr>
          <w:rFonts w:cs="Arial"/>
          <w:color w:val="000000"/>
        </w:rPr>
        <w:fldChar w:fldCharType="begin" w:fldLock="1"/>
      </w:r>
      <w:r w:rsidR="0023236C">
        <w:rPr>
          <w:rFonts w:cs="Arial"/>
          <w:color w:val="000000"/>
        </w:rPr>
        <w:instrText>ADDIN CSL_CITATION {"citationItems":[{"id":"ITEM-1","itemData":{"DOI":"10.1111/imm.12191","ISSN":"00192805","PMID":"24128071","abstract":"Neospora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-1","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[44]","plainTextFormattedCitation":"[44]","previouslyFormattedCitation":"[44]"},"properties":{"noteIndex":0},"schema":"https://github.com/citation-style-language/schema/raw/master/csl-citation.json"}</w:instrText>
      </w:r>
      <w:r w:rsidR="0023236C">
        <w:rPr>
          <w:rFonts w:cs="Arial"/>
          <w:color w:val="000000"/>
        </w:rPr>
        <w:fldChar w:fldCharType="separate"/>
      </w:r>
      <w:r w:rsidR="0023236C" w:rsidRPr="0023236C">
        <w:rPr>
          <w:rFonts w:cs="Arial"/>
          <w:noProof/>
          <w:color w:val="000000"/>
        </w:rPr>
        <w:t>[44]</w:t>
      </w:r>
      <w:r w:rsidR="0023236C">
        <w:rPr>
          <w:rFonts w:cs="Arial"/>
          <w:color w:val="000000"/>
        </w:rPr>
        <w:fldChar w:fldCharType="end"/>
      </w:r>
      <w:r w:rsidR="009C2C94" w:rsidRPr="000C71A6">
        <w:rPr>
          <w:rFonts w:cs="Arial"/>
          <w:color w:val="000000"/>
        </w:rPr>
        <w:t xml:space="preserve">. The utilized adjuvant, CpG, </w:t>
      </w:r>
      <w:r w:rsidR="008625B1" w:rsidRPr="000C71A6">
        <w:rPr>
          <w:rFonts w:cs="Arial"/>
          <w:color w:val="000000"/>
        </w:rPr>
        <w:t>favour</w:t>
      </w:r>
      <w:r w:rsidR="008625B1">
        <w:rPr>
          <w:rFonts w:cs="Arial"/>
          <w:color w:val="000000"/>
        </w:rPr>
        <w:t>ed</w:t>
      </w:r>
      <w:r w:rsidR="008625B1" w:rsidRPr="000C71A6">
        <w:rPr>
          <w:rFonts w:cs="Arial"/>
          <w:color w:val="000000"/>
        </w:rPr>
        <w:t xml:space="preserve"> </w:t>
      </w:r>
      <w:r w:rsidR="009C2C94" w:rsidRPr="000C71A6">
        <w:rPr>
          <w:rFonts w:cs="Arial"/>
          <w:color w:val="000000"/>
        </w:rPr>
        <w:t xml:space="preserve">the </w:t>
      </w:r>
      <w:r w:rsidR="00180B3B">
        <w:rPr>
          <w:rFonts w:cs="Arial"/>
          <w:color w:val="000000"/>
        </w:rPr>
        <w:t>generation</w:t>
      </w:r>
      <w:r w:rsidR="00180B3B" w:rsidRPr="000C71A6">
        <w:rPr>
          <w:rFonts w:cs="Arial"/>
          <w:color w:val="000000"/>
        </w:rPr>
        <w:t xml:space="preserve"> </w:t>
      </w:r>
      <w:r w:rsidR="009C2C94" w:rsidRPr="000C71A6">
        <w:rPr>
          <w:rFonts w:cs="Arial"/>
          <w:color w:val="000000"/>
        </w:rPr>
        <w:t>of a predominant Th1 response,</w:t>
      </w:r>
      <w:r w:rsidR="00180B3B" w:rsidRPr="000C71A6">
        <w:rPr>
          <w:rFonts w:cs="Arial"/>
          <w:color w:val="000000"/>
        </w:rPr>
        <w:t xml:space="preserve"> </w:t>
      </w:r>
      <w:r w:rsidR="00112ECD">
        <w:rPr>
          <w:rFonts w:cs="Arial"/>
          <w:color w:val="000000"/>
        </w:rPr>
        <w:t xml:space="preserve">while </w:t>
      </w:r>
      <w:r w:rsidR="00ED439B">
        <w:rPr>
          <w:rFonts w:cs="Arial"/>
          <w:color w:val="000000"/>
        </w:rPr>
        <w:t>treatment with NcMP without adjuvant induced</w:t>
      </w:r>
      <w:r w:rsidR="00112ECD">
        <w:rPr>
          <w:rFonts w:cs="Arial"/>
          <w:color w:val="000000"/>
        </w:rPr>
        <w:t xml:space="preserve"> a predominant Th2 response</w:t>
      </w:r>
      <w:r w:rsidR="00370667">
        <w:rPr>
          <w:rFonts w:cs="Arial"/>
          <w:color w:val="000000"/>
        </w:rPr>
        <w:t xml:space="preserve"> </w:t>
      </w:r>
      <w:r w:rsidR="00370667" w:rsidRPr="000C71A6">
        <w:rPr>
          <w:rFonts w:cs="Arial"/>
          <w:color w:val="000000"/>
        </w:rPr>
        <w:fldChar w:fldCharType="begin" w:fldLock="1"/>
      </w:r>
      <w:r w:rsidR="0023236C">
        <w:rPr>
          <w:rFonts w:cs="Arial"/>
          <w:color w:val="000000"/>
        </w:rPr>
        <w:instrText>ADDIN CSL_CITATION {"citationItems":[{"id":"ITEM-1","itemData":{"DOI":"10.1111/imm.12191","ISSN":"00192805","PMID":"24128071","abstract":"Neospora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-1","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[44]","plainTextFormattedCitation":"[44]","previouslyFormattedCitation":"[44]"},"properties":{"noteIndex":0},"schema":"https://github.com/citation-style-language/schema/raw/master/csl-citation.json"}</w:instrText>
      </w:r>
      <w:r w:rsidR="00370667" w:rsidRPr="000C71A6">
        <w:rPr>
          <w:rFonts w:cs="Arial"/>
          <w:color w:val="000000"/>
        </w:rPr>
        <w:fldChar w:fldCharType="separate"/>
      </w:r>
      <w:r w:rsidR="0023236C" w:rsidRPr="0023236C">
        <w:rPr>
          <w:rFonts w:cs="Arial"/>
          <w:noProof/>
          <w:color w:val="000000"/>
        </w:rPr>
        <w:t>[44]</w:t>
      </w:r>
      <w:r w:rsidR="00370667" w:rsidRPr="000C71A6">
        <w:rPr>
          <w:rFonts w:cs="Arial"/>
          <w:color w:val="000000"/>
        </w:rPr>
        <w:fldChar w:fldCharType="end"/>
      </w:r>
      <w:r w:rsidR="00B0741A" w:rsidRPr="000C71A6">
        <w:rPr>
          <w:rFonts w:cs="Arial"/>
          <w:color w:val="000000"/>
        </w:rPr>
        <w:t xml:space="preserve">. Interestingly, no significant Th1 response </w:t>
      </w:r>
      <w:r w:rsidR="0017059F">
        <w:rPr>
          <w:rFonts w:cs="Arial"/>
          <w:color w:val="000000"/>
        </w:rPr>
        <w:t>could be observed</w:t>
      </w:r>
      <w:r w:rsidR="0017059F" w:rsidRPr="000C71A6">
        <w:rPr>
          <w:rFonts w:cs="Arial"/>
          <w:color w:val="000000"/>
        </w:rPr>
        <w:t xml:space="preserve"> </w:t>
      </w:r>
      <w:r w:rsidR="0017059F">
        <w:rPr>
          <w:rFonts w:cs="Arial"/>
          <w:color w:val="000000"/>
        </w:rPr>
        <w:t>in NcMP/CpG</w:t>
      </w:r>
      <w:r w:rsidR="0017059F" w:rsidRPr="000C71A6">
        <w:rPr>
          <w:rFonts w:cs="Arial"/>
          <w:color w:val="000000"/>
        </w:rPr>
        <w:t xml:space="preserve"> </w:t>
      </w:r>
      <w:r w:rsidR="0017059F">
        <w:rPr>
          <w:rFonts w:cs="Arial"/>
          <w:color w:val="000000"/>
        </w:rPr>
        <w:t>animals following infection</w:t>
      </w:r>
      <w:r w:rsidR="00B0741A" w:rsidRPr="000C71A6">
        <w:rPr>
          <w:rFonts w:cs="Arial"/>
          <w:color w:val="000000"/>
        </w:rPr>
        <w:t>,</w:t>
      </w:r>
      <w:r w:rsidR="0017059F">
        <w:rPr>
          <w:rFonts w:cs="Arial"/>
          <w:color w:val="000000"/>
        </w:rPr>
        <w:t xml:space="preserve"> although</w:t>
      </w:r>
      <w:r w:rsidR="00B0741A" w:rsidRPr="000C71A6">
        <w:rPr>
          <w:rFonts w:cs="Arial"/>
          <w:color w:val="000000"/>
        </w:rPr>
        <w:t xml:space="preserve"> the parasitic load was barely detectable</w:t>
      </w:r>
      <w:r w:rsidR="00370667">
        <w:rPr>
          <w:rFonts w:cs="Arial"/>
          <w:color w:val="000000"/>
        </w:rPr>
        <w:t xml:space="preserve"> </w:t>
      </w:r>
      <w:r w:rsidR="00370667" w:rsidRPr="000C71A6">
        <w:rPr>
          <w:rFonts w:cs="Arial"/>
          <w:color w:val="000000"/>
        </w:rPr>
        <w:fldChar w:fldCharType="begin" w:fldLock="1"/>
      </w:r>
      <w:r w:rsidR="0023236C">
        <w:rPr>
          <w:rFonts w:cs="Arial"/>
          <w:color w:val="000000"/>
        </w:rPr>
        <w:instrText>ADDIN CSL_CITATION {"citationItems":[{"id":"ITEM-1","itemData":{"DOI":"10.1111/imm.12191","ISSN":"00192805","PMID":"24128071","abstract":"Neospora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-1","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[44]","plainTextFormattedCitation":"[44]","previouslyFormattedCitation":"[44]"},"properties":{"noteIndex":0},"schema":"https://github.com/citation-style-language/schema/raw/master/csl-citation.json"}</w:instrText>
      </w:r>
      <w:r w:rsidR="00370667" w:rsidRPr="000C71A6">
        <w:rPr>
          <w:rFonts w:cs="Arial"/>
          <w:color w:val="000000"/>
        </w:rPr>
        <w:fldChar w:fldCharType="separate"/>
      </w:r>
      <w:r w:rsidR="0023236C" w:rsidRPr="0023236C">
        <w:rPr>
          <w:rFonts w:cs="Arial"/>
          <w:noProof/>
          <w:color w:val="000000"/>
        </w:rPr>
        <w:t>[44]</w:t>
      </w:r>
      <w:r w:rsidR="00370667" w:rsidRPr="000C71A6">
        <w:rPr>
          <w:rFonts w:cs="Arial"/>
          <w:color w:val="000000"/>
        </w:rPr>
        <w:fldChar w:fldCharType="end"/>
      </w:r>
      <w:r w:rsidR="00B0741A" w:rsidRPr="000C71A6">
        <w:rPr>
          <w:rFonts w:cs="Arial"/>
          <w:color w:val="000000"/>
        </w:rPr>
        <w:t xml:space="preserve">. </w:t>
      </w:r>
      <w:r w:rsidR="00894D8E" w:rsidRPr="000C71A6">
        <w:rPr>
          <w:rFonts w:cs="Arial"/>
          <w:color w:val="000000"/>
        </w:rPr>
        <w:t>This likely happened due to lack of antigenic stimulation</w:t>
      </w:r>
      <w:r w:rsidR="0017059F">
        <w:rPr>
          <w:rFonts w:cs="Arial"/>
          <w:color w:val="000000"/>
        </w:rPr>
        <w:t>,</w:t>
      </w:r>
      <w:r w:rsidR="00894D8E" w:rsidRPr="000C71A6">
        <w:rPr>
          <w:rFonts w:cs="Arial"/>
          <w:color w:val="000000"/>
        </w:rPr>
        <w:t xml:space="preserve"> </w:t>
      </w:r>
      <w:r w:rsidR="0017059F">
        <w:rPr>
          <w:rFonts w:cs="Arial"/>
          <w:color w:val="000000"/>
        </w:rPr>
        <w:t xml:space="preserve">since spleen cells from similarly non-infected immunized mice produced high levels of </w:t>
      </w:r>
      <w:r w:rsidR="0017059F" w:rsidRPr="000C71A6">
        <w:rPr>
          <w:rFonts w:cs="Arial"/>
          <w:color w:val="000000"/>
        </w:rPr>
        <w:t xml:space="preserve">IFN-γ </w:t>
      </w:r>
      <w:r w:rsidR="0017059F">
        <w:rPr>
          <w:rFonts w:cs="Arial"/>
          <w:color w:val="000000"/>
        </w:rPr>
        <w:t xml:space="preserve">when stimulated </w:t>
      </w:r>
      <w:r w:rsidR="0017059F" w:rsidRPr="0017059F">
        <w:rPr>
          <w:rFonts w:cs="Arial"/>
          <w:i/>
          <w:iCs/>
          <w:color w:val="000000"/>
        </w:rPr>
        <w:t>ex-vivo</w:t>
      </w:r>
      <w:r w:rsidR="0017059F">
        <w:rPr>
          <w:rFonts w:cs="Arial"/>
          <w:color w:val="000000"/>
        </w:rPr>
        <w:t xml:space="preserve"> with </w:t>
      </w:r>
      <w:r w:rsidR="0017059F" w:rsidRPr="0017059F">
        <w:rPr>
          <w:rFonts w:cs="Arial"/>
          <w:i/>
          <w:iCs/>
          <w:color w:val="000000"/>
        </w:rPr>
        <w:t>N. caninum</w:t>
      </w:r>
      <w:r w:rsidR="0017059F">
        <w:rPr>
          <w:rFonts w:cs="Arial"/>
          <w:color w:val="000000"/>
        </w:rPr>
        <w:t xml:space="preserve"> antigens</w:t>
      </w:r>
      <w:r w:rsidR="003E391F">
        <w:rPr>
          <w:rFonts w:cs="Arial"/>
          <w:color w:val="000000"/>
        </w:rPr>
        <w:t xml:space="preserve"> </w:t>
      </w:r>
      <w:r w:rsidR="003E391F" w:rsidRPr="000C71A6">
        <w:rPr>
          <w:rFonts w:cs="Arial"/>
          <w:color w:val="000000"/>
        </w:rPr>
        <w:fldChar w:fldCharType="begin" w:fldLock="1"/>
      </w:r>
      <w:r w:rsidR="00207072">
        <w:rPr>
          <w:rFonts w:cs="Arial"/>
          <w:color w:val="000000"/>
        </w:rPr>
        <w:instrText>ADDIN CSL_CITATION {"citationItems":[{"id":"ITEM-1","itemData":{"DOI":"10.1016/j.vaccine.2016.10.056","ISSN":"0264410X","PMID":"27814932","abstract":"Neospora caninum is an obligate intracellular protozoan parasite responsible for heavy economic losses in dairy and beef cattle farms worldwide. Although vaccination is widely regarded as the preferable strategy to prevent neosporosis no commercial vaccine is currently available. We have previously shown that intranasal immunization with an N. caninum antigen extract enriched in hydrophobic proteins plus CpG adjuvant protected mice against intragastrically established neosporosis. Nevertheless, the antigen specificity as well as the long-term protective effect of this immunization strategy were not determined. Here, we show that the protective effect of this intranasal immunization procedure lasted for at least 20 weeks. Protection was accompanied by long-lasting elevated levels of parasite-specific serum IgG and intestinal IgA. Moreover, spleen and mesenteric lymph node cells obtained from non-infected long-term immunized mice responded by producing interferon-γ following in vitro parasite-antigen recall. Analysis of serum IgG and intestinal IgA antibody reactivity in immunized mice identified dense granule antigen 7 (NcGRA7) and microneme associated protein 1 (NcMIC1) as immunodominant antigens respectively recognized by those antibody fractions. In summary, this work shows that a previously reported mucosal immunization strategy against N. caninum infection established through the gastrointestinal tract is effective in the long term.","author":[{"dropping-particle":"","family":"Ferreirinha","given":"Pedro","non-dropping-particle":"","parse-names":false,"suffix":""},{"dropping-particle":"","family":"Correia","given":"Alexandra","non-dropping-particle":"","parse-names":false,"suffix":""},{"dropping-particle":"","family":"Teixeira-Coelho","given":"Maria","non-dropping-particle":"","parse-names":false,"suffix":""},{"dropping-particle":"","family":"Osório","given":"Hug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accine","id":"ITEM-1","issue":"50","issued":{"date-parts":[["2016","12","7"]]},"page":"6250-6258","publisher":"Elsevier","title":"Mucosal immunization confers long-term protection against intragastrically established Neospora caninum infection","type":"article-journal","volume":"34"},"uris":["http://www.mendeley.com/documents/?uuid=347fba2f-7f3f-3597-90ed-94381d92a6e5"]}],"mendeley":{"formattedCitation":"[43]","plainTextFormattedCitation":"[43]","previouslyFormattedCitation":"[43]"},"properties":{"noteIndex":0},"schema":"https://github.com/citation-style-language/schema/raw/master/csl-citation.json"}</w:instrText>
      </w:r>
      <w:r w:rsidR="003E391F" w:rsidRPr="000C71A6">
        <w:rPr>
          <w:rFonts w:cs="Arial"/>
          <w:color w:val="000000"/>
        </w:rPr>
        <w:fldChar w:fldCharType="separate"/>
      </w:r>
      <w:r w:rsidR="0023236C" w:rsidRPr="0023236C">
        <w:rPr>
          <w:rFonts w:cs="Arial"/>
          <w:noProof/>
          <w:color w:val="000000"/>
        </w:rPr>
        <w:t>[43]</w:t>
      </w:r>
      <w:r w:rsidR="003E391F" w:rsidRPr="000C71A6">
        <w:rPr>
          <w:rFonts w:cs="Arial"/>
          <w:color w:val="000000"/>
        </w:rPr>
        <w:fldChar w:fldCharType="end"/>
      </w:r>
      <w:r w:rsidR="0017059F">
        <w:rPr>
          <w:rFonts w:cs="Arial"/>
          <w:color w:val="000000"/>
        </w:rPr>
        <w:t xml:space="preserve">. </w:t>
      </w:r>
      <w:r w:rsidR="00317FE3">
        <w:rPr>
          <w:rFonts w:cs="Arial"/>
          <w:color w:val="000000"/>
        </w:rPr>
        <w:t>Since</w:t>
      </w:r>
      <w:r w:rsidR="00894D8E" w:rsidRPr="000C71A6">
        <w:rPr>
          <w:rFonts w:cs="Arial"/>
          <w:color w:val="000000"/>
        </w:rPr>
        <w:t xml:space="preserve"> an increase of IgA</w:t>
      </w:r>
      <w:r w:rsidR="00317FE3">
        <w:rPr>
          <w:rFonts w:cs="Arial"/>
          <w:color w:val="000000"/>
        </w:rPr>
        <w:t>,</w:t>
      </w:r>
      <w:r w:rsidR="00201E84">
        <w:rPr>
          <w:rFonts w:cs="Arial"/>
          <w:color w:val="000000"/>
        </w:rPr>
        <w:t xml:space="preserve"> </w:t>
      </w:r>
      <w:r w:rsidR="00317FE3">
        <w:rPr>
          <w:rFonts w:cs="Arial"/>
          <w:color w:val="000000"/>
        </w:rPr>
        <w:t xml:space="preserve">that was shown to agglutinate parasites, was </w:t>
      </w:r>
      <w:r w:rsidR="00317FE3" w:rsidRPr="000C71A6">
        <w:rPr>
          <w:rFonts w:cs="Arial"/>
          <w:color w:val="000000"/>
        </w:rPr>
        <w:t>detected</w:t>
      </w:r>
      <w:r w:rsidR="00201E84">
        <w:rPr>
          <w:rFonts w:cs="Arial"/>
          <w:color w:val="000000"/>
        </w:rPr>
        <w:t xml:space="preserve"> in the intestinal lumen</w:t>
      </w:r>
      <w:r w:rsidR="00370667">
        <w:rPr>
          <w:rFonts w:cs="Arial"/>
          <w:color w:val="000000"/>
        </w:rPr>
        <w:t xml:space="preserve"> </w:t>
      </w:r>
      <w:r w:rsidR="00370667" w:rsidRPr="000C71A6">
        <w:rPr>
          <w:rFonts w:cs="Arial"/>
          <w:color w:val="000000"/>
        </w:rPr>
        <w:fldChar w:fldCharType="begin" w:fldLock="1"/>
      </w:r>
      <w:r w:rsidR="0023236C">
        <w:rPr>
          <w:rFonts w:cs="Arial"/>
          <w:color w:val="000000"/>
        </w:rPr>
        <w:instrText>ADDIN CSL_CITATION {"citationItems":[{"id":"ITEM-1","itemData":{"DOI":"10.1111/imm.12191","ISSN":"00192805","PMID":"24128071","abstract":"Neospora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-1","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[44]","plainTextFormattedCitation":"[44]","previouslyFormattedCitation":"[44]"},"properties":{"noteIndex":0},"schema":"https://github.com/citation-style-language/schema/raw/master/csl-citation.json"}</w:instrText>
      </w:r>
      <w:r w:rsidR="00370667" w:rsidRPr="000C71A6">
        <w:rPr>
          <w:rFonts w:cs="Arial"/>
          <w:color w:val="000000"/>
        </w:rPr>
        <w:fldChar w:fldCharType="separate"/>
      </w:r>
      <w:r w:rsidR="0023236C" w:rsidRPr="0023236C">
        <w:rPr>
          <w:rFonts w:cs="Arial"/>
          <w:noProof/>
          <w:color w:val="000000"/>
        </w:rPr>
        <w:t>[44]</w:t>
      </w:r>
      <w:r w:rsidR="00370667" w:rsidRPr="000C71A6">
        <w:rPr>
          <w:rFonts w:cs="Arial"/>
          <w:color w:val="000000"/>
        </w:rPr>
        <w:fldChar w:fldCharType="end"/>
      </w:r>
      <w:r w:rsidR="00317FE3">
        <w:rPr>
          <w:rFonts w:cs="Arial"/>
          <w:color w:val="000000"/>
        </w:rPr>
        <w:t>, it is possible that a much lower number of parasites were able to cross the gut and induce a sustained immune response</w:t>
      </w:r>
      <w:r w:rsidR="00894D8E" w:rsidRPr="000C71A6">
        <w:rPr>
          <w:rFonts w:cs="Arial"/>
          <w:color w:val="000000"/>
        </w:rPr>
        <w:t xml:space="preserve">. </w:t>
      </w:r>
      <w:r w:rsidR="008043BD" w:rsidRPr="000C71A6">
        <w:rPr>
          <w:rFonts w:cs="Arial"/>
          <w:color w:val="000000"/>
        </w:rPr>
        <w:t xml:space="preserve">The study of IgA importance in mucosal immunization was continued in </w:t>
      </w:r>
      <w:r w:rsidR="008043BD" w:rsidRPr="000C71A6">
        <w:rPr>
          <w:rFonts w:cs="Arial"/>
          <w:color w:val="000000"/>
        </w:rPr>
        <w:fldChar w:fldCharType="begin" w:fldLock="1"/>
      </w:r>
      <w:r w:rsidR="00207072">
        <w:rPr>
          <w:rFonts w:cs="Arial"/>
          <w:color w:val="000000"/>
        </w:rPr>
        <w:instrText>ADDIN CSL_CITATION {"citationItems":[{"id":"ITEM-1","itemData":{"DOI":"10.1016/j.vaccine.2016.10.056","ISSN":"0264410X","PMID":"27814932","abstract":"Neospora caninum is an obligate intracellular protozoan parasite responsible for heavy economic losses in dairy and beef cattle farms worldwide. Although vaccination is widely regarded as the preferable strategy to prevent neosporosis no commercial vaccine is currently available. We have previously shown that intranasal immunization with an N. caninum antigen extract enriched in hydrophobic proteins plus CpG adjuvant protected mice against intragastrically established neosporosis. Nevertheless, the antigen specificity as well as the long-term protective effect of this immunization strategy were not determined. Here, we show that the protective effect of this intranasal immunization procedure lasted for at least 20 weeks. Protection was accompanied by long-lasting elevated levels of parasite-specific serum IgG and intestinal IgA. Moreover, spleen and mesenteric lymph node cells obtained from non-infected long-term immunized mice responded by producing interferon-γ following in vitro parasite-antigen recall. Analysis of serum IgG and intestinal IgA antibody reactivity in immunized mice identified dense granule antigen 7 (NcGRA7) and microneme associated protein 1 (NcMIC1) as immunodominant antigens respectively recognized by those antibody fractions. In summary, this work shows that a previously reported mucosal immunization strategy against N. caninum infection established through the gastrointestinal tract is effective in the long term.","author":[{"dropping-particle":"","family":"Ferreirinha","given":"Pedro","non-dropping-particle":"","parse-names":false,"suffix":""},{"dropping-particle":"","family":"Correia","given":"Alexandra","non-dropping-particle":"","parse-names":false,"suffix":""},{"dropping-particle":"","family":"Teixeira-Coelho","given":"Maria","non-dropping-particle":"","parse-names":false,"suffix":""},{"dropping-particle":"","family":"Osório","given":"Hug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accine","id":"ITEM-1","issue":"50","issued":{"date-parts":[["2016","12","7"]]},"page":"6250-6258","publisher":"Elsevier","title":"Mucosal immunization confers long-term protection against intragastrically established Neospora caninum infection","type":"article-journal","volume":"34"},"uris":["http://www.mendeley.com/documents/?uuid=347fba2f-7f3f-3597-90ed-94381d92a6e5"]}],"mendeley":{"formattedCitation":"[43]","manualFormatting":"Ferreirinha et al.","plainTextFormattedCitation":"[43]","previouslyFormattedCitation":"[43]"},"properties":{"noteIndex":0},"schema":"https://github.com/citation-style-language/schema/raw/master/csl-citation.json"}</w:instrText>
      </w:r>
      <w:r w:rsidR="008043BD" w:rsidRPr="000C71A6">
        <w:rPr>
          <w:rFonts w:cs="Arial"/>
          <w:color w:val="000000"/>
        </w:rPr>
        <w:fldChar w:fldCharType="separate"/>
      </w:r>
      <w:r w:rsidR="008043BD" w:rsidRPr="000C71A6">
        <w:rPr>
          <w:rFonts w:cs="Arial"/>
          <w:noProof/>
          <w:color w:val="000000"/>
        </w:rPr>
        <w:t xml:space="preserve">Ferreirinha </w:t>
      </w:r>
      <w:r w:rsidR="008043BD" w:rsidRPr="0023236C">
        <w:rPr>
          <w:rFonts w:cs="Arial"/>
          <w:i/>
          <w:noProof/>
          <w:color w:val="000000"/>
        </w:rPr>
        <w:t>et al.</w:t>
      </w:r>
      <w:r w:rsidR="008043BD" w:rsidRPr="000C71A6">
        <w:rPr>
          <w:rFonts w:cs="Arial"/>
          <w:color w:val="000000"/>
        </w:rPr>
        <w:fldChar w:fldCharType="end"/>
      </w:r>
      <w:r w:rsidR="008043BD" w:rsidRPr="000C71A6">
        <w:rPr>
          <w:rFonts w:cs="Arial"/>
          <w:color w:val="000000"/>
        </w:rPr>
        <w:t xml:space="preserve">, where the </w:t>
      </w:r>
      <w:r w:rsidR="008043BD">
        <w:rPr>
          <w:rFonts w:cs="Arial"/>
          <w:color w:val="000000"/>
        </w:rPr>
        <w:t>titres</w:t>
      </w:r>
      <w:r w:rsidR="008043BD" w:rsidRPr="000C71A6">
        <w:rPr>
          <w:rFonts w:cs="Arial"/>
          <w:color w:val="000000"/>
        </w:rPr>
        <w:t xml:space="preserve"> of this immunoglobulin w</w:t>
      </w:r>
      <w:r w:rsidR="008043BD">
        <w:rPr>
          <w:rFonts w:cs="Arial"/>
          <w:color w:val="000000"/>
        </w:rPr>
        <w:t>ere</w:t>
      </w:r>
      <w:r w:rsidR="008043BD" w:rsidRPr="000C71A6">
        <w:rPr>
          <w:rFonts w:cs="Arial"/>
          <w:color w:val="000000"/>
        </w:rPr>
        <w:t xml:space="preserve"> </w:t>
      </w:r>
      <w:r w:rsidR="00EB4B1C">
        <w:rPr>
          <w:rFonts w:cs="Arial"/>
          <w:color w:val="000000"/>
        </w:rPr>
        <w:t>found</w:t>
      </w:r>
      <w:r w:rsidR="008043BD" w:rsidRPr="000C71A6">
        <w:rPr>
          <w:rFonts w:cs="Arial"/>
          <w:color w:val="000000"/>
        </w:rPr>
        <w:t xml:space="preserve"> </w:t>
      </w:r>
      <w:r w:rsidR="008043BD">
        <w:rPr>
          <w:rFonts w:cs="Arial"/>
          <w:color w:val="000000"/>
        </w:rPr>
        <w:t xml:space="preserve">high </w:t>
      </w:r>
      <w:r w:rsidR="008043BD" w:rsidRPr="000C71A6">
        <w:rPr>
          <w:rFonts w:cs="Arial"/>
          <w:color w:val="000000"/>
        </w:rPr>
        <w:t>in a long-term basis</w:t>
      </w:r>
      <w:r w:rsidR="0023236C">
        <w:rPr>
          <w:rFonts w:cs="Arial"/>
          <w:color w:val="000000"/>
        </w:rPr>
        <w:t xml:space="preserve"> </w:t>
      </w:r>
      <w:r w:rsidR="0023236C">
        <w:rPr>
          <w:rFonts w:cs="Arial"/>
          <w:color w:val="000000"/>
        </w:rPr>
        <w:fldChar w:fldCharType="begin" w:fldLock="1"/>
      </w:r>
      <w:r w:rsidR="00207072">
        <w:rPr>
          <w:rFonts w:cs="Arial"/>
          <w:color w:val="000000"/>
        </w:rPr>
        <w:instrText>ADDIN CSL_CITATION {"citationItems":[{"id":"ITEM-1","itemData":{"DOI":"10.1016/j.vaccine.2016.10.056","ISSN":"0264410X","PMID":"27814932","abstract":"Neospora caninum is an obligate intracellular protozoan parasite responsible for heavy economic losses in dairy and beef cattle farms worldwide. Although vaccination is widely regarded as the preferable strategy to prevent neosporosis no commercial vaccine is currently available. We have previously shown that intranasal immunization with an N. caninum antigen extract enriched in hydrophobic proteins plus CpG adjuvant protected mice against intragastrically established neosporosis. Nevertheless, the antigen specificity as well as the long-term protective effect of this immunization strategy were not determined. Here, we show that the protective effect of this intranasal immunization procedure lasted for at least 20 weeks. Protection was accompanied by long-lasting elevated levels of parasite-specific serum IgG and intestinal IgA. Moreover, spleen and mesenteric lymph node cells obtained from non-infected long-term immunized mice responded by producing interferon-γ following in vitro parasite-antigen recall. Analysis of serum IgG and intestinal IgA antibody reactivity in immunized mice identified dense granule antigen 7 (NcGRA7) and microneme associated protein 1 (NcMIC1) as immunodominant antigens respectively recognized by those antibody fractions. In summary, this work shows that a previously reported mucosal immunization strategy against N. caninum infection established through the gastrointestinal tract is effective in the long term.","author":[{"dropping-particle":"","family":"Ferreirinha","given":"Pedro","non-dropping-particle":"","parse-names":false,"suffix":""},{"dropping-particle":"","family":"Correia","given":"Alexandra","non-dropping-particle":"","parse-names":false,"suffix":""},{"dropping-particle":"","family":"Teixeira-Coelho","given":"Maria","non-dropping-particle":"","parse-names":false,"suffix":""},{"dropping-particle":"","family":"Osório","given":"Hug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accine","id":"ITEM-1","issue":"50","issued":{"date-parts":[["2016","12","7"]]},"page":"6250-6258","publisher":"Elsevier","title":"Mucosal immunization confers long-term protection against intragastrically established Neospora caninum infection","type":"article-journal","volume":"34"},"uris":["http://www.mendeley.com/documents/?uuid=347fba2f-7f3f-3597-90ed-94381d92a6e5"]}],"mendeley":{"formattedCitation":"[43]","plainTextFormattedCitation":"[43]","previouslyFormattedCitation":"[43]"},"properties":{"noteIndex":0},"schema":"https://github.com/citation-style-language/schema/raw/master/csl-citation.json"}</w:instrText>
      </w:r>
      <w:r w:rsidR="0023236C">
        <w:rPr>
          <w:rFonts w:cs="Arial"/>
          <w:color w:val="000000"/>
        </w:rPr>
        <w:fldChar w:fldCharType="separate"/>
      </w:r>
      <w:r w:rsidR="0023236C" w:rsidRPr="0023236C">
        <w:rPr>
          <w:rFonts w:cs="Arial"/>
          <w:noProof/>
          <w:color w:val="000000"/>
        </w:rPr>
        <w:t>[43]</w:t>
      </w:r>
      <w:r w:rsidR="0023236C">
        <w:rPr>
          <w:rFonts w:cs="Arial"/>
          <w:color w:val="000000"/>
        </w:rPr>
        <w:fldChar w:fldCharType="end"/>
      </w:r>
      <w:r w:rsidR="00EB4B1C">
        <w:rPr>
          <w:rFonts w:cs="Arial"/>
          <w:color w:val="000000"/>
        </w:rPr>
        <w:t>.</w:t>
      </w:r>
      <w:r w:rsidR="008043BD" w:rsidRPr="000C71A6">
        <w:rPr>
          <w:rFonts w:cs="Arial"/>
          <w:color w:val="000000"/>
        </w:rPr>
        <w:t xml:space="preserve"> </w:t>
      </w:r>
      <w:r w:rsidR="00EB4B1C">
        <w:rPr>
          <w:rFonts w:cs="Arial"/>
          <w:color w:val="000000"/>
        </w:rPr>
        <w:t xml:space="preserve">Treatment of </w:t>
      </w:r>
      <w:r w:rsidR="00EB4B1C" w:rsidRPr="00EB4B1C">
        <w:rPr>
          <w:rFonts w:cs="Arial"/>
          <w:i/>
          <w:iCs/>
          <w:color w:val="000000"/>
        </w:rPr>
        <w:t>N. caninum</w:t>
      </w:r>
      <w:r w:rsidR="00EB4B1C">
        <w:rPr>
          <w:rFonts w:cs="Arial"/>
          <w:color w:val="000000"/>
        </w:rPr>
        <w:t xml:space="preserve"> tachyzoites with IgA</w:t>
      </w:r>
      <w:r w:rsidR="008043BD" w:rsidRPr="000C71A6">
        <w:rPr>
          <w:rFonts w:cs="Arial"/>
          <w:color w:val="000000"/>
        </w:rPr>
        <w:t xml:space="preserve"> </w:t>
      </w:r>
      <w:r w:rsidR="00EB4B1C">
        <w:rPr>
          <w:rFonts w:cs="Arial"/>
          <w:color w:val="000000"/>
        </w:rPr>
        <w:t>from the intestinal fluid of NcMP/CpG</w:t>
      </w:r>
      <w:r w:rsidR="00EB4B1C" w:rsidRPr="000C71A6">
        <w:rPr>
          <w:rFonts w:cs="Arial"/>
          <w:color w:val="000000"/>
        </w:rPr>
        <w:t xml:space="preserve"> </w:t>
      </w:r>
      <w:r w:rsidR="00EB4B1C">
        <w:rPr>
          <w:rFonts w:cs="Arial"/>
          <w:color w:val="000000"/>
        </w:rPr>
        <w:t xml:space="preserve">animals resulted in reduced </w:t>
      </w:r>
      <w:r w:rsidR="008043BD" w:rsidRPr="000C71A6">
        <w:rPr>
          <w:rFonts w:cs="Arial"/>
          <w:color w:val="000000"/>
        </w:rPr>
        <w:t xml:space="preserve">parasitic </w:t>
      </w:r>
      <w:r w:rsidR="00EB4B1C">
        <w:rPr>
          <w:rFonts w:cs="Arial"/>
          <w:color w:val="000000"/>
        </w:rPr>
        <w:t>DNA</w:t>
      </w:r>
      <w:r w:rsidR="008043BD" w:rsidRPr="000C71A6">
        <w:rPr>
          <w:rFonts w:cs="Arial"/>
          <w:color w:val="000000"/>
        </w:rPr>
        <w:t xml:space="preserve"> in </w:t>
      </w:r>
      <w:r w:rsidR="00EB4B1C">
        <w:rPr>
          <w:rFonts w:cs="Arial"/>
          <w:color w:val="000000"/>
        </w:rPr>
        <w:t>infected</w:t>
      </w:r>
      <w:r w:rsidR="008043BD" w:rsidRPr="000C71A6">
        <w:rPr>
          <w:rFonts w:cs="Arial"/>
          <w:color w:val="000000"/>
        </w:rPr>
        <w:t xml:space="preserve"> epithelial cells of the gastrointestinal tract</w:t>
      </w:r>
      <w:r w:rsidR="00EB4B1C">
        <w:rPr>
          <w:rFonts w:cs="Arial"/>
          <w:color w:val="000000"/>
        </w:rPr>
        <w:t xml:space="preserve"> </w:t>
      </w:r>
      <w:r w:rsidR="00EB4B1C" w:rsidRPr="000C71A6">
        <w:rPr>
          <w:rFonts w:cs="Arial"/>
          <w:color w:val="000000"/>
        </w:rPr>
        <w:fldChar w:fldCharType="begin" w:fldLock="1"/>
      </w:r>
      <w:r w:rsidR="00207072">
        <w:rPr>
          <w:rFonts w:cs="Arial"/>
          <w:color w:val="000000"/>
        </w:rPr>
        <w:instrText>ADDIN CSL_CITATION {"citationItems":[{"id":"ITEM-1","itemData":{"DOI":"10.1016/j.vaccine.2016.10.056","ISSN":"0264410X","PMID":"27814932","abstract":"Neospora caninum is an obligate intracellular protozoan parasite responsible for heavy economic losses in dairy and beef cattle farms worldwide. Although vaccination is widely regarded as the preferable strategy to prevent neosporosis no commercial vaccine is currently available. We have previously shown that intranasal immunization with an N. caninum antigen extract enriched in hydrophobic proteins plus CpG adjuvant protected mice against intragastrically established neosporosis. Nevertheless, the antigen specificity as well as the long-term protective effect of this immunization strategy were not determined. Here, we show that the protective effect of this intranasal immunization procedure lasted for at least 20 weeks. Protection was accompanied by long-lasting elevated levels of parasite-specific serum IgG and intestinal IgA. Moreover, spleen and mesenteric lymph node cells obtained from non-infected long-term immunized mice responded by producing interferon-γ following in vitro parasite-antigen recall. Analysis of serum IgG and intestinal IgA antibody reactivity in immunized mice identified dense granule antigen 7 (NcGRA7) and microneme associated protein 1 (NcMIC1) as immunodominant antigens respectively recognized by those antibody fractions. In summary, this work shows that a previously reported mucosal immunization strategy against N. caninum infection established through the gastrointestinal tract is effective in the long term.","author":[{"dropping-particle":"","family":"Ferreirinha","given":"Pedro","non-dropping-particle":"","parse-names":false,"suffix":""},{"dropping-particle":"","family":"Correia","given":"Alexandra","non-dropping-particle":"","parse-names":false,"suffix":""},{"dropping-particle":"","family":"Teixeira-Coelho","given":"Maria","non-dropping-particle":"","parse-names":false,"suffix":""},{"dropping-particle":"","family":"Osório","given":"Hug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accine","id":"ITEM-1","issue":"50","issued":{"date-parts":[["2016","12","7"]]},"page":"6250-6258","publisher":"Elsevier","title":"Mucosal immunization confers long-term protection against intragastrically established Neospora caninum infection","type":"article-journal","volume":"34"},"uris":["http://www.mendeley.com/documents/?uuid=347fba2f-7f3f-3597-90ed-94381d92a6e5"]}],"mendeley":{"formattedCitation":"[43]","plainTextFormattedCitation":"[43]","previouslyFormattedCitation":"[43]"},"properties":{"noteIndex":0},"schema":"https://github.com/citation-style-language/schema/raw/master/csl-citation.json"}</w:instrText>
      </w:r>
      <w:r w:rsidR="00EB4B1C" w:rsidRPr="000C71A6">
        <w:rPr>
          <w:rFonts w:cs="Arial"/>
          <w:color w:val="000000"/>
        </w:rPr>
        <w:fldChar w:fldCharType="separate"/>
      </w:r>
      <w:r w:rsidR="0023236C" w:rsidRPr="0023236C">
        <w:rPr>
          <w:rFonts w:cs="Arial"/>
          <w:noProof/>
          <w:color w:val="000000"/>
        </w:rPr>
        <w:t>[43]</w:t>
      </w:r>
      <w:r w:rsidR="00EB4B1C" w:rsidRPr="000C71A6">
        <w:rPr>
          <w:rFonts w:cs="Arial"/>
          <w:color w:val="000000"/>
        </w:rPr>
        <w:fldChar w:fldCharType="end"/>
      </w:r>
      <w:r w:rsidR="00EB4B1C">
        <w:rPr>
          <w:rFonts w:cs="Arial"/>
          <w:color w:val="000000"/>
        </w:rPr>
        <w:t>.</w:t>
      </w:r>
      <w:r w:rsidR="008043BD" w:rsidRPr="000C71A6">
        <w:rPr>
          <w:rFonts w:cs="Arial"/>
          <w:color w:val="000000"/>
        </w:rPr>
        <w:t xml:space="preserve"> </w:t>
      </w:r>
      <w:r w:rsidR="00F15F5F" w:rsidRPr="000C71A6">
        <w:rPr>
          <w:rFonts w:cs="Arial"/>
          <w:color w:val="000000"/>
        </w:rPr>
        <w:t xml:space="preserve">Parasite-specific IgA was further investigated and </w:t>
      </w:r>
      <w:r w:rsidR="00F15F5F">
        <w:rPr>
          <w:rFonts w:cs="Arial"/>
          <w:color w:val="000000"/>
        </w:rPr>
        <w:t xml:space="preserve">found to </w:t>
      </w:r>
      <w:r w:rsidR="00F15F5F" w:rsidRPr="000C71A6">
        <w:rPr>
          <w:rFonts w:cs="Arial"/>
          <w:color w:val="000000"/>
        </w:rPr>
        <w:t xml:space="preserve">bind mainly a parasitic protein that </w:t>
      </w:r>
      <w:r w:rsidR="00CD43B5">
        <w:rPr>
          <w:rFonts w:cs="Arial"/>
          <w:color w:val="000000"/>
        </w:rPr>
        <w:t>is involved in</w:t>
      </w:r>
      <w:r w:rsidR="00F15F5F" w:rsidRPr="000C71A6">
        <w:rPr>
          <w:rFonts w:cs="Arial"/>
          <w:color w:val="000000"/>
        </w:rPr>
        <w:t xml:space="preserve"> adher</w:t>
      </w:r>
      <w:r w:rsidR="00CD43B5">
        <w:rPr>
          <w:rFonts w:cs="Arial"/>
          <w:color w:val="000000"/>
        </w:rPr>
        <w:t>ence</w:t>
      </w:r>
      <w:r w:rsidR="00F15F5F" w:rsidRPr="000C71A6">
        <w:rPr>
          <w:rFonts w:cs="Arial"/>
          <w:color w:val="000000"/>
        </w:rPr>
        <w:t xml:space="preserve"> to host cells</w:t>
      </w:r>
      <w:r w:rsidR="00F15F5F">
        <w:rPr>
          <w:rFonts w:cs="Arial"/>
          <w:color w:val="000000"/>
        </w:rPr>
        <w:t>,</w:t>
      </w:r>
      <w:r w:rsidR="00CD43B5">
        <w:rPr>
          <w:rFonts w:cs="Arial"/>
          <w:color w:val="000000"/>
        </w:rPr>
        <w:t xml:space="preserve"> the</w:t>
      </w:r>
      <w:r w:rsidR="00F15F5F">
        <w:rPr>
          <w:rFonts w:cs="Arial"/>
          <w:color w:val="000000"/>
        </w:rPr>
        <w:t xml:space="preserve"> </w:t>
      </w:r>
      <w:r w:rsidR="00CD43B5">
        <w:rPr>
          <w:rFonts w:cs="Arial"/>
          <w:color w:val="000000"/>
        </w:rPr>
        <w:t xml:space="preserve">microneme protein 1 </w:t>
      </w:r>
      <w:r w:rsidR="00F15F5F">
        <w:rPr>
          <w:rFonts w:cs="Arial"/>
          <w:color w:val="000000"/>
        </w:rPr>
        <w:t>(MIC1</w:t>
      </w:r>
      <w:r w:rsidR="00CD43B5">
        <w:rPr>
          <w:rFonts w:cs="Arial"/>
          <w:color w:val="000000"/>
        </w:rPr>
        <w:t>)</w:t>
      </w:r>
      <w:r w:rsidR="00F15F5F" w:rsidRPr="000C71A6">
        <w:rPr>
          <w:rFonts w:cs="Arial"/>
          <w:color w:val="000000"/>
        </w:rPr>
        <w:t xml:space="preserve"> </w:t>
      </w:r>
      <w:r w:rsidR="00F15F5F" w:rsidRPr="000C71A6">
        <w:rPr>
          <w:rFonts w:cs="Arial"/>
          <w:color w:val="000000"/>
        </w:rPr>
        <w:fldChar w:fldCharType="begin" w:fldLock="1"/>
      </w:r>
      <w:r w:rsidR="00207072">
        <w:rPr>
          <w:rFonts w:cs="Arial"/>
          <w:color w:val="000000"/>
        </w:rPr>
        <w:instrText>ADDIN CSL_CITATION {"citationItems":[{"id":"ITEM-1","itemData":{"DOI":"10.1016/j.vaccine.2016.10.056","ISSN":"0264410X","PMID":"27814932","abstract":"Neospora caninum is an obligate intracellular protozoan parasite responsible for heavy economic losses in dairy and beef cattle farms worldwide. Although vaccination is widely regarded as the preferable strategy to prevent neosporosis no commercial vaccine is currently available. We have previously shown that intranasal immunization with an N. caninum antigen extract enriched in hydrophobic proteins plus CpG adjuvant protected mice against intragastrically established neosporosis. Nevertheless, the antigen specificity as well as the long-term protective effect of this immunization strategy were not determined. Here, we show that the protective effect of this intranasal immunization procedure lasted for at least 20 weeks. Protection was accompanied by long-lasting elevated levels of parasite-specific serum IgG and intestinal IgA. Moreover, spleen and mesenteric lymph node cells obtained from non-infected long-term immunized mice responded by producing interferon-γ following in vitro parasite-antigen recall. Analysis of serum IgG and intestinal IgA antibody reactivity in immunized mice identified dense granule antigen 7 (NcGRA7) and microneme associated protein 1 (NcMIC1) as immunodominant antigens respectively recognized by those antibody fractions. In summary, this work shows that a previously reported mucosal immunization strategy against N. caninum infection established through the gastrointestinal tract is effective in the long term.","author":[{"dropping-particle":"","family":"Ferreirinha","given":"Pedro","non-dropping-particle":"","parse-names":false,"suffix":""},{"dropping-particle":"","family":"Correia","given":"Alexandra","non-dropping-particle":"","parse-names":false,"suffix":""},{"dropping-particle":"","family":"Teixeira-Coelho","given":"Maria","non-dropping-particle":"","parse-names":false,"suffix":""},{"dropping-particle":"","family":"Osório","given":"Hug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accine","id":"ITEM-1","issue":"50","issued":{"date-parts":[["2016","12","7"]]},"page":"6250-6258","publisher":"Elsevier","title":"Mucosal immunization confers long-term protection against intragastrically established Neospora caninum infection","type":"article-journal","volume":"34"},"uris":["http://www.mendeley.com/documents/?uuid=347fba2f-7f3f-3597-90ed-94381d92a6e5"]}],"mendeley":{"formattedCitation":"[43]","plainTextFormattedCitation":"[43]","previouslyFormattedCitation":"[43]"},"properties":{"noteIndex":0},"schema":"https://github.com/citation-style-language/schema/raw/master/csl-citation.json"}</w:instrText>
      </w:r>
      <w:r w:rsidR="00F15F5F" w:rsidRPr="000C71A6">
        <w:rPr>
          <w:rFonts w:cs="Arial"/>
          <w:color w:val="000000"/>
        </w:rPr>
        <w:fldChar w:fldCharType="separate"/>
      </w:r>
      <w:r w:rsidR="0023236C" w:rsidRPr="0023236C">
        <w:rPr>
          <w:rFonts w:cs="Arial"/>
          <w:noProof/>
          <w:color w:val="000000"/>
        </w:rPr>
        <w:t>[43]</w:t>
      </w:r>
      <w:r w:rsidR="00F15F5F" w:rsidRPr="000C71A6">
        <w:rPr>
          <w:rFonts w:cs="Arial"/>
          <w:color w:val="000000"/>
        </w:rPr>
        <w:fldChar w:fldCharType="end"/>
      </w:r>
      <w:r w:rsidR="00F15F5F" w:rsidRPr="000C71A6">
        <w:rPr>
          <w:rFonts w:cs="Arial"/>
          <w:color w:val="000000"/>
        </w:rPr>
        <w:t>.</w:t>
      </w:r>
      <w:r w:rsidR="00CD43B5" w:rsidRPr="00CD43B5">
        <w:rPr>
          <w:rFonts w:cs="Arial"/>
          <w:color w:val="000000"/>
        </w:rPr>
        <w:t xml:space="preserve"> </w:t>
      </w:r>
      <w:r w:rsidR="00CD43B5" w:rsidRPr="000C71A6">
        <w:rPr>
          <w:rFonts w:cs="Arial"/>
          <w:color w:val="000000"/>
        </w:rPr>
        <w:t>These results strengthened the proposed mechanism in the previous study, showing that IgA in the gut prevents the parasites from entering in</w:t>
      </w:r>
      <w:r w:rsidR="00CD43B5">
        <w:rPr>
          <w:rFonts w:cs="Arial"/>
          <w:color w:val="000000"/>
        </w:rPr>
        <w:t>to</w:t>
      </w:r>
      <w:r w:rsidR="00CD43B5" w:rsidRPr="000C71A6">
        <w:rPr>
          <w:rFonts w:cs="Arial"/>
          <w:color w:val="000000"/>
        </w:rPr>
        <w:t xml:space="preserve"> the host epithelial cells and </w:t>
      </w:r>
      <w:r w:rsidR="00CD43B5">
        <w:rPr>
          <w:rFonts w:cs="Arial"/>
          <w:color w:val="000000"/>
        </w:rPr>
        <w:t xml:space="preserve">the induction of an overwhelming </w:t>
      </w:r>
      <w:r w:rsidR="00CD43B5" w:rsidRPr="000C71A6">
        <w:rPr>
          <w:rFonts w:cs="Arial"/>
          <w:color w:val="000000"/>
        </w:rPr>
        <w:t xml:space="preserve">Th1 response through the IL-12/IFN-γ pathway </w:t>
      </w:r>
      <w:r w:rsidR="00CD43B5" w:rsidRPr="000C71A6">
        <w:rPr>
          <w:rFonts w:cs="Arial"/>
          <w:color w:val="000000"/>
        </w:rPr>
        <w:fldChar w:fldCharType="begin" w:fldLock="1"/>
      </w:r>
      <w:r w:rsidR="00207072">
        <w:rPr>
          <w:rFonts w:cs="Arial"/>
          <w:color w:val="000000"/>
        </w:rPr>
        <w:instrText>ADDIN CSL_CITATION {"citationItems":[{"id":"ITEM-1","itemData":{"DOI":"10.1016/j.vaccine.2016.10.056","ISSN":"0264410X","PMID":"27814932","abstract":"Neospora caninum is an obligate intracellular protozoan parasite responsible for heavy economic losses in dairy and beef cattle farms worldwide. Although vaccination is widely regarded as the preferable strategy to prevent neosporosis no commercial vaccine is currently available. We have previously shown that intranasal immunization with an N. caninum antigen extract enriched in hydrophobic proteins plus CpG adjuvant protected mice against intragastrically established neosporosis. Nevertheless, the antigen specificity as well as the long-term protective effect of this immunization strategy were not determined. Here, we show that the protective effect of this intranasal immunization procedure lasted for at least 20 weeks. Protection was accompanied by long-lasting elevated levels of parasite-specific serum IgG and intestinal IgA. Moreover, spleen and mesenteric lymph node cells obtained from non-infected long-term immunized mice responded by producing interferon-γ following in vitro parasite-antigen recall. Analysis of serum IgG and intestinal IgA antibody reactivity in immunized mice identified dense granule antigen 7 (NcGRA7) and microneme associated protein 1 (NcMIC1) as immunodominant antigens respectively recognized by those antibody fractions. In summary, this work shows that a previously reported mucosal immunization strategy against N. caninum infection established through the gastrointestinal tract is effective in the long term.","author":[{"dropping-particle":"","family":"Ferreirinha","given":"Pedro","non-dropping-particle":"","parse-names":false,"suffix":""},{"dropping-particle":"","family":"Correia","given":"Alexandra","non-dropping-particle":"","parse-names":false,"suffix":""},{"dropping-particle":"","family":"Teixeira-Coelho","given":"Maria","non-dropping-particle":"","parse-names":false,"suffix":""},{"dropping-particle":"","family":"Osório","given":"Hug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accine","id":"ITEM-1","issue":"50","issued":{"date-parts":[["2016","12","7"]]},"page":"6250-6258","publisher":"Elsevier","title":"Mucosal immunization confers long-term protection against intragastrically established Neospora caninum infection","type":"article-journal","volume":"34"},"uris":["http://www.mendeley.com/documents/?uuid=347fba2f-7f3f-3597-90ed-94381d92a6e5"]},{"id":"ITEM-2","itemData":{"DOI":"10.1111/imm.12191","ISSN":"00192805","PMID":"24128071","abstract":"Neospora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-2","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tract","type":"article-journal","volume":"141"},"uris":["http://www.mendeley.com/documents/?uuid=fbd4020b-89bd-3c5d-8320-1ddc6afb78c0"]}],"mendeley":{"formattedCitation":"[43], [44]","manualFormatting":"[30, 31]","plainTextFormattedCitation":"[43], [44]","previouslyFormattedCitation":"[43], [44]"},"properties":{"noteIndex":0},"schema":"https://github.com/citation-style-language/schema/raw/master/csl-citation.json"}</w:instrText>
      </w:r>
      <w:r w:rsidR="00CD43B5" w:rsidRPr="000C71A6">
        <w:rPr>
          <w:rFonts w:cs="Arial"/>
          <w:color w:val="000000"/>
        </w:rPr>
        <w:fldChar w:fldCharType="separate"/>
      </w:r>
      <w:r w:rsidR="00CD43B5">
        <w:rPr>
          <w:rFonts w:cs="Arial"/>
          <w:noProof/>
          <w:color w:val="000000"/>
        </w:rPr>
        <w:t xml:space="preserve">[30, </w:t>
      </w:r>
      <w:r w:rsidR="00CD43B5" w:rsidRPr="00F00084">
        <w:rPr>
          <w:rFonts w:cs="Arial"/>
          <w:noProof/>
          <w:color w:val="000000"/>
        </w:rPr>
        <w:t>31]</w:t>
      </w:r>
      <w:r w:rsidR="00CD43B5" w:rsidRPr="000C71A6">
        <w:rPr>
          <w:rFonts w:cs="Arial"/>
          <w:color w:val="000000"/>
        </w:rPr>
        <w:fldChar w:fldCharType="end"/>
      </w:r>
      <w:r w:rsidR="00CD43B5">
        <w:rPr>
          <w:rFonts w:cs="Arial"/>
          <w:color w:val="000000"/>
        </w:rPr>
        <w:t xml:space="preserve">. </w:t>
      </w:r>
      <w:r w:rsidR="00894D8E" w:rsidRPr="000C71A6">
        <w:rPr>
          <w:rFonts w:cs="Arial"/>
          <w:color w:val="000000"/>
        </w:rPr>
        <w:t xml:space="preserve">Given the harm of </w:t>
      </w:r>
      <w:r w:rsidR="00317FE3" w:rsidRPr="000C71A6">
        <w:rPr>
          <w:rFonts w:cs="Arial"/>
          <w:color w:val="000000"/>
        </w:rPr>
        <w:t xml:space="preserve">a strong Th1 response </w:t>
      </w:r>
      <w:r w:rsidR="00317FE3">
        <w:rPr>
          <w:rFonts w:cs="Arial"/>
          <w:color w:val="000000"/>
        </w:rPr>
        <w:t xml:space="preserve">and </w:t>
      </w:r>
      <w:r w:rsidR="00894D8E" w:rsidRPr="000C71A6">
        <w:rPr>
          <w:rFonts w:cs="Arial"/>
          <w:color w:val="000000"/>
        </w:rPr>
        <w:t xml:space="preserve">high levels of IFN-γ in pregnancy, this mucosal immunity </w:t>
      </w:r>
      <w:r w:rsidR="0052282A">
        <w:rPr>
          <w:rFonts w:cs="Arial"/>
          <w:color w:val="000000"/>
        </w:rPr>
        <w:t xml:space="preserve">promoted by mucosal immunization </w:t>
      </w:r>
      <w:r w:rsidR="00894D8E" w:rsidRPr="000C71A6">
        <w:rPr>
          <w:rFonts w:cs="Arial"/>
          <w:color w:val="000000"/>
        </w:rPr>
        <w:t>might be interesting to</w:t>
      </w:r>
      <w:r w:rsidR="00CC6AE6" w:rsidRPr="000C71A6">
        <w:rPr>
          <w:rFonts w:cs="Arial"/>
          <w:color w:val="000000"/>
        </w:rPr>
        <w:t xml:space="preserve"> consider </w:t>
      </w:r>
      <w:r w:rsidR="00894D8E" w:rsidRPr="000C71A6">
        <w:rPr>
          <w:rFonts w:cs="Arial"/>
          <w:color w:val="000000"/>
        </w:rPr>
        <w:fldChar w:fldCharType="begin" w:fldLock="1"/>
      </w:r>
      <w:r w:rsidR="0023236C">
        <w:rPr>
          <w:rFonts w:cs="Arial"/>
          <w:color w:val="000000"/>
        </w:rPr>
        <w:instrText>ADDIN CSL_CITATION {"citationItems":[{"id":"ITEM-1","itemData":{"DOI":"10.1111/imm.12191","ISSN":"00192805","PMID":"24128071","abstract":"Neospora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-1","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[44]","plainTextFormattedCitation":"[44]","previouslyFormattedCitation":"[44]"},"properties":{"noteIndex":0},"schema":"https://github.com/citation-style-language/schema/raw/master/csl-citation.json"}</w:instrText>
      </w:r>
      <w:r w:rsidR="00894D8E" w:rsidRPr="000C71A6">
        <w:rPr>
          <w:rFonts w:cs="Arial"/>
          <w:color w:val="000000"/>
        </w:rPr>
        <w:fldChar w:fldCharType="separate"/>
      </w:r>
      <w:r w:rsidR="0023236C" w:rsidRPr="0023236C">
        <w:rPr>
          <w:rFonts w:cs="Arial"/>
          <w:noProof/>
          <w:color w:val="000000"/>
        </w:rPr>
        <w:t>[44]</w:t>
      </w:r>
      <w:r w:rsidR="00894D8E" w:rsidRPr="000C71A6">
        <w:rPr>
          <w:rFonts w:cs="Arial"/>
          <w:color w:val="000000"/>
        </w:rPr>
        <w:fldChar w:fldCharType="end"/>
      </w:r>
      <w:r w:rsidR="00894D8E" w:rsidRPr="000C71A6">
        <w:rPr>
          <w:rFonts w:cs="Arial"/>
          <w:color w:val="000000"/>
        </w:rPr>
        <w:t>.</w:t>
      </w:r>
    </w:p>
    <w:p w14:paraId="2A9574EE" w14:textId="2BDEF2B3" w:rsidR="0075107E" w:rsidRDefault="001B3950" w:rsidP="001E2A25">
      <w:pPr>
        <w:divId w:val="684404335"/>
        <w:rPr>
          <w:rFonts w:cs="Arial"/>
          <w:color w:val="000000"/>
        </w:rPr>
      </w:pPr>
      <w:r w:rsidRPr="000C71A6">
        <w:rPr>
          <w:rFonts w:cs="Arial"/>
          <w:color w:val="000000"/>
        </w:rPr>
        <w:t>C</w:t>
      </w:r>
      <w:r w:rsidR="00E91BDF" w:rsidRPr="000C71A6">
        <w:rPr>
          <w:rFonts w:cs="Arial"/>
          <w:color w:val="000000"/>
        </w:rPr>
        <w:t>ell mediated immune responses, along with the increased production of pro-inflammato</w:t>
      </w:r>
      <w:r w:rsidR="00201E84">
        <w:rPr>
          <w:rFonts w:cs="Arial"/>
          <w:color w:val="000000"/>
        </w:rPr>
        <w:t>ry cytokines IL-12 and IFN-γ, are</w:t>
      </w:r>
      <w:r w:rsidR="00E91BDF" w:rsidRPr="000C71A6">
        <w:rPr>
          <w:rFonts w:cs="Arial"/>
          <w:color w:val="000000"/>
        </w:rPr>
        <w:t xml:space="preserve"> key to host resistance to </w:t>
      </w:r>
      <w:r w:rsidR="004E7153" w:rsidRPr="000C71A6">
        <w:rPr>
          <w:rFonts w:cs="Arial"/>
          <w:i/>
          <w:color w:val="000000"/>
        </w:rPr>
        <w:t>N</w:t>
      </w:r>
      <w:r w:rsidR="004E7153">
        <w:rPr>
          <w:rFonts w:cs="Arial"/>
          <w:i/>
          <w:color w:val="000000"/>
        </w:rPr>
        <w:t>.</w:t>
      </w:r>
      <w:r w:rsidR="004E7153" w:rsidRPr="000C71A6">
        <w:rPr>
          <w:rFonts w:cs="Arial"/>
          <w:i/>
          <w:color w:val="000000"/>
        </w:rPr>
        <w:t xml:space="preserve"> </w:t>
      </w:r>
      <w:r w:rsidR="00E91BDF" w:rsidRPr="000C71A6">
        <w:rPr>
          <w:rFonts w:cs="Arial"/>
          <w:i/>
          <w:color w:val="000000"/>
        </w:rPr>
        <w:t xml:space="preserve">caninum </w:t>
      </w:r>
      <w:r w:rsidR="00E91BDF" w:rsidRPr="000C71A6">
        <w:rPr>
          <w:rFonts w:cs="Arial"/>
          <w:i/>
          <w:color w:val="000000"/>
        </w:rPr>
        <w:fldChar w:fldCharType="begin" w:fldLock="1"/>
      </w:r>
      <w:r w:rsidR="004A4DFA">
        <w:rPr>
          <w:rFonts w:cs="Arial"/>
          <w:i/>
          <w:color w:val="000000"/>
        </w:rPr>
        <w:instrText>ADDIN CSL_CITATION {"citationItems":[{"id":"ITEM-1","itemData":{"DOI":"10.1016/J.IJPPAW.2015.04.002","ISSN":"2213-2244","abstract":"Neospora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Wildlife","id":"ITEM-1","issue":"2","issued":{"date-parts":[["2015","8","1"]]},"page":"216-238","publisher":"Elsevier","title":"A review of neosporosis and pathologic findings of Neospora caninum infection in wildlife","type":"article-journal","volume":"4"},"uris":["http://www.mendeley.com/documents/?uuid=0eb21b67-0b11-310b-bb97-5e8fd960f5bc"]},{"id":"ITEM-2","itemData":{"DOI":"10.1038/ICB.2009.65","ISSN":"1440-1711","PMID":"19755980","abstract":"Neospora caninum is a coccidian parasite causative of clinical infections in a wide range of animal hosts. The maturation and activation of splenic conventional dendritic cells (cDCs) and plasmacytoid dendritic cells (pDCs) were studied here in BALB/c mice challenged intraperitoneal with N. caninum tachyzoites. The number of cDCs was found to decrease in the spleen of the infected mice 12 h and 2 days after the parasitic challenge, whereas at day 5 after infection it was significantly above that of mock-infected controls. In contrast, the number of splenic pDCs did not change significantly on infection. In the infected mice, both cell subtypes displayed an activated phenotype with upregulation of costimulatory and MHC class II molecules. This stimulatory effect was more marked at the earliest assessed time point after infection, 12 h, when a clear increase in the frequency of cDCs (CD8α+ and CD8α- ) and pDCs producing interleukin-12 (IL-12) was also observed. N. caninum tachyzoites could be observed by confocal microscopy associated with sorted DCs. Overall, these results present the first evidence that both cDCs and pDCs mediate in vivo the innate immune response to N. caninum infection through the production of IL-12, a key cytokine for host resistance to neosporosis. © 2010 Australasian Society for Immunology Inc. All rights reserved.","author":[{"dropping-particle":"","family":"Teixeira","given":"Luzia","non-dropping-particle":"","parse-names":false,"suffix":""},{"dropping-particle":"","family":"Botelho","given":"Ana Sofia","non-dropping-particle":"","parse-names":false,"suffix":""},{"dropping-particle":"","family":"Mesquita","given":"Sandro Dá","non-dropping-particle":"","parse-names":false,"suffix":""},{"dropping-particle":"","family":"Correia","given":"Alexandra","non-dropping-particle":"","parse-names":false,"suffix":""},{"dropping-particle":"","family":"Cerca","given":"Filipe","non-dropping-particle":"","parse-names":false,"suffix":""},{"dropping-particle":"","family":"Costa","given":"Renata","non-dropping-particle":"","parse-names":false,"suffix":""},{"dropping-particle":"","family":"Sampaio","given":"Paula","non-dropping-particle":"","parse-names":false,"suffix":""},{"dropping-particle":"","family":"Castro","given":"António Gil","non-dropping-particle":"","parse-names":false,"suffix":""},{"dropping-particle":"","family":"Vilanova","given":"Manuel","non-dropping-particle":"","parse-names":false,"suffix":""}],"container-title":"Immunology and Cell Biology","id":"ITEM-2","issue":"1","issued":{"date-parts":[["2010","1","1"]]},"page":"79-86","publisher":"John Wiley &amp; Sons, Ltd","title":"Plasmacytoid and conventional dendritic cells are early producers of IL-12 in Neospora caninum-infected mice","type":"article-journal","volume":"88"},"uris":["http://www.mendeley.com/documents/?uuid=00e2a0c6-3d6a-3f46-8712-987fa6750b3e"]}],"mendeley":{"formattedCitation":"[10], [17]","manualFormatting":"[10, 16]","plainTextFormattedCitation":"[10], [17]","previouslyFormattedCitation":"[10], [17]"},"properties":{"noteIndex":0},"schema":"https://github.com/citation-style-language/schema/raw/master/csl-citation.json"}</w:instrText>
      </w:r>
      <w:r w:rsidR="00E91BDF" w:rsidRPr="000C71A6">
        <w:rPr>
          <w:rFonts w:cs="Arial"/>
          <w:i/>
          <w:color w:val="000000"/>
        </w:rPr>
        <w:fldChar w:fldCharType="separate"/>
      </w:r>
      <w:r w:rsidR="00F00084" w:rsidRPr="00F00084">
        <w:rPr>
          <w:rFonts w:cs="Arial"/>
          <w:noProof/>
          <w:color w:val="000000"/>
        </w:rPr>
        <w:t>[10, 16]</w:t>
      </w:r>
      <w:r w:rsidR="00E91BDF" w:rsidRPr="000C71A6">
        <w:rPr>
          <w:rFonts w:cs="Arial"/>
          <w:i/>
          <w:color w:val="000000"/>
        </w:rPr>
        <w:fldChar w:fldCharType="end"/>
      </w:r>
      <w:r w:rsidR="00E91BDF" w:rsidRPr="000C71A6">
        <w:rPr>
          <w:rFonts w:cs="Arial"/>
          <w:color w:val="000000"/>
        </w:rPr>
        <w:t xml:space="preserve">, but the role of antibodies in the protection against the infection cannot be ruled out. </w:t>
      </w:r>
      <w:r w:rsidR="004938C4">
        <w:rPr>
          <w:rFonts w:cs="Arial"/>
          <w:color w:val="000000"/>
        </w:rPr>
        <w:t>T</w:t>
      </w:r>
      <w:r w:rsidR="00F94DD5">
        <w:rPr>
          <w:rFonts w:cs="Arial"/>
          <w:color w:val="000000"/>
        </w:rPr>
        <w:t xml:space="preserve">he protective mechanism </w:t>
      </w:r>
      <w:r w:rsidR="001212A9">
        <w:rPr>
          <w:rFonts w:cs="Arial"/>
          <w:color w:val="000000"/>
        </w:rPr>
        <w:t xml:space="preserve">of the </w:t>
      </w:r>
      <w:r w:rsidR="001A694B">
        <w:rPr>
          <w:rFonts w:cs="Arial"/>
          <w:color w:val="000000"/>
        </w:rPr>
        <w:t xml:space="preserve">above referred </w:t>
      </w:r>
      <w:r w:rsidR="001212A9">
        <w:rPr>
          <w:rFonts w:cs="Arial"/>
          <w:color w:val="000000"/>
        </w:rPr>
        <w:t>intranasal vaccine was</w:t>
      </w:r>
      <w:r w:rsidR="00F94DD5">
        <w:rPr>
          <w:rFonts w:cs="Arial"/>
          <w:color w:val="000000"/>
        </w:rPr>
        <w:t xml:space="preserve"> </w:t>
      </w:r>
      <w:r w:rsidR="001A694B">
        <w:rPr>
          <w:rFonts w:cs="Arial"/>
          <w:color w:val="000000"/>
        </w:rPr>
        <w:t xml:space="preserve">further </w:t>
      </w:r>
      <w:r w:rsidR="004938C4">
        <w:rPr>
          <w:rFonts w:cs="Arial"/>
          <w:color w:val="000000"/>
        </w:rPr>
        <w:t>evaluate</w:t>
      </w:r>
      <w:r w:rsidR="001212A9">
        <w:rPr>
          <w:rFonts w:cs="Arial"/>
          <w:color w:val="000000"/>
        </w:rPr>
        <w:t>d</w:t>
      </w:r>
      <w:r w:rsidR="004938C4">
        <w:rPr>
          <w:rFonts w:cs="Arial"/>
          <w:color w:val="000000"/>
        </w:rPr>
        <w:t xml:space="preserve"> </w:t>
      </w:r>
      <w:r w:rsidR="001212A9">
        <w:rPr>
          <w:rFonts w:cs="Arial"/>
          <w:color w:val="000000"/>
        </w:rPr>
        <w:t xml:space="preserve">in mice with a defective IL-12 receptor </w:t>
      </w:r>
      <w:r w:rsidR="00083DEB">
        <w:rPr>
          <w:rFonts w:cs="Arial"/>
          <w:color w:val="000000"/>
        </w:rPr>
        <w:t>(</w:t>
      </w:r>
      <w:r w:rsidR="00083DEB" w:rsidRPr="00083DEB">
        <w:rPr>
          <w:rFonts w:cs="Arial"/>
          <w:i/>
          <w:iCs/>
          <w:color w:val="000000"/>
        </w:rPr>
        <w:t>il12b</w:t>
      </w:r>
      <w:r w:rsidR="00083DEB" w:rsidRPr="00083DEB">
        <w:rPr>
          <w:rFonts w:cs="Arial"/>
          <w:color w:val="000000"/>
          <w:vertAlign w:val="superscript"/>
        </w:rPr>
        <w:t>-/-</w:t>
      </w:r>
      <w:r w:rsidR="00083DEB">
        <w:rPr>
          <w:rFonts w:cs="Arial"/>
          <w:color w:val="000000"/>
        </w:rPr>
        <w:t xml:space="preserve">) </w:t>
      </w:r>
      <w:r w:rsidR="001212A9">
        <w:rPr>
          <w:rFonts w:cs="Arial"/>
          <w:color w:val="000000"/>
        </w:rPr>
        <w:t xml:space="preserve">and thus with </w:t>
      </w:r>
      <w:r w:rsidR="001212A9" w:rsidRPr="000C71A6">
        <w:rPr>
          <w:rFonts w:cs="Arial"/>
          <w:color w:val="000000"/>
        </w:rPr>
        <w:t xml:space="preserve">impaired cellular </w:t>
      </w:r>
      <w:r w:rsidR="001212A9">
        <w:rPr>
          <w:rFonts w:cs="Arial"/>
          <w:color w:val="000000"/>
        </w:rPr>
        <w:t xml:space="preserve">mediated </w:t>
      </w:r>
      <w:r w:rsidR="001212A9" w:rsidRPr="000C71A6">
        <w:rPr>
          <w:rFonts w:cs="Arial"/>
          <w:color w:val="000000"/>
        </w:rPr>
        <w:t>immunity</w:t>
      </w:r>
      <w:r w:rsidR="00207072">
        <w:rPr>
          <w:rFonts w:cs="Arial"/>
          <w:color w:val="000000"/>
        </w:rPr>
        <w:t xml:space="preserve"> </w:t>
      </w:r>
      <w:r w:rsidR="00207072">
        <w:rPr>
          <w:rFonts w:cs="Arial"/>
          <w:color w:val="000000"/>
        </w:rPr>
        <w:fldChar w:fldCharType="begin" w:fldLock="1"/>
      </w:r>
      <w:r w:rsidR="00F373F9">
        <w:rPr>
          <w:rFonts w:cs="Arial"/>
          <w:color w:val="000000"/>
        </w:rPr>
        <w:instrText>ADDIN CSL_CITATION {"citationItems":[{"id":"ITEM-1","itemData":{"DOI":"10.1016/J.VACCINE.2018.06.060","ISSN":"0264-410X","PMID":"30037479","abstract":"We have recently demonstrated the effectiveness of an intranasal immunization approach against Neospora caninum infection in immunosufficient mice. Generated evidence indicated that antibodies could be mediating the observed protection. We similarly immunized IL-12/IL-23 p40 chain-deficient (Il12b−/−) mice, which have impaired cellular immunity, to further explore the host protective mechanism conferred by the used immunization strategy. The immunized mice presented lower parasitic burdens after intraperitoneal infection with N. caninum and also had elevated levels of parasite-specific antibodies. However, passive immunization with antibodies purified from immunized donors conferred only limited protection to infected Il12b−/− recipients. Despite their intrinsic IL-12 deficiency, the immunized Il12b−/− mice mounted a parasite-specific immune response that was mediated by interferon-γ (IFN-γ). Neutralization of IFN-γ in the immunized mice abrogated the observed protective effect of the immunization. These results show altogether that the used immunization strategy overcome the cellular immunity defect of Il12b−/− mice and conferred protection from N. caninum infection. The observed protective effect was predominantly mediated by IFN-γ and to a lesser extent but non-negligibly by IgG antibodies. These results also highlight that in a host with compromised cellular immunity, the immune response against intracellular pathogens could be markedly boosted by immunization.","author":[{"dropping-particle":"","family":"Ferreirinha","given":"Pedro","non-dropping-particle":"","parse-names":false,"suffix":""},{"dropping-particle":"","family":"Fróis-Martins","given":"Ricard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dropping-particle":"","family":"Correia","given":"Alexandra","non-dropping-particle":"","parse-names":false,"suffix":""}],"container-title":"Vaccine","id":"ITEM-1","issue":"32","issued":{"date-parts":[["2018","8","6"]]},"page":"4890-4896","publisher":"Elsevier","title":"Interferon-γ-dependent protection against Neospora caninum infection conferred by mucosal immunization in IL-12/IL-23 p40-deficient mice","type":"article-journal","volume":"36"},"uris":["http://www.mendeley.com/documents/?uuid=458aedca-28b3-3a9d-b6f9-d0c3f3b4848a"]}],"mendeley":{"formattedCitation":"[45]","plainTextFormattedCitation":"[45]","previouslyFormattedCitation":"[45]"},"properties":{"noteIndex":0},"schema":"https://github.com/citation-style-language/schema/raw/master/csl-citation.json"}</w:instrText>
      </w:r>
      <w:r w:rsidR="00207072">
        <w:rPr>
          <w:rFonts w:cs="Arial"/>
          <w:color w:val="000000"/>
        </w:rPr>
        <w:fldChar w:fldCharType="separate"/>
      </w:r>
      <w:r w:rsidR="00207072" w:rsidRPr="00207072">
        <w:rPr>
          <w:rFonts w:cs="Arial"/>
          <w:noProof/>
          <w:color w:val="000000"/>
        </w:rPr>
        <w:t>[45]</w:t>
      </w:r>
      <w:r w:rsidR="00207072">
        <w:rPr>
          <w:rFonts w:cs="Arial"/>
          <w:color w:val="000000"/>
        </w:rPr>
        <w:fldChar w:fldCharType="end"/>
      </w:r>
      <w:r w:rsidR="001212A9">
        <w:rPr>
          <w:rFonts w:cs="Arial"/>
          <w:color w:val="000000"/>
        </w:rPr>
        <w:t xml:space="preserve">. </w:t>
      </w:r>
      <w:r w:rsidR="001212A9" w:rsidRPr="000C71A6">
        <w:rPr>
          <w:rFonts w:cs="Arial"/>
          <w:color w:val="000000"/>
        </w:rPr>
        <w:t xml:space="preserve">To </w:t>
      </w:r>
      <w:r w:rsidR="001212A9">
        <w:rPr>
          <w:rFonts w:cs="Arial"/>
          <w:color w:val="000000"/>
        </w:rPr>
        <w:t>better elucidate</w:t>
      </w:r>
      <w:r w:rsidR="001212A9" w:rsidRPr="000C71A6">
        <w:rPr>
          <w:rFonts w:cs="Arial"/>
          <w:color w:val="000000"/>
        </w:rPr>
        <w:t xml:space="preserve"> the </w:t>
      </w:r>
      <w:r w:rsidR="001212A9">
        <w:rPr>
          <w:rFonts w:cs="Arial"/>
          <w:color w:val="000000"/>
        </w:rPr>
        <w:t>role</w:t>
      </w:r>
      <w:r w:rsidR="001212A9" w:rsidRPr="000C71A6">
        <w:rPr>
          <w:rFonts w:cs="Arial"/>
          <w:color w:val="000000"/>
        </w:rPr>
        <w:t xml:space="preserve"> </w:t>
      </w:r>
      <w:r w:rsidR="001212A9">
        <w:rPr>
          <w:rFonts w:cs="Arial"/>
          <w:color w:val="000000"/>
        </w:rPr>
        <w:t xml:space="preserve">of systemic antibodies and T cell response, </w:t>
      </w:r>
      <w:r w:rsidR="001212A9" w:rsidRPr="000C71A6">
        <w:rPr>
          <w:rFonts w:cs="Arial"/>
          <w:color w:val="000000"/>
        </w:rPr>
        <w:t xml:space="preserve">intraperitoneal infection </w:t>
      </w:r>
      <w:r w:rsidR="001212A9">
        <w:rPr>
          <w:rFonts w:cs="Arial"/>
          <w:color w:val="000000"/>
        </w:rPr>
        <w:t xml:space="preserve">was chosen to overcome </w:t>
      </w:r>
      <w:r w:rsidR="001212A9" w:rsidRPr="000C71A6">
        <w:rPr>
          <w:rFonts w:cs="Arial"/>
          <w:color w:val="000000"/>
        </w:rPr>
        <w:t xml:space="preserve">the </w:t>
      </w:r>
      <w:r w:rsidR="001212A9">
        <w:rPr>
          <w:rFonts w:cs="Arial"/>
          <w:color w:val="000000"/>
        </w:rPr>
        <w:t>mucosal-</w:t>
      </w:r>
      <w:r w:rsidR="001212A9" w:rsidRPr="000C71A6">
        <w:rPr>
          <w:rFonts w:cs="Arial"/>
          <w:color w:val="000000"/>
        </w:rPr>
        <w:t>IgA</w:t>
      </w:r>
      <w:r w:rsidR="001212A9">
        <w:rPr>
          <w:rFonts w:cs="Arial"/>
          <w:color w:val="000000"/>
        </w:rPr>
        <w:t xml:space="preserve"> mediated protection.</w:t>
      </w:r>
      <w:r w:rsidR="001212A9" w:rsidRPr="000C71A6">
        <w:rPr>
          <w:rFonts w:cs="Arial"/>
          <w:color w:val="000000"/>
        </w:rPr>
        <w:t xml:space="preserve"> </w:t>
      </w:r>
      <w:r w:rsidR="001A694B">
        <w:rPr>
          <w:rFonts w:cs="Arial"/>
          <w:color w:val="000000"/>
        </w:rPr>
        <w:t>Se</w:t>
      </w:r>
      <w:r w:rsidR="00083DEB">
        <w:rPr>
          <w:rFonts w:cs="Arial"/>
          <w:color w:val="000000"/>
        </w:rPr>
        <w:t>r</w:t>
      </w:r>
      <w:r w:rsidR="001A694B">
        <w:rPr>
          <w:rFonts w:cs="Arial"/>
          <w:color w:val="000000"/>
        </w:rPr>
        <w:t xml:space="preserve">um IgG isolated from immunized and sham-immunized mice </w:t>
      </w:r>
      <w:r w:rsidR="00083DEB">
        <w:rPr>
          <w:rFonts w:cs="Arial"/>
          <w:color w:val="000000"/>
        </w:rPr>
        <w:t xml:space="preserve">were transferred </w:t>
      </w:r>
      <w:r w:rsidR="001A694B">
        <w:rPr>
          <w:rFonts w:cs="Arial"/>
          <w:color w:val="000000"/>
        </w:rPr>
        <w:t xml:space="preserve">into </w:t>
      </w:r>
      <w:r w:rsidR="00083DEB" w:rsidRPr="00083DEB">
        <w:rPr>
          <w:rFonts w:cs="Arial"/>
          <w:i/>
          <w:iCs/>
          <w:color w:val="000000"/>
        </w:rPr>
        <w:t>il12b</w:t>
      </w:r>
      <w:r w:rsidR="00083DEB" w:rsidRPr="00083DEB">
        <w:rPr>
          <w:rFonts w:cs="Arial"/>
          <w:color w:val="000000"/>
          <w:vertAlign w:val="superscript"/>
        </w:rPr>
        <w:t>-/-</w:t>
      </w:r>
      <w:r w:rsidR="00083DEB">
        <w:rPr>
          <w:rFonts w:cs="Arial"/>
          <w:color w:val="000000"/>
          <w:vertAlign w:val="superscript"/>
        </w:rPr>
        <w:t xml:space="preserve"> </w:t>
      </w:r>
      <w:r w:rsidR="00083DEB">
        <w:rPr>
          <w:rFonts w:cs="Arial"/>
          <w:color w:val="000000"/>
        </w:rPr>
        <w:t>mice. T</w:t>
      </w:r>
      <w:r w:rsidR="001212A9" w:rsidRPr="000C71A6">
        <w:rPr>
          <w:rFonts w:cs="Arial"/>
          <w:color w:val="000000"/>
        </w:rPr>
        <w:t xml:space="preserve">he protective effect </w:t>
      </w:r>
      <w:r w:rsidR="00083DEB">
        <w:rPr>
          <w:rFonts w:cs="Arial"/>
          <w:color w:val="000000"/>
        </w:rPr>
        <w:t xml:space="preserve">of parasite-specific IgG </w:t>
      </w:r>
      <w:r w:rsidR="001212A9" w:rsidRPr="000C71A6">
        <w:rPr>
          <w:rFonts w:cs="Arial"/>
          <w:color w:val="000000"/>
        </w:rPr>
        <w:t>was limited as parasite</w:t>
      </w:r>
      <w:r w:rsidR="00083DEB">
        <w:rPr>
          <w:rFonts w:cs="Arial"/>
          <w:color w:val="000000"/>
        </w:rPr>
        <w:t xml:space="preserve"> burden</w:t>
      </w:r>
      <w:r w:rsidR="001212A9" w:rsidRPr="000C71A6">
        <w:rPr>
          <w:rFonts w:cs="Arial"/>
          <w:color w:val="000000"/>
        </w:rPr>
        <w:t xml:space="preserve"> did not decrease substantially</w:t>
      </w:r>
      <w:r w:rsidR="00083DEB" w:rsidRPr="00083DEB">
        <w:rPr>
          <w:rFonts w:cs="Arial"/>
          <w:color w:val="000000"/>
        </w:rPr>
        <w:t xml:space="preserve"> </w:t>
      </w:r>
      <w:r w:rsidR="00083DEB">
        <w:rPr>
          <w:rFonts w:cs="Arial"/>
          <w:color w:val="000000"/>
        </w:rPr>
        <w:t xml:space="preserve">in mice receiving IgG from NcMP/CpG animals. </w:t>
      </w:r>
      <w:r w:rsidR="00221F9C" w:rsidRPr="000C71A6">
        <w:rPr>
          <w:rFonts w:cs="Arial"/>
          <w:color w:val="000000"/>
        </w:rPr>
        <w:t xml:space="preserve">Interestingly, there was </w:t>
      </w:r>
      <w:r w:rsidR="00083DEB">
        <w:rPr>
          <w:rFonts w:cs="Arial"/>
          <w:color w:val="000000"/>
        </w:rPr>
        <w:t>an</w:t>
      </w:r>
      <w:r w:rsidR="00221F9C" w:rsidRPr="000C71A6">
        <w:rPr>
          <w:rFonts w:cs="Arial"/>
          <w:color w:val="000000"/>
        </w:rPr>
        <w:t xml:space="preserve"> increase in the levels of IFN-γ in</w:t>
      </w:r>
      <w:r w:rsidR="00083DEB">
        <w:rPr>
          <w:rFonts w:cs="Arial"/>
          <w:color w:val="000000"/>
        </w:rPr>
        <w:t xml:space="preserve"> </w:t>
      </w:r>
      <w:r w:rsidR="00083DEB" w:rsidRPr="00083DEB">
        <w:rPr>
          <w:rFonts w:cs="Arial"/>
          <w:i/>
          <w:iCs/>
          <w:color w:val="000000"/>
        </w:rPr>
        <w:t>il12b</w:t>
      </w:r>
      <w:r w:rsidR="00083DEB" w:rsidRPr="00083DEB">
        <w:rPr>
          <w:rFonts w:cs="Arial"/>
          <w:color w:val="000000"/>
          <w:vertAlign w:val="superscript"/>
        </w:rPr>
        <w:t>-/-</w:t>
      </w:r>
      <w:r w:rsidR="00221F9C" w:rsidRPr="000C71A6">
        <w:rPr>
          <w:rFonts w:cs="Arial"/>
          <w:color w:val="000000"/>
        </w:rPr>
        <w:t xml:space="preserve"> immunized mice, which concurs with the fact that this cytokine may be produced</w:t>
      </w:r>
      <w:r w:rsidR="00201E84">
        <w:rPr>
          <w:rFonts w:cs="Arial"/>
          <w:color w:val="000000"/>
        </w:rPr>
        <w:t xml:space="preserve"> </w:t>
      </w:r>
      <w:r w:rsidR="00E824C8">
        <w:rPr>
          <w:rFonts w:cs="Arial"/>
          <w:color w:val="000000"/>
        </w:rPr>
        <w:t>independently</w:t>
      </w:r>
      <w:r w:rsidR="00221F9C" w:rsidRPr="000C71A6">
        <w:rPr>
          <w:rFonts w:cs="Arial"/>
          <w:color w:val="000000"/>
        </w:rPr>
        <w:t xml:space="preserve"> </w:t>
      </w:r>
      <w:r w:rsidR="00E824C8">
        <w:rPr>
          <w:rFonts w:cs="Arial"/>
          <w:color w:val="000000"/>
        </w:rPr>
        <w:t>of</w:t>
      </w:r>
      <w:r w:rsidR="00221F9C" w:rsidRPr="000C71A6">
        <w:rPr>
          <w:rFonts w:cs="Arial"/>
          <w:color w:val="000000"/>
        </w:rPr>
        <w:t xml:space="preserve"> IL-12 </w:t>
      </w:r>
      <w:r w:rsidR="00221F9C" w:rsidRPr="000C71A6">
        <w:rPr>
          <w:rFonts w:cs="Arial"/>
          <w:color w:val="000000"/>
        </w:rPr>
        <w:fldChar w:fldCharType="begin" w:fldLock="1"/>
      </w:r>
      <w:r w:rsidR="0023236C">
        <w:rPr>
          <w:rFonts w:cs="Arial"/>
          <w:color w:val="000000"/>
        </w:rPr>
        <w:instrText>ADDIN CSL_CITATION {"citationItems":[{"id":"ITEM-1","itemData":{"DOI":"10.1128/IAI.74.2.953-960.2006","ISSN":"00199567","PMID":"16428740","abstract":"Natural killer (NK) cells are considered to be key players in the early innate responses to protozoan infections, primarily indirectly by producing gamma interferon (IFN-γ) in response to cytokines, like interleukin 12 (IL-12). VVe demonstrate that live, as well as heat-inactivated, tachyzoites of Neospora caninum, a Toxoplasma-like protozoan, directly trigger production of IFN-γ from purified, IL-2-activated bovine NK cells. This response occurred independently of IL-12 but was increased by the addition of the cytokine. A similar IFN-γ response was measured in cocultures of NK cells and N. caninum-infected autologous fibroblasts. However, no NK cell-derived IFN-γ response was detected when cells were cultured with soluble antigens from the organism, indicating that intact tachyzoites or nonsoluble components are necessary for NK cell triggering. Furthermore, N. caninum-infected autologous fibroblasts had increased susceptibility to NK cell cytotoxicity compared to uninfected fibroblasts. This cytotoxicity was largely mediated by a perforin-mediated mechanism. The activating receptor NKp46 was involved in cytotoxicity against fibroblasts but could not explain the increased cytotoxicity against infected targets. Interestingly, N. caninum tachyzoites were able to infect cultured NK cells, in which tachyzoites proliferated inside parasitophorous vacuoles. Together, these findings underscore the role of NK cells as primary responders during a protozoan infection, describe intracellular protozoan infection of NK cells in vitro for the first time, and represent the first functional study of purified bovine NK cells in response to infection. Copyright © 2006, American Society for Microbiology. All Rights Reserved.","author":[{"dropping-particle":"","family":"Boysen","given":"Preben","non-dropping-particle":"","parse-names":false,"suffix":""},{"dropping-particle":"","family":"Klevar","given":"Siv","non-dropping-particle":"","parse-names":false,"suffix":""},{"dropping-particle":"","family":"Olsen","given":"Ingrid","non-dropping-particle":"","parse-names":false,"suffix":""},{"dropping-particle":"","family":"Storset","given":"Anne K.","non-dropping-particle":"","parse-names":false,"suffix":""}],"container-title":"Infection and Immunity","id":"ITEM-1","issue":"2","issued":{"date-parts":[["2006","2"]]},"page":"953","publisher":"American Society for Microbiology (ASM)","title":"The Protozoan Neospora caninum Directly Triggers Bovine NK Cells To Produce Gamma Interferon and To Kill Infected Fibroblasts","type":"article-journal","volume":"74"},"uris":["http://www.mendeley.com/documents/?uuid=e33a1f23-cdba-30a0-9e61-25f1541e21c3"]},{"id":"ITEM-2","itemData":{"DOI":"10.1016/J.VACCINE.2018.06.060","ISSN":"0264-410X","PMID":"30037479","abstract":"We have recently demonstrated the effectiveness of an intranasal immunization approach against Neospora caninum infection in immunosufficient mice. Generated evidence indicated that antibodies could be mediating the observed protection. We similarly immunized IL-12/IL-23 p40 chain-deficient (Il12b−/−) mice, which have impaired cellular immunity, to further explore the host protective mechanism conferred by the used immunization strategy. The immunized mice presented lower parasitic burdens after intraperitoneal infection with N. caninum and also had elevated levels of parasite-specific antibodies. However, passive immunization with antibodies purified from immunized donors conferred only limited protection to infected Il12b−/− recipients. Despite their intrinsic IL-12 deficiency, the immunized Il12b−/− mice mounted a parasite-specific immune response that was mediated by interferon-γ (IFN-γ). Neutralization of IFN-γ in the immunized mice abrogated the observed protective effect of the immunization. These results show altogether that the used immunization strategy overcome the cellular immunity defect of Il12b−/− mice and conferred protection from N. caninum infection. The observed protective effect was predominantly mediated by IFN-γ and to a lesser extent but non-negligibly by IgG antibodies. These results also highlight that in a host with compromised cellular immunity, the immune response against intracellular pathogens could be markedly boosted by immunization.","author":[{"dropping-particle":"","family":"Ferreirinha","given":"Pedro","non-dropping-particle":"","parse-names":false,"suffix":""},{"dropping-particle":"","family":"Fróis-Martins","given":"Ricard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dropping-particle":"","family":"Correia","given":"Alexandra","non-dropping-particle":"","parse-names":false,"suffix":""}],"container-title":"Vaccine","id":"ITEM-2","issue":"32","issued":{"date-parts":[["2018","8","6"]]},"page":"4890-4896","publisher":"Elsevier","title":"Interferon-γ-dependent protection against Neospora caninum infection conferred by mucosal immunization in IL-12/IL-23 p40-deficient mice","type":"article-journal","volume":"36"},"uris":["http://www.mendeley.com/documents/?uuid=458aedca-28b3-3a9d-b6f9-d0c3f3b4848a"]}],"mendeley":{"formattedCitation":"[22], [45]","manualFormatting":"[23, 32]","plainTextFormattedCitation":"[22], [45]","previouslyFormattedCitation":"[22], [45]"},"properties":{"noteIndex":0},"schema":"https://github.com/citation-style-language/schema/raw/master/csl-citation.json"}</w:instrText>
      </w:r>
      <w:r w:rsidR="00221F9C" w:rsidRPr="000C71A6">
        <w:rPr>
          <w:rFonts w:cs="Arial"/>
          <w:color w:val="000000"/>
        </w:rPr>
        <w:fldChar w:fldCharType="separate"/>
      </w:r>
      <w:r w:rsidR="002410E7">
        <w:rPr>
          <w:rFonts w:cs="Arial"/>
          <w:noProof/>
          <w:color w:val="000000"/>
        </w:rPr>
        <w:t xml:space="preserve">[23, </w:t>
      </w:r>
      <w:r w:rsidR="00F00084" w:rsidRPr="00F00084">
        <w:rPr>
          <w:rFonts w:cs="Arial"/>
          <w:noProof/>
          <w:color w:val="000000"/>
        </w:rPr>
        <w:t>32]</w:t>
      </w:r>
      <w:r w:rsidR="00221F9C" w:rsidRPr="000C71A6">
        <w:rPr>
          <w:rFonts w:cs="Arial"/>
          <w:color w:val="000000"/>
        </w:rPr>
        <w:fldChar w:fldCharType="end"/>
      </w:r>
      <w:r w:rsidR="00221F9C" w:rsidRPr="000C71A6">
        <w:rPr>
          <w:rFonts w:cs="Arial"/>
          <w:color w:val="000000"/>
        </w:rPr>
        <w:t>.</w:t>
      </w:r>
      <w:r w:rsidR="00083DEB">
        <w:rPr>
          <w:rFonts w:cs="Arial"/>
          <w:color w:val="000000"/>
        </w:rPr>
        <w:t xml:space="preserve"> Th</w:t>
      </w:r>
      <w:r w:rsidR="00E824C8">
        <w:rPr>
          <w:rFonts w:cs="Arial"/>
          <w:color w:val="000000"/>
        </w:rPr>
        <w:t>e</w:t>
      </w:r>
      <w:r w:rsidR="00083DEB">
        <w:rPr>
          <w:rFonts w:cs="Arial"/>
          <w:color w:val="000000"/>
        </w:rPr>
        <w:t xml:space="preserve"> production of </w:t>
      </w:r>
      <w:r w:rsidR="00083DEB" w:rsidRPr="000C71A6">
        <w:rPr>
          <w:rFonts w:cs="Arial"/>
          <w:color w:val="000000"/>
        </w:rPr>
        <w:t>IFN-γ</w:t>
      </w:r>
      <w:r w:rsidR="00E824C8">
        <w:rPr>
          <w:rFonts w:cs="Arial"/>
          <w:color w:val="000000"/>
        </w:rPr>
        <w:t xml:space="preserve"> was identified as the main protective mechanism since when </w:t>
      </w:r>
      <w:r w:rsidR="00E824C8" w:rsidRPr="000C71A6">
        <w:rPr>
          <w:rFonts w:cs="Arial"/>
          <w:color w:val="000000"/>
        </w:rPr>
        <w:t>IFN-γ</w:t>
      </w:r>
      <w:r w:rsidR="00E824C8">
        <w:rPr>
          <w:rFonts w:cs="Arial"/>
          <w:color w:val="000000"/>
        </w:rPr>
        <w:t xml:space="preserve"> neutralization abrogated protection conferred by immunization </w:t>
      </w:r>
      <w:r w:rsidR="00E824C8" w:rsidRPr="000C71A6">
        <w:rPr>
          <w:rFonts w:cs="Arial"/>
          <w:color w:val="000000"/>
        </w:rPr>
        <w:fldChar w:fldCharType="begin" w:fldLock="1"/>
      </w:r>
      <w:r w:rsidR="0023236C">
        <w:rPr>
          <w:rFonts w:cs="Arial"/>
          <w:color w:val="000000"/>
        </w:rPr>
        <w:instrText>ADDIN CSL_CITATION {"citationItems":[{"id":"ITEM-1","itemData":{"DOI":"10.1128/IAI.74.2.953-960.2006","ISSN":"00199567","PMID":"16428740","abstract":"Natural killer (NK) cells are considered to be key players in the early innate responses to protozoan infections, primarily indirectly by producing gamma interferon (IFN-γ) in response to cytokines, like interleukin 12 (IL-12). VVe demonstrate that live, as well as heat-inactivated, tachyzoites of Neospora caninum, a Toxoplasma-like protozoan, directly trigger production of IFN-γ from purified, IL-2-activated bovine NK cells. This response occurred independently of IL-12 but was increased by the addition of the cytokine. A similar IFN-γ response was measured in cocultures of NK cells and N. caninum-infected autologous fibroblasts. However, no NK cell-derived IFN-γ response was detected when cells were cultured with soluble antigens from the organism, indicating that intact tachyzoites or nonsoluble components are necessary for NK cell triggering. Furthermore, N. caninum-infected autologous fibroblasts had increased susceptibility to NK cell cytotoxicity compared to uninfected fibroblasts. This cytotoxicity was largely mediated by a perforin-mediated mechanism. The activating receptor NKp46 was involved in cytotoxicity against fibroblasts but could not explain the increased cytotoxicity against infected targets. Interestingly, N. caninum tachyzoites were able to infect cultured NK cells, in which tachyzoites proliferated inside parasitophorous vacuoles. Together, these findings underscore the role of NK cells as primary responders during a protozoan infection, describe intracellular protozoan infection of NK cells in vitro for the first time, and represent the first functional study of purified bovine NK cells in response to infection. Copyright © 2006, American Society for Microbiology. All Rights Reserved.","author":[{"dropping-particle":"","family":"Boysen","given":"Preben","non-dropping-particle":"","parse-names":false,"suffix":""},{"dropping-particle":"","family":"Klevar","given":"Siv","non-dropping-particle":"","parse-names":false,"suffix":""},{"dropping-particle":"","family":"Olsen","given":"Ingrid","non-dropping-particle":"","parse-names":false,"suffix":""},{"dropping-particle":"","family":"Storset","given":"Anne K.","non-dropping-particle":"","parse-names":false,"suffix":""}],"container-title":"Infection and Immunity","id":"ITEM-1","issue":"2","issued":{"date-parts":[["2006","2"]]},"page":"953","publisher":"American Society for Microbiology (ASM)","title":"The Protozoan Neospora caninum Directly Triggers Bovine NK Cells To Produce Gamma Interferon and To Kill Infected Fibroblasts","type":"article-journal","volume":"74"},"uris":["http://www.mendeley.com/documents/?uuid=e33a1f23-cdba-30a0-9e61-25f1541e21c3"]},{"id":"ITEM-2","itemData":{"DOI":"10.1016/J.VACCINE.2018.06.060","ISSN":"0264-410X","PMID":"30037479","abstract":"We have recently demonstrated the effectiveness of an intranasal immunization approach against Neospora caninum infection in immunosufficient mice. Generated evidence indicated that antibodies could be mediating the observed protection. We similarly immunized IL-12/IL-23 p40 chain-deficient (Il12b−/−) mice, which have impaired cellular immunity, to further explore the host protective mechanism conferred by the used immunization strategy. The immunized mice presented lower parasitic burdens after intraperitoneal infection with N. caninum and also had elevated levels of parasite-specific antibodies. However, passive immunization with antibodies purified from immunized donors conferred only limited protection to infected Il12b−/− recipients. Despite their intrinsic IL-12 deficiency, the immunized Il12b−/− mice mounted a parasite-specific immune response that was mediated by interferon-γ (IFN-γ). Neutralization of IFN-γ in the immunized mice abrogated the observed protective effect of the immunization. These results show altogether that the used immunization strategy overcome the cellular immunity defect of Il12b−/− mice and conferred protection from N. caninum infection. The observed protective effect was predominantly mediated by IFN-γ and to a lesser extent but non-negligibly by IgG antibodies. These results also highlight that in a host with compromised cellular immunity, the immune response against intracellular pathogens could be markedly boosted by immunization.","author":[{"dropping-particle":"","family":"Ferreirinha","given":"Pedro","non-dropping-particle":"","parse-names":false,"suffix":""},{"dropping-particle":"","family":"Fróis-Martins","given":"Ricard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dropping-particle":"","family":"Correia","given":"Alexandra","non-dropping-particle":"","parse-names":false,"suffix":""}],"container-title":"Vaccine","id":"ITEM-2","issue":"32","issued":{"date-parts":[["2018","8","6"]]},"page":"4890-4896","publisher":"Elsevier","title":"Interferon-γ-dependent protection against Neospora caninum infection conferred by mucosal immunization in IL-12/IL-23 p40-deficient mice","type":"article-journal","volume":"36"},"uris":["http://www.mendeley.com/documents/?uuid=458aedca-28b3-3a9d-b6f9-d0c3f3b4848a"]}],"mendeley":{"formattedCitation":"[22], [45]","manualFormatting":"[32]","plainTextFormattedCitation":"[22], [45]","previouslyFormattedCitation":"[22], [45]"},"properties":{"noteIndex":0},"schema":"https://github.com/citation-style-language/schema/raw/master/csl-citation.json"}</w:instrText>
      </w:r>
      <w:r w:rsidR="00E824C8" w:rsidRPr="000C71A6">
        <w:rPr>
          <w:rFonts w:cs="Arial"/>
          <w:color w:val="000000"/>
        </w:rPr>
        <w:fldChar w:fldCharType="separate"/>
      </w:r>
      <w:r w:rsidR="00E824C8">
        <w:rPr>
          <w:rFonts w:cs="Arial"/>
          <w:noProof/>
          <w:color w:val="000000"/>
        </w:rPr>
        <w:t>[</w:t>
      </w:r>
      <w:r w:rsidR="00E824C8" w:rsidRPr="00F00084">
        <w:rPr>
          <w:rFonts w:cs="Arial"/>
          <w:noProof/>
          <w:color w:val="000000"/>
        </w:rPr>
        <w:t>32]</w:t>
      </w:r>
      <w:r w:rsidR="00E824C8" w:rsidRPr="000C71A6">
        <w:rPr>
          <w:rFonts w:cs="Arial"/>
          <w:color w:val="000000"/>
        </w:rPr>
        <w:fldChar w:fldCharType="end"/>
      </w:r>
      <w:r w:rsidR="00E824C8">
        <w:rPr>
          <w:rFonts w:cs="Arial"/>
          <w:color w:val="000000"/>
        </w:rPr>
        <w:t>.</w:t>
      </w:r>
    </w:p>
    <w:p w14:paraId="494C62B9" w14:textId="0ED124B9" w:rsidR="00753B17" w:rsidRDefault="00753B17" w:rsidP="00A078BC">
      <w:pPr>
        <w:pStyle w:val="Estilo1"/>
        <w:divId w:val="684404335"/>
      </w:pPr>
      <w:bookmarkStart w:id="16" w:name="_Toc115037809"/>
      <w:r>
        <w:t>1.4. A combined mucosal and systemic immunization strategy approach</w:t>
      </w:r>
      <w:bookmarkEnd w:id="16"/>
    </w:p>
    <w:p w14:paraId="041B2B22" w14:textId="0FE127FB" w:rsidR="00284C75" w:rsidRDefault="000017CA">
      <w:pPr>
        <w:divId w:val="684404335"/>
        <w:rPr>
          <w:rFonts w:cs="Arial"/>
          <w:color w:val="000000"/>
        </w:rPr>
      </w:pPr>
      <w:r>
        <w:rPr>
          <w:rFonts w:cs="Arial"/>
          <w:color w:val="000000"/>
        </w:rPr>
        <w:t>Building on their previous results, a</w:t>
      </w:r>
      <w:r w:rsidR="00284C75">
        <w:rPr>
          <w:rFonts w:cs="Arial"/>
          <w:color w:val="000000"/>
        </w:rPr>
        <w:t xml:space="preserve"> vaccine that combines mucosal </w:t>
      </w:r>
      <w:r w:rsidR="00A755F2">
        <w:rPr>
          <w:rFonts w:cs="Arial"/>
          <w:color w:val="000000"/>
        </w:rPr>
        <w:t xml:space="preserve">(intranasal) </w:t>
      </w:r>
      <w:r w:rsidR="00284C75">
        <w:rPr>
          <w:rFonts w:cs="Arial"/>
          <w:color w:val="000000"/>
        </w:rPr>
        <w:t xml:space="preserve">and systemic </w:t>
      </w:r>
      <w:r w:rsidR="00A755F2">
        <w:rPr>
          <w:rFonts w:cs="Arial"/>
          <w:color w:val="000000"/>
        </w:rPr>
        <w:t xml:space="preserve">(subcutaneous) administration routes </w:t>
      </w:r>
      <w:r w:rsidR="00284C75">
        <w:rPr>
          <w:rFonts w:cs="Arial"/>
          <w:color w:val="000000"/>
        </w:rPr>
        <w:t xml:space="preserve">is being investigated by the Immunobiology group. </w:t>
      </w:r>
      <w:r w:rsidR="00A631C5">
        <w:rPr>
          <w:rFonts w:cs="Arial"/>
          <w:color w:val="000000"/>
        </w:rPr>
        <w:t xml:space="preserve">Earlier studies have </w:t>
      </w:r>
      <w:r w:rsidR="007218FC">
        <w:rPr>
          <w:rFonts w:cs="Arial"/>
          <w:color w:val="000000"/>
        </w:rPr>
        <w:t xml:space="preserve">focused on </w:t>
      </w:r>
      <w:r w:rsidR="00875958">
        <w:rPr>
          <w:rFonts w:cs="Arial"/>
          <w:color w:val="000000"/>
        </w:rPr>
        <w:t xml:space="preserve">the </w:t>
      </w:r>
      <w:r w:rsidR="00A631C5">
        <w:rPr>
          <w:rFonts w:cs="Arial"/>
          <w:color w:val="000000"/>
        </w:rPr>
        <w:t xml:space="preserve">effectiveness </w:t>
      </w:r>
      <w:r w:rsidR="00875958">
        <w:rPr>
          <w:rFonts w:cs="Arial"/>
          <w:color w:val="000000"/>
        </w:rPr>
        <w:t xml:space="preserve">of mucosal vaccination approaches </w:t>
      </w:r>
      <w:r w:rsidR="00A631C5">
        <w:rPr>
          <w:rFonts w:cs="Arial"/>
          <w:color w:val="000000"/>
        </w:rPr>
        <w:t xml:space="preserve">against </w:t>
      </w:r>
      <w:r w:rsidR="007218FC">
        <w:rPr>
          <w:rFonts w:cs="Arial"/>
          <w:i/>
          <w:color w:val="000000"/>
        </w:rPr>
        <w:t xml:space="preserve">N. caninum </w:t>
      </w:r>
      <w:r w:rsidR="00A631C5">
        <w:rPr>
          <w:rFonts w:cs="Arial"/>
          <w:color w:val="000000"/>
        </w:rPr>
        <w:t>infection</w:t>
      </w:r>
      <w:r w:rsidR="00361D6E">
        <w:rPr>
          <w:rFonts w:cs="Arial"/>
          <w:color w:val="000000"/>
        </w:rPr>
        <w:t xml:space="preserve"> </w:t>
      </w:r>
      <w:r w:rsidR="00A631C5">
        <w:rPr>
          <w:rFonts w:cs="Arial"/>
          <w:color w:val="000000"/>
        </w:rPr>
        <w:t xml:space="preserve">in mice </w:t>
      </w:r>
      <w:r w:rsidR="00A631C5">
        <w:rPr>
          <w:rFonts w:cs="Arial"/>
          <w:color w:val="000000"/>
        </w:rPr>
        <w:fldChar w:fldCharType="begin" w:fldLock="1"/>
      </w:r>
      <w:r w:rsidR="00207072">
        <w:rPr>
          <w:rFonts w:cs="Arial"/>
          <w:color w:val="000000"/>
        </w:rPr>
        <w:instrText>ADDIN CSL_CITATION {"citationItems":[{"id":"ITEM-1","itemData":{"DOI":"10.1111/imm.12191","ISSN":"00192805","PMID":"24128071","abstract":"Neospora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-1","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tract","type":"article-journal","volume":"141"},"uris":["http://www.mendeley.com/documents/?uuid=fbd4020b-89bd-3c5d-8320-1ddc6afb78c0"]},{"id":"ITEM-2","itemData":{"DOI":"10.1016/j.vaccine.2016.10.056","ISSN":"0264410X","PMID":"27814932","abstract":"Neospora caninum is an obligate intracellular protozoan parasite responsible for heavy economic losses in dairy and beef cattle farms worldwide. Although vaccination is widely regarded as the preferable strategy to prevent neosporosis no commercial vaccine is currently available. We have previously shown that intranasal immunization with an N. caninum antigen extract enriched in hydrophobic proteins plus CpG adjuvant protected mice against intragastrically established neosporosis. Nevertheless, the antigen specificity as well as the long-term protective effect of this immunization strategy were not determined. Here, we show that the protective effect of this intranasal immunization procedure lasted for at least 20 weeks. Protection was accompanied by long-lasting elevated levels of parasite-specific serum IgG and intestinal IgA. Moreover, spleen and mesenteric lymph node cells obtained from non-infected long-term immunized mice responded by producing interferon-γ following in vitro parasite-antigen recall. Analysis of serum IgG and intestinal IgA antibody reactivity in immunized mice identified dense granule antigen 7 (NcGRA7) and microneme associated protein 1 (NcMIC1) as immunodominant antigens respectively recognized by those antibody fractions. In summary, this work shows that a previously reported mucosal immunization strategy against N. caninum infection established through the gastrointestinal tract is effective in the long term.","author":[{"dropping-particle":"","family":"Ferreirinha","given":"Pedro","non-dropping-particle":"","parse-names":false,"suffix":""},{"dropping-particle":"","family":"Correia","given":"Alexandra","non-dropping-particle":"","parse-names":false,"suffix":""},{"dropping-particle":"","family":"Teixeira-Coelho","given":"Maria","non-dropping-particle":"","parse-names":false,"suffix":""},{"dropping-particle":"","family":"Osório","given":"Hug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accine","id":"ITEM-2","issue":"50","issued":{"date-parts":[["2016","12","7"]]},"page":"6250-6258","publisher":"Elsevier","title":"Mucosal immunization confers long-term protection against intragastrically established Neospora caninum infection","type":"article-journal","volume":"34"},"uris":["http://www.mendeley.com/documents/?uuid=347fba2f-7f3f-3597-90ed-94381d92a6e5"]},{"id":"ITEM-3","itemData":{"DOI":"10.1016/J.VACCINE.2018.06.060","ISSN":"0264-410X","PMID":"30037479","abstract":"We have recently demonstrated the effectiveness of an intranasal immunization approach against Neospora caninum infection in immunosufficient mice. Generated evidence indicated that antibodies could be mediating the observed protection. We similarly immunized IL-12/IL-23 p40 chain-deficient (Il12b−/−) mice, which have impaired cellular immunity, to further explore the host protective mechanism conferred by the used immunization strategy. The immunized mice presented lower parasitic burdens after intraperitoneal infection with N. caninum and also had elevated levels of parasite-specific antibodies. However, passive immunization with antibodies purified from immunized donors conferred only limited protection to infected Il12b−/− recipients. Despite their intrinsic IL-12 deficiency, the immunized Il12b−/− mice mounted a parasite-specific immune response that was mediated by interferon-γ (IFN-γ). Neutralization of IFN-γ in the immunized mice abrogated the observed protective effect of the immunization. These results show altogether that the used immunization strategy overcome the cellular immunity defect of Il12b−/− mice and conferred protection from N. caninum infection. The observed protective effect was predominantly mediated by IFN-γ and to a lesser extent but non-negligibly by IgG antibodies. These results also highlight that in a host with compromised cellular immunity, the immune response against intracellular pathogens could be markedly boosted by immunization.","author":[{"dropping-particle":"","family":"Ferreirinha","given":"Pedro","non-dropping-particle":"","parse-names":false,"suffix":""},{"dropping-particle":"","family":"Fróis-Martins","given":"Ricard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dropping-particle":"","family":"Correia","given":"Alexandra","non-dropping-particle":"","parse-names":false,"suffix":""}],"container-title":"Vaccine","id":"ITEM-3","issue":"32","issued":{"date-parts":[["2018","8","6"]]},"page":"4890-4896","publisher":"Elsevier","title":"Interferon-γ-dependent protection against Neospora caninum infection conferred by mucosal immunization in IL-12/IL-23 p40-deficient mice","type":"article-journal","volume":"36"},"uris":["http://www.mendeley.com/documents/?uuid=458aedca-28b3-3a9d-b6f9-d0c3f3b4848a"]},{"id":"ITEM-4","itemData":{"DOI":"10.3390/VACCINES10060925","ISSN":"2076-393X","PMID":"35746533","abstract":"Neospora caninum is an obligate intracellular protozoan responsible for abortion and stillbirths in cattle. We previously developed a mucosal vaccination approach using N. caninum membrane proteins and CpG adjuvant that conferred long-term protection against neosporosis in mice. Here, we have extended this approach by alternatively using the carbomer-based adjuvant Carbigen™ in the immunizing preparation. Immunized mice presented higher proportions and numbers of memory CD4+ and CD8+ T cells. Stimulation of spleen, lungs and liver leukocytes with parasite antigens induced a marked production of IFN-γ and IL-17A and, less markedly, IL-4. This balanced response was also evident in that both parasite-specific IgG1 and IgG2c were raised by immunization, together with specific intestinal IgA. Upon intraperitoneal infection with N. caninum, immunized mice presented lower parasitic burdens than sham-immunized controls. In the infected immunized mice, memory CD4+ T cells predominantly expressed T-bet and RORγt, and CD8+ T cells expressing T-bet were found increased. While spleen, lungs and liver leukocytes of both immunized and sham-immunized infected animals produced high amounts of IFN-γ, only the cells from immunized mice responded with high IL-17A production. Since in cattle both IFN-γ and IL-17A have been associated with protective mechanisms against N. caninum infection, the elicited cytokine profile obtained using CarbigenTM as adjuvant indicates that it could be worth exploring for bovine neosporosis vaccination.","author":[{"dropping-particle":"","family":"Correia","given":"Alexandra","non-dropping-particle":"","parse-names":false,"suffix":""},{"dropping-particle":"","family":"Alves","given":"Pedro","non-dropping-particle":"","parse-names":false,"suffix":""},{"dropping-particle":"","family":"Fróis-Martins","given":"Ricardo","non-dropping-particle":"","parse-names":false,"suffix":""},{"dropping-particle":"","family":"Teixeira","given":"Luzia","non-dropping-particle":"","parse-names":false,"suffix":""},{"dropping-particle":"","family":"Vilanova","given":"Manuel","non-dropping-particle":"","parse-names":false,"suffix":""}],"container-title":"Vaccines","id":"ITEM-4","issue":"6","issued":{"date-parts":[["2022","6","10"]]},"note":"T-bet and RORgt associated with Th1 and Th17 cell populations responses, respectively.\n\nIL-17A is generally associated with bacterial and fungal infections, however it has been detected to establish a protective role in protozoan infections such as toxoplasmosis.","page":"925","publisher":"Vaccines (Basel)","title":"Protective Effect against Neosporosis Induced by Intranasal Immunization with Neospora caninum Membrane Antigens Plus Carbomer-Based Adjuvant","type":"article-journal","volume":"10"},"uris":["http://www.mendeley.com/documents/?uuid=55936595-3a35-3056-b6ba-7a00f7805700"]}],"mendeley":{"formattedCitation":"[24], [43]–[45]","manualFormatting":"[21, 30–32]","plainTextFormattedCitation":"[24], [43]–[45]","previouslyFormattedCitation":"[24], [43]–[45]"},"properties":{"noteIndex":0},"schema":"https://github.com/citation-style-language/schema/raw/master/csl-citation.json"}</w:instrText>
      </w:r>
      <w:r w:rsidR="00A631C5">
        <w:rPr>
          <w:rFonts w:cs="Arial"/>
          <w:color w:val="000000"/>
        </w:rPr>
        <w:fldChar w:fldCharType="separate"/>
      </w:r>
      <w:r w:rsidR="002600A2">
        <w:rPr>
          <w:rFonts w:cs="Arial"/>
          <w:noProof/>
          <w:color w:val="000000"/>
        </w:rPr>
        <w:t>[21, 30–</w:t>
      </w:r>
      <w:r w:rsidR="00F00084" w:rsidRPr="00F00084">
        <w:rPr>
          <w:rFonts w:cs="Arial"/>
          <w:noProof/>
          <w:color w:val="000000"/>
        </w:rPr>
        <w:t>32]</w:t>
      </w:r>
      <w:r w:rsidR="00A631C5">
        <w:rPr>
          <w:rFonts w:cs="Arial"/>
          <w:color w:val="000000"/>
        </w:rPr>
        <w:fldChar w:fldCharType="end"/>
      </w:r>
      <w:r w:rsidR="007218FC">
        <w:rPr>
          <w:rFonts w:cs="Arial"/>
          <w:color w:val="000000"/>
        </w:rPr>
        <w:t>.</w:t>
      </w:r>
      <w:r w:rsidR="00A631C5">
        <w:rPr>
          <w:rFonts w:cs="Arial"/>
          <w:color w:val="000000"/>
        </w:rPr>
        <w:t xml:space="preserve"> </w:t>
      </w:r>
      <w:r w:rsidR="007218FC">
        <w:rPr>
          <w:rFonts w:cs="Arial"/>
          <w:color w:val="000000"/>
        </w:rPr>
        <w:t>H</w:t>
      </w:r>
      <w:r w:rsidR="00A631C5">
        <w:rPr>
          <w:rFonts w:cs="Arial"/>
          <w:color w:val="000000"/>
        </w:rPr>
        <w:t xml:space="preserve">owever, </w:t>
      </w:r>
      <w:r w:rsidR="007218FC">
        <w:rPr>
          <w:rFonts w:cs="Arial"/>
          <w:color w:val="000000"/>
        </w:rPr>
        <w:t>preliminary studies revealed that translation from mouse to</w:t>
      </w:r>
      <w:r w:rsidR="00361D6E">
        <w:rPr>
          <w:rFonts w:cs="Arial"/>
          <w:color w:val="000000"/>
        </w:rPr>
        <w:t xml:space="preserve"> cattle immunization </w:t>
      </w:r>
      <w:r w:rsidR="007218FC">
        <w:rPr>
          <w:rFonts w:cs="Arial"/>
          <w:color w:val="000000"/>
        </w:rPr>
        <w:t>was not straightforward and that further optimization had to be done</w:t>
      </w:r>
      <w:r w:rsidR="00361D6E">
        <w:rPr>
          <w:rFonts w:cs="Arial"/>
          <w:color w:val="000000"/>
        </w:rPr>
        <w:t>.</w:t>
      </w:r>
      <w:r w:rsidR="007218FC">
        <w:rPr>
          <w:rFonts w:cs="Arial"/>
          <w:color w:val="000000"/>
        </w:rPr>
        <w:t xml:space="preserve"> Subsequent non-published studies </w:t>
      </w:r>
      <w:r w:rsidR="00A23D80">
        <w:rPr>
          <w:rFonts w:cs="Arial"/>
          <w:color w:val="000000"/>
        </w:rPr>
        <w:t xml:space="preserve">from the group </w:t>
      </w:r>
      <w:r w:rsidR="007218FC">
        <w:rPr>
          <w:rFonts w:cs="Arial"/>
          <w:color w:val="000000"/>
        </w:rPr>
        <w:t>have determined that combination of different adjuvants and routes of immunogen administration was the best approach to induce a measurable parasite-specific immune response.</w:t>
      </w:r>
    </w:p>
    <w:p w14:paraId="6C6B7376" w14:textId="614688B8" w:rsidR="00FF5567" w:rsidRPr="00F00084" w:rsidRDefault="00875958" w:rsidP="0023236C">
      <w:pPr>
        <w:divId w:val="684404335"/>
        <w:rPr>
          <w:rFonts w:cs="Arial"/>
        </w:rPr>
      </w:pPr>
      <w:r>
        <w:rPr>
          <w:rFonts w:cs="Arial"/>
          <w:color w:val="000000"/>
        </w:rPr>
        <w:t xml:space="preserve">The combined mucosal and systemic </w:t>
      </w:r>
      <w:r w:rsidR="00A631C5">
        <w:rPr>
          <w:rFonts w:cs="Arial"/>
          <w:color w:val="000000"/>
        </w:rPr>
        <w:t xml:space="preserve">vaccine </w:t>
      </w:r>
      <w:r w:rsidR="003F6ABF">
        <w:rPr>
          <w:rFonts w:cs="Arial"/>
          <w:color w:val="000000"/>
        </w:rPr>
        <w:t>wa</w:t>
      </w:r>
      <w:r w:rsidR="00A631C5">
        <w:rPr>
          <w:rFonts w:cs="Arial"/>
          <w:color w:val="000000"/>
        </w:rPr>
        <w:t xml:space="preserve">s comprised of </w:t>
      </w:r>
      <w:r w:rsidR="00A631C5">
        <w:rPr>
          <w:rFonts w:cs="Arial"/>
          <w:i/>
          <w:color w:val="000000"/>
        </w:rPr>
        <w:t xml:space="preserve">N. caninum </w:t>
      </w:r>
      <w:r w:rsidR="00A631C5">
        <w:rPr>
          <w:rFonts w:cs="Arial"/>
          <w:color w:val="000000"/>
        </w:rPr>
        <w:t>membrane antigens</w:t>
      </w:r>
      <w:r>
        <w:rPr>
          <w:rFonts w:cs="Arial"/>
          <w:color w:val="000000"/>
        </w:rPr>
        <w:t xml:space="preserve"> plus</w:t>
      </w:r>
      <w:r w:rsidR="00A631C5">
        <w:rPr>
          <w:rFonts w:cs="Arial"/>
          <w:color w:val="000000"/>
        </w:rPr>
        <w:t xml:space="preserve"> </w:t>
      </w:r>
      <w:r w:rsidR="00A15661">
        <w:rPr>
          <w:rFonts w:cs="Arial"/>
        </w:rPr>
        <w:t xml:space="preserve">cytosine-guanine </w:t>
      </w:r>
      <w:r w:rsidR="00A15661" w:rsidRPr="00AF1E8D">
        <w:rPr>
          <w:rFonts w:cs="Arial"/>
        </w:rPr>
        <w:t>oligodeoxynucleotides</w:t>
      </w:r>
      <w:r w:rsidR="001A004B">
        <w:rPr>
          <w:rFonts w:cs="Arial"/>
        </w:rPr>
        <w:t xml:space="preserve"> (CpG)</w:t>
      </w:r>
      <w:r w:rsidR="00A15661">
        <w:rPr>
          <w:rFonts w:cs="Arial"/>
        </w:rPr>
        <w:t xml:space="preserve"> and resiquimod </w:t>
      </w:r>
      <w:r w:rsidR="001A004B">
        <w:rPr>
          <w:rFonts w:cs="Arial"/>
        </w:rPr>
        <w:t xml:space="preserve">(R848) </w:t>
      </w:r>
      <w:r w:rsidR="008E1AD6">
        <w:rPr>
          <w:rFonts w:cs="Arial"/>
        </w:rPr>
        <w:t xml:space="preserve">adjuvants that </w:t>
      </w:r>
      <w:r>
        <w:rPr>
          <w:rFonts w:cs="Arial"/>
        </w:rPr>
        <w:t xml:space="preserve">are able to </w:t>
      </w:r>
      <w:r w:rsidR="008E1AD6">
        <w:rPr>
          <w:rFonts w:cs="Arial"/>
        </w:rPr>
        <w:t>skew the</w:t>
      </w:r>
      <w:r w:rsidR="00DA06EA">
        <w:rPr>
          <w:rFonts w:cs="Arial"/>
        </w:rPr>
        <w:t xml:space="preserve"> induced</w:t>
      </w:r>
      <w:r w:rsidR="008E1AD6">
        <w:rPr>
          <w:rFonts w:cs="Arial"/>
        </w:rPr>
        <w:t xml:space="preserve"> immune response</w:t>
      </w:r>
      <w:r w:rsidR="00DA06EA">
        <w:rPr>
          <w:rFonts w:cs="Arial"/>
        </w:rPr>
        <w:t xml:space="preserve"> </w:t>
      </w:r>
      <w:r w:rsidR="008E1AD6">
        <w:rPr>
          <w:rFonts w:cs="Arial"/>
        </w:rPr>
        <w:t xml:space="preserve">towards a Th1-type response </w:t>
      </w:r>
      <w:r>
        <w:rPr>
          <w:rFonts w:cs="Arial"/>
        </w:rPr>
        <w:t>by</w:t>
      </w:r>
      <w:r w:rsidR="008E1AD6">
        <w:rPr>
          <w:rFonts w:cs="Arial"/>
        </w:rPr>
        <w:t xml:space="preserve"> triggering specific Toll-like receptors (CpG triggers TLR-9 and R848 triggers TLR-7 and TLR-8) </w:t>
      </w:r>
      <w:r w:rsidR="008E1AD6">
        <w:rPr>
          <w:rFonts w:cs="Arial"/>
        </w:rPr>
        <w:fldChar w:fldCharType="begin" w:fldLock="1"/>
      </w:r>
      <w:r w:rsidR="0023236C">
        <w:rPr>
          <w:rFonts w:cs="Arial"/>
        </w:rPr>
        <w:instrText>ADDIN CSL_CITATION {"citationItems":[{"id":"ITEM-1","itemData":{"DOI":"10.1586/14760584.6.5.835","ISSN":"14760584","PMID":"17931162","abstract":"Synthetic immune response modifiers, such as resiquimod, are Toll-like receptor 7 and 8 agonists that act as vaccine adjuvants, enhancing antigen-specific antibody production and skewing immunity t...","author":[{"dropping-particle":"","family":"Tomai","given":"Mark A.","non-dropping-particle":"","parse-names":false,"suffix":""},{"dropping-particle":"","family":"Miller","given":"Richard L.","non-dropping-particle":"","parse-names":false,"suffix":""},{"dropping-particle":"","family":"Lipson","given":"Kenneth E.","non-dropping-particle":"","parse-names":false,"suffix":""},{"dropping-particle":"","family":"Kieper","given":"William C.","non-dropping-particle":"","parse-names":false,"suffix":""},{"dropping-particle":"","family":"Zarraga","given":"Isidro E.","non-dropping-particle":"","parse-names":false,"suffix":""},{"dropping-particle":"","family":"Vasilakos","given":"John P.","non-dropping-particle":"","parse-names":false,"suffix":""}],"container-title":"https://doi.org/10.1586/14760584.6.5.835","id":"ITEM-1","issue":"5","issued":{"date-parts":[["2014","10"]]},"page":"835-847","publisher":"Taylor &amp; Francis","title":"Resiquimod and other immune response modifiers as vaccine adjuvants","type":"article-journal","volume":"6"},"uris":["http://www.mendeley.com/documents/?uuid=1a4a0670-9cbb-32c0-a1eb-c6cc9edc9e02"]},{"id":"ITEM-2","itemData":{"DOI":"10.1586/erv.10.174","ISSN":"1476-0584","abstract":"Synthetic oligodeoxynucleotides (ODNs) containing unmethylated CpG motifs trigger cells that express Toll-like receptor 9 (including human plasmacytoid dendritic cells and B cells) to mount an innate immune response characterized by the production of Th1 and proinflammatory cytokines. When used as vaccine adjuvants, CpG ODNs improve the function of professional antigen-presenting cells and boost the generation of humoral and cellular vaccine-specific immune responses. These effects are optimized by maintaining ODNs and vaccine in close proximity. The adjuvant properties of CpG ODNs are observed when administered either systemically or mucosally, and persist in immunocompromised hosts. Preclinical studies indicate that CpG ODNs improve the activity of vaccines targeting infectious diseases and cancer. Clinical trials demonstrate that CpG ODNs have a good safety profile and increase the immunogenicity of coadministered vaccines.","author":[{"dropping-particle":"","family":"Bode","given":"Christian","non-dropping-particle":"","parse-names":false,"suffix":""},{"dropping-particle":"","family":"Zhao","given":"Gan","non-dropping-particle":"","parse-names":false,"suffix":""},{"dropping-particle":"","family":"Steinhagen","given":"Folkert","non-dropping-particle":"","parse-names":false,"suffix":""},{"dropping-particle":"","family":"Kinjo","given":"Takeshi","non-dropping-particle":"","parse-names":false,"suffix":""},{"dropping-particle":"","family":"Klinman","given":"Dennis M","non-dropping-particle":"","parse-names":false,"suffix":""}],"container-title":"Expert Review of Vaccines","id":"ITEM-2","issue":"4","issued":{"date-parts":[["2011","4","9"]]},"page":"499-511","title":"CpG DNA as a vaccine adjuvant","type":"article-journal","volume":"10"},"uris":["http://www.mendeley.com/documents/?uuid=34966ed3-f5df-372d-8da0-142cc26c2cb7"]}],"mendeley":{"formattedCitation":"[46], [47]","manualFormatting":"[37, 38]","plainTextFormattedCitation":"[46], [47]","previouslyFormattedCitation":"[46], [47]"},"properties":{"noteIndex":0},"schema":"https://github.com/citation-style-language/schema/raw/master/csl-citation.json"}</w:instrText>
      </w:r>
      <w:r w:rsidR="008E1AD6">
        <w:rPr>
          <w:rFonts w:cs="Arial"/>
        </w:rPr>
        <w:fldChar w:fldCharType="separate"/>
      </w:r>
      <w:r w:rsidR="002600A2">
        <w:rPr>
          <w:rFonts w:cs="Arial"/>
          <w:noProof/>
        </w:rPr>
        <w:t xml:space="preserve">[37, </w:t>
      </w:r>
      <w:r w:rsidR="00F00084" w:rsidRPr="00F00084">
        <w:rPr>
          <w:rFonts w:cs="Arial"/>
          <w:noProof/>
        </w:rPr>
        <w:t>38]</w:t>
      </w:r>
      <w:r w:rsidR="008E1AD6">
        <w:rPr>
          <w:rFonts w:cs="Arial"/>
        </w:rPr>
        <w:fldChar w:fldCharType="end"/>
      </w:r>
      <w:r w:rsidR="008E1AD6">
        <w:rPr>
          <w:rFonts w:cs="Arial"/>
        </w:rPr>
        <w:t xml:space="preserve">. Toll-like receptors belong to a group of cellular </w:t>
      </w:r>
      <w:r w:rsidR="003F6ABF">
        <w:rPr>
          <w:rFonts w:cs="Arial"/>
        </w:rPr>
        <w:t>molecules</w:t>
      </w:r>
      <w:r w:rsidR="008E1AD6">
        <w:rPr>
          <w:rFonts w:cs="Arial"/>
        </w:rPr>
        <w:t xml:space="preserve">, the pattern recognition receptors (PRR), that recognise and bind pathogen-associated (PAMP) or damage-associated molecular patterns (DAMP), and </w:t>
      </w:r>
      <w:r>
        <w:rPr>
          <w:rFonts w:cs="Arial"/>
        </w:rPr>
        <w:t xml:space="preserve">initiate </w:t>
      </w:r>
      <w:r w:rsidR="008E1AD6">
        <w:rPr>
          <w:rFonts w:cs="Arial"/>
        </w:rPr>
        <w:t xml:space="preserve">a </w:t>
      </w:r>
      <w:r w:rsidR="008C61D9">
        <w:rPr>
          <w:rFonts w:cs="Arial"/>
        </w:rPr>
        <w:t>signalling</w:t>
      </w:r>
      <w:r>
        <w:rPr>
          <w:rFonts w:cs="Arial"/>
        </w:rPr>
        <w:t xml:space="preserve"> cascade</w:t>
      </w:r>
      <w:r w:rsidR="008E1AD6">
        <w:rPr>
          <w:rFonts w:cs="Arial"/>
        </w:rPr>
        <w:t xml:space="preserve"> that end with the production of pro-inflammatory cytokines as a response to a microbial infection or damaged host tissue, respectively </w:t>
      </w:r>
      <w:r w:rsidR="008E1AD6">
        <w:rPr>
          <w:rFonts w:cs="Arial"/>
        </w:rPr>
        <w:fldChar w:fldCharType="begin" w:fldLock="1"/>
      </w:r>
      <w:r w:rsidR="004A4DFA">
        <w:rPr>
          <w:rFonts w:cs="Arial"/>
        </w:rPr>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mendeley":{"formattedCitation":"[19]","plainTextFormattedCitation":"[19]","previouslyFormattedCitation":"[19]"},"properties":{"noteIndex":0},"schema":"https://github.com/citation-style-language/schema/raw/master/csl-citation.json"}</w:instrText>
      </w:r>
      <w:r w:rsidR="008E1AD6">
        <w:rPr>
          <w:rFonts w:cs="Arial"/>
        </w:rPr>
        <w:fldChar w:fldCharType="separate"/>
      </w:r>
      <w:r w:rsidR="004A4DFA" w:rsidRPr="004A4DFA">
        <w:rPr>
          <w:rFonts w:cs="Arial"/>
          <w:noProof/>
        </w:rPr>
        <w:t>[19]</w:t>
      </w:r>
      <w:r w:rsidR="008E1AD6">
        <w:rPr>
          <w:rFonts w:cs="Arial"/>
        </w:rPr>
        <w:fldChar w:fldCharType="end"/>
      </w:r>
      <w:r w:rsidR="008E1AD6">
        <w:rPr>
          <w:rFonts w:cs="Arial"/>
        </w:rPr>
        <w:t xml:space="preserve">. TLR-9 is an intracellular </w:t>
      </w:r>
      <w:r w:rsidR="009C2862">
        <w:rPr>
          <w:rFonts w:cs="Arial"/>
        </w:rPr>
        <w:t xml:space="preserve">PRR </w:t>
      </w:r>
      <w:r w:rsidR="008E1AD6">
        <w:rPr>
          <w:rFonts w:cs="Arial"/>
        </w:rPr>
        <w:t>that specifi</w:t>
      </w:r>
      <w:r w:rsidR="009C2862">
        <w:rPr>
          <w:rFonts w:cs="Arial"/>
        </w:rPr>
        <w:t xml:space="preserve">cally recognizes </w:t>
      </w:r>
      <w:r w:rsidR="008E1AD6">
        <w:rPr>
          <w:rFonts w:cs="Arial"/>
        </w:rPr>
        <w:t xml:space="preserve">bacterial </w:t>
      </w:r>
      <w:r w:rsidR="009C2862">
        <w:rPr>
          <w:rFonts w:cs="Arial"/>
        </w:rPr>
        <w:t xml:space="preserve">and viral </w:t>
      </w:r>
      <w:r w:rsidR="008E1AD6">
        <w:rPr>
          <w:rFonts w:cs="Arial"/>
        </w:rPr>
        <w:t>DNA</w:t>
      </w:r>
      <w:r w:rsidR="003F6ABF">
        <w:rPr>
          <w:rFonts w:cs="Arial"/>
        </w:rPr>
        <w:t xml:space="preserve">, </w:t>
      </w:r>
      <w:r w:rsidR="008E1AD6">
        <w:rPr>
          <w:rFonts w:cs="Arial"/>
        </w:rPr>
        <w:t>that differs from DNA of animals by the presence of unmethylated cytosine-guanosine (CpG) dinucleotide</w:t>
      </w:r>
      <w:r w:rsidR="003F6ABF">
        <w:rPr>
          <w:rFonts w:cs="Arial"/>
        </w:rPr>
        <w:t>s</w:t>
      </w:r>
      <w:r w:rsidR="008E1AD6">
        <w:rPr>
          <w:rFonts w:cs="Arial"/>
        </w:rPr>
        <w:t xml:space="preserve"> that a</w:t>
      </w:r>
      <w:r w:rsidR="003F6ABF">
        <w:rPr>
          <w:rFonts w:cs="Arial"/>
        </w:rPr>
        <w:t>re</w:t>
      </w:r>
      <w:r w:rsidR="008E1AD6">
        <w:rPr>
          <w:rFonts w:cs="Arial"/>
        </w:rPr>
        <w:t xml:space="preserve"> </w:t>
      </w:r>
      <w:r w:rsidR="009C2862">
        <w:rPr>
          <w:rFonts w:cs="Arial"/>
        </w:rPr>
        <w:t xml:space="preserve">mainly </w:t>
      </w:r>
      <w:r w:rsidR="008E1AD6">
        <w:rPr>
          <w:rFonts w:cs="Arial"/>
        </w:rPr>
        <w:t>methylated in animals. TLR-7 and TLR-8 are</w:t>
      </w:r>
      <w:r w:rsidR="008F0826">
        <w:rPr>
          <w:rFonts w:cs="Arial"/>
        </w:rPr>
        <w:t xml:space="preserve"> also</w:t>
      </w:r>
      <w:r w:rsidR="008E1AD6">
        <w:rPr>
          <w:rFonts w:cs="Arial"/>
        </w:rPr>
        <w:t xml:space="preserve"> intracellular </w:t>
      </w:r>
      <w:r w:rsidR="008F0826">
        <w:rPr>
          <w:rFonts w:cs="Arial"/>
        </w:rPr>
        <w:t xml:space="preserve">PRRs </w:t>
      </w:r>
      <w:r w:rsidR="008E1AD6">
        <w:rPr>
          <w:rFonts w:cs="Arial"/>
        </w:rPr>
        <w:t>that recognize viral single-stranded (ss)RNA</w:t>
      </w:r>
      <w:r w:rsidR="008F0826">
        <w:rPr>
          <w:rFonts w:cs="Arial"/>
        </w:rPr>
        <w:t>.</w:t>
      </w:r>
      <w:r w:rsidR="008E1AD6">
        <w:rPr>
          <w:rFonts w:cs="Arial"/>
        </w:rPr>
        <w:t xml:space="preserve"> </w:t>
      </w:r>
      <w:r w:rsidR="008F0826" w:rsidRPr="008F0826">
        <w:rPr>
          <w:rFonts w:cs="Arial"/>
        </w:rPr>
        <w:t xml:space="preserve">Although </w:t>
      </w:r>
      <w:r w:rsidR="008E1AD6">
        <w:rPr>
          <w:rFonts w:cs="Arial"/>
        </w:rPr>
        <w:t xml:space="preserve">ssRNA </w:t>
      </w:r>
      <w:r w:rsidR="008F0826">
        <w:rPr>
          <w:rFonts w:cs="Arial"/>
        </w:rPr>
        <w:t xml:space="preserve">are </w:t>
      </w:r>
      <w:r w:rsidR="008F0826" w:rsidRPr="008F0826">
        <w:rPr>
          <w:rFonts w:cs="Arial"/>
        </w:rPr>
        <w:t>the natural ligands for TLR7 and TLR8</w:t>
      </w:r>
      <w:r w:rsidR="008F0826">
        <w:rPr>
          <w:rFonts w:cs="Arial"/>
        </w:rPr>
        <w:t>,</w:t>
      </w:r>
      <w:r w:rsidR="008F0826" w:rsidRPr="008F0826">
        <w:rPr>
          <w:rFonts w:cs="Arial"/>
        </w:rPr>
        <w:t xml:space="preserve"> </w:t>
      </w:r>
      <w:r w:rsidR="008F0826">
        <w:rPr>
          <w:rFonts w:cs="Arial"/>
        </w:rPr>
        <w:t xml:space="preserve">they </w:t>
      </w:r>
      <w:r w:rsidR="008E1AD6">
        <w:rPr>
          <w:rFonts w:cs="Arial"/>
        </w:rPr>
        <w:t>are highly unstable and are degraded quite easily</w:t>
      </w:r>
      <w:r w:rsidR="008F0826">
        <w:rPr>
          <w:rFonts w:cs="Arial"/>
        </w:rPr>
        <w:t>. Thus,</w:t>
      </w:r>
      <w:r w:rsidR="008E1AD6">
        <w:rPr>
          <w:rFonts w:cs="Arial"/>
        </w:rPr>
        <w:t xml:space="preserve"> </w:t>
      </w:r>
      <w:r w:rsidR="008F0826">
        <w:rPr>
          <w:rFonts w:cs="Arial"/>
        </w:rPr>
        <w:t>for</w:t>
      </w:r>
      <w:r w:rsidR="008F0826" w:rsidRPr="008F0826">
        <w:rPr>
          <w:rFonts w:cs="Arial"/>
        </w:rPr>
        <w:t xml:space="preserve"> vaccin</w:t>
      </w:r>
      <w:r w:rsidR="008F0826">
        <w:rPr>
          <w:rFonts w:cs="Arial"/>
        </w:rPr>
        <w:t>ation</w:t>
      </w:r>
      <w:r w:rsidR="008F0826" w:rsidRPr="008F0826">
        <w:rPr>
          <w:rFonts w:cs="Arial"/>
        </w:rPr>
        <w:t xml:space="preserve"> studies</w:t>
      </w:r>
      <w:r w:rsidR="008F0826">
        <w:rPr>
          <w:rFonts w:cs="Arial"/>
        </w:rPr>
        <w:t xml:space="preserve">, the use of </w:t>
      </w:r>
      <w:r w:rsidR="008F0826" w:rsidRPr="008F0826">
        <w:rPr>
          <w:rFonts w:cs="Arial"/>
        </w:rPr>
        <w:t>synthetic small molecule</w:t>
      </w:r>
      <w:r w:rsidR="003F6ABF">
        <w:rPr>
          <w:rFonts w:cs="Arial"/>
        </w:rPr>
        <w:t>s,</w:t>
      </w:r>
      <w:r w:rsidR="008F0826" w:rsidRPr="008F0826">
        <w:rPr>
          <w:rFonts w:cs="Arial"/>
        </w:rPr>
        <w:t xml:space="preserve"> imidazoquinolines, such as imiquimod and resiquimod</w:t>
      </w:r>
      <w:r w:rsidR="008E1AD6">
        <w:rPr>
          <w:rFonts w:cs="Arial"/>
        </w:rPr>
        <w:t xml:space="preserve">, is much preferred </w:t>
      </w:r>
      <w:r w:rsidR="008E1AD6">
        <w:rPr>
          <w:rFonts w:cs="Arial"/>
        </w:rPr>
        <w:fldChar w:fldCharType="begin" w:fldLock="1"/>
      </w:r>
      <w:r w:rsidR="0023236C">
        <w:rPr>
          <w:rFonts w:cs="Arial"/>
        </w:rPr>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Immunology","type":"chapter"},"uris":["http://www.mendeley.com/documents/?uuid=5b612fa0-4782-467b-a937-4cc8cbeba109"]},{"id":"ITEM-2","itemData":{"DOI":"10.1586/14760584.6.5.835","ISSN":"14760584","PMID":"17931162","abstract":"Synthetic immune response modifiers, such as resiquimod, are Toll-like receptor 7 and 8 agonists that act as vaccine adjuvants, enhancing antigen-specific antibody production and skewing immunity t...","author":[{"dropping-particle":"","family":"Tomai","given":"Mark A.","non-dropping-particle":"","parse-names":false,"suffix":""},{"dropping-particle":"","family":"Miller","given":"Richard L.","non-dropping-particle":"","parse-names":false,"suffix":""},{"dropping-particle":"","family":"Lipson","given":"Kenneth E.","non-dropping-particle":"","parse-names":false,"suffix":""},{"dropping-particle":"","family":"Kieper","given":"William C.","non-dropping-particle":"","parse-names":false,"suffix":""},{"dropping-particle":"","family":"Zarraga","given":"Isidro E.","non-dropping-particle":"","parse-names":false,"suffix":""},{"dropping-particle":"","family":"Vasilakos","given":"John P.","non-dropping-particle":"","parse-names":false,"suffix":""}],"container-title":"https://doi.org/10.1586/14760584.6.5.835","id":"ITEM-2","issue":"5","issued":{"date-parts":[["2014","10"]]},"page":"835-847","publisher":"Taylor &amp; Francis","title":"Resiquimod and other immune response modifiers as vaccine adjuvants","type":"article-journal","volume":"6"},"uris":["http://www.mendeley.com/documents/?uuid=1a4a0670-9cbb-32c0-a1eb-c6cc9edc9e02"]}],"mendeley":{"formattedCitation":"[19], [46]","manualFormatting":"[19, 37]","plainTextFormattedCitation":"[19], [46]","previouslyFormattedCitation":"[19], [46]"},"properties":{"noteIndex":0},"schema":"https://github.com/citation-style-language/schema/raw/master/csl-citation.json"}</w:instrText>
      </w:r>
      <w:r w:rsidR="008E1AD6">
        <w:rPr>
          <w:rFonts w:cs="Arial"/>
        </w:rPr>
        <w:fldChar w:fldCharType="separate"/>
      </w:r>
      <w:r w:rsidR="002600A2">
        <w:rPr>
          <w:rFonts w:cs="Arial"/>
          <w:noProof/>
        </w:rPr>
        <w:t xml:space="preserve">[19, </w:t>
      </w:r>
      <w:r w:rsidR="00F00084" w:rsidRPr="00F00084">
        <w:rPr>
          <w:rFonts w:cs="Arial"/>
          <w:noProof/>
        </w:rPr>
        <w:t>37]</w:t>
      </w:r>
      <w:r w:rsidR="008E1AD6">
        <w:rPr>
          <w:rFonts w:cs="Arial"/>
        </w:rPr>
        <w:fldChar w:fldCharType="end"/>
      </w:r>
      <w:r w:rsidR="008E1AD6">
        <w:rPr>
          <w:rFonts w:cs="Arial"/>
        </w:rPr>
        <w:t>.</w:t>
      </w:r>
      <w:r w:rsidR="00FF5567">
        <w:rPr>
          <w:rFonts w:cs="Arial"/>
        </w:rPr>
        <w:t xml:space="preserve"> </w:t>
      </w:r>
      <w:r w:rsidR="008C61D9">
        <w:rPr>
          <w:rFonts w:cs="Arial"/>
        </w:rPr>
        <w:t xml:space="preserve">The </w:t>
      </w:r>
      <w:r w:rsidR="00FF5567">
        <w:rPr>
          <w:rFonts w:cs="Arial"/>
        </w:rPr>
        <w:t xml:space="preserve">combined </w:t>
      </w:r>
      <w:r w:rsidR="008C61D9">
        <w:rPr>
          <w:rFonts w:cs="Arial"/>
        </w:rPr>
        <w:t xml:space="preserve">vaccination approach also contains the adjuvant Carbigen™ in the intranasal immunization preparations. This </w:t>
      </w:r>
      <w:r w:rsidR="003A714E">
        <w:rPr>
          <w:rFonts w:cs="Arial"/>
        </w:rPr>
        <w:t>low-cost</w:t>
      </w:r>
      <w:r w:rsidR="008C61D9">
        <w:rPr>
          <w:rFonts w:cs="Arial"/>
        </w:rPr>
        <w:t xml:space="preserve"> adjuvant has already been used</w:t>
      </w:r>
      <w:r w:rsidR="003A714E">
        <w:rPr>
          <w:rFonts w:cs="Arial"/>
        </w:rPr>
        <w:t xml:space="preserve"> through the intranasal route and</w:t>
      </w:r>
      <w:r w:rsidR="00665152">
        <w:rPr>
          <w:rFonts w:cs="Arial"/>
        </w:rPr>
        <w:t>,</w:t>
      </w:r>
      <w:r w:rsidR="003A714E">
        <w:rPr>
          <w:rFonts w:cs="Arial"/>
        </w:rPr>
        <w:t xml:space="preserve"> although inducing mixed Th1-Th2 type responses, it conferred partial protection against neosporosis in mice</w:t>
      </w:r>
      <w:r w:rsidR="00DA06EA">
        <w:rPr>
          <w:rFonts w:cs="Arial"/>
        </w:rPr>
        <w:t xml:space="preserve"> </w:t>
      </w:r>
      <w:r w:rsidR="00DA06EA">
        <w:rPr>
          <w:rFonts w:cs="Arial"/>
        </w:rPr>
        <w:fldChar w:fldCharType="begin" w:fldLock="1"/>
      </w:r>
      <w:r w:rsidR="003D7092">
        <w:rPr>
          <w:rFonts w:cs="Arial"/>
        </w:rPr>
        <w:instrText>ADDIN CSL_CITATION {"citationItems":[{"id":"ITEM-1","itemData":{"DOI":"10.3390/VACCINES10060925","ISSN":"2076-393X","PMID":"35746533","abstract":"Neospora caninum is an obligate intracellular protozoan responsible for abortion and stillbirths in cattle. We previously developed a mucosal vaccination approach using N. caninum membrane proteins and CpG adjuvant that conferred long-term protection against neosporosis in mice. Here, we have extended this approach by alternatively using the carbomer-based adjuvant Carbigen™ in the immunizing preparation. Immunized mice presented higher proportions and numbers of memory CD4+ and CD8+ T cells. Stimulation of spleen, lungs and liver leukocytes with parasite antigens induced a marked production of IFN-γ and IL-17A and, less markedly, IL-4. This balanced response was also evident in that both parasite-specific IgG1 and IgG2c were raised by immunization, together with specific intestinal IgA. Upon intraperitoneal infection with N. caninum, immunized mice presented lower parasitic burdens than sham-immunized controls. In the infected immunized mice, memory CD4+ T cells predominantly expressed T-bet and RORγt, and CD8+ T cells expressing T-bet were found increased. While spleen, lungs and liver leukocytes of both immunized and sham-immunized infected animals produced high amounts of IFN-γ, only the cells from immunized mice responded with high IL-17A production. Since in cattle both IFN-γ and IL-17A have been associated with protective mechanisms against N. caninum infection, the elicited cytokine profile obtained using CarbigenTM as adjuvant indicates that it could be worth exploring for bovine neosporosis vaccination.","author":[{"dropping-particle":"","family":"Correia","given":"Alexandra","non-dropping-particle":"","parse-names":false,"suffix":""},{"dropping-particle":"","family":"Alves","given":"Pedro","non-dropping-particle":"","parse-names":false,"suffix":""},{"dropping-particle":"","family":"Fróis-Martins","given":"Ricardo","non-dropping-particle":"","parse-names":false,"suffix":""},{"dropping-particle":"","family":"Teixeira","given":"Luzia","non-dropping-particle":"","parse-names":false,"suffix":""},{"dropping-particle":"","family":"Vilanova","given":"Manuel","non-dropping-particle":"","parse-names":false,"suffix":""}],"container-title":"Vaccines","id":"ITEM-1","issue":"6","issued":{"date-parts":[["2022","6","10"]]},"note":"T-bet and RORgt associated with Th1 and Th17 cell populations responses, respectively.\n\nIL-17A is generally associated with bacterial and fungal infections, however it has been detected to establish a protective role in protozoan infections such as toxoplasmosis.","page":"925","publisher":"Vaccines (Basel)","title":"Protective Effect against Neosporosis Induced by Intranasal Immunization with Neospora caninum Membrane Antigens Plus Carbomer-Based Adjuvant","type":"article-journal","volume":"10"},"uris":["http://www.mendeley.com/documents/?uuid=55936595-3a35-3056-b6ba-7a00f7805700"]}],"mendeley":{"formattedCitation":"[24]","plainTextFormattedCitation":"[24]","previouslyFormattedCitation":"[24]"},"properties":{"noteIndex":0},"schema":"https://github.com/citation-style-language/schema/raw/master/csl-citation.json"}</w:instrText>
      </w:r>
      <w:r w:rsidR="00DA06EA">
        <w:rPr>
          <w:rFonts w:cs="Arial"/>
        </w:rPr>
        <w:fldChar w:fldCharType="separate"/>
      </w:r>
      <w:r w:rsidR="003D7092" w:rsidRPr="003D7092">
        <w:rPr>
          <w:rFonts w:cs="Arial"/>
          <w:noProof/>
        </w:rPr>
        <w:t>[24]</w:t>
      </w:r>
      <w:r w:rsidR="00DA06EA">
        <w:rPr>
          <w:rFonts w:cs="Arial"/>
        </w:rPr>
        <w:fldChar w:fldCharType="end"/>
      </w:r>
      <w:r w:rsidR="00665152">
        <w:rPr>
          <w:rFonts w:cs="Arial"/>
        </w:rPr>
        <w:t xml:space="preserve">. </w:t>
      </w:r>
      <w:r w:rsidR="006828E3">
        <w:rPr>
          <w:rFonts w:cs="Arial"/>
        </w:rPr>
        <w:t>P</w:t>
      </w:r>
      <w:r w:rsidR="006828E3" w:rsidRPr="006828E3">
        <w:rPr>
          <w:rFonts w:cs="Arial"/>
        </w:rPr>
        <w:t>olyacrylic acids</w:t>
      </w:r>
      <w:r w:rsidR="006828E3">
        <w:rPr>
          <w:rFonts w:cs="Arial"/>
        </w:rPr>
        <w:t>,</w:t>
      </w:r>
      <w:r w:rsidR="006828E3" w:rsidRPr="006828E3">
        <w:rPr>
          <w:rFonts w:cs="Arial"/>
        </w:rPr>
        <w:t xml:space="preserve"> such as Carbigen™</w:t>
      </w:r>
      <w:r w:rsidR="006828E3">
        <w:rPr>
          <w:rFonts w:cs="Arial"/>
        </w:rPr>
        <w:t xml:space="preserve">, are adjuvants used in the veterinary field and have </w:t>
      </w:r>
      <w:r w:rsidR="006828E3" w:rsidRPr="006828E3">
        <w:rPr>
          <w:rFonts w:cs="Arial"/>
        </w:rPr>
        <w:t xml:space="preserve">mucoadhesive characteristics </w:t>
      </w:r>
      <w:r w:rsidR="006828E3">
        <w:rPr>
          <w:rFonts w:cs="Arial"/>
        </w:rPr>
        <w:t xml:space="preserve">that make them suitable for intranasal administrations and </w:t>
      </w:r>
      <w:r w:rsidR="00665152">
        <w:rPr>
          <w:rFonts w:cs="Arial"/>
        </w:rPr>
        <w:t xml:space="preserve">are </w:t>
      </w:r>
      <w:r w:rsidR="00ED038C">
        <w:rPr>
          <w:rFonts w:cs="Arial"/>
        </w:rPr>
        <w:t xml:space="preserve">able to </w:t>
      </w:r>
      <w:r w:rsidR="006828E3">
        <w:rPr>
          <w:rFonts w:cs="Arial"/>
        </w:rPr>
        <w:t xml:space="preserve">induce </w:t>
      </w:r>
      <w:r w:rsidR="00ED038C">
        <w:rPr>
          <w:rFonts w:cs="Arial"/>
        </w:rPr>
        <w:t>antigen-specific</w:t>
      </w:r>
      <w:r w:rsidR="006828E3">
        <w:rPr>
          <w:rFonts w:cs="Arial"/>
        </w:rPr>
        <w:t xml:space="preserve"> IgA</w:t>
      </w:r>
      <w:r w:rsidR="0040361B">
        <w:rPr>
          <w:rFonts w:cs="Arial"/>
        </w:rPr>
        <w:t xml:space="preserve"> </w:t>
      </w:r>
      <w:r w:rsidR="0040361B">
        <w:rPr>
          <w:rFonts w:cs="Arial"/>
        </w:rPr>
        <w:fldChar w:fldCharType="begin" w:fldLock="1"/>
      </w:r>
      <w:r w:rsidR="0023236C">
        <w:rPr>
          <w:rFonts w:cs="Arial"/>
        </w:rPr>
        <w:instrText>ADDIN CSL_CITATION {"citationItems":[{"id":"ITEM-1","itemData":{"DOI":"10.1128/CVI.00699-13","author":[{"dropping-particle":"","family":"Angelos","given":"John A","non-dropping-particle":"","parse-names":false,"suffix":""},{"dropping-particle":"","family":"Edman","given":"Judy M","non-dropping-particle":"","parse-names":false,"suffix":""},{"dropping-particle":"","family":"Chigerwe","given":"Munashe","non-dropping-particle":"","parse-names":false,"suffix":""}],"id":"ITEM-1","issue":"2","issued":{"date-parts":[["2014"]]},"page":"181","title":"Adjuvanted with Polyacrylic Acid Recombinant Moraxella bovis Cytotoxin following Intranasal Vaccination with Ocular Immune Responses in Steers","type":"article-journal","volume":"21"},"uris":["http://www.mendeley.com/documents/?uuid=5859487a-a426-34f2-892c-4fdd159fdef4"]},{"id":"ITEM-2","itemData":{"DOI":"10.1016/J.VACCINE.2012.08.028","ISSN":"1873-2518","PMID":"22975025","abstract":"Periodontal disease, gingival inflammation (gingivitis) and periodontal attachment loss (periodontitis), causes tooth loss and susceptibility to chronic inflammation. Professionally scaling and cleaning the teeth regularly controls the disease, but is expensive in companion animals. Eikenella corrodens is common in canine oral cavities where it is a source of lysine decarboxylase (LDC). In human dental biofilms (plaques), LDC converts lysine to cadaverine and impairs the gingival epithelial barrier to bacteria. LDC vaccination may therefore retard gingivitis development. Year-old beagle dogs provided blood samples, and had weight and clinical measurements (biofilm and gingivitis) recorded. After scaling and cleaning, two dogs were immunized subcutaneously with 0.2mg native LDC from E. corrodens and 2 sets of four dogs with 0.2mg recombinant LDC purified from Escherichia coli. A third set of 4 dogs was immunized intranasally. Rehydragel®, Emulsigen®, Polygen™ or Carbigen™ were used as adjuvant. Four additional pairs of dogs were sham-immunized with each adjuvant alone (controls). Immunizations were repeated twice, 3 weeks apart, and clinical measurements were obtained after another 2 weeks, when the teeth were scaled and cleaned again. Tooth brushing was then stopped and the diet was changed from hard to soft chow. Clinical measurements were repeated after 1, 2, 3, 4, 6 and 8 weeks. Compared with sham-immunized dogs, gingivitis was reduced over all 8 weeks of soft diet after subcutaneous immunization with native LDC, or after intranasal immunization with recombinant LDC in Carbigen™, but for only 6 of the 8 weeks after subcutaneous immunization with recombinant LDC in Emulsigen® (repeated measures ANOVA). Subcutaneous vaccination induced a strong serum IgG antibody response that decreased during the soft diet period, whereas intranasal immunization induced a weak serum IgA antibody response that did not decrease. Immunization with recombinant LDC may provide protection from gingivitis if procedures are optimized. © 2012 Elsevier Ltd.","author":[{"dropping-particle":"","family":"Peters","given":"Jennifer L.","non-dropping-particle":"","parse-names":false,"suffix":""},{"dropping-particle":"","family":"DeMars","given":"Paul L.","non-dropping-particle":"","parse-names":false,"suffix":""},{"dropping-particle":"","family":"Collins","given":"Lindsay M.","non-dropping-particle":"","parse-names":false,"suffix":""},{"dropping-particle":"","family":"Stoner","given":"Julie A.","non-dropping-particle":"","parse-names":false,"suffix":""},{"dropping-particle":"","family":"Matsumoto","given":"Hiroyuki","non-dropping-particle":"","parse-names":false,"suffix":""},{"dropping-particle":"","family":"Komori","given":"Naoka","non-dropping-particle":"","parse-names":false,"suffix":""},{"dropping-particle":"","family":"Singh","given":"Anil","non-dropping-particle":"","parse-names":false,"suffix":""},{"dropping-particle":"","family":"Feasley","given":"Christa L.","non-dropping-particle":"","parse-names":false,"suffix":""},{"dropping-particle":"","family":"Haddock","given":"James A.","non-dropping-particle":"","parse-names":false,"suffix":""},{"dropping-particle":"","family":"Levine","given":"Martin","non-dropping-particle":"","parse-names":false,"suffix":""}],"container-title":"Vaccine","id":"ITEM-2","issue":"47","issued":{"date-parts":[["2012","10","19"]]},"page":"6706-6712","publisher":"Vaccine","title":"Effects of immunization with natural and recombinant lysine decarboxylase on canine gingivitis development","type":"article-journal","volume":"30"},"uris":["http://www.mendeley.com/documents/?uuid=ca7ab2f6-ff92-3938-9868-8ec66acc205c"]}],"mendeley":{"formattedCitation":"[48], [49]","manualFormatting":"[39, 40]","plainTextFormattedCitation":"[48], [49]","previouslyFormattedCitation":"[48], [49]"},"properties":{"noteIndex":0},"schema":"https://github.com/citation-style-language/schema/raw/master/csl-citation.json"}</w:instrText>
      </w:r>
      <w:r w:rsidR="0040361B">
        <w:rPr>
          <w:rFonts w:cs="Arial"/>
        </w:rPr>
        <w:fldChar w:fldCharType="separate"/>
      </w:r>
      <w:r w:rsidR="002600A2">
        <w:rPr>
          <w:rFonts w:cs="Arial"/>
          <w:noProof/>
        </w:rPr>
        <w:t xml:space="preserve">[39, </w:t>
      </w:r>
      <w:r w:rsidR="00F00084" w:rsidRPr="00F00084">
        <w:rPr>
          <w:rFonts w:cs="Arial"/>
          <w:noProof/>
        </w:rPr>
        <w:t>40]</w:t>
      </w:r>
      <w:r w:rsidR="0040361B">
        <w:rPr>
          <w:rFonts w:cs="Arial"/>
        </w:rPr>
        <w:fldChar w:fldCharType="end"/>
      </w:r>
      <w:r w:rsidR="00C62877">
        <w:rPr>
          <w:rFonts w:cs="Arial"/>
        </w:rPr>
        <w:t>.</w:t>
      </w:r>
    </w:p>
    <w:p w14:paraId="0F7DC2E8" w14:textId="0B756182" w:rsidR="004A5430" w:rsidRDefault="0040361B" w:rsidP="00C21FD7">
      <w:pPr>
        <w:pStyle w:val="tesettulos"/>
        <w:divId w:val="684404335"/>
      </w:pPr>
      <w:bookmarkStart w:id="17" w:name="_Toc115037810"/>
      <w:r>
        <w:t xml:space="preserve">2. </w:t>
      </w:r>
      <w:r w:rsidR="004A5430">
        <w:t>Objectives</w:t>
      </w:r>
      <w:bookmarkEnd w:id="17"/>
    </w:p>
    <w:p w14:paraId="5832E745" w14:textId="4C5EBB7C" w:rsidR="00FF4897" w:rsidRDefault="001A004B" w:rsidP="00FB6DF6">
      <w:r>
        <w:t>Th</w:t>
      </w:r>
      <w:r w:rsidR="00FF4897">
        <w:t>e main objectives of this work were:</w:t>
      </w:r>
    </w:p>
    <w:p w14:paraId="2B8FADD7" w14:textId="7713255B" w:rsidR="00FF4897" w:rsidRDefault="00FF4897" w:rsidP="00FF4897">
      <w:pPr>
        <w:pStyle w:val="PargrafodaLista"/>
        <w:numPr>
          <w:ilvl w:val="0"/>
          <w:numId w:val="7"/>
        </w:numPr>
      </w:pPr>
      <w:r>
        <w:t>to</w:t>
      </w:r>
      <w:r w:rsidR="001A004B">
        <w:t xml:space="preserve"> </w:t>
      </w:r>
      <w:r>
        <w:t xml:space="preserve">investigate </w:t>
      </w:r>
      <w:r w:rsidR="001A004B">
        <w:t>the immune response elicit</w:t>
      </w:r>
      <w:r>
        <w:t>e</w:t>
      </w:r>
      <w:r w:rsidR="00C94CFA">
        <w:t>d</w:t>
      </w:r>
      <w:r w:rsidR="001A004B">
        <w:t xml:space="preserve"> in cattle</w:t>
      </w:r>
      <w:r>
        <w:t xml:space="preserve"> by the combined intranasal and subcutaneous experimental vaccine</w:t>
      </w:r>
      <w:r w:rsidR="0040361B">
        <w:t>;</w:t>
      </w:r>
    </w:p>
    <w:p w14:paraId="780B285F" w14:textId="10FA0253" w:rsidR="00F00084" w:rsidRPr="00F00084" w:rsidRDefault="00FF4897" w:rsidP="00F05A74">
      <w:pPr>
        <w:pStyle w:val="PargrafodaLista"/>
        <w:numPr>
          <w:ilvl w:val="0"/>
          <w:numId w:val="7"/>
        </w:numPr>
      </w:pPr>
      <w:r>
        <w:t xml:space="preserve">to assess the </w:t>
      </w:r>
      <w:r w:rsidR="001A004B">
        <w:t xml:space="preserve">protection </w:t>
      </w:r>
      <w:r>
        <w:t xml:space="preserve">conferred by immunization in cattle infected </w:t>
      </w:r>
      <w:r w:rsidR="00C16BA0">
        <w:t xml:space="preserve">through the intravenous and subcutaneous routes </w:t>
      </w:r>
      <w:r>
        <w:t>with</w:t>
      </w:r>
      <w:r w:rsidR="001A004B">
        <w:t xml:space="preserve"> </w:t>
      </w:r>
      <w:r w:rsidR="001A004B" w:rsidRPr="00FF4897">
        <w:rPr>
          <w:i/>
        </w:rPr>
        <w:t xml:space="preserve">N. caninum </w:t>
      </w:r>
      <w:r w:rsidR="001A004B">
        <w:t>tachyzoite</w:t>
      </w:r>
      <w:r w:rsidR="00530647">
        <w:t>s.</w:t>
      </w:r>
      <w:bookmarkStart w:id="18" w:name="_Toc111229790"/>
      <w:bookmarkStart w:id="19" w:name="_Toc111229828"/>
    </w:p>
    <w:p w14:paraId="48B96942" w14:textId="1FEA425C" w:rsidR="00FB2ADE" w:rsidRPr="000C71A6" w:rsidRDefault="00E90F8F" w:rsidP="00F05A74">
      <w:pPr>
        <w:pStyle w:val="tesettulos"/>
      </w:pPr>
      <w:bookmarkStart w:id="20" w:name="_Toc115037811"/>
      <w:r>
        <w:t xml:space="preserve">2. </w:t>
      </w:r>
      <w:r w:rsidR="00E1450F" w:rsidRPr="000C71A6">
        <w:t xml:space="preserve">Materials and </w:t>
      </w:r>
      <w:r w:rsidR="00FB2ADE" w:rsidRPr="000C71A6">
        <w:t>Methods</w:t>
      </w:r>
      <w:bookmarkEnd w:id="18"/>
      <w:bookmarkEnd w:id="19"/>
      <w:bookmarkEnd w:id="20"/>
    </w:p>
    <w:p w14:paraId="48B96943" w14:textId="0D9D98F1" w:rsidR="00AA05E0" w:rsidRPr="000C71A6" w:rsidRDefault="00E90F8F" w:rsidP="00A078BC">
      <w:pPr>
        <w:pStyle w:val="Estilo1"/>
      </w:pPr>
      <w:bookmarkStart w:id="21" w:name="_Toc115037812"/>
      <w:r>
        <w:t xml:space="preserve">2.1. </w:t>
      </w:r>
      <w:r w:rsidR="00AA05E0" w:rsidRPr="000C71A6">
        <w:t>Parasites</w:t>
      </w:r>
      <w:bookmarkEnd w:id="21"/>
    </w:p>
    <w:p w14:paraId="48B96945" w14:textId="3B3643BB" w:rsidR="00886CA1" w:rsidRPr="000C71A6" w:rsidRDefault="00180441" w:rsidP="00F05A74">
      <w:pPr>
        <w:rPr>
          <w:rFonts w:cs="Arial"/>
        </w:rPr>
      </w:pPr>
      <w:r w:rsidRPr="000C71A6">
        <w:rPr>
          <w:rFonts w:cs="Arial"/>
          <w:i/>
          <w:iCs/>
        </w:rPr>
        <w:t>Neospora caninum</w:t>
      </w:r>
      <w:r w:rsidR="0010514A">
        <w:rPr>
          <w:rFonts w:cs="Arial"/>
          <w:i/>
          <w:iCs/>
        </w:rPr>
        <w:t xml:space="preserve"> </w:t>
      </w:r>
      <w:r w:rsidR="0010514A">
        <w:rPr>
          <w:rFonts w:cs="Arial"/>
          <w:iCs/>
        </w:rPr>
        <w:t>(strain Nc-1</w:t>
      </w:r>
      <w:r w:rsidR="0051577D">
        <w:rPr>
          <w:rFonts w:cs="Arial"/>
          <w:iCs/>
        </w:rPr>
        <w:t>, ATCC</w:t>
      </w:r>
      <w:r w:rsidR="00754A7C" w:rsidRPr="001733A3">
        <w:rPr>
          <w:rFonts w:cs="Arial"/>
          <w:iCs/>
        </w:rPr>
        <w:t>®</w:t>
      </w:r>
      <w:r w:rsidR="0051577D">
        <w:rPr>
          <w:rFonts w:cs="Arial"/>
          <w:iCs/>
        </w:rPr>
        <w:t xml:space="preserve"> </w:t>
      </w:r>
      <w:r w:rsidR="00754A7C">
        <w:rPr>
          <w:rFonts w:cs="Arial"/>
          <w:iCs/>
        </w:rPr>
        <w:t>50843</w:t>
      </w:r>
      <w:r w:rsidR="0010514A">
        <w:rPr>
          <w:rFonts w:cs="Arial"/>
          <w:iCs/>
        </w:rPr>
        <w:t>)</w:t>
      </w:r>
      <w:r w:rsidRPr="000C71A6">
        <w:rPr>
          <w:rFonts w:cs="Arial"/>
          <w:i/>
          <w:iCs/>
        </w:rPr>
        <w:t xml:space="preserve"> </w:t>
      </w:r>
      <w:r w:rsidRPr="000C71A6">
        <w:rPr>
          <w:rFonts w:cs="Arial"/>
          <w:iCs/>
        </w:rPr>
        <w:t xml:space="preserve">parasites were </w:t>
      </w:r>
      <w:r w:rsidR="00AA05E0" w:rsidRPr="000C71A6">
        <w:rPr>
          <w:rFonts w:cs="Arial"/>
          <w:iCs/>
        </w:rPr>
        <w:t>obtained as described by</w:t>
      </w:r>
      <w:r w:rsidR="00387EA8" w:rsidRPr="000C71A6">
        <w:rPr>
          <w:rFonts w:cs="Arial"/>
          <w:iCs/>
        </w:rPr>
        <w:t xml:space="preserve"> </w:t>
      </w:r>
      <w:r w:rsidR="00387EA8" w:rsidRPr="000C71A6">
        <w:rPr>
          <w:rFonts w:cs="Arial"/>
          <w:iCs/>
        </w:rPr>
        <w:fldChar w:fldCharType="begin" w:fldLock="1"/>
      </w:r>
      <w:r w:rsidR="0023236C">
        <w:rPr>
          <w:rFonts w:cs="Arial"/>
          <w:iCs/>
        </w:rPr>
        <w:instrText>ADDIN CSL_CITATION {"citationItems":[{"id":"ITEM-1","itemData":{"DOI":"10.1038/ICB.2009.65","ISSN":"1440-1711","PMID":"19755980","abstract":"Neospora caninum is a coccidian parasite causative of clinical infections in a wide range of animal hosts. The maturation and activation of splenic conventional dendritic cells (cDCs) and plasmacytoid dendritic cells (pDCs) were studied here in BALB/c mice challenged intraperitoneal with N. caninum tachyzoites. The number of cDCs was found to decrease in the spleen of the infected mice 12 h and 2 days after the parasitic challenge, whereas at day 5 after infection it was significantly above that of mock-infected controls. In contrast, the number of splenic pDCs did not change significantly on infection. In the infected mice, both cell subtypes displayed an activated phenotype with upregulation of costimulatory and MHC class II molecules. This stimulatory effect was more marked at the earliest assessed time point after infection, 12 h, when a clear increase in the frequency of cDCs (CD8α+ and CD8α- ) and pDCs producing interleukin-12 (IL-12) was also observed. N. caninum tachyzoites could be observed by confocal microscopy associated with sorted DCs. Overall, these results present the first evidence that both cDCs and pDCs mediate in vivo the innate immune response to N. caninum infection through the production of IL-12, a key cytokine for host resistance to neosporosis. © 2010 Australasian Society for Immunology Inc. All rights reserved.","author":[{"dropping-particle":"","family":"Teixeira","given":"Luzia","non-dropping-particle":"","parse-names":false,"suffix":""},{"dropping-particle":"","family":"Botelho","given":"Ana Sofia","non-dropping-particle":"","parse-names":false,"suffix":""},{"dropping-particle":"","family":"Mesquita","given":"Sandro Dá","non-dropping-particle":"","parse-names":false,"suffix":""},{"dropping-particle":"","family":"Correia","given":"Alexandra","non-dropping-particle":"","parse-names":false,"suffix":""},{"dropping-particle":"","family":"Cerca","given":"Filipe","non-dropping-particle":"","parse-names":false,"suffix":""},{"dropping-particle":"","family":"Costa","given":"Renata","non-dropping-particle":"","parse-names":false,"suffix":""},{"dropping-particle":"","family":"Sampaio","given":"Paula","non-dropping-particle":"","parse-names":false,"suffix":""},{"dropping-particle":"","family":"Castro","given":"António Gil","non-dropping-particle":"","parse-names":false,"suffix":""},{"dropping-particle":"","family":"Vilanova","given":"Manuel","non-dropping-particle":"","parse-names":false,"suffix":""}],"container-title":"Immunology and Cell Biology","id":"ITEM-1","issue":"1","issued":{"date-parts":[["2010","1","1"]]},"page":"79-86","publisher":"John Wiley &amp; Sons, Ltd","title":"Plasmacytoid and conventional dendritic cells are early producers of IL-12 in Neospora caninum-infected mice","type":"article-journal","volume":"88"},"uris":["http://www.mendeley.com/documents/?uuid=00e2a0c6-3d6a-3f46-8712-987fa6750b3e"]}],"mendeley":{"formattedCitation":"[17]","manualFormatting":"Teixeira et al.","plainTextFormattedCitation":"[17]","previouslyFormattedCitation":"[17]"},"properties":{"noteIndex":0},"schema":"https://github.com/citation-style-language/schema/raw/master/csl-citation.json"}</w:instrText>
      </w:r>
      <w:r w:rsidR="00387EA8" w:rsidRPr="000C71A6">
        <w:rPr>
          <w:rFonts w:cs="Arial"/>
          <w:iCs/>
        </w:rPr>
        <w:fldChar w:fldCharType="separate"/>
      </w:r>
      <w:r w:rsidR="00370667">
        <w:rPr>
          <w:rFonts w:cs="Arial"/>
          <w:iCs/>
          <w:noProof/>
        </w:rPr>
        <w:t xml:space="preserve">Teixeira </w:t>
      </w:r>
      <w:r w:rsidR="00370667" w:rsidRPr="002130BD">
        <w:rPr>
          <w:rFonts w:cs="Arial"/>
          <w:i/>
          <w:noProof/>
        </w:rPr>
        <w:t>et al</w:t>
      </w:r>
      <w:r w:rsidR="00370667">
        <w:rPr>
          <w:rFonts w:cs="Arial"/>
          <w:iCs/>
          <w:noProof/>
        </w:rPr>
        <w:t>.</w:t>
      </w:r>
      <w:r w:rsidR="00387EA8" w:rsidRPr="000C71A6">
        <w:rPr>
          <w:rFonts w:cs="Arial"/>
          <w:iCs/>
        </w:rPr>
        <w:fldChar w:fldCharType="end"/>
      </w:r>
      <w:r w:rsidR="0023236C">
        <w:rPr>
          <w:rFonts w:cs="Arial"/>
          <w:iCs/>
        </w:rPr>
        <w:t xml:space="preserve"> </w:t>
      </w:r>
      <w:r w:rsidR="0023236C">
        <w:rPr>
          <w:rFonts w:cs="Arial"/>
          <w:iCs/>
        </w:rPr>
        <w:fldChar w:fldCharType="begin" w:fldLock="1"/>
      </w:r>
      <w:r w:rsidR="0023236C">
        <w:rPr>
          <w:rFonts w:cs="Arial"/>
          <w:iCs/>
        </w:rPr>
        <w:instrText>ADDIN CSL_CITATION {"citationItems":[{"id":"ITEM-1","itemData":{"DOI":"10.1038/ICB.2009.65","ISSN":"08189641","PMID":"19755980","abstract":"Neospora caninum is a coccidian parasite causative of clinical infections in a wide range of animal hosts. The maturation and activation of splenic conventional dendritic cells (cDCs) and plasmacytoid dendritic cells (pDCs) were studied here in BALB/c mice challenged intraperitoneal with N. caninum tachyzoites. The number of cDCs was found to decrease in the spleen of the infected mice 12 h and 2 days after the parasitic challenge, whereas at day 5 after infection it was significantly above that of mock-infected controls. In contrast, the number of splenic pDCs did not change significantly on infection. In the infected mice, both cell subtypes displayed an activated phenotype with upregulation of costimulatory and MHC class II molecules. This stimulatory effect was more marked at the earliest assessed time point after infection, 12 h, when a clear increase in the frequency of cDCs (CD8α+ and CD8α- ) and pDCs producing interleukin-12 (IL-12) was also observed. N. caninum tachyzoites could be observed by confocal microscopy associated with sorted DCs. Overall, these results present the first evidence that both cDCs and pDCs mediate in vivo the innate immune response to N. caninum infection through the production of IL-12, a key cytokine for host resistance to neosporosis. © 2010 Australasian Society for Immunology Inc. All rights reserved.","author":[{"dropping-particle":"","family":"Teixeira","given":"Luzia","non-dropping-particle":"","parse-names":false,"suffix":""},{"dropping-particle":"","family":"Botelho","given":"Ana Sofia","non-dropping-particle":"","parse-names":false,"suffix":""},{"dropping-particle":"","family":"Mesquita","given":"Sandro Dá","non-dropping-particle":"","parse-names":false,"suffix":""},{"dropping-particle":"","family":"Correia","given":"Alexandra","non-dropping-particle":"","parse-names":false,"suffix":""},{"dropping-particle":"","family":"Cerca","given":"Filipe","non-dropping-particle":"","parse-names":false,"suffix":""},{"dropping-particle":"","family":"Costa","given":"Renata","non-dropping-particle":"","parse-names":false,"suffix":""},{"dropping-particle":"","family":"Sampaio","given":"Paula","non-dropping-particle":"","parse-names":false,"suffix":""},{"dropping-particle":"","family":"Castro","given":"António Gil","non-dropping-particle":"","parse-names":false,"suffix":""},{"dropping-particle":"","family":"Vilanova","given":"Manuel","non-dropping-particle":"","parse-names":false,"suffix":""}],"container-title":"Immunology and Cell Biology","id":"ITEM-1","issue":"1","issued":{"date-parts":[["2010","1"]]},"page":"79-86","title":"Plasmacytoid and conventional dendritic cells are early producers of IL-12 in Neospora caninum-infected mice","type":"article-journal","volume":"88"},"uris":["http://www.mendeley.com/documents/?uuid=43aff45a-072b-3ace-af93-8001df685b67"]}],"mendeley":{"formattedCitation":"[20]","plainTextFormattedCitation":"[20]","previouslyFormattedCitation":"[20]"},"properties":{"noteIndex":0},"schema":"https://github.com/citation-style-language/schema/raw/master/csl-citation.json"}</w:instrText>
      </w:r>
      <w:r w:rsidR="0023236C">
        <w:rPr>
          <w:rFonts w:cs="Arial"/>
          <w:iCs/>
        </w:rPr>
        <w:fldChar w:fldCharType="separate"/>
      </w:r>
      <w:r w:rsidR="0023236C" w:rsidRPr="0023236C">
        <w:rPr>
          <w:rFonts w:cs="Arial"/>
          <w:iCs/>
          <w:noProof/>
        </w:rPr>
        <w:t>[20]</w:t>
      </w:r>
      <w:r w:rsidR="0023236C">
        <w:rPr>
          <w:rFonts w:cs="Arial"/>
          <w:iCs/>
        </w:rPr>
        <w:fldChar w:fldCharType="end"/>
      </w:r>
      <w:r w:rsidR="00387EA8" w:rsidRPr="000C71A6">
        <w:rPr>
          <w:rFonts w:cs="Arial"/>
          <w:iCs/>
        </w:rPr>
        <w:t xml:space="preserve">. </w:t>
      </w:r>
      <w:r w:rsidRPr="000C71A6">
        <w:rPr>
          <w:rFonts w:cs="Arial"/>
          <w:iCs/>
          <w:color w:val="000000"/>
        </w:rPr>
        <w:t>Briefly, t</w:t>
      </w:r>
      <w:r w:rsidR="00370667">
        <w:rPr>
          <w:rFonts w:cs="Arial"/>
          <w:iCs/>
          <w:color w:val="000000"/>
        </w:rPr>
        <w:t>achyzoites were cultured in Vero</w:t>
      </w:r>
      <w:r w:rsidRPr="000C71A6">
        <w:rPr>
          <w:rFonts w:cs="Arial"/>
          <w:iCs/>
          <w:color w:val="000000"/>
        </w:rPr>
        <w:t xml:space="preserve"> cells</w:t>
      </w:r>
      <w:r w:rsidR="0010514A" w:rsidRPr="000C71A6">
        <w:rPr>
          <w:rFonts w:cs="Arial"/>
          <w:iCs/>
          <w:color w:val="000000"/>
        </w:rPr>
        <w:t xml:space="preserve"> </w:t>
      </w:r>
      <w:r w:rsidRPr="000C71A6">
        <w:rPr>
          <w:rFonts w:cs="Arial"/>
          <w:iCs/>
          <w:color w:val="000000"/>
        </w:rPr>
        <w:t>at 37</w:t>
      </w:r>
      <w:r w:rsidR="00EA5988">
        <w:rPr>
          <w:rFonts w:cs="Arial"/>
          <w:iCs/>
          <w:color w:val="000000"/>
        </w:rPr>
        <w:t xml:space="preserve"> </w:t>
      </w:r>
      <w:r w:rsidRPr="000C71A6">
        <w:rPr>
          <w:rFonts w:cs="Arial"/>
          <w:iCs/>
          <w:color w:val="000000"/>
        </w:rPr>
        <w:t xml:space="preserve">ºC in </w:t>
      </w:r>
      <w:r w:rsidR="00AA05E0" w:rsidRPr="000C71A6">
        <w:rPr>
          <w:rFonts w:cs="Arial"/>
        </w:rPr>
        <w:t xml:space="preserve">MEM </w:t>
      </w:r>
      <w:r w:rsidR="00862CA0">
        <w:rPr>
          <w:rFonts w:cs="Arial"/>
        </w:rPr>
        <w:t xml:space="preserve">containing Earle’s salts, </w:t>
      </w:r>
      <w:r w:rsidR="00AA05E0" w:rsidRPr="000C71A6">
        <w:rPr>
          <w:rFonts w:cs="Arial"/>
        </w:rPr>
        <w:t xml:space="preserve">supplemented with </w:t>
      </w:r>
      <w:r w:rsidR="00862CA0">
        <w:rPr>
          <w:rFonts w:cs="Arial"/>
        </w:rPr>
        <w:t xml:space="preserve">4 mM </w:t>
      </w:r>
      <w:r w:rsidR="00862CA0" w:rsidRPr="000C71A6">
        <w:rPr>
          <w:rFonts w:cs="Arial"/>
        </w:rPr>
        <w:t>L-glutamine</w:t>
      </w:r>
      <w:r w:rsidR="00862CA0">
        <w:rPr>
          <w:rFonts w:cs="Arial"/>
        </w:rPr>
        <w:t>,</w:t>
      </w:r>
      <w:r w:rsidR="00862CA0" w:rsidRPr="000C71A6">
        <w:rPr>
          <w:rFonts w:cs="Arial"/>
        </w:rPr>
        <w:t xml:space="preserve"> </w:t>
      </w:r>
      <w:r w:rsidR="00692340" w:rsidRPr="000C71A6">
        <w:rPr>
          <w:rFonts w:cs="Arial"/>
        </w:rPr>
        <w:t xml:space="preserve">10% </w:t>
      </w:r>
      <w:r w:rsidR="00862CA0">
        <w:rPr>
          <w:rFonts w:cs="Arial"/>
        </w:rPr>
        <w:t xml:space="preserve">(v/v) </w:t>
      </w:r>
      <w:r w:rsidR="00692340" w:rsidRPr="000C71A6">
        <w:rPr>
          <w:rFonts w:cs="Arial"/>
        </w:rPr>
        <w:t>foetal bovine serum</w:t>
      </w:r>
      <w:r w:rsidR="00C16979">
        <w:rPr>
          <w:rFonts w:cs="Arial"/>
        </w:rPr>
        <w:t xml:space="preserve"> (FBS)</w:t>
      </w:r>
      <w:r w:rsidR="00AA05E0" w:rsidRPr="000C71A6">
        <w:rPr>
          <w:rFonts w:cs="Arial"/>
        </w:rPr>
        <w:t xml:space="preserve">, </w:t>
      </w:r>
      <w:r w:rsidR="00862CA0" w:rsidRPr="000C71A6">
        <w:rPr>
          <w:rFonts w:cs="Arial"/>
        </w:rPr>
        <w:t>(200 units/m</w:t>
      </w:r>
      <w:r w:rsidR="00862CA0">
        <w:rPr>
          <w:rFonts w:cs="Arial"/>
        </w:rPr>
        <w:t>L</w:t>
      </w:r>
      <w:r w:rsidR="00862CA0" w:rsidRPr="000C71A6">
        <w:rPr>
          <w:rFonts w:cs="Arial"/>
        </w:rPr>
        <w:t xml:space="preserve">) </w:t>
      </w:r>
      <w:r w:rsidR="00AA05E0" w:rsidRPr="000C71A6">
        <w:rPr>
          <w:rFonts w:cs="Arial"/>
        </w:rPr>
        <w:t xml:space="preserve">penicillin and </w:t>
      </w:r>
      <w:r w:rsidR="00862CA0" w:rsidRPr="000C71A6">
        <w:rPr>
          <w:rFonts w:cs="Arial"/>
        </w:rPr>
        <w:t xml:space="preserve">(200 </w:t>
      </w:r>
      <w:r w:rsidR="00862CA0">
        <w:rPr>
          <w:rFonts w:cs="Arial"/>
        </w:rPr>
        <w:t>μL</w:t>
      </w:r>
      <w:r w:rsidR="00862CA0" w:rsidRPr="000C71A6">
        <w:rPr>
          <w:rFonts w:cs="Arial"/>
        </w:rPr>
        <w:t>/m</w:t>
      </w:r>
      <w:r w:rsidR="002B6671">
        <w:rPr>
          <w:rFonts w:cs="Arial"/>
        </w:rPr>
        <w:t>L</w:t>
      </w:r>
      <w:r w:rsidR="00862CA0" w:rsidRPr="000C71A6">
        <w:rPr>
          <w:rFonts w:cs="Arial"/>
        </w:rPr>
        <w:t>)</w:t>
      </w:r>
      <w:r w:rsidR="00862CA0" w:rsidRPr="00C16979">
        <w:rPr>
          <w:rFonts w:cs="Arial"/>
        </w:rPr>
        <w:t xml:space="preserve"> </w:t>
      </w:r>
      <w:r w:rsidR="00AA05E0" w:rsidRPr="000C71A6">
        <w:rPr>
          <w:rFonts w:cs="Arial"/>
        </w:rPr>
        <w:t>streptomycin</w:t>
      </w:r>
      <w:r w:rsidR="00692340" w:rsidRPr="000C71A6">
        <w:rPr>
          <w:rFonts w:cs="Arial"/>
        </w:rPr>
        <w:t xml:space="preserve"> </w:t>
      </w:r>
      <w:r w:rsidR="00C16979" w:rsidRPr="000C71A6">
        <w:rPr>
          <w:rFonts w:cs="Arial"/>
        </w:rPr>
        <w:t>(</w:t>
      </w:r>
      <w:r w:rsidR="00C16979">
        <w:rPr>
          <w:rFonts w:cs="Arial"/>
        </w:rPr>
        <w:t xml:space="preserve">all from </w:t>
      </w:r>
      <w:r w:rsidR="00C16979" w:rsidRPr="000C71A6">
        <w:rPr>
          <w:rFonts w:cs="Arial"/>
        </w:rPr>
        <w:t>BioWest, Nuaillé,</w:t>
      </w:r>
      <w:r w:rsidR="00C16979">
        <w:rPr>
          <w:rFonts w:cs="Arial"/>
        </w:rPr>
        <w:t xml:space="preserve"> </w:t>
      </w:r>
      <w:r w:rsidR="00C16979" w:rsidRPr="000C71A6">
        <w:rPr>
          <w:rFonts w:cs="Arial"/>
        </w:rPr>
        <w:t>France)</w:t>
      </w:r>
      <w:r w:rsidR="00AA05E0" w:rsidRPr="000C71A6">
        <w:rPr>
          <w:rFonts w:cs="Arial"/>
        </w:rPr>
        <w:t xml:space="preserve">. </w:t>
      </w:r>
      <w:r w:rsidR="0051577D">
        <w:rPr>
          <w:rFonts w:cs="Arial"/>
        </w:rPr>
        <w:t>Infected cell cultures</w:t>
      </w:r>
      <w:r w:rsidRPr="000C71A6">
        <w:rPr>
          <w:rFonts w:cs="Arial"/>
        </w:rPr>
        <w:t xml:space="preserve"> were maintained until most of the host cell monolayer was destroyed. Supernatant and cells adherent to the flask, </w:t>
      </w:r>
      <w:r w:rsidR="003B5F4E" w:rsidRPr="000C71A6">
        <w:rPr>
          <w:rFonts w:cs="Arial"/>
        </w:rPr>
        <w:t xml:space="preserve">collected with a cell scrapper, were recovered and centrifuged at 1500 </w:t>
      </w:r>
      <w:r w:rsidR="003B5F4E" w:rsidRPr="00370667">
        <w:rPr>
          <w:rFonts w:cs="Arial"/>
          <w:i/>
        </w:rPr>
        <w:t>g</w:t>
      </w:r>
      <w:r w:rsidR="003B5F4E" w:rsidRPr="000C71A6">
        <w:rPr>
          <w:rFonts w:cs="Arial"/>
        </w:rPr>
        <w:t xml:space="preserve"> for 15 min at 4</w:t>
      </w:r>
      <w:r w:rsidR="00EA5988">
        <w:rPr>
          <w:rFonts w:cs="Arial"/>
        </w:rPr>
        <w:t xml:space="preserve"> </w:t>
      </w:r>
      <w:r w:rsidR="003B5F4E" w:rsidRPr="000C71A6">
        <w:rPr>
          <w:rFonts w:cs="Arial"/>
        </w:rPr>
        <w:t>ºC. The pellet was passed thr</w:t>
      </w:r>
      <w:r w:rsidR="00370667">
        <w:rPr>
          <w:rFonts w:cs="Arial"/>
        </w:rPr>
        <w:t xml:space="preserve">ough a 25 G needle, </w:t>
      </w:r>
      <w:r w:rsidR="003B5F4E" w:rsidRPr="000C71A6">
        <w:rPr>
          <w:rFonts w:cs="Arial"/>
        </w:rPr>
        <w:t xml:space="preserve">to destroy </w:t>
      </w:r>
      <w:r w:rsidR="00590E9C">
        <w:rPr>
          <w:rFonts w:cs="Arial"/>
        </w:rPr>
        <w:t>Vero</w:t>
      </w:r>
      <w:r w:rsidR="00590E9C" w:rsidRPr="000C71A6">
        <w:rPr>
          <w:rFonts w:cs="Arial"/>
        </w:rPr>
        <w:t xml:space="preserve"> cells still </w:t>
      </w:r>
      <w:r w:rsidR="00590E9C">
        <w:rPr>
          <w:rFonts w:cs="Arial"/>
        </w:rPr>
        <w:t>containing parasitic forms</w:t>
      </w:r>
      <w:r w:rsidR="003B5F4E" w:rsidRPr="000C71A6">
        <w:rPr>
          <w:rFonts w:cs="Arial"/>
        </w:rPr>
        <w:t xml:space="preserve">, </w:t>
      </w:r>
      <w:r w:rsidR="00590E9C">
        <w:rPr>
          <w:rFonts w:cs="Arial"/>
        </w:rPr>
        <w:t xml:space="preserve">washed with </w:t>
      </w:r>
      <w:r w:rsidR="00590E9C" w:rsidRPr="000C71A6">
        <w:rPr>
          <w:rFonts w:cs="Arial"/>
        </w:rPr>
        <w:t>Phosphate Buffered S</w:t>
      </w:r>
      <w:r w:rsidR="00590E9C">
        <w:rPr>
          <w:rFonts w:cs="Arial"/>
        </w:rPr>
        <w:t>aline</w:t>
      </w:r>
      <w:r w:rsidR="00590E9C" w:rsidRPr="000C71A6">
        <w:rPr>
          <w:rFonts w:cs="Arial"/>
        </w:rPr>
        <w:t xml:space="preserve"> (PBS</w:t>
      </w:r>
      <w:r w:rsidR="00590E9C">
        <w:rPr>
          <w:rFonts w:cs="Arial"/>
        </w:rPr>
        <w:t>; Sigma-Aldrich, St Louis, MO, USA</w:t>
      </w:r>
      <w:r w:rsidR="00590E9C" w:rsidRPr="000C71A6">
        <w:rPr>
          <w:rFonts w:cs="Arial"/>
        </w:rPr>
        <w:t>)</w:t>
      </w:r>
      <w:r w:rsidR="00590E9C">
        <w:rPr>
          <w:rFonts w:cs="Arial"/>
        </w:rPr>
        <w:t xml:space="preserve"> </w:t>
      </w:r>
      <w:r w:rsidR="003B5F4E" w:rsidRPr="000C71A6">
        <w:rPr>
          <w:rFonts w:cs="Arial"/>
        </w:rPr>
        <w:t>and centrifug</w:t>
      </w:r>
      <w:r w:rsidR="00DC5F87">
        <w:rPr>
          <w:rFonts w:cs="Arial"/>
        </w:rPr>
        <w:t>ed</w:t>
      </w:r>
      <w:r w:rsidR="003B5F4E" w:rsidRPr="000C71A6">
        <w:rPr>
          <w:rFonts w:cs="Arial"/>
        </w:rPr>
        <w:t xml:space="preserve"> under the same specifications. </w:t>
      </w:r>
      <w:r w:rsidR="00DC5F87">
        <w:rPr>
          <w:rFonts w:cs="Arial"/>
        </w:rPr>
        <w:t>Three washes with PBS were performed and t</w:t>
      </w:r>
      <w:r w:rsidR="003B5F4E" w:rsidRPr="000C71A6">
        <w:rPr>
          <w:rFonts w:cs="Arial"/>
        </w:rPr>
        <w:t>he obtained pellet was suspended in 3 m</w:t>
      </w:r>
      <w:r w:rsidR="00DC5F87">
        <w:rPr>
          <w:rFonts w:cs="Arial"/>
        </w:rPr>
        <w:t>L</w:t>
      </w:r>
      <w:r w:rsidR="003B5F4E" w:rsidRPr="000C71A6">
        <w:rPr>
          <w:rFonts w:cs="Arial"/>
        </w:rPr>
        <w:t xml:space="preserve"> of PBS and passed through a 25 G needle </w:t>
      </w:r>
      <w:r w:rsidR="00387EA8" w:rsidRPr="000C71A6">
        <w:rPr>
          <w:rFonts w:cs="Arial"/>
        </w:rPr>
        <w:t xml:space="preserve">before </w:t>
      </w:r>
      <w:r w:rsidR="00590E9C">
        <w:rPr>
          <w:rFonts w:cs="Arial"/>
        </w:rPr>
        <w:t>being applied to</w:t>
      </w:r>
      <w:r w:rsidR="00387EA8" w:rsidRPr="000C71A6">
        <w:rPr>
          <w:rFonts w:cs="Arial"/>
        </w:rPr>
        <w:t xml:space="preserve"> </w:t>
      </w:r>
      <w:r w:rsidR="00AA05E0" w:rsidRPr="000C71A6">
        <w:rPr>
          <w:rFonts w:cs="Arial"/>
        </w:rPr>
        <w:t>a PD-10 column filled with Sephadex</w:t>
      </w:r>
      <w:r w:rsidR="00AA05E0" w:rsidRPr="000C71A6">
        <w:rPr>
          <w:rFonts w:cs="Arial"/>
          <w:vertAlign w:val="superscript"/>
        </w:rPr>
        <w:t xml:space="preserve">TM </w:t>
      </w:r>
      <w:r w:rsidR="00AA05E0" w:rsidRPr="000C71A6">
        <w:rPr>
          <w:rFonts w:cs="Arial"/>
        </w:rPr>
        <w:t>D-25 M (</w:t>
      </w:r>
      <w:r w:rsidR="00692340" w:rsidRPr="000C71A6">
        <w:rPr>
          <w:rFonts w:cs="Arial"/>
          <w:bCs/>
        </w:rPr>
        <w:t>Amersham</w:t>
      </w:r>
      <w:r w:rsidR="00692340" w:rsidRPr="000C71A6">
        <w:rPr>
          <w:rFonts w:cs="Arial"/>
          <w:b/>
          <w:bCs/>
        </w:rPr>
        <w:t xml:space="preserve"> </w:t>
      </w:r>
      <w:r w:rsidR="00692340" w:rsidRPr="000C71A6">
        <w:rPr>
          <w:rFonts w:cs="Arial"/>
        </w:rPr>
        <w:t>Biosciences Europe GmbH, Freiburg, German</w:t>
      </w:r>
      <w:r w:rsidR="004103C7" w:rsidRPr="000C71A6">
        <w:rPr>
          <w:rFonts w:cs="Arial"/>
        </w:rPr>
        <w:t>y)</w:t>
      </w:r>
      <w:r w:rsidR="00DC5F87">
        <w:rPr>
          <w:rFonts w:cs="Arial"/>
        </w:rPr>
        <w:t xml:space="preserve"> </w:t>
      </w:r>
      <w:r w:rsidR="002130BD">
        <w:rPr>
          <w:rFonts w:cs="Arial"/>
        </w:rPr>
        <w:t>previously</w:t>
      </w:r>
      <w:r w:rsidR="00DC5F87">
        <w:rPr>
          <w:rFonts w:cs="Arial"/>
        </w:rPr>
        <w:t xml:space="preserve"> equilibrated in PBS</w:t>
      </w:r>
      <w:r w:rsidR="004103C7" w:rsidRPr="000C71A6">
        <w:rPr>
          <w:rFonts w:cs="Arial"/>
        </w:rPr>
        <w:t>.</w:t>
      </w:r>
      <w:r w:rsidR="00DB5FC6">
        <w:rPr>
          <w:rFonts w:cs="Arial"/>
        </w:rPr>
        <w:t xml:space="preserve"> </w:t>
      </w:r>
      <w:r w:rsidR="00387EA8" w:rsidRPr="000C71A6">
        <w:rPr>
          <w:rFonts w:cs="Arial"/>
        </w:rPr>
        <w:t>Parasite concentration was calculated using a haemocytometer and the suspension was centrifuged at the same conditions as before. Supernatant was discarded and the pellet was stored at -80</w:t>
      </w:r>
      <w:r w:rsidR="00EA5988">
        <w:rPr>
          <w:rFonts w:cs="Arial"/>
        </w:rPr>
        <w:t xml:space="preserve"> </w:t>
      </w:r>
      <w:r w:rsidR="00F05A74">
        <w:rPr>
          <w:rFonts w:cs="Arial"/>
        </w:rPr>
        <w:t>ºC.</w:t>
      </w:r>
    </w:p>
    <w:p w14:paraId="48B96946" w14:textId="532EF537" w:rsidR="00886CA1" w:rsidRPr="000C71A6" w:rsidRDefault="00E90F8F" w:rsidP="00A078BC">
      <w:pPr>
        <w:pStyle w:val="Estilo1"/>
      </w:pPr>
      <w:bookmarkStart w:id="22" w:name="_Toc115037813"/>
      <w:r>
        <w:t xml:space="preserve">2.2. </w:t>
      </w:r>
      <w:r w:rsidR="00886CA1" w:rsidRPr="000C71A6">
        <w:t>Parasitic membrane</w:t>
      </w:r>
      <w:r w:rsidR="00DF3B73" w:rsidRPr="000C71A6">
        <w:t xml:space="preserve"> proteins</w:t>
      </w:r>
      <w:r w:rsidR="00886CA1" w:rsidRPr="000C71A6">
        <w:t xml:space="preserve"> extraction</w:t>
      </w:r>
      <w:bookmarkEnd w:id="22"/>
    </w:p>
    <w:p w14:paraId="48B96949" w14:textId="06BA46FF" w:rsidR="00DC55D0" w:rsidRPr="000C71A6" w:rsidRDefault="00387EA8" w:rsidP="00F05A74">
      <w:pPr>
        <w:rPr>
          <w:rFonts w:cs="Arial"/>
        </w:rPr>
      </w:pPr>
      <w:r w:rsidRPr="000C71A6">
        <w:rPr>
          <w:rFonts w:cs="Arial"/>
          <w:i/>
        </w:rPr>
        <w:t xml:space="preserve">Neospora caninum </w:t>
      </w:r>
      <w:r w:rsidRPr="000C71A6">
        <w:rPr>
          <w:rFonts w:cs="Arial"/>
        </w:rPr>
        <w:t xml:space="preserve">membrane proteins (NcMP) were </w:t>
      </w:r>
      <w:r w:rsidR="00DF3B73" w:rsidRPr="000C71A6">
        <w:rPr>
          <w:rFonts w:cs="Arial"/>
        </w:rPr>
        <w:t xml:space="preserve">extracted </w:t>
      </w:r>
      <w:r w:rsidR="002130BD">
        <w:rPr>
          <w:rFonts w:cs="Arial"/>
        </w:rPr>
        <w:t xml:space="preserve">previously </w:t>
      </w:r>
      <w:r w:rsidR="00DF3B73" w:rsidRPr="000C71A6">
        <w:rPr>
          <w:rFonts w:cs="Arial"/>
        </w:rPr>
        <w:t>described</w:t>
      </w:r>
      <w:r w:rsidR="002130BD">
        <w:rPr>
          <w:rFonts w:cs="Arial"/>
        </w:rPr>
        <w:t xml:space="preserve"> </w:t>
      </w:r>
      <w:r w:rsidR="0023236C">
        <w:rPr>
          <w:rFonts w:cs="Arial"/>
        </w:rPr>
        <w:fldChar w:fldCharType="begin" w:fldLock="1"/>
      </w:r>
      <w:r w:rsidR="0023236C">
        <w:rPr>
          <w:rFonts w:cs="Arial"/>
        </w:rPr>
        <w:instrText>ADDIN CSL_CITATION {"citationItems":[{"id":"ITEM-1","itemData":{"DOI":"10.1111/imm.12191","ISSN":"00192805","PMID":"24128071","abstract":"Neospora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-1","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[44]","plainTextFormattedCitation":"[44]","previouslyFormattedCitation":"[44]"},"properties":{"noteIndex":0},"schema":"https://github.com/citation-style-language/schema/raw/master/csl-citation.json"}</w:instrText>
      </w:r>
      <w:r w:rsidR="0023236C">
        <w:rPr>
          <w:rFonts w:cs="Arial"/>
        </w:rPr>
        <w:fldChar w:fldCharType="separate"/>
      </w:r>
      <w:r w:rsidR="0023236C" w:rsidRPr="0023236C">
        <w:rPr>
          <w:rFonts w:cs="Arial"/>
          <w:noProof/>
        </w:rPr>
        <w:t>[44]</w:t>
      </w:r>
      <w:r w:rsidR="0023236C">
        <w:rPr>
          <w:rFonts w:cs="Arial"/>
        </w:rPr>
        <w:fldChar w:fldCharType="end"/>
      </w:r>
      <w:r w:rsidR="00DF3B73" w:rsidRPr="000C71A6">
        <w:rPr>
          <w:rFonts w:cs="Arial"/>
        </w:rPr>
        <w:t xml:space="preserve">. </w:t>
      </w:r>
      <w:r w:rsidR="004103C7" w:rsidRPr="000C71A6">
        <w:rPr>
          <w:rFonts w:cs="Arial"/>
        </w:rPr>
        <w:t>Briefly, isolated tachyzoites were resuspended in PBS containing 0.75%</w:t>
      </w:r>
      <w:r w:rsidR="001D470D">
        <w:rPr>
          <w:rFonts w:cs="Arial"/>
        </w:rPr>
        <w:t xml:space="preserve"> (v/v)</w:t>
      </w:r>
      <w:r w:rsidR="004103C7" w:rsidRPr="000C71A6">
        <w:rPr>
          <w:rFonts w:cs="Arial"/>
        </w:rPr>
        <w:t xml:space="preserve"> Triton X-14 </w:t>
      </w:r>
      <w:r w:rsidR="002130BD">
        <w:rPr>
          <w:rFonts w:cs="Arial"/>
        </w:rPr>
        <w:t xml:space="preserve">(Sigma-Aldrich) </w:t>
      </w:r>
      <w:r w:rsidR="001D470D">
        <w:rPr>
          <w:rFonts w:cs="Arial"/>
        </w:rPr>
        <w:t>and</w:t>
      </w:r>
      <w:r w:rsidR="004103C7" w:rsidRPr="000C71A6">
        <w:rPr>
          <w:rFonts w:cs="Arial"/>
        </w:rPr>
        <w:t xml:space="preserve"> incubated on ice for 10 min</w:t>
      </w:r>
      <w:r w:rsidR="001D470D">
        <w:rPr>
          <w:rFonts w:cs="Arial"/>
        </w:rPr>
        <w:t xml:space="preserve">. </w:t>
      </w:r>
      <w:r w:rsidR="00667623">
        <w:rPr>
          <w:rFonts w:cs="Arial"/>
        </w:rPr>
        <w:t xml:space="preserve">They </w:t>
      </w:r>
      <w:r w:rsidR="001D470D">
        <w:rPr>
          <w:rFonts w:cs="Arial"/>
        </w:rPr>
        <w:t>were</w:t>
      </w:r>
      <w:r w:rsidR="00667623">
        <w:rPr>
          <w:rFonts w:cs="Arial"/>
        </w:rPr>
        <w:t xml:space="preserve"> then</w:t>
      </w:r>
      <w:r w:rsidR="004103C7" w:rsidRPr="000C71A6">
        <w:rPr>
          <w:rFonts w:cs="Arial"/>
        </w:rPr>
        <w:t xml:space="preserve"> centrifuged at 10 000 </w:t>
      </w:r>
      <w:r w:rsidR="004103C7" w:rsidRPr="00AF1E8D">
        <w:rPr>
          <w:rFonts w:cs="Arial"/>
          <w:i/>
        </w:rPr>
        <w:t>g</w:t>
      </w:r>
      <w:r w:rsidR="004103C7" w:rsidRPr="000C71A6">
        <w:rPr>
          <w:rFonts w:cs="Arial"/>
        </w:rPr>
        <w:t xml:space="preserve"> for 30 min at 4</w:t>
      </w:r>
      <w:r w:rsidR="00EA5988">
        <w:rPr>
          <w:rFonts w:cs="Arial"/>
        </w:rPr>
        <w:t xml:space="preserve"> </w:t>
      </w:r>
      <w:r w:rsidR="004103C7" w:rsidRPr="000C71A6">
        <w:rPr>
          <w:rFonts w:cs="Arial"/>
        </w:rPr>
        <w:t xml:space="preserve">ºC and the supernatants were </w:t>
      </w:r>
      <w:r w:rsidR="001D470D">
        <w:rPr>
          <w:rFonts w:cs="Arial"/>
        </w:rPr>
        <w:t>transferred into new tube</w:t>
      </w:r>
      <w:r w:rsidR="00667623">
        <w:rPr>
          <w:rFonts w:cs="Arial"/>
        </w:rPr>
        <w:t>s</w:t>
      </w:r>
      <w:r w:rsidR="001D470D" w:rsidRPr="000C71A6">
        <w:rPr>
          <w:rFonts w:cs="Arial"/>
        </w:rPr>
        <w:t xml:space="preserve"> </w:t>
      </w:r>
      <w:r w:rsidR="001D470D">
        <w:rPr>
          <w:rFonts w:cs="Arial"/>
        </w:rPr>
        <w:t>and</w:t>
      </w:r>
      <w:r w:rsidR="004103C7" w:rsidRPr="000C71A6">
        <w:rPr>
          <w:rFonts w:cs="Arial"/>
        </w:rPr>
        <w:t xml:space="preserve"> </w:t>
      </w:r>
      <w:r w:rsidR="00667623">
        <w:rPr>
          <w:rFonts w:cs="Arial"/>
        </w:rPr>
        <w:t>incubated</w:t>
      </w:r>
      <w:r w:rsidR="004103C7" w:rsidRPr="000C71A6">
        <w:rPr>
          <w:rFonts w:cs="Arial"/>
        </w:rPr>
        <w:t xml:space="preserve"> for 3 min at 30</w:t>
      </w:r>
      <w:r w:rsidR="001D470D">
        <w:rPr>
          <w:rFonts w:cs="Arial"/>
        </w:rPr>
        <w:t xml:space="preserve"> </w:t>
      </w:r>
      <w:r w:rsidR="004103C7" w:rsidRPr="000C71A6">
        <w:rPr>
          <w:rFonts w:cs="Arial"/>
        </w:rPr>
        <w:t>º</w:t>
      </w:r>
      <w:r w:rsidR="00F87D1C" w:rsidRPr="000C71A6">
        <w:rPr>
          <w:rFonts w:cs="Arial"/>
        </w:rPr>
        <w:t xml:space="preserve">C. These steps were repeated and the resulting supernatant was centrifuged at 1 000 </w:t>
      </w:r>
      <w:r w:rsidR="00F87D1C" w:rsidRPr="00AF1E8D">
        <w:rPr>
          <w:rFonts w:cs="Arial"/>
          <w:i/>
        </w:rPr>
        <w:t>g</w:t>
      </w:r>
      <w:r w:rsidR="00F87D1C" w:rsidRPr="000C71A6">
        <w:rPr>
          <w:rFonts w:cs="Arial"/>
        </w:rPr>
        <w:t xml:space="preserve"> for 3 min at room temperature. Supernatant (containing the hydrophilic proteins) and interface surface were separated from the organic phase (containing the hydrophobic proteins)</w:t>
      </w:r>
      <w:r w:rsidR="000F4CA3">
        <w:rPr>
          <w:rFonts w:cs="Arial"/>
        </w:rPr>
        <w:t xml:space="preserve"> into different tubes</w:t>
      </w:r>
      <w:r w:rsidR="00F87D1C" w:rsidRPr="000C71A6">
        <w:rPr>
          <w:rFonts w:cs="Arial"/>
        </w:rPr>
        <w:t xml:space="preserve">. </w:t>
      </w:r>
      <w:r w:rsidR="00D010E1" w:rsidRPr="000C71A6">
        <w:rPr>
          <w:rFonts w:cs="Arial"/>
        </w:rPr>
        <w:t xml:space="preserve">NcMP </w:t>
      </w:r>
      <w:r w:rsidR="00501C6A">
        <w:rPr>
          <w:rFonts w:cs="Arial"/>
        </w:rPr>
        <w:t xml:space="preserve">and interface </w:t>
      </w:r>
      <w:r w:rsidR="00D010E1" w:rsidRPr="000C71A6">
        <w:rPr>
          <w:rFonts w:cs="Arial"/>
        </w:rPr>
        <w:t>were then precipitated</w:t>
      </w:r>
      <w:r w:rsidR="00501C6A">
        <w:rPr>
          <w:rFonts w:cs="Arial"/>
        </w:rPr>
        <w:t xml:space="preserve"> by</w:t>
      </w:r>
      <w:r w:rsidR="00D010E1" w:rsidRPr="000C71A6">
        <w:rPr>
          <w:rFonts w:cs="Arial"/>
        </w:rPr>
        <w:t xml:space="preserve"> the addition of </w:t>
      </w:r>
      <w:r w:rsidR="00501C6A">
        <w:rPr>
          <w:rFonts w:cs="Arial"/>
        </w:rPr>
        <w:t xml:space="preserve">4 volumes of </w:t>
      </w:r>
      <w:r w:rsidR="00D010E1" w:rsidRPr="000C71A6">
        <w:rPr>
          <w:rFonts w:cs="Arial"/>
        </w:rPr>
        <w:t>absolute ethanol</w:t>
      </w:r>
      <w:r w:rsidR="009555D8">
        <w:rPr>
          <w:rFonts w:cs="Arial"/>
        </w:rPr>
        <w:t xml:space="preserve"> (Merck, </w:t>
      </w:r>
      <w:r w:rsidR="009555D8" w:rsidRPr="009555D8">
        <w:rPr>
          <w:rFonts w:cs="Arial"/>
        </w:rPr>
        <w:t>Darmstadt</w:t>
      </w:r>
      <w:r w:rsidR="00501C6A">
        <w:rPr>
          <w:rFonts w:cs="Arial"/>
        </w:rPr>
        <w:t>,</w:t>
      </w:r>
      <w:r w:rsidR="009555D8">
        <w:rPr>
          <w:rFonts w:cs="Arial"/>
        </w:rPr>
        <w:t xml:space="preserve"> Germany),</w:t>
      </w:r>
      <w:r w:rsidR="00D010E1" w:rsidRPr="000C71A6">
        <w:rPr>
          <w:rFonts w:cs="Arial"/>
        </w:rPr>
        <w:t xml:space="preserve"> followed by 15 seconds vortexing and a 1-hour incubation on ice. Samples </w:t>
      </w:r>
      <w:r w:rsidR="00667623">
        <w:rPr>
          <w:rFonts w:cs="Arial"/>
        </w:rPr>
        <w:t>were</w:t>
      </w:r>
      <w:r w:rsidR="00D010E1" w:rsidRPr="000C71A6">
        <w:rPr>
          <w:rFonts w:cs="Arial"/>
        </w:rPr>
        <w:t xml:space="preserve"> centrifug</w:t>
      </w:r>
      <w:r w:rsidR="00667623">
        <w:rPr>
          <w:rFonts w:cs="Arial"/>
        </w:rPr>
        <w:t>ed</w:t>
      </w:r>
      <w:r w:rsidR="00D010E1" w:rsidRPr="000C71A6">
        <w:rPr>
          <w:rFonts w:cs="Arial"/>
        </w:rPr>
        <w:t xml:space="preserve"> (12 000 </w:t>
      </w:r>
      <w:r w:rsidR="00D010E1" w:rsidRPr="00AF1E8D">
        <w:rPr>
          <w:rFonts w:cs="Arial"/>
          <w:i/>
        </w:rPr>
        <w:t>g</w:t>
      </w:r>
      <w:r w:rsidR="00D010E1" w:rsidRPr="000C71A6">
        <w:rPr>
          <w:rFonts w:cs="Arial"/>
        </w:rPr>
        <w:t xml:space="preserve"> for 20 min at 4</w:t>
      </w:r>
      <w:r w:rsidR="00501C6A">
        <w:rPr>
          <w:rFonts w:cs="Arial"/>
        </w:rPr>
        <w:t xml:space="preserve"> </w:t>
      </w:r>
      <w:r w:rsidR="00D010E1" w:rsidRPr="000C71A6">
        <w:rPr>
          <w:rFonts w:cs="Arial"/>
        </w:rPr>
        <w:t>ºC) and the obtained pellet was dried</w:t>
      </w:r>
      <w:r w:rsidR="00501C6A">
        <w:rPr>
          <w:rFonts w:cs="Arial"/>
        </w:rPr>
        <w:t>,</w:t>
      </w:r>
      <w:r w:rsidR="00D010E1" w:rsidRPr="000C71A6">
        <w:rPr>
          <w:rFonts w:cs="Arial"/>
        </w:rPr>
        <w:t xml:space="preserve"> </w:t>
      </w:r>
      <w:r w:rsidR="00501C6A" w:rsidRPr="000C71A6">
        <w:rPr>
          <w:rFonts w:cs="Arial"/>
        </w:rPr>
        <w:t>suspended in PBS</w:t>
      </w:r>
      <w:r w:rsidR="00501C6A">
        <w:rPr>
          <w:rFonts w:cs="Arial"/>
        </w:rPr>
        <w:t xml:space="preserve"> and</w:t>
      </w:r>
      <w:r w:rsidR="00501C6A" w:rsidRPr="000C71A6">
        <w:rPr>
          <w:rFonts w:cs="Arial"/>
        </w:rPr>
        <w:t xml:space="preserve"> </w:t>
      </w:r>
      <w:r w:rsidR="00D010E1" w:rsidRPr="000C71A6">
        <w:rPr>
          <w:rFonts w:cs="Arial"/>
        </w:rPr>
        <w:t>stored at -20</w:t>
      </w:r>
      <w:r w:rsidR="00501C6A">
        <w:rPr>
          <w:rFonts w:cs="Arial"/>
        </w:rPr>
        <w:t xml:space="preserve"> </w:t>
      </w:r>
      <w:r w:rsidR="00D010E1" w:rsidRPr="000C71A6">
        <w:rPr>
          <w:rFonts w:cs="Arial"/>
        </w:rPr>
        <w:t>ºC.</w:t>
      </w:r>
      <w:r w:rsidR="00530DCF">
        <w:rPr>
          <w:rFonts w:cs="Arial"/>
        </w:rPr>
        <w:t xml:space="preserve"> </w:t>
      </w:r>
      <w:r w:rsidR="00D010E1" w:rsidRPr="000C71A6">
        <w:rPr>
          <w:rFonts w:cs="Arial"/>
        </w:rPr>
        <w:t xml:space="preserve">Quantification was performed using the </w:t>
      </w:r>
      <w:r w:rsidR="003576CD" w:rsidRPr="000C71A6">
        <w:rPr>
          <w:rFonts w:cs="Arial"/>
        </w:rPr>
        <w:t xml:space="preserve">Pierce™ BSA Protein Assay Kit </w:t>
      </w:r>
      <w:r w:rsidR="00501C6A" w:rsidRPr="00501C6A">
        <w:rPr>
          <w:rFonts w:cs="Arial"/>
        </w:rPr>
        <w:t>(Thermo Fisher Scientific, Rockford, IL, USA)</w:t>
      </w:r>
      <w:r w:rsidR="003576CD" w:rsidRPr="000C71A6">
        <w:rPr>
          <w:rFonts w:cs="Arial"/>
        </w:rPr>
        <w:t xml:space="preserve"> on a </w:t>
      </w:r>
      <w:r w:rsidR="00501C6A">
        <w:rPr>
          <w:rFonts w:cs="Arial"/>
        </w:rPr>
        <w:t xml:space="preserve">96-well </w:t>
      </w:r>
      <w:r w:rsidR="003576CD" w:rsidRPr="000C71A6">
        <w:rPr>
          <w:rFonts w:cs="Arial"/>
        </w:rPr>
        <w:t>microplate</w:t>
      </w:r>
      <w:r w:rsidR="00501C6A">
        <w:rPr>
          <w:rFonts w:cs="Arial"/>
        </w:rPr>
        <w:t xml:space="preserve"> using a </w:t>
      </w:r>
      <w:r w:rsidR="00501C6A" w:rsidRPr="00501C6A">
        <w:rPr>
          <w:rFonts w:cs="Arial"/>
        </w:rPr>
        <w:t>BioteK</w:t>
      </w:r>
      <w:r w:rsidR="00501C6A">
        <w:rPr>
          <w:rFonts w:cs="Arial"/>
        </w:rPr>
        <w:t>™</w:t>
      </w:r>
      <w:r w:rsidR="00501C6A" w:rsidRPr="00501C6A">
        <w:rPr>
          <w:rFonts w:cs="Arial"/>
        </w:rPr>
        <w:t xml:space="preserve"> μQuant Microplate Reader (Thermo</w:t>
      </w:r>
      <w:r w:rsidR="00D07DD1">
        <w:rPr>
          <w:rFonts w:cs="Arial"/>
        </w:rPr>
        <w:t xml:space="preserve"> Fisher S</w:t>
      </w:r>
      <w:r w:rsidR="00501C6A" w:rsidRPr="00501C6A">
        <w:rPr>
          <w:rFonts w:cs="Arial"/>
        </w:rPr>
        <w:t>cientific)</w:t>
      </w:r>
      <w:r w:rsidR="003576CD" w:rsidRPr="000C71A6">
        <w:rPr>
          <w:rFonts w:cs="Arial"/>
        </w:rPr>
        <w:t>.</w:t>
      </w:r>
    </w:p>
    <w:p w14:paraId="48B9694A" w14:textId="65F328B0" w:rsidR="00DC55D0" w:rsidRPr="000C71A6" w:rsidRDefault="00E90F8F" w:rsidP="00A078BC">
      <w:pPr>
        <w:pStyle w:val="Estilo1"/>
      </w:pPr>
      <w:bookmarkStart w:id="23" w:name="_Toc115037814"/>
      <w:r>
        <w:t xml:space="preserve">2.3. </w:t>
      </w:r>
      <w:r w:rsidR="00DC55D0" w:rsidRPr="00370667">
        <w:t>Electrophoretic analysis of NcMP</w:t>
      </w:r>
      <w:bookmarkEnd w:id="23"/>
    </w:p>
    <w:p w14:paraId="48B9694F" w14:textId="32F6B5EB" w:rsidR="00B83724" w:rsidRPr="000C71A6" w:rsidRDefault="00330FBB" w:rsidP="00F05A74">
      <w:pPr>
        <w:rPr>
          <w:rFonts w:cs="Arial"/>
        </w:rPr>
      </w:pPr>
      <w:r>
        <w:rPr>
          <w:rFonts w:cs="Arial"/>
        </w:rPr>
        <w:t>M</w:t>
      </w:r>
      <w:r w:rsidR="00754990" w:rsidRPr="000C71A6">
        <w:rPr>
          <w:rFonts w:cs="Arial"/>
        </w:rPr>
        <w:t xml:space="preserve">igration profile </w:t>
      </w:r>
      <w:r>
        <w:rPr>
          <w:rFonts w:cs="Arial"/>
        </w:rPr>
        <w:t xml:space="preserve">of </w:t>
      </w:r>
      <w:r w:rsidRPr="000C71A6">
        <w:rPr>
          <w:rFonts w:cs="Arial"/>
        </w:rPr>
        <w:t>NcMP</w:t>
      </w:r>
      <w:r>
        <w:rPr>
          <w:rFonts w:cs="Arial"/>
        </w:rPr>
        <w:t>,</w:t>
      </w:r>
      <w:r w:rsidRPr="000C71A6">
        <w:rPr>
          <w:rFonts w:cs="Arial"/>
        </w:rPr>
        <w:t xml:space="preserve"> interface and </w:t>
      </w:r>
      <w:r>
        <w:rPr>
          <w:rFonts w:cs="Arial"/>
        </w:rPr>
        <w:t xml:space="preserve">hydrophilic </w:t>
      </w:r>
      <w:r w:rsidRPr="000C71A6">
        <w:rPr>
          <w:rFonts w:cs="Arial"/>
        </w:rPr>
        <w:t xml:space="preserve">proteins </w:t>
      </w:r>
      <w:r w:rsidR="005174FA">
        <w:rPr>
          <w:rFonts w:cs="Arial"/>
        </w:rPr>
        <w:t>was</w:t>
      </w:r>
      <w:r w:rsidR="00754990" w:rsidRPr="000C71A6">
        <w:rPr>
          <w:rFonts w:cs="Arial"/>
        </w:rPr>
        <w:t xml:space="preserve"> determined </w:t>
      </w:r>
      <w:r w:rsidR="005174FA">
        <w:rPr>
          <w:rFonts w:cs="Arial"/>
        </w:rPr>
        <w:t>by</w:t>
      </w:r>
      <w:r w:rsidR="00754990" w:rsidRPr="000C71A6">
        <w:rPr>
          <w:rFonts w:cs="Arial"/>
        </w:rPr>
        <w:t xml:space="preserve"> SDS-PAGE.</w:t>
      </w:r>
      <w:r>
        <w:rPr>
          <w:rFonts w:cs="Arial"/>
        </w:rPr>
        <w:t xml:space="preserve"> </w:t>
      </w:r>
      <w:r w:rsidR="008A10F9">
        <w:rPr>
          <w:rFonts w:cs="Arial"/>
        </w:rPr>
        <w:t>G</w:t>
      </w:r>
      <w:r w:rsidR="008A10F9" w:rsidRPr="000C71A6">
        <w:rPr>
          <w:rFonts w:cs="Arial"/>
        </w:rPr>
        <w:t xml:space="preserve">el </w:t>
      </w:r>
      <w:r w:rsidR="008A10F9">
        <w:rPr>
          <w:rFonts w:cs="Arial"/>
        </w:rPr>
        <w:t>e</w:t>
      </w:r>
      <w:r w:rsidR="00754990" w:rsidRPr="000C71A6">
        <w:rPr>
          <w:rFonts w:cs="Arial"/>
        </w:rPr>
        <w:t xml:space="preserve">lectrophoresis was prepared </w:t>
      </w:r>
      <w:r w:rsidR="008A10F9">
        <w:rPr>
          <w:rFonts w:cs="Arial"/>
        </w:rPr>
        <w:t>using a Bio-Rad Mini-Protean system (Bio-Rad</w:t>
      </w:r>
      <w:r w:rsidR="00F31095" w:rsidRPr="000C71A6">
        <w:rPr>
          <w:rFonts w:cs="Arial"/>
          <w:color w:val="000000"/>
        </w:rPr>
        <w:t xml:space="preserve">, </w:t>
      </w:r>
      <w:r w:rsidR="00F31095" w:rsidRPr="000C71A6">
        <w:rPr>
          <w:rFonts w:ascii="Helvetica" w:hAnsi="Helvetica"/>
          <w:color w:val="090909"/>
          <w:shd w:val="clear" w:color="auto" w:fill="FFFFFF"/>
        </w:rPr>
        <w:t>Hercules, California, USA</w:t>
      </w:r>
      <w:r w:rsidR="008A10F9">
        <w:rPr>
          <w:rFonts w:cs="Arial"/>
        </w:rPr>
        <w:t xml:space="preserve">) </w:t>
      </w:r>
      <w:r>
        <w:rPr>
          <w:rFonts w:cs="Arial"/>
        </w:rPr>
        <w:t xml:space="preserve">and a </w:t>
      </w:r>
      <w:r w:rsidR="00561885">
        <w:rPr>
          <w:rFonts w:cs="Arial"/>
        </w:rPr>
        <w:t>two-layer</w:t>
      </w:r>
      <w:r>
        <w:rPr>
          <w:rFonts w:cs="Arial"/>
        </w:rPr>
        <w:t xml:space="preserve"> gel, a 12%</w:t>
      </w:r>
      <w:r w:rsidR="008A10F9">
        <w:rPr>
          <w:rFonts w:cs="Arial"/>
        </w:rPr>
        <w:t xml:space="preserve"> </w:t>
      </w:r>
      <w:r w:rsidR="00754990" w:rsidRPr="000C71A6">
        <w:rPr>
          <w:rFonts w:cs="Arial"/>
        </w:rPr>
        <w:t xml:space="preserve">Resolving </w:t>
      </w:r>
      <w:r w:rsidR="008A10F9">
        <w:rPr>
          <w:rFonts w:cs="Arial"/>
        </w:rPr>
        <w:t>gel</w:t>
      </w:r>
      <w:r w:rsidR="00754990" w:rsidRPr="000C71A6">
        <w:rPr>
          <w:rFonts w:cs="Arial"/>
        </w:rPr>
        <w:t xml:space="preserve"> </w:t>
      </w:r>
      <w:r w:rsidR="00667623">
        <w:rPr>
          <w:rFonts w:cs="Arial"/>
        </w:rPr>
        <w:t xml:space="preserve">layer </w:t>
      </w:r>
      <w:r w:rsidR="008A10F9">
        <w:rPr>
          <w:rFonts w:cs="Arial"/>
        </w:rPr>
        <w:t>and</w:t>
      </w:r>
      <w:r w:rsidR="00754990" w:rsidRPr="000C71A6">
        <w:rPr>
          <w:rFonts w:cs="Arial"/>
        </w:rPr>
        <w:t xml:space="preserve"> </w:t>
      </w:r>
      <w:r>
        <w:rPr>
          <w:rFonts w:cs="Arial"/>
        </w:rPr>
        <w:t xml:space="preserve">a 4% </w:t>
      </w:r>
      <w:r w:rsidR="00754990" w:rsidRPr="000C71A6">
        <w:rPr>
          <w:rFonts w:cs="Arial"/>
        </w:rPr>
        <w:t xml:space="preserve">Stacking </w:t>
      </w:r>
      <w:r w:rsidR="008A10F9">
        <w:rPr>
          <w:rFonts w:cs="Arial"/>
        </w:rPr>
        <w:t>gel</w:t>
      </w:r>
      <w:r w:rsidR="00667623">
        <w:rPr>
          <w:rFonts w:cs="Arial"/>
        </w:rPr>
        <w:t xml:space="preserve"> layer</w:t>
      </w:r>
      <w:r>
        <w:rPr>
          <w:rFonts w:cs="Arial"/>
        </w:rPr>
        <w:t>, using the Bio-Rad’s reagents and instructions</w:t>
      </w:r>
      <w:r w:rsidR="00754990" w:rsidRPr="000C71A6">
        <w:rPr>
          <w:rFonts w:cs="Arial"/>
        </w:rPr>
        <w:t xml:space="preserve">. </w:t>
      </w:r>
      <w:r w:rsidR="00B83724" w:rsidRPr="000C71A6">
        <w:rPr>
          <w:rFonts w:cs="Arial"/>
        </w:rPr>
        <w:t xml:space="preserve">Samples were prepared with </w:t>
      </w:r>
      <w:r w:rsidR="00F70514">
        <w:rPr>
          <w:rFonts w:cs="Arial"/>
        </w:rPr>
        <w:t xml:space="preserve">2× </w:t>
      </w:r>
      <w:r w:rsidR="00B83724" w:rsidRPr="000C71A6">
        <w:rPr>
          <w:rFonts w:cs="Arial"/>
        </w:rPr>
        <w:t>sample buffer</w:t>
      </w:r>
      <w:r w:rsidR="008A10F9">
        <w:rPr>
          <w:rFonts w:cs="Arial"/>
        </w:rPr>
        <w:t xml:space="preserve"> </w:t>
      </w:r>
      <w:r w:rsidR="009F6DDD">
        <w:rPr>
          <w:rFonts w:cs="Arial"/>
        </w:rPr>
        <w:t>[</w:t>
      </w:r>
      <w:r w:rsidR="00F70514" w:rsidRPr="00F70514">
        <w:rPr>
          <w:rFonts w:cs="Arial"/>
        </w:rPr>
        <w:t>0</w:t>
      </w:r>
      <w:r w:rsidR="009F6DDD">
        <w:rPr>
          <w:rFonts w:cs="Arial"/>
        </w:rPr>
        <w:t>.</w:t>
      </w:r>
      <w:r w:rsidR="00F70514" w:rsidRPr="00F70514">
        <w:rPr>
          <w:rFonts w:cs="Arial"/>
        </w:rPr>
        <w:t>15 M Tris-HCl pH 6</w:t>
      </w:r>
      <w:r w:rsidR="009F6DDD">
        <w:rPr>
          <w:rFonts w:cs="Arial"/>
        </w:rPr>
        <w:t>.</w:t>
      </w:r>
      <w:r w:rsidR="00F70514" w:rsidRPr="00F70514">
        <w:rPr>
          <w:rFonts w:cs="Arial"/>
        </w:rPr>
        <w:t>8; 10% (v/v) β-mercaptoethanol; 1</w:t>
      </w:r>
      <w:r w:rsidR="007A39C8">
        <w:rPr>
          <w:rFonts w:cs="Arial"/>
        </w:rPr>
        <w:t>.</w:t>
      </w:r>
      <w:r w:rsidR="00F70514" w:rsidRPr="00F70514">
        <w:rPr>
          <w:rFonts w:cs="Arial"/>
        </w:rPr>
        <w:t>2% (w/v) SDS; 30% (v/v) Glycerol; 0</w:t>
      </w:r>
      <w:r w:rsidR="009F6DDD">
        <w:rPr>
          <w:rFonts w:cs="Arial"/>
        </w:rPr>
        <w:t>.</w:t>
      </w:r>
      <w:r w:rsidR="00F70514" w:rsidRPr="00F70514">
        <w:rPr>
          <w:rFonts w:cs="Arial"/>
        </w:rPr>
        <w:t>04 % (</w:t>
      </w:r>
      <w:r w:rsidR="00F70514">
        <w:rPr>
          <w:rFonts w:cs="Arial"/>
        </w:rPr>
        <w:t>w</w:t>
      </w:r>
      <w:r w:rsidR="00F70514" w:rsidRPr="00F70514">
        <w:rPr>
          <w:rFonts w:cs="Arial"/>
        </w:rPr>
        <w:t>/v) Bromophenol blue</w:t>
      </w:r>
      <w:r w:rsidR="009F6DDD">
        <w:rPr>
          <w:rFonts w:cs="Arial"/>
        </w:rPr>
        <w:t>]</w:t>
      </w:r>
      <w:r w:rsidR="00B83724" w:rsidRPr="000C71A6">
        <w:rPr>
          <w:rFonts w:cs="Arial"/>
        </w:rPr>
        <w:t>, boiled at 95</w:t>
      </w:r>
      <w:r w:rsidR="00F70514">
        <w:rPr>
          <w:rFonts w:cs="Arial"/>
        </w:rPr>
        <w:t xml:space="preserve"> </w:t>
      </w:r>
      <w:r w:rsidR="00B83724" w:rsidRPr="000C71A6">
        <w:rPr>
          <w:rFonts w:cs="Arial"/>
        </w:rPr>
        <w:t>ºC for 5 min</w:t>
      </w:r>
      <w:r w:rsidR="008A10F9">
        <w:rPr>
          <w:rFonts w:cs="Arial"/>
        </w:rPr>
        <w:t xml:space="preserve"> and cooled on ice</w:t>
      </w:r>
      <w:r w:rsidR="00B83724" w:rsidRPr="000C71A6">
        <w:rPr>
          <w:rFonts w:cs="Arial"/>
        </w:rPr>
        <w:t>.</w:t>
      </w:r>
      <w:r w:rsidR="00EA6CEA">
        <w:rPr>
          <w:rFonts w:cs="Arial"/>
        </w:rPr>
        <w:t xml:space="preserve"> S</w:t>
      </w:r>
      <w:r w:rsidR="00B83724" w:rsidRPr="000C71A6">
        <w:rPr>
          <w:rFonts w:cs="Arial"/>
        </w:rPr>
        <w:t xml:space="preserve">amples </w:t>
      </w:r>
      <w:r w:rsidR="008A10F9">
        <w:rPr>
          <w:rFonts w:cs="Arial"/>
        </w:rPr>
        <w:t xml:space="preserve">and </w:t>
      </w:r>
      <w:r w:rsidR="00B83724" w:rsidRPr="000C71A6">
        <w:rPr>
          <w:rFonts w:cs="Arial"/>
        </w:rPr>
        <w:t>the molecular weight</w:t>
      </w:r>
      <w:r w:rsidR="008A10F9">
        <w:rPr>
          <w:rFonts w:cs="Arial"/>
        </w:rPr>
        <w:t xml:space="preserve"> marker</w:t>
      </w:r>
      <w:r w:rsidR="00B83724" w:rsidRPr="000C71A6">
        <w:rPr>
          <w:rFonts w:cs="Arial"/>
        </w:rPr>
        <w:t xml:space="preserve"> </w:t>
      </w:r>
      <w:r w:rsidR="00086FDC">
        <w:rPr>
          <w:rFonts w:cs="Arial"/>
        </w:rPr>
        <w:t>(</w:t>
      </w:r>
      <w:r w:rsidR="00086FDC" w:rsidRPr="00086FDC">
        <w:rPr>
          <w:rFonts w:cs="Arial"/>
        </w:rPr>
        <w:t>Bio-Rad Precision Plus Protein Dual Color Standards</w:t>
      </w:r>
      <w:r w:rsidR="00086FDC">
        <w:rPr>
          <w:rFonts w:cs="Arial"/>
        </w:rPr>
        <w:t xml:space="preserve">) </w:t>
      </w:r>
      <w:r w:rsidR="008A10F9" w:rsidRPr="000C71A6">
        <w:rPr>
          <w:rFonts w:cs="Arial"/>
        </w:rPr>
        <w:t xml:space="preserve">were loaded </w:t>
      </w:r>
      <w:r w:rsidR="00B83724" w:rsidRPr="000C71A6">
        <w:rPr>
          <w:rFonts w:cs="Arial"/>
        </w:rPr>
        <w:t xml:space="preserve">and the </w:t>
      </w:r>
      <w:r w:rsidR="008A10F9">
        <w:rPr>
          <w:rFonts w:cs="Arial"/>
        </w:rPr>
        <w:t xml:space="preserve">gel was run </w:t>
      </w:r>
      <w:r w:rsidR="009D5896">
        <w:rPr>
          <w:rFonts w:cs="Arial"/>
        </w:rPr>
        <w:t>immersed in</w:t>
      </w:r>
      <w:r w:rsidR="00B83724" w:rsidRPr="000C71A6">
        <w:rPr>
          <w:rFonts w:cs="Arial"/>
        </w:rPr>
        <w:t xml:space="preserve"> Running </w:t>
      </w:r>
      <w:r w:rsidR="008A10F9">
        <w:rPr>
          <w:rFonts w:cs="Arial"/>
        </w:rPr>
        <w:t>buffer</w:t>
      </w:r>
      <w:r w:rsidR="00086FDC">
        <w:rPr>
          <w:rFonts w:cs="Arial"/>
        </w:rPr>
        <w:t xml:space="preserve"> (</w:t>
      </w:r>
      <w:r w:rsidR="00086FDC" w:rsidRPr="00086FDC">
        <w:rPr>
          <w:rFonts w:cs="Arial"/>
        </w:rPr>
        <w:t>25 mM Tris, 192 mM glycine, 0</w:t>
      </w:r>
      <w:r w:rsidR="007A39C8">
        <w:rPr>
          <w:rFonts w:cs="Arial"/>
        </w:rPr>
        <w:t>.</w:t>
      </w:r>
      <w:r w:rsidR="00086FDC" w:rsidRPr="00086FDC">
        <w:rPr>
          <w:rFonts w:cs="Arial"/>
        </w:rPr>
        <w:t>1% SDS, pH 8.3</w:t>
      </w:r>
      <w:r w:rsidR="008A10F9">
        <w:rPr>
          <w:rFonts w:cs="Arial"/>
        </w:rPr>
        <w:t>) at</w:t>
      </w:r>
      <w:r w:rsidR="00F05A74">
        <w:rPr>
          <w:rFonts w:cs="Arial"/>
        </w:rPr>
        <w:t xml:space="preserve"> 45 mA for about 1 hour</w:t>
      </w:r>
      <w:r w:rsidR="00265D1A">
        <w:rPr>
          <w:rFonts w:cs="Arial"/>
        </w:rPr>
        <w:t xml:space="preserve"> before being</w:t>
      </w:r>
      <w:r w:rsidR="00667623">
        <w:rPr>
          <w:rFonts w:cs="Arial"/>
        </w:rPr>
        <w:t xml:space="preserve"> </w:t>
      </w:r>
      <w:r w:rsidR="00265D1A">
        <w:rPr>
          <w:rFonts w:cs="Arial"/>
        </w:rPr>
        <w:t>s</w:t>
      </w:r>
      <w:r w:rsidR="00667623">
        <w:rPr>
          <w:rFonts w:cs="Arial"/>
        </w:rPr>
        <w:t>ilver stain</w:t>
      </w:r>
      <w:r w:rsidR="00265D1A">
        <w:rPr>
          <w:rFonts w:cs="Arial"/>
        </w:rPr>
        <w:t>ed</w:t>
      </w:r>
      <w:r w:rsidR="0023236C">
        <w:rPr>
          <w:rFonts w:cs="Arial"/>
        </w:rPr>
        <w:t xml:space="preserve"> </w:t>
      </w:r>
      <w:r w:rsidR="0023236C">
        <w:rPr>
          <w:rFonts w:cs="Arial"/>
        </w:rPr>
        <w:fldChar w:fldCharType="begin" w:fldLock="1"/>
      </w:r>
      <w:r w:rsidR="0023236C">
        <w:rPr>
          <w:rFonts w:cs="Arial"/>
        </w:rPr>
        <w:instrText>ADDIN CSL_CITATION {"citationItems":[{"id":"ITEM-1","itemData":{"DOI":"10.1021/ac950914h","ISSN":"0003-2700","PMID":"8779443","abstract":"Proteins from silver-stained gels can be digested enzymatically and the resulting peptides analyzed and sequenced by mass spectrometry. Standard proteins yield the same peptide maps when extracted ...","author":[{"dropping-particle":"","family":"Shevchenko","given":"Andrej","non-dropping-particle":"","parse-names":false,"suffix":""},{"dropping-particle":"","family":"Wilm","given":"Matthias","non-dropping-particle":"","parse-names":false,"suffix":""},{"dropping-particle":"","family":"Vorm","given":"Ole","non-dropping-particle":"","parse-names":false,"suffix":""},{"dropping-particle":"","family":"Mann","given":"Matthias","non-dropping-particle":"","parse-names":false,"suffix":""}],"container-title":"Analytical Chemistry","id":"ITEM-1","issue":"5","issued":{"date-parts":[["1996","3","1"]]},"page":"850-858","publisher":"American Chemical Society","title":"Mass Spectrometric Sequencing of Proteins from Silver-Stained Polyacrylamide Gels","type":"article-journal","volume":"68"},"uris":["http://www.mendeley.com/documents/?uuid=44421f8e-f838-399a-a47f-5b491d5df493"]}],"mendeley":{"formattedCitation":"[50]","plainTextFormattedCitation":"[50]","previouslyFormattedCitation":"[50]"},"properties":{"noteIndex":0},"schema":"https://github.com/citation-style-language/schema/raw/master/csl-citation.json"}</w:instrText>
      </w:r>
      <w:r w:rsidR="0023236C">
        <w:rPr>
          <w:rFonts w:cs="Arial"/>
        </w:rPr>
        <w:fldChar w:fldCharType="separate"/>
      </w:r>
      <w:r w:rsidR="0023236C" w:rsidRPr="0023236C">
        <w:rPr>
          <w:rFonts w:cs="Arial"/>
          <w:noProof/>
        </w:rPr>
        <w:t>[50]</w:t>
      </w:r>
      <w:r w:rsidR="0023236C">
        <w:rPr>
          <w:rFonts w:cs="Arial"/>
        </w:rPr>
        <w:fldChar w:fldCharType="end"/>
      </w:r>
      <w:r w:rsidR="0023236C">
        <w:rPr>
          <w:rFonts w:cs="Arial"/>
        </w:rPr>
        <w:t>.</w:t>
      </w:r>
    </w:p>
    <w:p w14:paraId="48B96950" w14:textId="4B84E227" w:rsidR="00B83724" w:rsidRPr="000C71A6" w:rsidRDefault="00E90F8F" w:rsidP="00A078BC">
      <w:pPr>
        <w:pStyle w:val="Estilo1"/>
      </w:pPr>
      <w:bookmarkStart w:id="24" w:name="_Toc115037815"/>
      <w:r>
        <w:t xml:space="preserve">2.4. </w:t>
      </w:r>
      <w:r w:rsidR="000D6749" w:rsidRPr="000C71A6">
        <w:t>Immunization strategy and c</w:t>
      </w:r>
      <w:r w:rsidR="00FC5DE8" w:rsidRPr="000C71A6">
        <w:t>ollection of biological samples</w:t>
      </w:r>
      <w:bookmarkEnd w:id="24"/>
    </w:p>
    <w:p w14:paraId="5DEF5FAB" w14:textId="0F489B7B" w:rsidR="00587D7D" w:rsidRDefault="001733A3" w:rsidP="00DA093B">
      <w:pPr>
        <w:rPr>
          <w:rFonts w:cs="Arial"/>
        </w:rPr>
      </w:pPr>
      <w:r>
        <w:rPr>
          <w:rFonts w:cs="Arial"/>
        </w:rPr>
        <w:t>F</w:t>
      </w:r>
      <w:r w:rsidR="00704365">
        <w:rPr>
          <w:rFonts w:cs="Arial"/>
        </w:rPr>
        <w:t xml:space="preserve">emale Holstein-Friesian </w:t>
      </w:r>
      <w:r w:rsidR="000D6749" w:rsidRPr="000C71A6">
        <w:rPr>
          <w:rFonts w:cs="Arial"/>
        </w:rPr>
        <w:t>calves</w:t>
      </w:r>
      <w:r w:rsidR="00704365">
        <w:rPr>
          <w:rFonts w:cs="Arial"/>
        </w:rPr>
        <w:t>, 3-4 months old</w:t>
      </w:r>
      <w:r w:rsidR="000D6749" w:rsidRPr="000C71A6">
        <w:rPr>
          <w:rFonts w:cs="Arial"/>
        </w:rPr>
        <w:t xml:space="preserve"> </w:t>
      </w:r>
      <w:r w:rsidR="00587D7D">
        <w:rPr>
          <w:rFonts w:cs="Arial"/>
        </w:rPr>
        <w:t>were distributed into two groups per experiment</w:t>
      </w:r>
      <w:r w:rsidR="00704365">
        <w:rPr>
          <w:rFonts w:cs="Arial"/>
        </w:rPr>
        <w:t>.</w:t>
      </w:r>
      <w:r w:rsidR="00587D7D">
        <w:rPr>
          <w:rFonts w:cs="Arial"/>
        </w:rPr>
        <w:t xml:space="preserve"> </w:t>
      </w:r>
      <w:r w:rsidR="00704365">
        <w:rPr>
          <w:rFonts w:cs="Arial"/>
        </w:rPr>
        <w:t>T</w:t>
      </w:r>
      <w:r w:rsidR="00587D7D">
        <w:rPr>
          <w:rFonts w:cs="Arial"/>
        </w:rPr>
        <w:t>wo independent experiments</w:t>
      </w:r>
      <w:r w:rsidR="00704365">
        <w:rPr>
          <w:rFonts w:cs="Arial"/>
        </w:rPr>
        <w:t xml:space="preserve"> (Experiment 1 and Experiment 2) were done using 4 animals per group per experiment</w:t>
      </w:r>
      <w:r w:rsidR="00587D7D">
        <w:rPr>
          <w:rFonts w:cs="Arial"/>
        </w:rPr>
        <w:t xml:space="preserve">. </w:t>
      </w:r>
      <w:r w:rsidR="00704365">
        <w:rPr>
          <w:rFonts w:cs="Arial"/>
        </w:rPr>
        <w:t xml:space="preserve">The immunized </w:t>
      </w:r>
      <w:r w:rsidR="00587D7D">
        <w:rPr>
          <w:rFonts w:cs="Arial"/>
        </w:rPr>
        <w:t xml:space="preserve">group </w:t>
      </w:r>
      <w:r w:rsidR="00704365">
        <w:rPr>
          <w:rFonts w:cs="Arial"/>
        </w:rPr>
        <w:t xml:space="preserve">(NcMP/CpG/R848) </w:t>
      </w:r>
      <w:r w:rsidR="00587D7D">
        <w:rPr>
          <w:rFonts w:cs="Arial"/>
        </w:rPr>
        <w:t xml:space="preserve">was </w:t>
      </w:r>
      <w:r w:rsidR="00704365">
        <w:rPr>
          <w:rFonts w:cs="Arial"/>
        </w:rPr>
        <w:t xml:space="preserve">treated </w:t>
      </w:r>
      <w:r w:rsidR="00587D7D">
        <w:rPr>
          <w:rFonts w:cs="Arial"/>
        </w:rPr>
        <w:t>with a 2 m</w:t>
      </w:r>
      <w:r w:rsidR="00327BF0">
        <w:rPr>
          <w:rFonts w:cs="Arial"/>
        </w:rPr>
        <w:t>L</w:t>
      </w:r>
      <w:r w:rsidR="00587D7D">
        <w:rPr>
          <w:rFonts w:cs="Arial"/>
        </w:rPr>
        <w:t xml:space="preserve"> solution containing 500 μg NcMP, 250 μg</w:t>
      </w:r>
      <w:r w:rsidR="00FA0639">
        <w:rPr>
          <w:rFonts w:cs="Arial"/>
        </w:rPr>
        <w:t xml:space="preserve"> Cp</w:t>
      </w:r>
      <w:r w:rsidR="00AF1E8D">
        <w:rPr>
          <w:rFonts w:cs="Arial"/>
        </w:rPr>
        <w:t>G ODN 2007 and 250 μg r</w:t>
      </w:r>
      <w:r w:rsidR="00587D7D">
        <w:rPr>
          <w:rFonts w:cs="Arial"/>
        </w:rPr>
        <w:t>esiquimod</w:t>
      </w:r>
      <w:r w:rsidR="008439C2">
        <w:rPr>
          <w:rFonts w:cs="Arial"/>
        </w:rPr>
        <w:t xml:space="preserve"> (R848)</w:t>
      </w:r>
      <w:r w:rsidR="00587D7D">
        <w:rPr>
          <w:rFonts w:cs="Arial"/>
        </w:rPr>
        <w:t xml:space="preserve"> </w:t>
      </w:r>
      <w:r w:rsidR="00C16979">
        <w:rPr>
          <w:rFonts w:cs="Arial"/>
        </w:rPr>
        <w:t>(both from Invivo</w:t>
      </w:r>
      <w:r w:rsidR="00253988">
        <w:rPr>
          <w:rFonts w:cs="Arial"/>
        </w:rPr>
        <w:t>G</w:t>
      </w:r>
      <w:r w:rsidR="00C16979">
        <w:rPr>
          <w:rFonts w:cs="Arial"/>
        </w:rPr>
        <w:t>en</w:t>
      </w:r>
      <w:r w:rsidR="003E025A">
        <w:rPr>
          <w:rFonts w:cs="Arial"/>
        </w:rPr>
        <w:t xml:space="preserve">, </w:t>
      </w:r>
      <w:r w:rsidR="006033F9">
        <w:rPr>
          <w:rFonts w:cs="Arial"/>
        </w:rPr>
        <w:t>San Diego, CA, USA</w:t>
      </w:r>
      <w:r w:rsidR="00C16979">
        <w:rPr>
          <w:rFonts w:cs="Arial"/>
        </w:rPr>
        <w:t xml:space="preserve">) </w:t>
      </w:r>
      <w:r w:rsidR="00587D7D">
        <w:rPr>
          <w:rFonts w:cs="Arial"/>
        </w:rPr>
        <w:t xml:space="preserve">and the </w:t>
      </w:r>
      <w:r w:rsidR="00704365">
        <w:rPr>
          <w:rFonts w:cs="Arial"/>
        </w:rPr>
        <w:t xml:space="preserve">control </w:t>
      </w:r>
      <w:r w:rsidR="00587D7D">
        <w:rPr>
          <w:rFonts w:cs="Arial"/>
        </w:rPr>
        <w:t xml:space="preserve">group </w:t>
      </w:r>
      <w:r w:rsidR="00704365">
        <w:rPr>
          <w:rFonts w:cs="Arial"/>
        </w:rPr>
        <w:t>(CpG/R848)</w:t>
      </w:r>
      <w:r w:rsidR="00704365" w:rsidDel="00861BCD">
        <w:rPr>
          <w:rFonts w:cs="Arial"/>
        </w:rPr>
        <w:t xml:space="preserve"> </w:t>
      </w:r>
      <w:r w:rsidR="00587D7D">
        <w:rPr>
          <w:rFonts w:cs="Arial"/>
        </w:rPr>
        <w:t>received 2 m</w:t>
      </w:r>
      <w:r w:rsidR="00DC5F87">
        <w:rPr>
          <w:rFonts w:cs="Arial"/>
        </w:rPr>
        <w:t>L</w:t>
      </w:r>
      <w:r w:rsidR="00587D7D">
        <w:rPr>
          <w:rFonts w:cs="Arial"/>
        </w:rPr>
        <w:t xml:space="preserve"> </w:t>
      </w:r>
      <w:r w:rsidR="00722615">
        <w:rPr>
          <w:rFonts w:cs="Arial"/>
        </w:rPr>
        <w:t>containing 250 μg Cp</w:t>
      </w:r>
      <w:r w:rsidR="00AF1E8D">
        <w:rPr>
          <w:rFonts w:cs="Arial"/>
        </w:rPr>
        <w:t>G-ODN 2007 and 250 μg r</w:t>
      </w:r>
      <w:r w:rsidR="00DA093B">
        <w:rPr>
          <w:rFonts w:cs="Arial"/>
        </w:rPr>
        <w:t>esiquimod. Immunization strategy was as follows: firstly, a subcutaneous immunization</w:t>
      </w:r>
      <w:r w:rsidR="00AF1E8D">
        <w:rPr>
          <w:rFonts w:cs="Arial"/>
        </w:rPr>
        <w:t xml:space="preserve"> over the right scapular region</w:t>
      </w:r>
      <w:r w:rsidR="00DA093B">
        <w:rPr>
          <w:rFonts w:cs="Arial"/>
        </w:rPr>
        <w:t xml:space="preserve">, followed by </w:t>
      </w:r>
      <w:r w:rsidR="00AF1E8D">
        <w:rPr>
          <w:rFonts w:cs="Arial"/>
        </w:rPr>
        <w:t>an intranasal immunization on the right nostril and</w:t>
      </w:r>
      <w:r w:rsidR="00DA093B">
        <w:rPr>
          <w:rFonts w:cs="Arial"/>
        </w:rPr>
        <w:t xml:space="preserve">, lastly, a second subcutaneous immunization. Immunizations were spanned one month. </w:t>
      </w:r>
      <w:r w:rsidR="003E025A">
        <w:rPr>
          <w:rFonts w:cs="Arial"/>
        </w:rPr>
        <w:t xml:space="preserve">The </w:t>
      </w:r>
      <w:r w:rsidR="003E025A" w:rsidRPr="003E025A">
        <w:rPr>
          <w:rFonts w:cs="Arial"/>
        </w:rPr>
        <w:t>adjuvant suspension Carbigen</w:t>
      </w:r>
      <w:r w:rsidR="003E025A">
        <w:rPr>
          <w:rFonts w:cs="Arial"/>
        </w:rPr>
        <w:t>™</w:t>
      </w:r>
      <w:r w:rsidR="003E025A" w:rsidRPr="003E025A">
        <w:rPr>
          <w:rFonts w:cs="Arial"/>
        </w:rPr>
        <w:t xml:space="preserve"> (MVP adjuvants, Omaha, NE, USA)</w:t>
      </w:r>
      <w:r w:rsidR="003E025A">
        <w:rPr>
          <w:rFonts w:cs="Arial"/>
        </w:rPr>
        <w:t xml:space="preserve"> was additionally added at 10% (v/v) to the intranasal preparation.</w:t>
      </w:r>
    </w:p>
    <w:p w14:paraId="34D786F0" w14:textId="156A60BA" w:rsidR="00997A56" w:rsidRPr="000C71A6" w:rsidRDefault="00DA093B" w:rsidP="00997A56">
      <w:pPr>
        <w:rPr>
          <w:rFonts w:cs="Arial"/>
        </w:rPr>
      </w:pPr>
      <w:r>
        <w:rPr>
          <w:rFonts w:cs="Arial"/>
        </w:rPr>
        <w:t>Blood was collected before each intervention</w:t>
      </w:r>
      <w:r w:rsidR="00EE1497">
        <w:rPr>
          <w:rFonts w:cs="Arial"/>
        </w:rPr>
        <w:t>,</w:t>
      </w:r>
      <w:r w:rsidR="00534E42">
        <w:rPr>
          <w:rFonts w:cs="Arial"/>
        </w:rPr>
        <w:t xml:space="preserve"> two weeks after the last immunization</w:t>
      </w:r>
      <w:r w:rsidR="00DF08B0">
        <w:rPr>
          <w:rFonts w:cs="Arial"/>
        </w:rPr>
        <w:t>,</w:t>
      </w:r>
      <w:r w:rsidR="00534E42">
        <w:rPr>
          <w:rFonts w:cs="Arial"/>
        </w:rPr>
        <w:t xml:space="preserve"> </w:t>
      </w:r>
      <w:r w:rsidR="00EE1497">
        <w:rPr>
          <w:rFonts w:cs="Arial"/>
        </w:rPr>
        <w:t xml:space="preserve">and </w:t>
      </w:r>
      <w:r w:rsidR="00EA4A11">
        <w:rPr>
          <w:rFonts w:cs="Arial"/>
        </w:rPr>
        <w:t>e</w:t>
      </w:r>
      <w:r w:rsidR="00DF08B0">
        <w:rPr>
          <w:rFonts w:cs="Arial"/>
        </w:rPr>
        <w:t>very</w:t>
      </w:r>
      <w:r w:rsidR="00EA4A11">
        <w:rPr>
          <w:rFonts w:cs="Arial"/>
        </w:rPr>
        <w:t xml:space="preserve"> week after infection </w:t>
      </w:r>
      <w:r>
        <w:rPr>
          <w:rFonts w:cs="Arial"/>
        </w:rPr>
        <w:t>from the external jugular vein into heparin</w:t>
      </w:r>
      <w:r w:rsidR="00997A56">
        <w:rPr>
          <w:rFonts w:cs="Arial"/>
        </w:rPr>
        <w:t xml:space="preserve"> tubes</w:t>
      </w:r>
      <w:r>
        <w:rPr>
          <w:rFonts w:cs="Arial"/>
        </w:rPr>
        <w:t xml:space="preserve"> for </w:t>
      </w:r>
      <w:r w:rsidR="00997A56">
        <w:rPr>
          <w:rFonts w:cs="Arial"/>
        </w:rPr>
        <w:t>peripheral blood mononuclear cells (</w:t>
      </w:r>
      <w:r>
        <w:rPr>
          <w:rFonts w:cs="Arial"/>
        </w:rPr>
        <w:t>PBMC</w:t>
      </w:r>
      <w:r w:rsidR="00997A56">
        <w:rPr>
          <w:rFonts w:cs="Arial"/>
        </w:rPr>
        <w:t>)</w:t>
      </w:r>
      <w:r>
        <w:rPr>
          <w:rFonts w:cs="Arial"/>
        </w:rPr>
        <w:t xml:space="preserve"> isolation and</w:t>
      </w:r>
      <w:r w:rsidR="00CB5292">
        <w:rPr>
          <w:rFonts w:cs="Arial"/>
        </w:rPr>
        <w:t xml:space="preserve"> into</w:t>
      </w:r>
      <w:r>
        <w:rPr>
          <w:rFonts w:cs="Arial"/>
        </w:rPr>
        <w:t xml:space="preserve"> clot activator tubes for serum </w:t>
      </w:r>
      <w:r w:rsidR="00997A56">
        <w:rPr>
          <w:rFonts w:cs="Arial"/>
        </w:rPr>
        <w:t xml:space="preserve">collection. PBMCs isolation is described in the </w:t>
      </w:r>
      <w:r w:rsidR="00861BCD">
        <w:rPr>
          <w:rFonts w:cs="Arial"/>
        </w:rPr>
        <w:t xml:space="preserve">section </w:t>
      </w:r>
      <w:r w:rsidR="00E90F8F">
        <w:rPr>
          <w:rFonts w:cs="Arial"/>
        </w:rPr>
        <w:t>2.5.</w:t>
      </w:r>
      <w:r w:rsidR="00997A56">
        <w:rPr>
          <w:rFonts w:cs="Arial"/>
        </w:rPr>
        <w:t xml:space="preserve">. </w:t>
      </w:r>
      <w:r w:rsidR="00997A56" w:rsidRPr="000C71A6">
        <w:rPr>
          <w:rFonts w:cs="Arial"/>
        </w:rPr>
        <w:t>Non-heparinized blood was centrifuged at</w:t>
      </w:r>
      <w:r w:rsidR="003C64AD">
        <w:rPr>
          <w:rFonts w:cs="Arial"/>
        </w:rPr>
        <w:t xml:space="preserve"> 2 200 </w:t>
      </w:r>
      <w:r w:rsidR="003C64AD">
        <w:rPr>
          <w:rFonts w:cs="Arial"/>
          <w:i/>
        </w:rPr>
        <w:t xml:space="preserve">g </w:t>
      </w:r>
      <w:r w:rsidR="00997A56" w:rsidRPr="000C71A6">
        <w:rPr>
          <w:rFonts w:cs="Arial"/>
        </w:rPr>
        <w:t xml:space="preserve">for 5 min at </w:t>
      </w:r>
      <w:r w:rsidR="00DF08B0">
        <w:rPr>
          <w:rFonts w:cs="Arial"/>
        </w:rPr>
        <w:t>4</w:t>
      </w:r>
      <w:r w:rsidR="00FE1822">
        <w:rPr>
          <w:rFonts w:cs="Arial"/>
        </w:rPr>
        <w:t xml:space="preserve"> </w:t>
      </w:r>
      <w:r w:rsidR="00997A56" w:rsidRPr="000C71A6">
        <w:rPr>
          <w:rFonts w:cs="Arial"/>
        </w:rPr>
        <w:t>ºC and the supernatant was recovered to be centrifuged again at</w:t>
      </w:r>
      <w:r w:rsidR="003C64AD">
        <w:rPr>
          <w:rFonts w:cs="Arial"/>
        </w:rPr>
        <w:t xml:space="preserve"> 18 000 </w:t>
      </w:r>
      <w:r w:rsidR="003C64AD">
        <w:rPr>
          <w:rFonts w:cs="Arial"/>
          <w:i/>
        </w:rPr>
        <w:t xml:space="preserve">g </w:t>
      </w:r>
      <w:r w:rsidR="00997A56" w:rsidRPr="000C71A6">
        <w:rPr>
          <w:rFonts w:cs="Arial"/>
        </w:rPr>
        <w:t>for 15 min</w:t>
      </w:r>
      <w:r w:rsidR="00DF08B0">
        <w:rPr>
          <w:rFonts w:cs="Arial"/>
        </w:rPr>
        <w:t xml:space="preserve"> at 4 </w:t>
      </w:r>
      <w:r w:rsidR="00DF08B0" w:rsidRPr="000C71A6">
        <w:rPr>
          <w:rFonts w:cs="Arial"/>
        </w:rPr>
        <w:t>ºC</w:t>
      </w:r>
      <w:r w:rsidR="00997A56" w:rsidRPr="000C71A6">
        <w:rPr>
          <w:rFonts w:cs="Arial"/>
        </w:rPr>
        <w:t>; serum was recovered and stored at -20</w:t>
      </w:r>
      <w:r w:rsidR="00FE1822">
        <w:rPr>
          <w:rFonts w:cs="Arial"/>
        </w:rPr>
        <w:t xml:space="preserve"> ºC</w:t>
      </w:r>
      <w:r w:rsidR="00997A56" w:rsidRPr="000C71A6">
        <w:rPr>
          <w:rFonts w:cs="Arial"/>
        </w:rPr>
        <w:t xml:space="preserve"> for cytokine and antibody detection.</w:t>
      </w:r>
    </w:p>
    <w:p w14:paraId="632877C6" w14:textId="51E2CC1C" w:rsidR="00DA093B" w:rsidRPr="00997A56" w:rsidRDefault="00997A56" w:rsidP="00DA093B">
      <w:pPr>
        <w:rPr>
          <w:rFonts w:cs="Arial"/>
        </w:rPr>
      </w:pPr>
      <w:r>
        <w:rPr>
          <w:rFonts w:cs="Arial"/>
        </w:rPr>
        <w:t>Infection was performed one month after the last booster immunization with 2</w:t>
      </w:r>
      <w:r w:rsidR="007A39C8">
        <w:rPr>
          <w:rFonts w:cs="Arial"/>
        </w:rPr>
        <w:t>.</w:t>
      </w:r>
      <w:r>
        <w:rPr>
          <w:rFonts w:cs="Arial"/>
        </w:rPr>
        <w:t>5</w:t>
      </w:r>
      <w:r w:rsidR="00327BF0">
        <w:rPr>
          <w:rFonts w:cs="Arial"/>
        </w:rPr>
        <w:t xml:space="preserve"> × </w:t>
      </w:r>
      <w:r>
        <w:rPr>
          <w:rFonts w:cs="Arial"/>
        </w:rPr>
        <w:t>10</w:t>
      </w:r>
      <w:r>
        <w:rPr>
          <w:rFonts w:cs="Arial"/>
          <w:vertAlign w:val="superscript"/>
        </w:rPr>
        <w:t xml:space="preserve">8 </w:t>
      </w:r>
      <w:r>
        <w:rPr>
          <w:rFonts w:cs="Arial"/>
        </w:rPr>
        <w:t xml:space="preserve">parasites in </w:t>
      </w:r>
      <w:r w:rsidR="006A063A">
        <w:rPr>
          <w:rFonts w:cs="Arial"/>
        </w:rPr>
        <w:t xml:space="preserve">Experiment 1 </w:t>
      </w:r>
      <w:r>
        <w:rPr>
          <w:rFonts w:cs="Arial"/>
        </w:rPr>
        <w:t>and 7</w:t>
      </w:r>
      <w:r w:rsidR="007A39C8">
        <w:rPr>
          <w:rFonts w:cs="Arial"/>
        </w:rPr>
        <w:t>.</w:t>
      </w:r>
      <w:r>
        <w:rPr>
          <w:rFonts w:cs="Arial"/>
        </w:rPr>
        <w:t>0</w:t>
      </w:r>
      <w:r w:rsidR="00327BF0">
        <w:rPr>
          <w:rFonts w:cs="Arial"/>
        </w:rPr>
        <w:t xml:space="preserve"> × </w:t>
      </w:r>
      <w:r>
        <w:rPr>
          <w:rFonts w:cs="Arial"/>
        </w:rPr>
        <w:t>10</w:t>
      </w:r>
      <w:r>
        <w:rPr>
          <w:rFonts w:cs="Arial"/>
          <w:vertAlign w:val="superscript"/>
        </w:rPr>
        <w:t>8</w:t>
      </w:r>
      <w:r>
        <w:rPr>
          <w:rFonts w:cs="Arial"/>
        </w:rPr>
        <w:t xml:space="preserve"> parasites in </w:t>
      </w:r>
      <w:r w:rsidR="006A063A">
        <w:rPr>
          <w:rFonts w:cs="Arial"/>
        </w:rPr>
        <w:t>Experiment 2</w:t>
      </w:r>
      <w:r w:rsidR="006560F5">
        <w:rPr>
          <w:rFonts w:cs="Arial"/>
        </w:rPr>
        <w:t xml:space="preserve"> in a final volume of 4 mL in PBS</w:t>
      </w:r>
      <w:r>
        <w:rPr>
          <w:rFonts w:cs="Arial"/>
        </w:rPr>
        <w:t xml:space="preserve">. Half the dose </w:t>
      </w:r>
      <w:r w:rsidR="00740A0F">
        <w:rPr>
          <w:rFonts w:cs="Arial"/>
        </w:rPr>
        <w:t xml:space="preserve">(2 mL) </w:t>
      </w:r>
      <w:r>
        <w:rPr>
          <w:rFonts w:cs="Arial"/>
        </w:rPr>
        <w:t xml:space="preserve">was administered intravenously in the jugular vein and the other half </w:t>
      </w:r>
      <w:r w:rsidR="00740A0F">
        <w:rPr>
          <w:rFonts w:cs="Arial"/>
        </w:rPr>
        <w:t xml:space="preserve">(2 mL) </w:t>
      </w:r>
      <w:r>
        <w:rPr>
          <w:rFonts w:cs="Arial"/>
        </w:rPr>
        <w:t>subcutaneously</w:t>
      </w:r>
      <w:r w:rsidR="00CB5292">
        <w:rPr>
          <w:rFonts w:cs="Arial"/>
        </w:rPr>
        <w:t xml:space="preserve"> on the right scapular region</w:t>
      </w:r>
      <w:r>
        <w:rPr>
          <w:rFonts w:cs="Arial"/>
        </w:rPr>
        <w:t>.</w:t>
      </w:r>
    </w:p>
    <w:p w14:paraId="48B96953" w14:textId="441E8CAB" w:rsidR="00767E53" w:rsidRPr="000C71A6" w:rsidRDefault="00DA093B" w:rsidP="00F05A74">
      <w:pPr>
        <w:rPr>
          <w:rFonts w:cs="Arial"/>
        </w:rPr>
      </w:pPr>
      <w:r>
        <w:rPr>
          <w:rFonts w:cs="Arial"/>
        </w:rPr>
        <w:t xml:space="preserve"> </w:t>
      </w:r>
      <w:r w:rsidR="00997A56">
        <w:rPr>
          <w:rFonts w:cs="Arial"/>
        </w:rPr>
        <w:t xml:space="preserve">One month after infection, the animals were </w:t>
      </w:r>
      <w:r w:rsidR="00861BCD">
        <w:rPr>
          <w:rFonts w:cs="Arial"/>
        </w:rPr>
        <w:t xml:space="preserve">humanely </w:t>
      </w:r>
      <w:r w:rsidR="00997A56">
        <w:rPr>
          <w:rFonts w:cs="Arial"/>
        </w:rPr>
        <w:t xml:space="preserve">sacrificed and </w:t>
      </w:r>
      <w:r w:rsidR="00583BCC" w:rsidRPr="000C71A6">
        <w:rPr>
          <w:rFonts w:cs="Arial"/>
        </w:rPr>
        <w:t>sample</w:t>
      </w:r>
      <w:r w:rsidR="00CB5292">
        <w:rPr>
          <w:rFonts w:cs="Arial"/>
        </w:rPr>
        <w:t>s</w:t>
      </w:r>
      <w:r w:rsidR="00583BCC" w:rsidRPr="000C71A6">
        <w:rPr>
          <w:rFonts w:cs="Arial"/>
        </w:rPr>
        <w:t xml:space="preserve"> of</w:t>
      </w:r>
      <w:r w:rsidR="00CB5292">
        <w:rPr>
          <w:rFonts w:cs="Arial"/>
        </w:rPr>
        <w:t xml:space="preserve"> the</w:t>
      </w:r>
      <w:r w:rsidR="00583BCC" w:rsidRPr="000C71A6">
        <w:rPr>
          <w:rFonts w:cs="Arial"/>
        </w:rPr>
        <w:t xml:space="preserve"> liver, lung</w:t>
      </w:r>
      <w:r w:rsidR="00A9343A">
        <w:rPr>
          <w:rFonts w:cs="Arial"/>
        </w:rPr>
        <w:t>s</w:t>
      </w:r>
      <w:r w:rsidR="00583BCC" w:rsidRPr="000C71A6">
        <w:rPr>
          <w:rFonts w:cs="Arial"/>
        </w:rPr>
        <w:t xml:space="preserve">, spleen and </w:t>
      </w:r>
      <w:r w:rsidR="00861BCD">
        <w:rPr>
          <w:rFonts w:cs="Arial"/>
        </w:rPr>
        <w:t>several</w:t>
      </w:r>
      <w:r w:rsidR="00861BCD" w:rsidRPr="000C71A6">
        <w:rPr>
          <w:rFonts w:cs="Arial"/>
        </w:rPr>
        <w:t xml:space="preserve"> </w:t>
      </w:r>
      <w:r w:rsidR="00CB5292">
        <w:rPr>
          <w:rFonts w:cs="Arial"/>
        </w:rPr>
        <w:t>areas</w:t>
      </w:r>
      <w:r w:rsidR="00583BCC" w:rsidRPr="000C71A6">
        <w:rPr>
          <w:rFonts w:cs="Arial"/>
        </w:rPr>
        <w:t xml:space="preserve"> of the brain were stored at -80</w:t>
      </w:r>
      <w:r w:rsidR="007A39C8">
        <w:rPr>
          <w:rFonts w:cs="Arial"/>
        </w:rPr>
        <w:t xml:space="preserve"> </w:t>
      </w:r>
      <w:r w:rsidR="00FE1822">
        <w:rPr>
          <w:rFonts w:cs="Arial"/>
        </w:rPr>
        <w:t>ºC</w:t>
      </w:r>
      <w:r w:rsidR="00583BCC" w:rsidRPr="000C71A6">
        <w:rPr>
          <w:rFonts w:cs="Arial"/>
        </w:rPr>
        <w:t xml:space="preserve"> for DNA and RNA extraction</w:t>
      </w:r>
      <w:r w:rsidR="00A9343A">
        <w:rPr>
          <w:rFonts w:cs="Arial"/>
        </w:rPr>
        <w:t>.</w:t>
      </w:r>
      <w:r w:rsidR="00997A56">
        <w:rPr>
          <w:rFonts w:cs="Arial"/>
        </w:rPr>
        <w:t xml:space="preserve"> </w:t>
      </w:r>
      <w:r w:rsidR="00A9343A">
        <w:rPr>
          <w:rFonts w:cs="Arial"/>
        </w:rPr>
        <w:t xml:space="preserve">Blood </w:t>
      </w:r>
      <w:r w:rsidR="00997A56">
        <w:rPr>
          <w:rFonts w:cs="Arial"/>
        </w:rPr>
        <w:t xml:space="preserve">was collected </w:t>
      </w:r>
      <w:r w:rsidR="00FB6B77">
        <w:rPr>
          <w:rFonts w:cs="Arial"/>
        </w:rPr>
        <w:t xml:space="preserve">into heparin tubes for peripheral blood mononuclear cells (PBMC) isolation and into clot activator tubes for serum collection. Serum was </w:t>
      </w:r>
      <w:r w:rsidR="00D55E51">
        <w:rPr>
          <w:rFonts w:cs="Arial"/>
        </w:rPr>
        <w:t>stored at -20</w:t>
      </w:r>
      <w:r w:rsidR="009555D8">
        <w:rPr>
          <w:rFonts w:cs="Arial"/>
        </w:rPr>
        <w:t xml:space="preserve"> </w:t>
      </w:r>
      <w:r w:rsidR="00FE1822">
        <w:rPr>
          <w:rFonts w:cs="Arial"/>
        </w:rPr>
        <w:t>ºC</w:t>
      </w:r>
      <w:r w:rsidR="00D55E51">
        <w:rPr>
          <w:rFonts w:cs="Arial"/>
        </w:rPr>
        <w:t xml:space="preserve"> </w:t>
      </w:r>
      <w:r w:rsidR="00997A56">
        <w:rPr>
          <w:rFonts w:cs="Arial"/>
        </w:rPr>
        <w:t>for antibodies and cytokines detection</w:t>
      </w:r>
      <w:r w:rsidR="00583BCC" w:rsidRPr="000C71A6">
        <w:rPr>
          <w:rFonts w:cs="Arial"/>
        </w:rPr>
        <w:t xml:space="preserve">. </w:t>
      </w:r>
    </w:p>
    <w:p w14:paraId="48B96954" w14:textId="2E608F10" w:rsidR="00767E53" w:rsidRPr="000C71A6" w:rsidRDefault="00E90F8F" w:rsidP="00A078BC">
      <w:pPr>
        <w:pStyle w:val="Estilo1"/>
      </w:pPr>
      <w:bookmarkStart w:id="25" w:name="_Toc115037816"/>
      <w:r>
        <w:t xml:space="preserve">2.5. </w:t>
      </w:r>
      <w:r w:rsidR="00767E53" w:rsidRPr="000C71A6">
        <w:t>PBMC</w:t>
      </w:r>
      <w:r w:rsidR="00997A56">
        <w:t>s</w:t>
      </w:r>
      <w:r w:rsidR="00767E53" w:rsidRPr="000C71A6">
        <w:t xml:space="preserve"> </w:t>
      </w:r>
      <w:r w:rsidR="00D76B11" w:rsidRPr="000C71A6">
        <w:t>isolation</w:t>
      </w:r>
      <w:bookmarkEnd w:id="25"/>
    </w:p>
    <w:p w14:paraId="48B96956" w14:textId="376F4D04" w:rsidR="00692340" w:rsidRPr="00F05A74" w:rsidRDefault="00D76B11" w:rsidP="00F05A74">
      <w:r w:rsidRPr="000C71A6">
        <w:t xml:space="preserve">Blood diluted 1:2 in PBS was </w:t>
      </w:r>
      <w:r w:rsidR="00211790" w:rsidRPr="000C71A6">
        <w:t>gently put</w:t>
      </w:r>
      <w:r w:rsidRPr="000C71A6">
        <w:t xml:space="preserve"> into SepMate</w:t>
      </w:r>
      <w:r w:rsidRPr="000C71A6">
        <w:rPr>
          <w:vertAlign w:val="superscript"/>
        </w:rPr>
        <w:t>TM</w:t>
      </w:r>
      <w:r w:rsidRPr="000C71A6">
        <w:t xml:space="preserve"> tubes </w:t>
      </w:r>
      <w:r w:rsidR="00C16979">
        <w:t xml:space="preserve">(STEMCELL Technologies, Vancouver, Canada) </w:t>
      </w:r>
      <w:r w:rsidRPr="000C71A6">
        <w:t>already containing 15 m</w:t>
      </w:r>
      <w:r w:rsidR="00327BF0">
        <w:t>L</w:t>
      </w:r>
      <w:r w:rsidRPr="000C71A6">
        <w:t xml:space="preserve"> of </w:t>
      </w:r>
      <w:r w:rsidR="00211790" w:rsidRPr="000C71A6">
        <w:t>Histopaque</w:t>
      </w:r>
      <w:r w:rsidR="00211790" w:rsidRPr="000C71A6">
        <w:rPr>
          <w:rFonts w:cs="Arial"/>
        </w:rPr>
        <w:t>®</w:t>
      </w:r>
      <w:r w:rsidR="00211790" w:rsidRPr="000C71A6">
        <w:t xml:space="preserve"> </w:t>
      </w:r>
      <w:r w:rsidR="00C16979">
        <w:t xml:space="preserve">1077 </w:t>
      </w:r>
      <w:r w:rsidR="00211790" w:rsidRPr="000C71A6">
        <w:t>(Sigma) and centrifuged without brake at 1</w:t>
      </w:r>
      <w:r w:rsidR="004D7CB6">
        <w:t xml:space="preserve"> </w:t>
      </w:r>
      <w:r w:rsidR="00211790" w:rsidRPr="000C71A6">
        <w:t xml:space="preserve">200 </w:t>
      </w:r>
      <w:r w:rsidR="00211790" w:rsidRPr="00CB5292">
        <w:rPr>
          <w:i/>
        </w:rPr>
        <w:t>g</w:t>
      </w:r>
      <w:r w:rsidR="00211790" w:rsidRPr="000C71A6">
        <w:t xml:space="preserve"> for 20 min at 23</w:t>
      </w:r>
      <w:r w:rsidR="00FC356E">
        <w:t xml:space="preserve"> </w:t>
      </w:r>
      <w:r w:rsidR="00FE1822">
        <w:t>ºC</w:t>
      </w:r>
      <w:r w:rsidR="00211790" w:rsidRPr="000C71A6">
        <w:t>. The whit</w:t>
      </w:r>
      <w:r w:rsidR="004D7CB6">
        <w:t>ish</w:t>
      </w:r>
      <w:r w:rsidR="00211790" w:rsidRPr="000C71A6">
        <w:t xml:space="preserve"> ring (containing the mononuclear cells) was collected with a Pasteur pipette</w:t>
      </w:r>
      <w:r w:rsidR="004D7CB6">
        <w:t xml:space="preserve">, </w:t>
      </w:r>
      <w:r w:rsidR="00211790" w:rsidRPr="000C71A6">
        <w:t>diluted in PBS</w:t>
      </w:r>
      <w:r w:rsidR="004D7CB6">
        <w:t xml:space="preserve"> and</w:t>
      </w:r>
      <w:r w:rsidR="00211790" w:rsidRPr="000C71A6">
        <w:t xml:space="preserve"> centrifuged a</w:t>
      </w:r>
      <w:r w:rsidR="004D7CB6">
        <w:t>t</w:t>
      </w:r>
      <w:r w:rsidR="00211790" w:rsidRPr="000C71A6">
        <w:t xml:space="preserve"> 400 </w:t>
      </w:r>
      <w:r w:rsidR="00211790" w:rsidRPr="00CB5292">
        <w:rPr>
          <w:i/>
        </w:rPr>
        <w:t>g</w:t>
      </w:r>
      <w:r w:rsidR="00211790" w:rsidRPr="000C71A6">
        <w:t xml:space="preserve"> for 10 min to </w:t>
      </w:r>
      <w:r w:rsidR="005C6743" w:rsidRPr="000C71A6">
        <w:t>pellet</w:t>
      </w:r>
      <w:r w:rsidR="004D7CB6">
        <w:t xml:space="preserve"> the cells</w:t>
      </w:r>
      <w:r w:rsidR="005C6743" w:rsidRPr="000C71A6">
        <w:t xml:space="preserve">. The supernatant was discarded and the pellet was </w:t>
      </w:r>
      <w:r w:rsidR="001733A3">
        <w:t xml:space="preserve">washed in PBS and </w:t>
      </w:r>
      <w:r w:rsidR="005C6743" w:rsidRPr="000C71A6">
        <w:t>resuspended in</w:t>
      </w:r>
      <w:r w:rsidR="004D7CB6">
        <w:t xml:space="preserve"> FBS</w:t>
      </w:r>
      <w:r w:rsidR="005C6743" w:rsidRPr="000C71A6">
        <w:t>.</w:t>
      </w:r>
      <w:r w:rsidR="004D7CB6">
        <w:t xml:space="preserve"> Cells </w:t>
      </w:r>
      <w:r w:rsidR="00A9343A">
        <w:t xml:space="preserve">were </w:t>
      </w:r>
      <w:r w:rsidR="004D7CB6">
        <w:t>preserved at -80</w:t>
      </w:r>
      <w:r w:rsidR="009555D8">
        <w:t xml:space="preserve"> </w:t>
      </w:r>
      <w:r w:rsidR="00FE1822">
        <w:t>ºC</w:t>
      </w:r>
      <w:r w:rsidR="004D7CB6">
        <w:t xml:space="preserve"> in 10% (v/v) DMSO</w:t>
      </w:r>
      <w:r w:rsidR="00C16979">
        <w:t xml:space="preserve"> (Sigma)</w:t>
      </w:r>
      <w:r w:rsidR="004D7CB6">
        <w:t xml:space="preserve"> FBS</w:t>
      </w:r>
      <w:r w:rsidR="00143FEF">
        <w:t xml:space="preserve"> until further use</w:t>
      </w:r>
      <w:r w:rsidR="004D7CB6">
        <w:t>.</w:t>
      </w:r>
    </w:p>
    <w:p w14:paraId="48B96957" w14:textId="168F3231" w:rsidR="00F41210" w:rsidRPr="000C71A6" w:rsidRDefault="00E90F8F" w:rsidP="00A078BC">
      <w:pPr>
        <w:pStyle w:val="Estilo1"/>
      </w:pPr>
      <w:bookmarkStart w:id="26" w:name="_Toc115037817"/>
      <w:r>
        <w:t xml:space="preserve">2.6. </w:t>
      </w:r>
      <w:r w:rsidR="00F41210" w:rsidRPr="000C71A6">
        <w:t xml:space="preserve">RNA extraction and real-time </w:t>
      </w:r>
      <w:r w:rsidR="00F31095">
        <w:t xml:space="preserve">reverse transcription </w:t>
      </w:r>
      <w:r w:rsidR="00F41210" w:rsidRPr="000C71A6">
        <w:t>PCR analysis</w:t>
      </w:r>
      <w:bookmarkEnd w:id="26"/>
    </w:p>
    <w:p w14:paraId="1CB6EFDC" w14:textId="45B86DF0" w:rsidR="00BC7CF6" w:rsidRPr="000C71A6" w:rsidRDefault="002368CC" w:rsidP="00290624">
      <w:pPr>
        <w:rPr>
          <w:rFonts w:cs="Arial"/>
        </w:rPr>
      </w:pPr>
      <w:r w:rsidRPr="000C71A6">
        <w:rPr>
          <w:rFonts w:cs="Arial"/>
        </w:rPr>
        <w:t>Total RNA was extracted from a representative sample of</w:t>
      </w:r>
      <w:r w:rsidR="00CB5292">
        <w:rPr>
          <w:rFonts w:cs="Arial"/>
        </w:rPr>
        <w:t xml:space="preserve"> the</w:t>
      </w:r>
      <w:r w:rsidRPr="000C71A6">
        <w:rPr>
          <w:rFonts w:cs="Arial"/>
        </w:rPr>
        <w:t xml:space="preserve"> lung</w:t>
      </w:r>
      <w:r w:rsidR="000420E1">
        <w:rPr>
          <w:rFonts w:cs="Arial"/>
        </w:rPr>
        <w:t>s</w:t>
      </w:r>
      <w:r w:rsidRPr="000C71A6">
        <w:rPr>
          <w:rFonts w:cs="Arial"/>
        </w:rPr>
        <w:t xml:space="preserve">, liver, spleen and a cerebellar section of the brain, and converted into cDNA as described by </w:t>
      </w:r>
      <w:r w:rsidRPr="000C71A6">
        <w:rPr>
          <w:rFonts w:cs="Arial"/>
        </w:rPr>
        <w:fldChar w:fldCharType="begin" w:fldLock="1"/>
      </w:r>
      <w:r w:rsidR="0023236C">
        <w:rPr>
          <w:rFonts w:cs="Arial"/>
        </w:rPr>
        <w:instrText>ADDIN CSL_CITATION {"citationItems":[{"id":"ITEM-1","itemData":{"DOI":"10.1038/srep14913","ISSN":"2045-2322","abstract":"It is well established that CD8 + T cells play an important role in protective immunity against protozoan infections. However, their role in the course of Neospora caninum infection has not been fully elucidated. Here we report that CD8-deficient mice infected with N. caninum presented higher parasitic loads in the brain and lungs and lower spleen and brain immunity-related GTPases than their wild-type counterparts. Moreover, adoptive transfer of splenic CD8 + T cells sorted from N. caninum-primed immunosufficient C57BL/10 ScSn mice prolonged the survival of infected IL-12-unresponsive C57BL/10 ScCr recipients. In both C57BL/6 and C57BL/10 ScSn mice CD8 + T cells are activated and produce interferon-γ (IFN-γ) upon challenged with N. caninum. The host protective role of IFN-γ produced by CD8 + T cells was confirmed in N. caninum-infected RAG2-deficient mice reconstituted with CD8 + T cells obtained from either IFN-γ-deficient or wild-type donors. Mice receiving IFN-γ-expressing CD8 + T cells presented lower parasitic burdens than counterparts having IFN-γ-deficient CD8 + T cells. Moreover, we observed that N. caninum-infected perforin-deficient mice presented parasitic burdens similar to those of infected wild-type controls. Altogether these results demonstrate that production of IFN-γ is a predominant protective mechanism conferred by CD8 + T cells in the course of neosporosis. Neospora caninum is a cyst-forming coccidian parasite responsible for clinical infections in a wide range of animal hosts including bovines 1. In cattle N. caninum is a major cause of abortions and stillbirths occurring worldwide thus having a major economic impact on dairy industry 2. Currently, no effective commercially available vaccine exists against neosporosis 3. Therefore, a better understanding of immune mechanisms mediating host resistance to this infectious disease may be helpful in designing immune-mediated preventive approaches for neosporosis. Studies performed in mice and cattle infected with N. caninum have shown that dendritic cells and macrophages 4-6 , NK cells 7,8 and CD4 + T cells 9-11 provide different effector functions in protective immunity to neosporosis. As N. caninum is an obligate intracellular parasite, it could also be expected that CD8","author":[{"dropping-particle":"","family":"Correia","given":"Alexandra","non-dropping-particle":"","parse-names":false,"suffix":""},{"dropping-particle":"","family":"Ferreirinha","given":"Pedro","non-dropping-particle":"","parse-names":false,"suffix":""},{"dropping-particle":"","family":"Botelho","given":"Sofia","non-dropping-particle":"","parse-names":false,"suffix":""},{"dropping-particle":"","family":"Belinha","given":"Ana","non-dropping-particle":"","parse-names":false,"suffix":""},{"dropping-particle":"","family":"Leitão","given":"Catarina","non-dropping-particle":"","parse-names":false,"suffix":""},{"dropping-particle":"","family":"Caramalho","given":"Íris","non-dropping-particle":"","parse-names":false,"suffix":""},{"dropping-particle":"","family":"Teixeira","given":"Luzia","non-dropping-particle":"","parse-names":false,"suffix":""},{"dropping-particle":"","family":"González-Fernandéz","given":"África","non-dropping-particle":"","parse-names":false,"suffix":""},{"dropping-particle":"","family":"Appelberg","given":"Rui","non-dropping-particle":"","parse-names":false,"suffix":""},{"dropping-particle":"","family":"Vilanova","given":"Manuel","non-dropping-particle":"","parse-names":false,"suffix":""}],"container-title":"Scientific Reports","id":"ITEM-1","issue":"1","issued":{"date-parts":[["2015","12","9"]]},"page":"14913","title":"Predominant role of interferon-γ in the host protective effect of CD8+ T cells against Neospora caninum infection","type":"article-journal","volume":"5"},"uris":["http://www.mendeley.com/documents/?uuid=e9601cac-1f12-3ec6-a281-1d96368641f8"]}],"mendeley":{"formattedCitation":"[29]","manualFormatting":"Correia et al.","plainTextFormattedCitation":"[29]","previouslyFormattedCitation":"[29]"},"properties":{"noteIndex":0},"schema":"https://github.com/citation-style-language/schema/raw/master/csl-citation.json"}</w:instrText>
      </w:r>
      <w:r w:rsidRPr="000C71A6">
        <w:rPr>
          <w:rFonts w:cs="Arial"/>
        </w:rPr>
        <w:fldChar w:fldCharType="separate"/>
      </w:r>
      <w:r w:rsidR="008C09FA" w:rsidRPr="00B61295">
        <w:rPr>
          <w:rFonts w:cs="Arial"/>
          <w:noProof/>
        </w:rPr>
        <w:t xml:space="preserve">Correia </w:t>
      </w:r>
      <w:r w:rsidR="008C09FA" w:rsidRPr="0023236C">
        <w:rPr>
          <w:rFonts w:cs="Arial"/>
          <w:i/>
          <w:noProof/>
        </w:rPr>
        <w:t>et al.</w:t>
      </w:r>
      <w:r w:rsidRPr="000C71A6">
        <w:rPr>
          <w:rFonts w:cs="Arial"/>
        </w:rPr>
        <w:fldChar w:fldCharType="end"/>
      </w:r>
      <w:r w:rsidR="0023236C">
        <w:rPr>
          <w:rFonts w:cs="Arial"/>
        </w:rPr>
        <w:t xml:space="preserve"> </w:t>
      </w:r>
      <w:r w:rsidR="0023236C">
        <w:rPr>
          <w:rFonts w:cs="Arial"/>
        </w:rPr>
        <w:fldChar w:fldCharType="begin" w:fldLock="1"/>
      </w:r>
      <w:r w:rsidR="0023236C">
        <w:rPr>
          <w:rFonts w:cs="Arial"/>
        </w:rPr>
        <w:instrText>ADDIN CSL_CITATION {"citationItems":[{"id":"ITEM-1","itemData":{"DOI":"10.1038/srep14913","ISSN":"2045-2322","abstract":"It is well established that CD8 + T cells play an important role in protective immunity against protozoan infections. However, their role in the course of Neospora caninum infection has not been fully elucidated. Here we report that CD8-deficient mice infected with N. caninum presented higher parasitic loads in the brain and lungs and lower spleen and brain immunity-related GTPases than their wild-type counterparts. Moreover, adoptive transfer of splenic CD8 + T cells sorted from N. caninum-primed immunosufficient C57BL/10 ScSn mice prolonged the survival of infected IL-12-unresponsive C57BL/10 ScCr recipients. In both C57BL/6 and C57BL/10 ScSn mice CD8 + T cells are activated and produce interferon-γ (IFN-γ) upon challenged with N. caninum. The host protective role of IFN-γ produced by CD8 + T cells was confirmed in N. caninum-infected RAG2-deficient mice reconstituted with CD8 + T cells obtained from either IFN-γ-deficient or wild-type donors. Mice receiving IFN-γ-expressing CD8 + T cells presented lower parasitic burdens than counterparts having IFN-γ-deficient CD8 + T cells. Moreover, we observed that N. caninum-infected perforin-deficient mice presented parasitic burdens similar to those of infected wild-type controls. Altogether these results demonstrate that production of IFN-γ is a predominant protective mechanism conferred by CD8 + T cells in the course of neosporosis. Neospora caninum is a cyst-forming coccidian parasite responsible for clinical infections in a wide range of animal hosts including bovines 1. In cattle N. caninum is a major cause of abortions and stillbirths occurring worldwide thus having a major economic impact on dairy industry 2. Currently, no effective commercially available vaccine exists against neosporosis 3. Therefore, a better understanding of immune mechanisms mediating host resistance to this infectious disease may be helpful in designing immune-mediated preventive approaches for neosporosis. Studies performed in mice and cattle infected with N. caninum have shown that dendritic cells and macrophages 4-6 , NK cells 7,8 and CD4 + T cells 9-11 provide different effector functions in protective immunity to neosporosis. As N. caninum is an obligate intracellular parasite, it could also be expected that CD8","author":[{"dropping-particle":"","family":"Correia","given":"Alexandra","non-dropping-particle":"","parse-names":false,"suffix":""},{"dropping-particle":"","family":"Ferreirinha","given":"Pedro","non-dropping-particle":"","parse-names":false,"suffix":""},{"dropping-particle":"","family":"Botelho","given":"Sofia","non-dropping-particle":"","parse-names":false,"suffix":""},{"dropping-particle":"","family":"Belinha","given":"Ana","non-dropping-particle":"","parse-names":false,"suffix":""},{"dropping-particle":"","family":"Leitão","given":"Catarina","non-dropping-particle":"","parse-names":false,"suffix":""},{"dropping-particle":"","family":"Caramalho","given":"Íris","non-dropping-particle":"","parse-names":false,"suffix":""},{"dropping-particle":"","family":"Teixeira","given":"Luzia","non-dropping-particle":"","parse-names":false,"suffix":""},{"dropping-particle":"","family":"González-Fernandéz","given":"África","non-dropping-particle":"","parse-names":false,"suffix":""},{"dropping-particle":"","family":"Appelberg","given":"Rui","non-dropping-particle":"","parse-names":false,"suffix":""},{"dropping-particle":"","family":"Vilanova","given":"Manuel","non-dropping-particle":"","parse-names":false,"suffix":""}],"container-title":"Scientific Reports","id":"ITEM-1","issue":"1","issued":{"date-parts":[["2015","12","9"]]},"page":"14913","title":"Predominant role of interferon-γ in the host protective effect of CD8+ T cells against Neospora caninum infection","type":"article-journal","volume":"5"},"uris":["http://www.mendeley.com/documents/?uuid=e9601cac-1f12-3ec6-a281-1d96368641f8"]}],"mendeley":{"formattedCitation":"[29]","plainTextFormattedCitation":"[29]","previouslyFormattedCitation":"[29]"},"properties":{"noteIndex":0},"schema":"https://github.com/citation-style-language/schema/raw/master/csl-citation.json"}</w:instrText>
      </w:r>
      <w:r w:rsidR="0023236C">
        <w:rPr>
          <w:rFonts w:cs="Arial"/>
        </w:rPr>
        <w:fldChar w:fldCharType="separate"/>
      </w:r>
      <w:r w:rsidR="0023236C" w:rsidRPr="0023236C">
        <w:rPr>
          <w:rFonts w:cs="Arial"/>
          <w:noProof/>
        </w:rPr>
        <w:t>[29]</w:t>
      </w:r>
      <w:r w:rsidR="0023236C">
        <w:rPr>
          <w:rFonts w:cs="Arial"/>
        </w:rPr>
        <w:fldChar w:fldCharType="end"/>
      </w:r>
      <w:r w:rsidRPr="000C71A6">
        <w:rPr>
          <w:rFonts w:cs="Arial"/>
        </w:rPr>
        <w:t xml:space="preserve">. Briefly, </w:t>
      </w:r>
      <w:r w:rsidR="0058098D" w:rsidRPr="000C71A6">
        <w:rPr>
          <w:rFonts w:cs="Arial"/>
        </w:rPr>
        <w:t xml:space="preserve">samples were homogenized in NYZol </w:t>
      </w:r>
      <w:r w:rsidR="007E5D7C" w:rsidRPr="000C71A6">
        <w:rPr>
          <w:rFonts w:cs="Arial"/>
        </w:rPr>
        <w:t xml:space="preserve">(NZYTech, Lisbon, Portugal) </w:t>
      </w:r>
      <w:r w:rsidR="0058098D" w:rsidRPr="000C71A6">
        <w:rPr>
          <w:rFonts w:cs="Arial"/>
        </w:rPr>
        <w:t>using 2</w:t>
      </w:r>
      <w:r w:rsidR="009555D8">
        <w:rPr>
          <w:rFonts w:cs="Arial"/>
        </w:rPr>
        <w:t>1</w:t>
      </w:r>
      <w:r w:rsidR="0058098D" w:rsidRPr="000C71A6">
        <w:rPr>
          <w:rFonts w:cs="Arial"/>
        </w:rPr>
        <w:t xml:space="preserve"> and 2</w:t>
      </w:r>
      <w:r w:rsidR="009555D8">
        <w:rPr>
          <w:rFonts w:cs="Arial"/>
        </w:rPr>
        <w:t>3</w:t>
      </w:r>
      <w:r w:rsidR="0058098D" w:rsidRPr="000C71A6">
        <w:rPr>
          <w:rFonts w:cs="Arial"/>
        </w:rPr>
        <w:t xml:space="preserve"> G needles</w:t>
      </w:r>
      <w:r w:rsidR="007E5D7C">
        <w:rPr>
          <w:rFonts w:cs="Arial"/>
        </w:rPr>
        <w:t>.</w:t>
      </w:r>
      <w:r w:rsidR="0058098D" w:rsidRPr="000C71A6">
        <w:rPr>
          <w:rFonts w:cs="Arial"/>
        </w:rPr>
        <w:t xml:space="preserve"> </w:t>
      </w:r>
      <w:r w:rsidR="003976AF">
        <w:rPr>
          <w:rFonts w:cs="Arial"/>
        </w:rPr>
        <w:t>C</w:t>
      </w:r>
      <w:r w:rsidR="0040109E" w:rsidRPr="000C71A6">
        <w:rPr>
          <w:rFonts w:cs="Arial"/>
        </w:rPr>
        <w:t>hloroform</w:t>
      </w:r>
      <w:r w:rsidR="0040109E">
        <w:rPr>
          <w:rFonts w:cs="Arial"/>
        </w:rPr>
        <w:t xml:space="preserve"> </w:t>
      </w:r>
      <w:r w:rsidR="003976AF">
        <w:rPr>
          <w:rFonts w:cs="Arial"/>
        </w:rPr>
        <w:t xml:space="preserve">(1/5 volumes; Sigma-Aldrich) </w:t>
      </w:r>
      <w:r w:rsidR="0040109E">
        <w:rPr>
          <w:rFonts w:cs="Arial"/>
        </w:rPr>
        <w:t>and g</w:t>
      </w:r>
      <w:r w:rsidR="0058098D" w:rsidRPr="000C71A6">
        <w:rPr>
          <w:rFonts w:cs="Arial"/>
        </w:rPr>
        <w:t xml:space="preserve">lycogen </w:t>
      </w:r>
      <w:r w:rsidR="0040109E">
        <w:rPr>
          <w:rFonts w:cs="Arial"/>
        </w:rPr>
        <w:t>(</w:t>
      </w:r>
      <w:r w:rsidR="003976AF">
        <w:rPr>
          <w:rFonts w:cs="Arial"/>
        </w:rPr>
        <w:t>50</w:t>
      </w:r>
      <w:r w:rsidR="0040109E">
        <w:rPr>
          <w:rFonts w:cs="Arial"/>
        </w:rPr>
        <w:t xml:space="preserve"> µg/mL, Thermo Fisher Scientific)</w:t>
      </w:r>
      <w:r w:rsidR="0058098D" w:rsidRPr="000C71A6">
        <w:rPr>
          <w:rFonts w:cs="Arial"/>
        </w:rPr>
        <w:t xml:space="preserve"> </w:t>
      </w:r>
      <w:r w:rsidR="000420E1">
        <w:rPr>
          <w:rFonts w:cs="Arial"/>
        </w:rPr>
        <w:t>were</w:t>
      </w:r>
      <w:r w:rsidR="0058098D" w:rsidRPr="000C71A6">
        <w:rPr>
          <w:rFonts w:cs="Arial"/>
        </w:rPr>
        <w:t xml:space="preserve"> </w:t>
      </w:r>
      <w:r w:rsidR="000420E1" w:rsidRPr="000C71A6">
        <w:rPr>
          <w:rFonts w:cs="Arial"/>
        </w:rPr>
        <w:t xml:space="preserve">added </w:t>
      </w:r>
      <w:r w:rsidR="0058098D" w:rsidRPr="000C71A6">
        <w:rPr>
          <w:rFonts w:cs="Arial"/>
        </w:rPr>
        <w:t xml:space="preserve">and </w:t>
      </w:r>
      <w:r w:rsidR="000420E1">
        <w:rPr>
          <w:rFonts w:cs="Arial"/>
        </w:rPr>
        <w:t xml:space="preserve">the samples were </w:t>
      </w:r>
      <w:r w:rsidR="0058098D" w:rsidRPr="000C71A6">
        <w:rPr>
          <w:rFonts w:cs="Arial"/>
        </w:rPr>
        <w:t>vortexed for 15 min before incubation on ice for 15 min. After centrifugation (</w:t>
      </w:r>
      <w:r w:rsidR="003C64AD">
        <w:rPr>
          <w:rFonts w:cs="Arial"/>
        </w:rPr>
        <w:t xml:space="preserve">18 000 </w:t>
      </w:r>
      <w:r w:rsidR="003C64AD">
        <w:rPr>
          <w:rFonts w:cs="Arial"/>
          <w:i/>
        </w:rPr>
        <w:t>g</w:t>
      </w:r>
      <w:r w:rsidR="0058098D" w:rsidRPr="000C71A6">
        <w:rPr>
          <w:rFonts w:cs="Arial"/>
        </w:rPr>
        <w:t xml:space="preserve"> for 15 min at 4</w:t>
      </w:r>
      <w:r w:rsidR="00FE1822">
        <w:rPr>
          <w:rFonts w:cs="Arial"/>
        </w:rPr>
        <w:t xml:space="preserve"> </w:t>
      </w:r>
      <w:r w:rsidR="0058098D" w:rsidRPr="000C71A6">
        <w:rPr>
          <w:rFonts w:cs="Arial"/>
        </w:rPr>
        <w:t xml:space="preserve">ºC), the aqueous phase was collected into RNase-free tubes, </w:t>
      </w:r>
      <w:r w:rsidR="000420E1">
        <w:rPr>
          <w:rFonts w:cs="Arial"/>
        </w:rPr>
        <w:t xml:space="preserve">an equal volume of </w:t>
      </w:r>
      <w:r w:rsidR="0058098D" w:rsidRPr="000C71A6">
        <w:rPr>
          <w:rFonts w:cs="Arial"/>
        </w:rPr>
        <w:t xml:space="preserve">isopropanol </w:t>
      </w:r>
      <w:r w:rsidR="009555D8">
        <w:rPr>
          <w:rFonts w:cs="Arial"/>
        </w:rPr>
        <w:t xml:space="preserve">(Merck) </w:t>
      </w:r>
      <w:r w:rsidR="0058098D" w:rsidRPr="000C71A6">
        <w:rPr>
          <w:rFonts w:cs="Arial"/>
        </w:rPr>
        <w:t>was added and the samples were kept at -20</w:t>
      </w:r>
      <w:r w:rsidR="007E5D7C">
        <w:rPr>
          <w:rFonts w:cs="Arial"/>
        </w:rPr>
        <w:t xml:space="preserve"> </w:t>
      </w:r>
      <w:r w:rsidR="00FE1822">
        <w:rPr>
          <w:rFonts w:cs="Arial"/>
        </w:rPr>
        <w:t>ºC</w:t>
      </w:r>
      <w:r w:rsidR="0058098D" w:rsidRPr="000C71A6">
        <w:rPr>
          <w:rFonts w:cs="Arial"/>
        </w:rPr>
        <w:t xml:space="preserve"> for 2 hours for precipitation to occur. The samples were centrifuged at the same conditions as before and the supernatant was discarded</w:t>
      </w:r>
      <w:r w:rsidR="00BC7CF6" w:rsidRPr="000C71A6">
        <w:rPr>
          <w:rFonts w:cs="Arial"/>
        </w:rPr>
        <w:t xml:space="preserve">. The pellet was washed in 75% </w:t>
      </w:r>
      <w:r w:rsidR="007E5D7C">
        <w:rPr>
          <w:rFonts w:cs="Arial"/>
        </w:rPr>
        <w:t xml:space="preserve">(v/v) </w:t>
      </w:r>
      <w:r w:rsidR="00BC7CF6" w:rsidRPr="000C71A6">
        <w:rPr>
          <w:rFonts w:cs="Arial"/>
        </w:rPr>
        <w:t>ethanol by vortexing and centrifuging at 10 </w:t>
      </w:r>
      <w:r w:rsidR="003C64AD">
        <w:rPr>
          <w:rFonts w:cs="Arial"/>
        </w:rPr>
        <w:t>6</w:t>
      </w:r>
      <w:r w:rsidR="00BC7CF6" w:rsidRPr="000C71A6">
        <w:rPr>
          <w:rFonts w:cs="Arial"/>
        </w:rPr>
        <w:t>00</w:t>
      </w:r>
      <w:r w:rsidR="003C64AD">
        <w:rPr>
          <w:rFonts w:cs="Arial"/>
        </w:rPr>
        <w:t xml:space="preserve"> </w:t>
      </w:r>
      <w:r w:rsidR="003C64AD">
        <w:rPr>
          <w:rFonts w:cs="Arial"/>
          <w:i/>
        </w:rPr>
        <w:t xml:space="preserve">g </w:t>
      </w:r>
      <w:r w:rsidR="00BC7CF6" w:rsidRPr="000C71A6">
        <w:rPr>
          <w:rFonts w:cs="Arial"/>
        </w:rPr>
        <w:t xml:space="preserve">for 5 min at </w:t>
      </w:r>
      <w:r w:rsidR="000420E1">
        <w:rPr>
          <w:rFonts w:cs="Arial"/>
        </w:rPr>
        <w:t>4</w:t>
      </w:r>
      <w:r w:rsidR="00FE1822">
        <w:rPr>
          <w:rFonts w:cs="Arial"/>
        </w:rPr>
        <w:t xml:space="preserve"> </w:t>
      </w:r>
      <w:r w:rsidR="00BC7CF6" w:rsidRPr="000C71A6">
        <w:rPr>
          <w:rFonts w:cs="Arial"/>
        </w:rPr>
        <w:t>ºC, and drie</w:t>
      </w:r>
      <w:r w:rsidR="00ED2EAE" w:rsidRPr="000C71A6">
        <w:rPr>
          <w:rFonts w:cs="Arial"/>
        </w:rPr>
        <w:t xml:space="preserve">d of all alcohol </w:t>
      </w:r>
      <w:r w:rsidR="000420E1">
        <w:rPr>
          <w:rFonts w:cs="Arial"/>
        </w:rPr>
        <w:t>before</w:t>
      </w:r>
      <w:r w:rsidR="000420E1" w:rsidRPr="000C71A6">
        <w:rPr>
          <w:rFonts w:cs="Arial"/>
        </w:rPr>
        <w:t xml:space="preserve"> </w:t>
      </w:r>
      <w:r w:rsidR="00ED2EAE" w:rsidRPr="000C71A6">
        <w:rPr>
          <w:rFonts w:cs="Arial"/>
        </w:rPr>
        <w:t>be</w:t>
      </w:r>
      <w:r w:rsidR="000420E1">
        <w:rPr>
          <w:rFonts w:cs="Arial"/>
        </w:rPr>
        <w:t>ing</w:t>
      </w:r>
      <w:r w:rsidR="00ED2EAE" w:rsidRPr="000C71A6">
        <w:rPr>
          <w:rFonts w:cs="Arial"/>
        </w:rPr>
        <w:t xml:space="preserve"> dissolved</w:t>
      </w:r>
      <w:r w:rsidR="00BC7CF6" w:rsidRPr="000C71A6">
        <w:rPr>
          <w:rFonts w:cs="Arial"/>
        </w:rPr>
        <w:t xml:space="preserve"> in RNase-free water.</w:t>
      </w:r>
      <w:r w:rsidR="00290624">
        <w:rPr>
          <w:rFonts w:cs="Arial"/>
        </w:rPr>
        <w:t xml:space="preserve"> </w:t>
      </w:r>
      <w:r w:rsidR="00BC7CF6" w:rsidRPr="000C71A6">
        <w:rPr>
          <w:rFonts w:cs="Arial"/>
        </w:rPr>
        <w:t xml:space="preserve">Concentration was determined in NanoDrop One (Thermo </w:t>
      </w:r>
      <w:r w:rsidR="005A7E0B">
        <w:rPr>
          <w:rFonts w:cs="Arial"/>
        </w:rPr>
        <w:t xml:space="preserve">Fisher </w:t>
      </w:r>
      <w:r w:rsidR="00BC7CF6" w:rsidRPr="000C71A6">
        <w:rPr>
          <w:rFonts w:cs="Arial"/>
        </w:rPr>
        <w:t>Scientific</w:t>
      </w:r>
      <w:r w:rsidR="00B60ADE">
        <w:rPr>
          <w:rFonts w:cs="Arial"/>
        </w:rPr>
        <w:t>)</w:t>
      </w:r>
      <w:r w:rsidR="00BC7CF6" w:rsidRPr="000C71A6">
        <w:rPr>
          <w:rFonts w:cs="Arial"/>
        </w:rPr>
        <w:t>.</w:t>
      </w:r>
    </w:p>
    <w:p w14:paraId="2C4B7B13" w14:textId="1467C92D" w:rsidR="00BC7CF6" w:rsidRDefault="00BC7CF6" w:rsidP="00BC7CF6">
      <w:pPr>
        <w:rPr>
          <w:rFonts w:ascii="Helvetica" w:hAnsi="Helvetica"/>
          <w:color w:val="090909"/>
          <w:shd w:val="clear" w:color="auto" w:fill="FFFFFF"/>
        </w:rPr>
      </w:pPr>
      <w:r w:rsidRPr="000C71A6">
        <w:rPr>
          <w:rFonts w:cs="Arial"/>
        </w:rPr>
        <w:t>To be analysed by real time</w:t>
      </w:r>
      <w:r w:rsidR="00FB012A">
        <w:rPr>
          <w:rFonts w:cs="Arial"/>
        </w:rPr>
        <w:t xml:space="preserve"> reverse transcription</w:t>
      </w:r>
      <w:r w:rsidR="00716DB5" w:rsidRPr="000C71A6">
        <w:rPr>
          <w:rFonts w:cs="Arial"/>
        </w:rPr>
        <w:t xml:space="preserve">-PCR </w:t>
      </w:r>
      <w:r w:rsidRPr="000C71A6">
        <w:rPr>
          <w:rFonts w:cs="Arial"/>
        </w:rPr>
        <w:t>(</w:t>
      </w:r>
      <w:r w:rsidR="00FB012A">
        <w:rPr>
          <w:rFonts w:cs="Arial"/>
        </w:rPr>
        <w:t>RT</w:t>
      </w:r>
      <w:r w:rsidRPr="000C71A6">
        <w:rPr>
          <w:rFonts w:cs="Arial"/>
        </w:rPr>
        <w:t xml:space="preserve">-PCR), RNA was converted into cDNA using a </w:t>
      </w:r>
      <w:r w:rsidRPr="000C71A6">
        <w:rPr>
          <w:rFonts w:cs="Arial"/>
          <w:color w:val="000000"/>
        </w:rPr>
        <w:t>NZY First-Strand cDNA Synthesis Kit</w:t>
      </w:r>
      <w:r w:rsidR="00716DB5" w:rsidRPr="000C71A6">
        <w:rPr>
          <w:rFonts w:cs="Arial"/>
          <w:color w:val="000000"/>
        </w:rPr>
        <w:t xml:space="preserve"> (NZYTech)</w:t>
      </w:r>
      <w:r w:rsidR="00B60ADE">
        <w:rPr>
          <w:rFonts w:cs="Arial"/>
        </w:rPr>
        <w:t>, according to manufacturer’s instructions</w:t>
      </w:r>
      <w:r w:rsidR="00716DB5" w:rsidRPr="000C71A6">
        <w:rPr>
          <w:rFonts w:cs="Arial"/>
          <w:color w:val="000000"/>
        </w:rPr>
        <w:t xml:space="preserve">. The </w:t>
      </w:r>
      <w:r w:rsidR="00CB5292">
        <w:rPr>
          <w:rFonts w:cs="Arial"/>
          <w:color w:val="000000"/>
        </w:rPr>
        <w:t>conversion PCR</w:t>
      </w:r>
      <w:r w:rsidR="00716DB5" w:rsidRPr="000C71A6">
        <w:rPr>
          <w:rFonts w:cs="Arial"/>
          <w:color w:val="000000"/>
        </w:rPr>
        <w:t xml:space="preserve"> program (10 min at 25</w:t>
      </w:r>
      <w:r w:rsidR="00203F50">
        <w:rPr>
          <w:rFonts w:cs="Arial"/>
          <w:color w:val="000000"/>
        </w:rPr>
        <w:t xml:space="preserve"> </w:t>
      </w:r>
      <w:r w:rsidR="00FE1822">
        <w:rPr>
          <w:rFonts w:cs="Arial"/>
          <w:color w:val="000000"/>
        </w:rPr>
        <w:t>ºC</w:t>
      </w:r>
      <w:r w:rsidR="00716DB5" w:rsidRPr="000C71A6">
        <w:rPr>
          <w:rFonts w:cs="Arial"/>
          <w:color w:val="000000"/>
        </w:rPr>
        <w:t>; 30 min at 50</w:t>
      </w:r>
      <w:r w:rsidR="00203F50">
        <w:rPr>
          <w:rFonts w:cs="Arial"/>
          <w:color w:val="000000"/>
        </w:rPr>
        <w:t xml:space="preserve"> </w:t>
      </w:r>
      <w:r w:rsidR="00FE1822">
        <w:rPr>
          <w:rFonts w:cs="Arial"/>
          <w:color w:val="000000"/>
        </w:rPr>
        <w:t>ºC</w:t>
      </w:r>
      <w:r w:rsidR="00716DB5" w:rsidRPr="000C71A6">
        <w:rPr>
          <w:rFonts w:cs="Arial"/>
          <w:color w:val="000000"/>
        </w:rPr>
        <w:t>; 5 min at 85</w:t>
      </w:r>
      <w:r w:rsidR="00203F50">
        <w:rPr>
          <w:rFonts w:cs="Arial"/>
          <w:color w:val="000000"/>
        </w:rPr>
        <w:t xml:space="preserve"> </w:t>
      </w:r>
      <w:r w:rsidR="00FE1822">
        <w:rPr>
          <w:rFonts w:cs="Arial"/>
          <w:color w:val="000000"/>
        </w:rPr>
        <w:t>ºC</w:t>
      </w:r>
      <w:r w:rsidR="00716DB5" w:rsidRPr="000C71A6">
        <w:rPr>
          <w:rFonts w:cs="Arial"/>
          <w:color w:val="000000"/>
        </w:rPr>
        <w:t>)</w:t>
      </w:r>
      <w:r w:rsidR="00C3501A" w:rsidRPr="000C71A6">
        <w:rPr>
          <w:rFonts w:cs="Arial"/>
          <w:color w:val="000000"/>
        </w:rPr>
        <w:t xml:space="preserve"> was ran in</w:t>
      </w:r>
      <w:r w:rsidRPr="000C71A6">
        <w:rPr>
          <w:rFonts w:cs="Arial"/>
          <w:color w:val="000000"/>
        </w:rPr>
        <w:t xml:space="preserve"> a </w:t>
      </w:r>
      <w:r w:rsidR="00716DB5" w:rsidRPr="000C71A6">
        <w:rPr>
          <w:rFonts w:cs="Arial"/>
          <w:color w:val="000000"/>
        </w:rPr>
        <w:t>T100 Thermal Cycler (Bio-Rad</w:t>
      </w:r>
      <w:r w:rsidR="00716DB5" w:rsidRPr="000C71A6">
        <w:rPr>
          <w:rFonts w:ascii="Helvetica" w:hAnsi="Helvetica"/>
          <w:color w:val="090909"/>
          <w:shd w:val="clear" w:color="auto" w:fill="FFFFFF"/>
        </w:rPr>
        <w:t xml:space="preserve">). </w:t>
      </w:r>
    </w:p>
    <w:p w14:paraId="36B9F947" w14:textId="40F46540" w:rsidR="00F31095" w:rsidRPr="00203F50" w:rsidRDefault="00F31095" w:rsidP="00203F50">
      <w:pPr>
        <w:rPr>
          <w:shd w:val="clear" w:color="auto" w:fill="FFFFFF"/>
        </w:rPr>
      </w:pPr>
      <w:r>
        <w:rPr>
          <w:shd w:val="clear" w:color="auto" w:fill="FFFFFF"/>
        </w:rPr>
        <w:t xml:space="preserve">Primers </w:t>
      </w:r>
      <w:r w:rsidR="008D7487">
        <w:rPr>
          <w:shd w:val="clear" w:color="auto" w:fill="FFFFFF"/>
        </w:rPr>
        <w:t xml:space="preserve">pairs </w:t>
      </w:r>
      <w:r>
        <w:rPr>
          <w:shd w:val="clear" w:color="auto" w:fill="FFFFFF"/>
        </w:rPr>
        <w:t>specific to reference genes reported in literature and to genes encoding transcription factors relevant for T cell response were designed using the</w:t>
      </w:r>
      <w:r w:rsidR="007661DC">
        <w:rPr>
          <w:shd w:val="clear" w:color="auto" w:fill="FFFFFF"/>
        </w:rPr>
        <w:t xml:space="preserve"> </w:t>
      </w:r>
      <w:r w:rsidR="007661DC">
        <w:rPr>
          <w:shd w:val="clear" w:color="auto" w:fill="FFFFFF"/>
        </w:rPr>
        <w:fldChar w:fldCharType="begin" w:fldLock="1"/>
      </w:r>
      <w:r w:rsidR="0023236C">
        <w:rPr>
          <w:shd w:val="clear" w:color="auto" w:fill="FFFFFF"/>
        </w:rPr>
        <w:instrText>ADDIN CSL_CITATION {"citationItems":[{"id":"ITEM-1","itemData":{"URL":"https://www.ncbi.nlm.nih.gov/tools/primer-blast/","accessed":{"date-parts":[["2022","6","23"]]},"author":[{"dropping-particle":"","family":"NCBI","given":"","non-dropping-particle":"","parse-names":false,"suffix":""}],"id":"ITEM-1","issued":{"date-parts":[["0"]]},"title":"Primer designing tool Primer designing tool","type":"webpage"},"uris":["http://www.mendeley.com/documents/?uuid=af46411a-3fd3-33eb-a912-3ce17d1c4b76"]}],"mendeley":{"formattedCitation":"[51]","manualFormatting":"NCBI","plainTextFormattedCitation":"[51]","previouslyFormattedCitation":"[51]"},"properties":{"noteIndex":0},"schema":"https://github.com/citation-style-language/schema/raw/master/csl-citation.json"}</w:instrText>
      </w:r>
      <w:r w:rsidR="007661DC">
        <w:rPr>
          <w:shd w:val="clear" w:color="auto" w:fill="FFFFFF"/>
        </w:rPr>
        <w:fldChar w:fldCharType="separate"/>
      </w:r>
      <w:r w:rsidR="007661DC">
        <w:rPr>
          <w:noProof/>
          <w:shd w:val="clear" w:color="auto" w:fill="FFFFFF"/>
        </w:rPr>
        <w:t>NCBI</w:t>
      </w:r>
      <w:r w:rsidR="007661DC">
        <w:rPr>
          <w:shd w:val="clear" w:color="auto" w:fill="FFFFFF"/>
        </w:rPr>
        <w:fldChar w:fldCharType="end"/>
      </w:r>
      <w:r w:rsidR="002123E8">
        <w:rPr>
          <w:shd w:val="clear" w:color="auto" w:fill="FFFFFF"/>
        </w:rPr>
        <w:t xml:space="preserve"> Primer Blast platform. </w:t>
      </w:r>
      <w:r w:rsidR="006A150D">
        <w:rPr>
          <w:shd w:val="clear" w:color="auto" w:fill="FFFFFF"/>
        </w:rPr>
        <w:t>The chose</w:t>
      </w:r>
      <w:r w:rsidR="008D7487">
        <w:rPr>
          <w:shd w:val="clear" w:color="auto" w:fill="FFFFFF"/>
        </w:rPr>
        <w:t>n</w:t>
      </w:r>
      <w:r w:rsidR="006A150D">
        <w:rPr>
          <w:shd w:val="clear" w:color="auto" w:fill="FFFFFF"/>
        </w:rPr>
        <w:t xml:space="preserve"> primers are listed in Annex </w:t>
      </w:r>
      <w:r w:rsidR="00B5608B">
        <w:rPr>
          <w:shd w:val="clear" w:color="auto" w:fill="FFFFFF"/>
        </w:rPr>
        <w:t xml:space="preserve">A, Table </w:t>
      </w:r>
      <w:r w:rsidR="009A68DC">
        <w:rPr>
          <w:shd w:val="clear" w:color="auto" w:fill="FFFFFF"/>
        </w:rPr>
        <w:t>A</w:t>
      </w:r>
      <w:r w:rsidR="006A150D">
        <w:rPr>
          <w:shd w:val="clear" w:color="auto" w:fill="FFFFFF"/>
        </w:rPr>
        <w:t>1.</w:t>
      </w:r>
    </w:p>
    <w:p w14:paraId="5404666B" w14:textId="4FB575C0" w:rsidR="00B60ADE" w:rsidRPr="00F05A74" w:rsidRDefault="00F606B5" w:rsidP="00F05A74">
      <w:pPr>
        <w:rPr>
          <w:color w:val="000000"/>
        </w:rPr>
      </w:pPr>
      <w:r w:rsidRPr="000C71A6">
        <w:rPr>
          <w:rFonts w:cs="Arial"/>
        </w:rPr>
        <w:t xml:space="preserve">To identify the best suited reference gene, </w:t>
      </w:r>
      <w:r w:rsidR="008D7487">
        <w:rPr>
          <w:rFonts w:cs="Arial"/>
        </w:rPr>
        <w:t>RT</w:t>
      </w:r>
      <w:r w:rsidRPr="000C71A6">
        <w:rPr>
          <w:rFonts w:cs="Arial"/>
        </w:rPr>
        <w:t xml:space="preserve">-PCR was </w:t>
      </w:r>
      <w:r w:rsidR="00B60ADE">
        <w:rPr>
          <w:rFonts w:cs="Arial"/>
        </w:rPr>
        <w:t>used</w:t>
      </w:r>
      <w:r w:rsidR="00B60ADE" w:rsidRPr="000C71A6">
        <w:rPr>
          <w:rFonts w:cs="Arial"/>
        </w:rPr>
        <w:t xml:space="preserve"> </w:t>
      </w:r>
      <w:r w:rsidRPr="000C71A6">
        <w:rPr>
          <w:rFonts w:cs="Arial"/>
        </w:rPr>
        <w:t xml:space="preserve">for the analysis of </w:t>
      </w:r>
      <w:r w:rsidR="001408CF">
        <w:rPr>
          <w:rFonts w:cs="Arial"/>
        </w:rPr>
        <w:t>Beta-2-</w:t>
      </w:r>
      <w:r w:rsidR="001408CF" w:rsidRPr="00C61B7D">
        <w:rPr>
          <w:rFonts w:cs="Arial"/>
          <w:iCs/>
        </w:rPr>
        <w:t>microglobulin</w:t>
      </w:r>
      <w:r w:rsidR="001408CF" w:rsidRPr="000C71A6">
        <w:rPr>
          <w:rFonts w:cs="Arial"/>
          <w:i/>
        </w:rPr>
        <w:t xml:space="preserve"> </w:t>
      </w:r>
      <w:r w:rsidR="001408CF">
        <w:rPr>
          <w:rFonts w:cs="Arial"/>
          <w:iCs/>
        </w:rPr>
        <w:t>(</w:t>
      </w:r>
      <w:r w:rsidRPr="000C71A6">
        <w:rPr>
          <w:rFonts w:cs="Arial"/>
          <w:i/>
        </w:rPr>
        <w:t>β2</w:t>
      </w:r>
      <w:r w:rsidR="001408CF">
        <w:rPr>
          <w:rFonts w:cs="Arial"/>
          <w:i/>
        </w:rPr>
        <w:t>M</w:t>
      </w:r>
      <w:r w:rsidR="001408CF">
        <w:rPr>
          <w:rFonts w:cs="Arial"/>
          <w:iCs/>
        </w:rPr>
        <w:t>)</w:t>
      </w:r>
      <w:r w:rsidRPr="000C71A6">
        <w:rPr>
          <w:rFonts w:cs="Arial"/>
        </w:rPr>
        <w:t xml:space="preserve">, </w:t>
      </w:r>
      <w:r w:rsidR="001408CF" w:rsidRPr="001408CF">
        <w:rPr>
          <w:rFonts w:cs="Arial"/>
        </w:rPr>
        <w:t xml:space="preserve">MARVEL domain-containing protein 1 </w:t>
      </w:r>
      <w:r w:rsidR="001408CF">
        <w:rPr>
          <w:rFonts w:cs="Arial"/>
        </w:rPr>
        <w:t>(</w:t>
      </w:r>
      <w:r w:rsidRPr="000C71A6">
        <w:rPr>
          <w:rFonts w:cs="Arial"/>
          <w:i/>
        </w:rPr>
        <w:t>MARVEL</w:t>
      </w:r>
      <w:r w:rsidR="001408CF">
        <w:rPr>
          <w:rFonts w:cs="Arial"/>
          <w:i/>
        </w:rPr>
        <w:t>D1</w:t>
      </w:r>
      <w:r w:rsidR="001408CF">
        <w:rPr>
          <w:rFonts w:cs="Arial"/>
          <w:iCs/>
        </w:rPr>
        <w:t>)</w:t>
      </w:r>
      <w:r w:rsidRPr="000C71A6">
        <w:rPr>
          <w:rFonts w:cs="Arial"/>
        </w:rPr>
        <w:t xml:space="preserve">, </w:t>
      </w:r>
      <w:r w:rsidR="001E0B68" w:rsidRPr="001E0B68">
        <w:rPr>
          <w:rFonts w:cs="Arial"/>
        </w:rPr>
        <w:t xml:space="preserve">Ubiquitously expressed transcript protein </w:t>
      </w:r>
      <w:r w:rsidR="001E0B68">
        <w:rPr>
          <w:rFonts w:cs="Arial"/>
        </w:rPr>
        <w:t>(</w:t>
      </w:r>
      <w:r w:rsidRPr="000C71A6">
        <w:rPr>
          <w:rFonts w:cs="Arial"/>
          <w:i/>
        </w:rPr>
        <w:t>UXT</w:t>
      </w:r>
      <w:r w:rsidR="001E0B68" w:rsidRPr="00530647">
        <w:rPr>
          <w:rFonts w:cs="Arial"/>
          <w:iCs/>
        </w:rPr>
        <w:t>)</w:t>
      </w:r>
      <w:r w:rsidRPr="000C71A6">
        <w:rPr>
          <w:rFonts w:cs="Arial"/>
        </w:rPr>
        <w:t xml:space="preserve">, and </w:t>
      </w:r>
      <w:r w:rsidR="001E0B68">
        <w:rPr>
          <w:rFonts w:cs="Arial"/>
        </w:rPr>
        <w:t>P</w:t>
      </w:r>
      <w:r w:rsidR="001E0B68" w:rsidRPr="001E0B68">
        <w:rPr>
          <w:rFonts w:cs="Arial"/>
        </w:rPr>
        <w:t xml:space="preserve">eptidylprolyl isomerase A </w:t>
      </w:r>
      <w:r w:rsidR="001E0B68">
        <w:rPr>
          <w:rFonts w:cs="Arial"/>
        </w:rPr>
        <w:t>(</w:t>
      </w:r>
      <w:r w:rsidRPr="000C71A6">
        <w:rPr>
          <w:rFonts w:cs="Arial"/>
          <w:i/>
        </w:rPr>
        <w:t>PPIA</w:t>
      </w:r>
      <w:r w:rsidR="001E0B68" w:rsidRPr="00530647">
        <w:rPr>
          <w:rFonts w:cs="Arial"/>
          <w:iCs/>
        </w:rPr>
        <w:t>)</w:t>
      </w:r>
      <w:r w:rsidR="00E67C23" w:rsidRPr="000C71A6">
        <w:rPr>
          <w:rFonts w:cs="Arial"/>
        </w:rPr>
        <w:t xml:space="preserve"> mRNA and validation was determined using NormFinder </w:t>
      </w:r>
      <w:r w:rsidR="00E67C23" w:rsidRPr="000C71A6">
        <w:rPr>
          <w:rFonts w:cs="Arial"/>
        </w:rPr>
        <w:fldChar w:fldCharType="begin" w:fldLock="1"/>
      </w:r>
      <w:r w:rsidR="0023236C">
        <w:rPr>
          <w:rFonts w:cs="Arial"/>
        </w:rPr>
        <w:instrText>ADDIN CSL_CITATION {"citationItems":[{"id":"ITEM-1","itemData":{"DOI":"10.1158/0008-5472.CAN-04-0496","ISSN":"0008-5472","PMID":"15289330","abstract":"Accurate normalization is an absolute prerequisite for correct measurement of gene expression. For quantitative real-time reverse transcription-PCR (RT-PCR), the most commonly used normalization strategy involves standardization to a single constitutively expressed control gene. However, in recent years, it has become clear that no single gene is constitutively expressed in all cell types and under all experimental conditions, implying that the expression stability of the intended control gene has to be verified before each experiment. We outline a novel, innovative, and robust strategy to identify stably expressed genes among a set of candidate normalization genes. The strategy is rooted in a mathematical model of gene expression that enables estimation not only of the overall variation of the candidate normalization genes but also of the variation between sample subgroups of the sample set. Notably, the strategy provides a direct measure for the estimated expression variation, enabling the user to evaluate the systematic error introduced when using the gene. In a side-by-side comparison with a previously published strategy, our model-based approach performed in a more robust manner and showed less sensitivity toward coregulation of the candidate normalization genes. We used the model-based strategy to identify genes suited to normalize quantitative RT-PCR data from colon cancer and bladder cancer. These genes are UBC, GAPD, and TPT1 for the colon and HSPCB, TEGT, and ATP5B for the bladder. The presented strategy can be applied to evaluate the suitability of any normalization gene candidate in any kind of experimental design and should allow more reliable normalization of RT-PCR data.","author":[{"dropping-particle":"","family":"Andersen","given":"Claus Lindbjerg","non-dropping-particle":"","parse-names":false,"suffix":""},{"dropping-particle":"","family":"Jensen","given":"Jens Ledet","non-dropping-particle":"","parse-names":false,"suffix":""},{"dropping-particle":"","family":"Ørntoft","given":"Torben Falck","non-dropping-particle":"","parse-names":false,"suffix":""}],"container-title":"Cancer research","id":"ITEM-1","issue":"15","issued":{"date-parts":[["2004","8","1"]]},"page":"5245-5250","publisher":"Cancer Res","title":"Normalization of real-time quantitative reverse transcription-PCR data: a model-based variance estimation approach to identify genes suited for normalization, applied to bladder and colon cancer data sets","type":"article-journal","volume":"64"},"uris":["http://www.mendeley.com/documents/?uuid=9277aeae-8b05-3a85-af34-9efc2ee83794"]}],"mendeley":{"formattedCitation":"[52]","plainTextFormattedCitation":"[52]","previouslyFormattedCitation":"[52]"},"properties":{"noteIndex":0},"schema":"https://github.com/citation-style-language/schema/raw/master/csl-citation.json"}</w:instrText>
      </w:r>
      <w:r w:rsidR="00E67C23" w:rsidRPr="000C71A6">
        <w:rPr>
          <w:rFonts w:cs="Arial"/>
        </w:rPr>
        <w:fldChar w:fldCharType="separate"/>
      </w:r>
      <w:r w:rsidR="0023236C" w:rsidRPr="0023236C">
        <w:rPr>
          <w:rFonts w:cs="Arial"/>
          <w:noProof/>
        </w:rPr>
        <w:t>[52]</w:t>
      </w:r>
      <w:r w:rsidR="00E67C23" w:rsidRPr="000C71A6">
        <w:rPr>
          <w:rFonts w:cs="Arial"/>
        </w:rPr>
        <w:fldChar w:fldCharType="end"/>
      </w:r>
      <w:r w:rsidR="00E67C23" w:rsidRPr="000C71A6">
        <w:rPr>
          <w:rFonts w:cs="Arial"/>
        </w:rPr>
        <w:t xml:space="preserve">. </w:t>
      </w:r>
      <w:r w:rsidR="00347384" w:rsidRPr="000C71A6">
        <w:rPr>
          <w:rFonts w:cs="Arial"/>
        </w:rPr>
        <w:t xml:space="preserve">Semi-quantification of </w:t>
      </w:r>
      <w:r w:rsidR="00CE57E4" w:rsidRPr="00CE57E4">
        <w:rPr>
          <w:rFonts w:cs="Arial"/>
        </w:rPr>
        <w:t xml:space="preserve">T-Box Transcription Factor 21 </w:t>
      </w:r>
      <w:r w:rsidR="00CE57E4">
        <w:rPr>
          <w:rFonts w:cs="Arial"/>
        </w:rPr>
        <w:t xml:space="preserve">or </w:t>
      </w:r>
      <w:r w:rsidR="00347384" w:rsidRPr="003E6150">
        <w:rPr>
          <w:rFonts w:cs="Arial"/>
          <w:iCs/>
        </w:rPr>
        <w:t>T-bet</w:t>
      </w:r>
      <w:r w:rsidR="00347384" w:rsidRPr="000C71A6">
        <w:rPr>
          <w:rFonts w:cs="Arial"/>
        </w:rPr>
        <w:t xml:space="preserve"> </w:t>
      </w:r>
      <w:r w:rsidR="00380BFA">
        <w:rPr>
          <w:rFonts w:cs="Arial"/>
        </w:rPr>
        <w:t>(</w:t>
      </w:r>
      <w:r w:rsidR="00380BFA" w:rsidRPr="003E6150">
        <w:rPr>
          <w:rFonts w:cs="Arial"/>
          <w:i/>
          <w:iCs/>
        </w:rPr>
        <w:t>TBX21</w:t>
      </w:r>
      <w:r w:rsidR="00380BFA">
        <w:rPr>
          <w:rFonts w:cs="Arial"/>
        </w:rPr>
        <w:t>)</w:t>
      </w:r>
      <w:r w:rsidR="00380BFA" w:rsidRPr="00380BFA">
        <w:rPr>
          <w:rFonts w:cs="Arial"/>
        </w:rPr>
        <w:t xml:space="preserve"> </w:t>
      </w:r>
      <w:r w:rsidR="00347384" w:rsidRPr="000C71A6">
        <w:rPr>
          <w:rFonts w:cs="Arial"/>
        </w:rPr>
        <w:t xml:space="preserve">and </w:t>
      </w:r>
      <w:r w:rsidR="00CE57E4" w:rsidRPr="00CE57E4">
        <w:rPr>
          <w:rFonts w:cs="Arial"/>
        </w:rPr>
        <w:t xml:space="preserve">RAR Related Orphan Receptor C </w:t>
      </w:r>
      <w:r w:rsidR="00CE57E4">
        <w:rPr>
          <w:rFonts w:cs="Arial"/>
        </w:rPr>
        <w:t xml:space="preserve">or </w:t>
      </w:r>
      <w:r w:rsidR="00347384" w:rsidRPr="003E6150">
        <w:rPr>
          <w:rFonts w:cs="Arial"/>
          <w:iCs/>
        </w:rPr>
        <w:t>ROR</w:t>
      </w:r>
      <w:r w:rsidR="00380BFA" w:rsidRPr="003E6150">
        <w:rPr>
          <w:rFonts w:cs="Arial"/>
          <w:iCs/>
        </w:rPr>
        <w:t xml:space="preserve"> gamma t</w:t>
      </w:r>
      <w:r w:rsidR="00380BFA">
        <w:rPr>
          <w:rFonts w:cs="Arial"/>
          <w:i/>
        </w:rPr>
        <w:t xml:space="preserve"> </w:t>
      </w:r>
      <w:r w:rsidR="00380BFA" w:rsidRPr="003E6150">
        <w:rPr>
          <w:rFonts w:cs="Arial"/>
          <w:iCs/>
        </w:rPr>
        <w:t>(</w:t>
      </w:r>
      <w:r w:rsidR="00380BFA">
        <w:rPr>
          <w:rFonts w:cs="Arial"/>
          <w:i/>
        </w:rPr>
        <w:t>ROR</w:t>
      </w:r>
      <w:r w:rsidR="00CE57E4">
        <w:rPr>
          <w:rFonts w:cs="Arial"/>
          <w:i/>
        </w:rPr>
        <w:t>C</w:t>
      </w:r>
      <w:r w:rsidR="00380BFA" w:rsidRPr="003E6150">
        <w:rPr>
          <w:rFonts w:cs="Arial"/>
          <w:iCs/>
        </w:rPr>
        <w:t>)</w:t>
      </w:r>
      <w:r w:rsidR="00347384" w:rsidRPr="000C71A6">
        <w:rPr>
          <w:rFonts w:cs="Arial"/>
          <w:i/>
        </w:rPr>
        <w:t xml:space="preserve"> </w:t>
      </w:r>
      <w:r w:rsidR="00347384" w:rsidRPr="000C71A6">
        <w:rPr>
          <w:rFonts w:cs="Arial"/>
        </w:rPr>
        <w:t>mRNA was determined</w:t>
      </w:r>
      <w:r w:rsidR="00CB5292">
        <w:rPr>
          <w:rFonts w:cs="Arial"/>
        </w:rPr>
        <w:t>,</w:t>
      </w:r>
      <w:r w:rsidR="00347384" w:rsidRPr="000C71A6">
        <w:rPr>
          <w:rFonts w:cs="Arial"/>
        </w:rPr>
        <w:t xml:space="preserve"> using </w:t>
      </w:r>
      <w:r w:rsidR="00347384" w:rsidRPr="000C71A6">
        <w:rPr>
          <w:rFonts w:cs="Arial"/>
          <w:i/>
        </w:rPr>
        <w:t>β2</w:t>
      </w:r>
      <w:r w:rsidR="000F0392">
        <w:rPr>
          <w:rFonts w:cs="Arial"/>
          <w:i/>
        </w:rPr>
        <w:t>M</w:t>
      </w:r>
      <w:r w:rsidR="00347384" w:rsidRPr="000C71A6">
        <w:rPr>
          <w:rFonts w:cs="Arial"/>
          <w:i/>
        </w:rPr>
        <w:t xml:space="preserve"> </w:t>
      </w:r>
      <w:r w:rsidR="00C30BAC" w:rsidRPr="000C71A6">
        <w:rPr>
          <w:rFonts w:cs="Arial"/>
        </w:rPr>
        <w:t>as</w:t>
      </w:r>
      <w:r w:rsidR="00CB5292">
        <w:rPr>
          <w:rFonts w:cs="Arial"/>
        </w:rPr>
        <w:t xml:space="preserve"> the</w:t>
      </w:r>
      <w:r w:rsidR="00C30BAC" w:rsidRPr="000C71A6">
        <w:rPr>
          <w:rFonts w:cs="Arial"/>
        </w:rPr>
        <w:t xml:space="preserve"> reference gene, </w:t>
      </w:r>
      <w:r w:rsidR="00347384" w:rsidRPr="000C71A6">
        <w:rPr>
          <w:rFonts w:cs="Arial"/>
        </w:rPr>
        <w:t>in a reaction containing 0</w:t>
      </w:r>
      <w:r w:rsidR="007A39C8">
        <w:rPr>
          <w:rFonts w:cs="Arial"/>
        </w:rPr>
        <w:t>.</w:t>
      </w:r>
      <w:r w:rsidR="00347384" w:rsidRPr="000C71A6">
        <w:rPr>
          <w:rFonts w:cs="Arial"/>
        </w:rPr>
        <w:t xml:space="preserve">2 </w:t>
      </w:r>
      <w:r w:rsidR="00327BF0">
        <w:rPr>
          <w:rFonts w:cs="Arial"/>
        </w:rPr>
        <w:t>μL</w:t>
      </w:r>
      <w:r w:rsidR="004046FA" w:rsidRPr="000C71A6">
        <w:rPr>
          <w:rFonts w:cs="Arial"/>
        </w:rPr>
        <w:t xml:space="preserve"> of each primer (Annex A</w:t>
      </w:r>
      <w:r w:rsidR="00CB5292">
        <w:rPr>
          <w:rFonts w:cs="Arial"/>
        </w:rPr>
        <w:t>, Table 1</w:t>
      </w:r>
      <w:r w:rsidR="00347384" w:rsidRPr="000C71A6">
        <w:rPr>
          <w:rFonts w:cs="Arial"/>
        </w:rPr>
        <w:t xml:space="preserve">), </w:t>
      </w:r>
      <w:r w:rsidR="004046FA" w:rsidRPr="000C71A6">
        <w:rPr>
          <w:rFonts w:cs="Arial"/>
        </w:rPr>
        <w:t xml:space="preserve">5 </w:t>
      </w:r>
      <w:r w:rsidR="00327BF0">
        <w:rPr>
          <w:rFonts w:cs="Arial"/>
        </w:rPr>
        <w:t>μL</w:t>
      </w:r>
      <w:r w:rsidR="004046FA" w:rsidRPr="000C71A6">
        <w:rPr>
          <w:rFonts w:cs="Arial"/>
        </w:rPr>
        <w:t xml:space="preserve"> of </w:t>
      </w:r>
      <w:r w:rsidR="00C30BAC" w:rsidRPr="000C71A6">
        <w:rPr>
          <w:rFonts w:cs="Arial"/>
        </w:rPr>
        <w:t>NZTSpeedy qPCR Green Master Mix (2</w:t>
      </w:r>
      <w:r w:rsidR="00B5608B">
        <w:rPr>
          <w:rFonts w:cs="Arial"/>
        </w:rPr>
        <w:t>×</w:t>
      </w:r>
      <w:r w:rsidR="00C30BAC" w:rsidRPr="000C71A6">
        <w:rPr>
          <w:rFonts w:cs="Arial"/>
        </w:rPr>
        <w:t xml:space="preserve">) ROX (NZYTech) </w:t>
      </w:r>
      <w:r w:rsidR="004046FA" w:rsidRPr="000C71A6">
        <w:rPr>
          <w:rFonts w:cs="Arial"/>
        </w:rPr>
        <w:t xml:space="preserve">plus 1 </w:t>
      </w:r>
      <w:r w:rsidR="00327BF0">
        <w:rPr>
          <w:rFonts w:cs="Arial"/>
        </w:rPr>
        <w:t>μL</w:t>
      </w:r>
      <w:r w:rsidR="00C6645A" w:rsidRPr="000C71A6">
        <w:rPr>
          <w:rFonts w:cs="Arial"/>
        </w:rPr>
        <w:t xml:space="preserve"> of sy</w:t>
      </w:r>
      <w:r w:rsidR="006D21F0">
        <w:rPr>
          <w:rFonts w:cs="Arial"/>
        </w:rPr>
        <w:t>n</w:t>
      </w:r>
      <w:r w:rsidR="00C6645A" w:rsidRPr="000C71A6">
        <w:rPr>
          <w:rFonts w:cs="Arial"/>
        </w:rPr>
        <w:t xml:space="preserve">thetized cDNA </w:t>
      </w:r>
      <w:r w:rsidR="00B60ADE">
        <w:rPr>
          <w:rFonts w:cs="Arial"/>
        </w:rPr>
        <w:t xml:space="preserve">diluted 1:10 </w:t>
      </w:r>
      <w:r w:rsidR="00C6645A" w:rsidRPr="000C71A6">
        <w:rPr>
          <w:rFonts w:cs="Arial"/>
        </w:rPr>
        <w:t xml:space="preserve">in a total </w:t>
      </w:r>
      <w:r w:rsidR="006D21F0">
        <w:rPr>
          <w:rFonts w:cs="Arial"/>
        </w:rPr>
        <w:t xml:space="preserve">volume </w:t>
      </w:r>
      <w:r w:rsidR="00C6645A" w:rsidRPr="000C71A6">
        <w:rPr>
          <w:rFonts w:cs="Arial"/>
        </w:rPr>
        <w:t xml:space="preserve">of 10 </w:t>
      </w:r>
      <w:r w:rsidR="00327BF0">
        <w:rPr>
          <w:rFonts w:cs="Arial"/>
        </w:rPr>
        <w:t>μL</w:t>
      </w:r>
      <w:r w:rsidR="00C6645A" w:rsidRPr="000C71A6">
        <w:rPr>
          <w:rFonts w:cs="Arial"/>
        </w:rPr>
        <w:t>.</w:t>
      </w:r>
      <w:r w:rsidR="00C30BAC" w:rsidRPr="000C71A6">
        <w:rPr>
          <w:rFonts w:cs="Arial"/>
        </w:rPr>
        <w:t xml:space="preserve"> The PCR program </w:t>
      </w:r>
      <w:r w:rsidR="006D21F0">
        <w:rPr>
          <w:rFonts w:cs="Arial"/>
        </w:rPr>
        <w:t xml:space="preserve">consisted of </w:t>
      </w:r>
      <w:r w:rsidR="00801423" w:rsidRPr="000C71A6">
        <w:rPr>
          <w:rFonts w:cs="Arial"/>
        </w:rPr>
        <w:t>denaturation</w:t>
      </w:r>
      <w:r w:rsidR="00C30BAC" w:rsidRPr="000C71A6">
        <w:rPr>
          <w:rFonts w:cs="Arial"/>
        </w:rPr>
        <w:t xml:space="preserve"> at 95</w:t>
      </w:r>
      <w:r w:rsidR="00FF4F81">
        <w:rPr>
          <w:rFonts w:cs="Arial"/>
        </w:rPr>
        <w:t xml:space="preserve"> </w:t>
      </w:r>
      <w:r w:rsidR="00FE1822">
        <w:rPr>
          <w:rFonts w:cs="Arial"/>
        </w:rPr>
        <w:t>ºC</w:t>
      </w:r>
      <w:r w:rsidR="00C30BAC" w:rsidRPr="000C71A6">
        <w:rPr>
          <w:rFonts w:cs="Arial"/>
        </w:rPr>
        <w:t xml:space="preserve"> for 5 min</w:t>
      </w:r>
      <w:r w:rsidR="006D21F0">
        <w:rPr>
          <w:rFonts w:cs="Arial"/>
        </w:rPr>
        <w:t xml:space="preserve"> and</w:t>
      </w:r>
      <w:r w:rsidR="00C30BAC" w:rsidRPr="000C71A6">
        <w:rPr>
          <w:rFonts w:cs="Arial"/>
        </w:rPr>
        <w:t xml:space="preserve"> 40 cycles of amplification: </w:t>
      </w:r>
      <w:r w:rsidR="00C30BAC" w:rsidRPr="000C71A6">
        <w:rPr>
          <w:rFonts w:cs="Arial"/>
          <w:color w:val="000000"/>
        </w:rPr>
        <w:t>95</w:t>
      </w:r>
      <w:r w:rsidR="00FF4F81">
        <w:rPr>
          <w:rFonts w:cs="Arial"/>
          <w:color w:val="000000"/>
        </w:rPr>
        <w:t xml:space="preserve"> </w:t>
      </w:r>
      <w:r w:rsidR="00FE1822">
        <w:rPr>
          <w:rFonts w:cs="Arial"/>
          <w:color w:val="000000"/>
        </w:rPr>
        <w:t>ºC</w:t>
      </w:r>
      <w:r w:rsidR="00C30BAC" w:rsidRPr="000C71A6">
        <w:rPr>
          <w:rFonts w:cs="Arial"/>
          <w:color w:val="000000"/>
        </w:rPr>
        <w:t xml:space="preserve"> for 5 seconds, 62</w:t>
      </w:r>
      <w:r w:rsidR="00FF4F81">
        <w:rPr>
          <w:rFonts w:cs="Arial"/>
          <w:color w:val="000000"/>
        </w:rPr>
        <w:t xml:space="preserve"> </w:t>
      </w:r>
      <w:r w:rsidR="00FE1822">
        <w:rPr>
          <w:rFonts w:cs="Arial"/>
          <w:color w:val="000000"/>
        </w:rPr>
        <w:t>ºC</w:t>
      </w:r>
      <w:r w:rsidR="00C30BAC" w:rsidRPr="000C71A6">
        <w:rPr>
          <w:rFonts w:cs="Arial"/>
          <w:color w:val="000000"/>
        </w:rPr>
        <w:t xml:space="preserve"> for 20 seconds with green dye acquisition</w:t>
      </w:r>
      <w:r w:rsidR="006D21F0">
        <w:rPr>
          <w:rFonts w:cs="Arial"/>
          <w:color w:val="000000"/>
        </w:rPr>
        <w:t>. A</w:t>
      </w:r>
      <w:r w:rsidR="00C30BAC" w:rsidRPr="000C71A6">
        <w:rPr>
          <w:rFonts w:cs="Arial"/>
          <w:color w:val="000000"/>
        </w:rPr>
        <w:t xml:space="preserve"> melting</w:t>
      </w:r>
      <w:r w:rsidR="006D21F0">
        <w:rPr>
          <w:rFonts w:cs="Arial"/>
          <w:color w:val="000000"/>
        </w:rPr>
        <w:t xml:space="preserve"> curve was created (</w:t>
      </w:r>
      <w:r w:rsidR="00C30BAC" w:rsidRPr="000C71A6">
        <w:rPr>
          <w:rFonts w:cs="Arial"/>
          <w:color w:val="000000"/>
        </w:rPr>
        <w:t>ramp from 65</w:t>
      </w:r>
      <w:r w:rsidR="00FF4F81">
        <w:rPr>
          <w:rFonts w:cs="Arial"/>
          <w:color w:val="000000"/>
        </w:rPr>
        <w:t xml:space="preserve"> </w:t>
      </w:r>
      <w:r w:rsidR="00FE1822">
        <w:rPr>
          <w:rFonts w:cs="Arial"/>
          <w:color w:val="000000"/>
        </w:rPr>
        <w:t>ºC</w:t>
      </w:r>
      <w:r w:rsidR="00C30BAC" w:rsidRPr="000C71A6">
        <w:rPr>
          <w:rFonts w:cs="Arial"/>
          <w:color w:val="000000"/>
        </w:rPr>
        <w:t xml:space="preserve"> to 95</w:t>
      </w:r>
      <w:r w:rsidR="00FF4F81">
        <w:rPr>
          <w:rFonts w:cs="Arial"/>
          <w:color w:val="000000"/>
        </w:rPr>
        <w:t xml:space="preserve"> </w:t>
      </w:r>
      <w:r w:rsidR="00FE1822">
        <w:rPr>
          <w:rFonts w:cs="Arial"/>
          <w:color w:val="000000"/>
        </w:rPr>
        <w:t>ºC</w:t>
      </w:r>
      <w:r w:rsidR="00C30BAC" w:rsidRPr="000C71A6">
        <w:rPr>
          <w:rFonts w:cs="Arial"/>
          <w:color w:val="000000"/>
        </w:rPr>
        <w:t xml:space="preserve"> with a 90 second hold on the first step and 5 seconds on the remaining steps with green dye acquisition)</w:t>
      </w:r>
      <w:r w:rsidR="006D21F0">
        <w:rPr>
          <w:rFonts w:cs="Arial"/>
          <w:color w:val="000000"/>
        </w:rPr>
        <w:t>.</w:t>
      </w:r>
      <w:r w:rsidR="00801423" w:rsidRPr="000C71A6">
        <w:rPr>
          <w:rFonts w:cs="Arial"/>
          <w:color w:val="000000"/>
        </w:rPr>
        <w:t xml:space="preserve"> </w:t>
      </w:r>
      <w:r w:rsidR="006D21F0">
        <w:rPr>
          <w:rFonts w:cs="Arial"/>
          <w:color w:val="000000"/>
        </w:rPr>
        <w:t xml:space="preserve">Each run </w:t>
      </w:r>
      <w:r w:rsidR="00801423" w:rsidRPr="000C71A6">
        <w:rPr>
          <w:rFonts w:cs="Arial"/>
          <w:color w:val="000000"/>
        </w:rPr>
        <w:t xml:space="preserve">was performed in a Corbett </w:t>
      </w:r>
      <w:r w:rsidR="00801423" w:rsidRPr="000C71A6">
        <w:rPr>
          <w:rFonts w:cs="Arial"/>
        </w:rPr>
        <w:t xml:space="preserve">rotor gene 6000 system (Corbett </w:t>
      </w:r>
      <w:r w:rsidR="00873B4A">
        <w:rPr>
          <w:rFonts w:cs="Arial"/>
        </w:rPr>
        <w:t>L</w:t>
      </w:r>
      <w:r w:rsidR="00801423" w:rsidRPr="000C71A6">
        <w:rPr>
          <w:rFonts w:cs="Arial"/>
        </w:rPr>
        <w:t xml:space="preserve">ife </w:t>
      </w:r>
      <w:r w:rsidR="00873B4A">
        <w:rPr>
          <w:rFonts w:cs="Arial"/>
        </w:rPr>
        <w:t>S</w:t>
      </w:r>
      <w:r w:rsidR="00801423" w:rsidRPr="000C71A6">
        <w:rPr>
          <w:rFonts w:cs="Arial"/>
        </w:rPr>
        <w:t>cience, Sydney, Australia).</w:t>
      </w:r>
      <w:r w:rsidR="00B60ADE">
        <w:rPr>
          <w:rFonts w:cs="Arial"/>
          <w:color w:val="000000"/>
        </w:rPr>
        <w:t xml:space="preserve"> </w:t>
      </w:r>
      <w:r w:rsidR="00C30BAC" w:rsidRPr="000C71A6">
        <w:rPr>
          <w:rFonts w:cs="Arial"/>
          <w:color w:val="000000"/>
        </w:rPr>
        <w:t xml:space="preserve">Data was analysed in </w:t>
      </w:r>
      <w:r w:rsidR="00C30BAC" w:rsidRPr="000C71A6">
        <w:rPr>
          <w:rFonts w:cs="Arial"/>
        </w:rPr>
        <w:t xml:space="preserve">Rotor-Gene Q Software 2.3.5.1 (Corbett </w:t>
      </w:r>
      <w:r w:rsidR="00873B4A">
        <w:rPr>
          <w:rFonts w:cs="Arial"/>
        </w:rPr>
        <w:t>L</w:t>
      </w:r>
      <w:r w:rsidR="00C30BAC" w:rsidRPr="000C71A6">
        <w:rPr>
          <w:rFonts w:cs="Arial"/>
        </w:rPr>
        <w:t xml:space="preserve">ife </w:t>
      </w:r>
      <w:r w:rsidR="00873B4A">
        <w:rPr>
          <w:rFonts w:cs="Arial"/>
        </w:rPr>
        <w:t>S</w:t>
      </w:r>
      <w:r w:rsidR="00C30BAC" w:rsidRPr="000C71A6">
        <w:rPr>
          <w:rFonts w:cs="Arial"/>
        </w:rPr>
        <w:t>cience)</w:t>
      </w:r>
      <w:r w:rsidR="00ED6CA0" w:rsidRPr="000C71A6">
        <w:rPr>
          <w:rFonts w:cs="Arial"/>
        </w:rPr>
        <w:t xml:space="preserve"> by comparing threshold cycles and relative gene expression values were determined with the </w:t>
      </w:r>
      <w:r w:rsidR="000D55A1">
        <w:rPr>
          <w:rFonts w:cs="Arial"/>
        </w:rPr>
        <w:t xml:space="preserve">double delta Ct method </w:t>
      </w:r>
      <w:r w:rsidR="003E6150" w:rsidRPr="00D1466F">
        <w:rPr>
          <w:rFonts w:cs="Arial"/>
        </w:rPr>
        <w:fldChar w:fldCharType="begin" w:fldLock="1"/>
      </w:r>
      <w:r w:rsidR="0023236C">
        <w:rPr>
          <w:rFonts w:cs="Arial"/>
        </w:rPr>
        <w:instrText>ADDIN CSL_CITATION {"citationItems":[{"id":"ITEM-1","itemData":{"DOI":"10.1006/METH.2001.1262","ISSN":"1046-2023","PMID":"11846609","abstract":"The two most commonly used methods to analyze data from real-time, quantitative PCR experiments are absolute quantification and relative quantification. Absolute quantification determines the input copy number, usually by relating the PCR signal to a standard curve. Relative quantification relates the PCR signal of the target transcript in a treatment group to that of another sample such as an untreated control. The 2-ΔΔCT method is a convenient way to analyze the relative changes in gene expression from real-time quantitative PCR experiments. The purpose of this report is to present the derivation, assumptions, and applications of the 2-ΔΔCT method. In addition, we present the derivation and applications of two variations of the 2-ΔΔCT method that may be useful in the analysis of real-time, quantitative PCR data. © 2001 Elsevier Science (USA).","author":[{"dropping-particle":"","family":"Livak","given":"Kenneth J.","non-dropping-particle":"","parse-names":false,"suffix":""},{"dropping-particle":"","family":"Schmittgen","given":"Thomas D.","non-dropping-particle":"","parse-names":false,"suffix":""}],"container-title":"Methods","id":"ITEM-1","issue":"4","issued":{"date-parts":[["2001","12","1"]]},"page":"402-408","publisher":"Academic Press","title":"Analysis of Relative Gene Expression Data Using Real-Time Quantitative PCR and the 2−ΔΔCT Method","type":"article-journal","volume":"25"},"uris":["http://www.mendeley.com/documents/?uuid=7d74242b-186b-30ee-be34-04e3e85821c6"]}],"mendeley":{"formattedCitation":"[53]","plainTextFormattedCitation":"[53]","previouslyFormattedCitation":"[53]"},"properties":{"noteIndex":0},"schema":"https://github.com/citation-style-language/schema/raw/master/csl-citation.json"}</w:instrText>
      </w:r>
      <w:r w:rsidR="003E6150" w:rsidRPr="00D1466F">
        <w:rPr>
          <w:rFonts w:cs="Arial"/>
        </w:rPr>
        <w:fldChar w:fldCharType="separate"/>
      </w:r>
      <w:r w:rsidR="0023236C" w:rsidRPr="0023236C">
        <w:rPr>
          <w:rFonts w:cs="Arial"/>
          <w:noProof/>
        </w:rPr>
        <w:t>[53]</w:t>
      </w:r>
      <w:r w:rsidR="003E6150" w:rsidRPr="00D1466F">
        <w:rPr>
          <w:rFonts w:cs="Arial"/>
        </w:rPr>
        <w:fldChar w:fldCharType="end"/>
      </w:r>
      <w:r w:rsidR="000D55A1">
        <w:rPr>
          <w:rFonts w:cs="Arial"/>
        </w:rPr>
        <w:t xml:space="preserve"> by using the</w:t>
      </w:r>
      <w:r w:rsidR="000D55A1" w:rsidRPr="000C71A6">
        <w:rPr>
          <w:rFonts w:cs="Arial"/>
        </w:rPr>
        <w:t xml:space="preserve"> </w:t>
      </w:r>
      <w:r w:rsidR="00ED6CA0" w:rsidRPr="000C71A6">
        <w:rPr>
          <w:rFonts w:cs="Arial"/>
        </w:rPr>
        <w:t xml:space="preserve">formula: </w:t>
      </w:r>
      <m:oMath>
        <m:sSup>
          <m:sSupPr>
            <m:ctrlPr>
              <w:rPr>
                <w:rFonts w:ascii="Cambria Math" w:hAnsi="Cambria Math" w:cs="Arial"/>
                <w:i/>
                <w:color w:val="000000"/>
              </w:rPr>
            </m:ctrlPr>
          </m:sSupPr>
          <m:e>
            <m:r>
              <w:rPr>
                <w:rFonts w:ascii="Cambria Math" w:hAnsi="Cambria Math" w:cs="Arial"/>
                <w:color w:val="000000"/>
              </w:rPr>
              <m:t>2</m:t>
            </m:r>
          </m:e>
          <m:sup>
            <m:r>
              <w:rPr>
                <w:rFonts w:ascii="Cambria Math" w:hAnsi="Cambria Math" w:cs="Arial"/>
                <w:color w:val="000000"/>
              </w:rPr>
              <m:t>-(Ct gene of interest-Ct reference gene)</m:t>
            </m:r>
          </m:sup>
        </m:sSup>
      </m:oMath>
      <w:r w:rsidR="00ED6CA0" w:rsidRPr="000C71A6">
        <w:rPr>
          <w:rFonts w:eastAsiaTheme="minorEastAsia" w:cs="Arial"/>
          <w:color w:val="000000"/>
        </w:rPr>
        <w:t>.</w:t>
      </w:r>
    </w:p>
    <w:p w14:paraId="48B9695B" w14:textId="0A843EED" w:rsidR="0093369F" w:rsidRPr="000C71A6" w:rsidRDefault="00E90F8F" w:rsidP="00A078BC">
      <w:pPr>
        <w:pStyle w:val="Estilo1"/>
      </w:pPr>
      <w:bookmarkStart w:id="27" w:name="_Toc115037818"/>
      <w:r>
        <w:t xml:space="preserve">2.7. </w:t>
      </w:r>
      <w:r w:rsidR="0093369F" w:rsidRPr="000C71A6">
        <w:t>DNA extraction and real time-PCR</w:t>
      </w:r>
      <w:bookmarkEnd w:id="27"/>
    </w:p>
    <w:p w14:paraId="7A8A28A7" w14:textId="6738160A" w:rsidR="00ED6CA0" w:rsidRPr="000C71A6" w:rsidRDefault="00ED6CA0" w:rsidP="0093369F">
      <w:pPr>
        <w:rPr>
          <w:rFonts w:cs="Arial"/>
        </w:rPr>
      </w:pPr>
      <w:r w:rsidRPr="000C71A6">
        <w:rPr>
          <w:rFonts w:cs="Arial"/>
        </w:rPr>
        <w:t xml:space="preserve">DNA from a representative sample of the lungs, liver, spleen and the cerebellar </w:t>
      </w:r>
      <w:r w:rsidR="008C09FA" w:rsidRPr="000C71A6">
        <w:rPr>
          <w:rFonts w:cs="Arial"/>
        </w:rPr>
        <w:t>and frontal</w:t>
      </w:r>
      <w:r w:rsidRPr="000C71A6">
        <w:rPr>
          <w:rFonts w:cs="Arial"/>
        </w:rPr>
        <w:t xml:space="preserve"> regions of the brain was extracted</w:t>
      </w:r>
      <w:r w:rsidR="00A4059F" w:rsidRPr="000C71A6">
        <w:rPr>
          <w:rFonts w:cs="Arial"/>
        </w:rPr>
        <w:t xml:space="preserve"> for PCR detection of </w:t>
      </w:r>
      <w:r w:rsidR="00A4059F" w:rsidRPr="000C71A6">
        <w:rPr>
          <w:rFonts w:cs="Arial"/>
          <w:i/>
        </w:rPr>
        <w:t>N</w:t>
      </w:r>
      <w:r w:rsidR="004E7153">
        <w:rPr>
          <w:rFonts w:cs="Arial"/>
          <w:i/>
        </w:rPr>
        <w:t>.</w:t>
      </w:r>
      <w:r w:rsidR="00A4059F" w:rsidRPr="000C71A6">
        <w:rPr>
          <w:rFonts w:cs="Arial"/>
          <w:i/>
        </w:rPr>
        <w:t xml:space="preserve"> caninum</w:t>
      </w:r>
      <w:r w:rsidRPr="000C71A6">
        <w:rPr>
          <w:rFonts w:cs="Arial"/>
        </w:rPr>
        <w:t xml:space="preserve"> as described by </w:t>
      </w:r>
      <w:r w:rsidR="008C09FA" w:rsidRPr="000C71A6">
        <w:rPr>
          <w:rFonts w:cs="Arial"/>
        </w:rPr>
        <w:fldChar w:fldCharType="begin" w:fldLock="1"/>
      </w:r>
      <w:r w:rsidR="0023236C">
        <w:rPr>
          <w:rFonts w:cs="Arial"/>
        </w:rPr>
        <w:instrText>ADDIN CSL_CITATION {"citationItems":[{"id":"ITEM-1","itemData":{"DOI":"10.1186/1297-9716-44-69","ISSN":"1297-9716","abstract":"The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Research","id":"ITEM-1","issue":"1","issued":{"date-parts":[["2013","12","10"]]},"page":"69","title":"Mucosal and systemic T cell response in mice intragastrically infected with Neospora caninum tachyzoites","type":"article-journal","volume":"44"},"uris":["http://www.mendeley.com/documents/?uuid=19882f4e-bdad-3bfb-8938-a1dba45db020"]}],"mendeley":{"formattedCitation":"[13]","manualFormatting":"Correia et al.","plainTextFormattedCitation":"[13]","previouslyFormattedCitation":"[13]"},"properties":{"noteIndex":0},"schema":"https://github.com/citation-style-language/schema/raw/master/csl-citation.json"}</w:instrText>
      </w:r>
      <w:r w:rsidR="008C09FA" w:rsidRPr="000C71A6">
        <w:rPr>
          <w:rFonts w:cs="Arial"/>
        </w:rPr>
        <w:fldChar w:fldCharType="separate"/>
      </w:r>
      <w:r w:rsidR="008C09FA" w:rsidRPr="000C71A6">
        <w:rPr>
          <w:rFonts w:cs="Arial"/>
          <w:noProof/>
        </w:rPr>
        <w:t xml:space="preserve">Correia </w:t>
      </w:r>
      <w:r w:rsidR="008C09FA" w:rsidRPr="0023236C">
        <w:rPr>
          <w:rFonts w:cs="Arial"/>
          <w:i/>
          <w:noProof/>
        </w:rPr>
        <w:t>et al.</w:t>
      </w:r>
      <w:r w:rsidR="008C09FA" w:rsidRPr="000C71A6">
        <w:rPr>
          <w:rFonts w:cs="Arial"/>
        </w:rPr>
        <w:fldChar w:fldCharType="end"/>
      </w:r>
      <w:r w:rsidR="0023236C">
        <w:rPr>
          <w:rFonts w:cs="Arial"/>
        </w:rPr>
        <w:t xml:space="preserve"> </w:t>
      </w:r>
      <w:r w:rsidR="0023236C">
        <w:rPr>
          <w:rFonts w:cs="Arial"/>
        </w:rPr>
        <w:fldChar w:fldCharType="begin" w:fldLock="1"/>
      </w:r>
      <w:r w:rsidR="0023236C">
        <w:rPr>
          <w:rFonts w:cs="Arial"/>
        </w:rPr>
        <w:instrText>ADDIN CSL_CITATION {"citationItems":[{"id":"ITEM-1","itemData":{"DOI":"10.1186/1297-9716-44-69","ISSN":"1297-9716","abstract":"The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Research","id":"ITEM-1","issue":"1","issued":{"date-parts":[["2013","12","10"]]},"page":"69","title":"Mucosal and systemic T cell response in mice intragastrically infected with Neospora caninum tachyzoites","type":"article-journal","volume":"44"},"uris":["http://www.mendeley.com/documents/?uuid=19882f4e-bdad-3bfb-8938-a1dba45db020"]}],"mendeley":{"formattedCitation":"[13]","plainTextFormattedCitation":"[13]","previouslyFormattedCitation":"[13]"},"properties":{"noteIndex":0},"schema":"https://github.com/citation-style-language/schema/raw/master/csl-citation.json"}</w:instrText>
      </w:r>
      <w:r w:rsidR="0023236C">
        <w:rPr>
          <w:rFonts w:cs="Arial"/>
        </w:rPr>
        <w:fldChar w:fldCharType="separate"/>
      </w:r>
      <w:r w:rsidR="0023236C" w:rsidRPr="0023236C">
        <w:rPr>
          <w:rFonts w:cs="Arial"/>
          <w:noProof/>
        </w:rPr>
        <w:t>[13]</w:t>
      </w:r>
      <w:r w:rsidR="0023236C">
        <w:rPr>
          <w:rFonts w:cs="Arial"/>
        </w:rPr>
        <w:fldChar w:fldCharType="end"/>
      </w:r>
      <w:r w:rsidR="008C09FA" w:rsidRPr="000C71A6">
        <w:rPr>
          <w:rFonts w:cs="Arial"/>
        </w:rPr>
        <w:t xml:space="preserve">. Briefly, samples of infected animals were </w:t>
      </w:r>
      <w:r w:rsidR="00A23EC8">
        <w:rPr>
          <w:rFonts w:cs="Arial"/>
        </w:rPr>
        <w:t>mechanically</w:t>
      </w:r>
      <w:r w:rsidR="00A23EC8" w:rsidRPr="000C71A6">
        <w:rPr>
          <w:rFonts w:cs="Arial"/>
        </w:rPr>
        <w:t xml:space="preserve"> </w:t>
      </w:r>
      <w:r w:rsidR="008C09FA" w:rsidRPr="000C71A6">
        <w:rPr>
          <w:rFonts w:cs="Arial"/>
        </w:rPr>
        <w:t xml:space="preserve">homogenized and total DNA was extracted by </w:t>
      </w:r>
      <w:r w:rsidR="00CC32E7">
        <w:rPr>
          <w:rFonts w:cs="Arial"/>
        </w:rPr>
        <w:t>using</w:t>
      </w:r>
      <w:r w:rsidR="00CC32E7" w:rsidRPr="000C71A6">
        <w:rPr>
          <w:rFonts w:cs="Arial"/>
        </w:rPr>
        <w:t xml:space="preserve"> </w:t>
      </w:r>
      <w:r w:rsidR="008C09FA" w:rsidRPr="000C71A6">
        <w:rPr>
          <w:rFonts w:cs="Arial"/>
        </w:rPr>
        <w:t xml:space="preserve">phenol-chloroform </w:t>
      </w:r>
      <w:r w:rsidR="008B6B2A">
        <w:rPr>
          <w:rFonts w:cs="Arial"/>
        </w:rPr>
        <w:t xml:space="preserve">method </w:t>
      </w:r>
      <w:r w:rsidR="00A4059F" w:rsidRPr="000C71A6">
        <w:rPr>
          <w:rFonts w:cs="Arial"/>
        </w:rPr>
        <w:t>and precipitated with ammonium acetate and ethanol.</w:t>
      </w:r>
    </w:p>
    <w:p w14:paraId="0C646040" w14:textId="2BDEFFA7" w:rsidR="00ED2EAE" w:rsidRPr="000C71A6" w:rsidRDefault="008B6B2A" w:rsidP="00B60ADE">
      <w:pPr>
        <w:rPr>
          <w:rFonts w:cs="Arial"/>
        </w:rPr>
      </w:pPr>
      <w:r>
        <w:rPr>
          <w:rFonts w:cs="Arial"/>
        </w:rPr>
        <w:t>Briefly, t</w:t>
      </w:r>
      <w:r w:rsidR="00A4059F" w:rsidRPr="000C71A6">
        <w:rPr>
          <w:rFonts w:cs="Arial"/>
        </w:rPr>
        <w:t xml:space="preserve">he samples were homogenized </w:t>
      </w:r>
      <w:r w:rsidR="00A23EC8">
        <w:rPr>
          <w:rFonts w:cs="Arial"/>
        </w:rPr>
        <w:t xml:space="preserve">using </w:t>
      </w:r>
      <w:r w:rsidR="00A23EC8" w:rsidRPr="00A23EC8">
        <w:rPr>
          <w:rFonts w:cs="Arial"/>
        </w:rPr>
        <w:t>Potter Elvehjem Tissue Homogenizer</w:t>
      </w:r>
      <w:r w:rsidR="00A23EC8">
        <w:rPr>
          <w:rFonts w:cs="Arial"/>
        </w:rPr>
        <w:t>s</w:t>
      </w:r>
      <w:r w:rsidR="00A23EC8" w:rsidRPr="00A23EC8">
        <w:rPr>
          <w:rFonts w:cs="Arial"/>
        </w:rPr>
        <w:t xml:space="preserve"> </w:t>
      </w:r>
      <w:r w:rsidR="00A4059F" w:rsidRPr="000C71A6">
        <w:rPr>
          <w:rFonts w:cs="Arial"/>
        </w:rPr>
        <w:t>and digested overnight at 55</w:t>
      </w:r>
      <w:r w:rsidR="00A23EC8">
        <w:rPr>
          <w:rFonts w:cs="Arial"/>
        </w:rPr>
        <w:t xml:space="preserve"> </w:t>
      </w:r>
      <w:r w:rsidR="00FE1822">
        <w:rPr>
          <w:rFonts w:cs="Arial"/>
        </w:rPr>
        <w:t>ºC</w:t>
      </w:r>
      <w:r w:rsidR="00A4059F" w:rsidRPr="000C71A6">
        <w:rPr>
          <w:rFonts w:cs="Arial"/>
        </w:rPr>
        <w:t xml:space="preserve"> in </w:t>
      </w:r>
      <w:r>
        <w:rPr>
          <w:rFonts w:cs="Arial"/>
        </w:rPr>
        <w:t>SE buffer (</w:t>
      </w:r>
      <w:r w:rsidR="008F7BEA" w:rsidRPr="008F7BEA">
        <w:rPr>
          <w:rFonts w:cs="Arial"/>
        </w:rPr>
        <w:t>0.1 M Tris–HCl pH 9.0, 0.1 M NaCl, 1 mM EDTA</w:t>
      </w:r>
      <w:r>
        <w:rPr>
          <w:rFonts w:cs="Arial"/>
        </w:rPr>
        <w:t xml:space="preserve">) </w:t>
      </w:r>
      <w:r w:rsidRPr="000C71A6">
        <w:rPr>
          <w:rFonts w:cs="Arial"/>
        </w:rPr>
        <w:t xml:space="preserve">containing </w:t>
      </w:r>
      <w:r w:rsidR="00A4059F" w:rsidRPr="000C71A6">
        <w:rPr>
          <w:rFonts w:cs="Arial"/>
        </w:rPr>
        <w:t xml:space="preserve">1% </w:t>
      </w:r>
      <w:r>
        <w:rPr>
          <w:rFonts w:cs="Arial"/>
        </w:rPr>
        <w:t xml:space="preserve">(w/v) </w:t>
      </w:r>
      <w:r w:rsidR="00A4059F" w:rsidRPr="000C71A6">
        <w:rPr>
          <w:rFonts w:cs="Arial"/>
        </w:rPr>
        <w:t xml:space="preserve">sodium dodecyl sulphate solution (SDS) </w:t>
      </w:r>
      <w:r>
        <w:rPr>
          <w:rFonts w:cs="Arial"/>
        </w:rPr>
        <w:t xml:space="preserve">and </w:t>
      </w:r>
      <w:r w:rsidR="00A4059F" w:rsidRPr="000C71A6">
        <w:rPr>
          <w:rFonts w:cs="Arial"/>
        </w:rPr>
        <w:t>1</w:t>
      </w:r>
      <w:r w:rsidR="008F7BEA">
        <w:rPr>
          <w:rFonts w:cs="Arial"/>
        </w:rPr>
        <w:t xml:space="preserve"> </w:t>
      </w:r>
      <w:r w:rsidR="00A4059F" w:rsidRPr="000C71A6">
        <w:rPr>
          <w:rFonts w:cs="Arial"/>
        </w:rPr>
        <w:t>m</w:t>
      </w:r>
      <w:r>
        <w:rPr>
          <w:rFonts w:cs="Arial"/>
        </w:rPr>
        <w:t>g</w:t>
      </w:r>
      <w:r w:rsidR="00A4059F" w:rsidRPr="000C71A6">
        <w:rPr>
          <w:rFonts w:cs="Arial"/>
        </w:rPr>
        <w:t>/m</w:t>
      </w:r>
      <w:r>
        <w:rPr>
          <w:rFonts w:cs="Arial"/>
        </w:rPr>
        <w:t>L</w:t>
      </w:r>
      <w:r w:rsidR="00A4059F" w:rsidRPr="000C71A6">
        <w:rPr>
          <w:rFonts w:cs="Arial"/>
        </w:rPr>
        <w:t xml:space="preserve"> of Proteinase K. </w:t>
      </w:r>
      <w:r w:rsidR="00ED2EAE" w:rsidRPr="000C71A6">
        <w:rPr>
          <w:rFonts w:cs="Arial"/>
        </w:rPr>
        <w:t xml:space="preserve">PC8 </w:t>
      </w:r>
      <w:r w:rsidR="00AF0DF0">
        <w:rPr>
          <w:rFonts w:cs="Arial"/>
        </w:rPr>
        <w:t xml:space="preserve">reagent </w:t>
      </w:r>
      <w:r>
        <w:rPr>
          <w:rFonts w:cs="Arial"/>
        </w:rPr>
        <w:t>(composed of equal volumes of buffered phenol and chlorophorm</w:t>
      </w:r>
      <w:r w:rsidR="004C27C5">
        <w:rPr>
          <w:rFonts w:cs="Arial"/>
        </w:rPr>
        <w:t>, both from Sigma</w:t>
      </w:r>
      <w:r>
        <w:rPr>
          <w:rFonts w:cs="Arial"/>
        </w:rPr>
        <w:t xml:space="preserve">) </w:t>
      </w:r>
      <w:r w:rsidR="00ED2EAE" w:rsidRPr="000C71A6">
        <w:rPr>
          <w:rFonts w:cs="Arial"/>
        </w:rPr>
        <w:t>was added and the samples were homogenised by inversion before centrifugation (</w:t>
      </w:r>
      <w:r w:rsidR="003C64AD">
        <w:rPr>
          <w:rFonts w:cs="Arial"/>
        </w:rPr>
        <w:t>6 </w:t>
      </w:r>
      <w:r w:rsidR="003C64AD" w:rsidRPr="00661D7A">
        <w:rPr>
          <w:rFonts w:cs="Arial"/>
        </w:rPr>
        <w:t>000</w:t>
      </w:r>
      <w:r w:rsidR="003C64AD">
        <w:rPr>
          <w:rFonts w:cs="Arial"/>
        </w:rPr>
        <w:t xml:space="preserve"> </w:t>
      </w:r>
      <w:r w:rsidR="003C64AD">
        <w:rPr>
          <w:rFonts w:cs="Arial"/>
          <w:i/>
        </w:rPr>
        <w:t>g</w:t>
      </w:r>
      <w:r>
        <w:rPr>
          <w:rFonts w:cs="Arial"/>
        </w:rPr>
        <w:t xml:space="preserve"> </w:t>
      </w:r>
      <w:r w:rsidR="00ED2EAE" w:rsidRPr="000C71A6">
        <w:rPr>
          <w:rFonts w:cs="Arial"/>
        </w:rPr>
        <w:t>for 30 min at 4</w:t>
      </w:r>
      <w:r w:rsidR="00FE1822">
        <w:rPr>
          <w:rFonts w:cs="Arial"/>
        </w:rPr>
        <w:t>ºC</w:t>
      </w:r>
      <w:r w:rsidR="00ED2EAE" w:rsidRPr="000C71A6">
        <w:rPr>
          <w:rFonts w:cs="Arial"/>
        </w:rPr>
        <w:t>). Supernatants were recovered and the same procedure was repeated</w:t>
      </w:r>
      <w:r w:rsidR="00A93313">
        <w:rPr>
          <w:rFonts w:cs="Arial"/>
        </w:rPr>
        <w:t>.</w:t>
      </w:r>
      <w:r w:rsidR="00ED2EAE" w:rsidRPr="000C71A6">
        <w:rPr>
          <w:rFonts w:cs="Arial"/>
        </w:rPr>
        <w:t xml:space="preserve"> Obtained supernatants were recovered and </w:t>
      </w:r>
      <w:r w:rsidR="00A93313">
        <w:rPr>
          <w:rFonts w:cs="Arial"/>
        </w:rPr>
        <w:t>1/3 volume 7.5</w:t>
      </w:r>
      <w:r w:rsidR="003D1BB7">
        <w:rPr>
          <w:rFonts w:cs="Arial"/>
        </w:rPr>
        <w:t xml:space="preserve"> </w:t>
      </w:r>
      <w:r w:rsidR="00A93313">
        <w:rPr>
          <w:rFonts w:cs="Arial"/>
        </w:rPr>
        <w:t xml:space="preserve">M </w:t>
      </w:r>
      <w:r w:rsidR="00ED2EAE" w:rsidRPr="000C71A6">
        <w:rPr>
          <w:rFonts w:cs="Arial"/>
        </w:rPr>
        <w:t xml:space="preserve">ammonium acetate and </w:t>
      </w:r>
      <w:r w:rsidR="00A93313">
        <w:rPr>
          <w:rFonts w:cs="Arial"/>
        </w:rPr>
        <w:t xml:space="preserve">2 volumes </w:t>
      </w:r>
      <w:r w:rsidR="00ED2EAE" w:rsidRPr="000C71A6">
        <w:rPr>
          <w:rFonts w:cs="Arial"/>
        </w:rPr>
        <w:t>absolute ethanol were added. The samples were kept overnight at -20</w:t>
      </w:r>
      <w:r w:rsidR="003D1BB7">
        <w:rPr>
          <w:rFonts w:cs="Arial"/>
        </w:rPr>
        <w:t xml:space="preserve"> </w:t>
      </w:r>
      <w:r w:rsidR="00FE1822">
        <w:rPr>
          <w:rFonts w:cs="Arial"/>
        </w:rPr>
        <w:t>ºC</w:t>
      </w:r>
      <w:r w:rsidR="00ED2EAE" w:rsidRPr="000C71A6">
        <w:rPr>
          <w:rFonts w:cs="Arial"/>
        </w:rPr>
        <w:t xml:space="preserve"> or 1 hour at -80</w:t>
      </w:r>
      <w:r w:rsidR="007A39C8">
        <w:rPr>
          <w:rFonts w:cs="Arial"/>
        </w:rPr>
        <w:t xml:space="preserve"> </w:t>
      </w:r>
      <w:r w:rsidR="00FE1822">
        <w:rPr>
          <w:rFonts w:cs="Arial"/>
        </w:rPr>
        <w:t>ºC</w:t>
      </w:r>
      <w:r w:rsidR="00ED2EAE" w:rsidRPr="000C71A6">
        <w:rPr>
          <w:rFonts w:cs="Arial"/>
        </w:rPr>
        <w:t>. After precipitation, the samples underwent centrifugation at 10</w:t>
      </w:r>
      <w:r w:rsidR="003C64AD">
        <w:rPr>
          <w:rFonts w:cs="Arial"/>
        </w:rPr>
        <w:t> 6</w:t>
      </w:r>
      <w:r w:rsidR="00ED2EAE" w:rsidRPr="000C71A6">
        <w:rPr>
          <w:rFonts w:cs="Arial"/>
        </w:rPr>
        <w:t>00</w:t>
      </w:r>
      <w:r w:rsidR="003C64AD">
        <w:rPr>
          <w:rFonts w:cs="Arial"/>
        </w:rPr>
        <w:t xml:space="preserve"> </w:t>
      </w:r>
      <w:r w:rsidR="003C64AD">
        <w:rPr>
          <w:rFonts w:cs="Arial"/>
          <w:i/>
        </w:rPr>
        <w:t>g</w:t>
      </w:r>
      <w:r w:rsidR="00ED2EAE" w:rsidRPr="000C71A6">
        <w:rPr>
          <w:rFonts w:cs="Arial"/>
        </w:rPr>
        <w:t xml:space="preserve"> for 15 min at 4</w:t>
      </w:r>
      <w:r w:rsidR="00FE1822">
        <w:rPr>
          <w:rFonts w:cs="Arial"/>
        </w:rPr>
        <w:t>ºC</w:t>
      </w:r>
      <w:r w:rsidR="00ED2EAE" w:rsidRPr="000C71A6">
        <w:rPr>
          <w:rFonts w:cs="Arial"/>
        </w:rPr>
        <w:t>. Supernatant was discarded and the pellet was washed two time</w:t>
      </w:r>
      <w:r w:rsidR="007B6449">
        <w:rPr>
          <w:rFonts w:cs="Arial"/>
        </w:rPr>
        <w:t>s</w:t>
      </w:r>
      <w:r w:rsidR="00ED2EAE" w:rsidRPr="000C71A6">
        <w:rPr>
          <w:rFonts w:cs="Arial"/>
        </w:rPr>
        <w:t xml:space="preserve"> with 75% </w:t>
      </w:r>
      <w:r w:rsidR="007B6449">
        <w:rPr>
          <w:rFonts w:cs="Arial"/>
        </w:rPr>
        <w:t xml:space="preserve">(v/v) </w:t>
      </w:r>
      <w:r w:rsidR="00ED2EAE" w:rsidRPr="000C71A6">
        <w:rPr>
          <w:rFonts w:cs="Arial"/>
        </w:rPr>
        <w:t>ethanol by centrifugation under the same conditions. The supernatant was discard</w:t>
      </w:r>
      <w:r w:rsidR="00327BF0">
        <w:rPr>
          <w:rFonts w:cs="Arial"/>
        </w:rPr>
        <w:t>ed</w:t>
      </w:r>
      <w:r w:rsidR="00ED2EAE" w:rsidRPr="000C71A6">
        <w:rPr>
          <w:rFonts w:cs="Arial"/>
        </w:rPr>
        <w:t xml:space="preserve"> and the obtained pellet was dried from all alcohol </w:t>
      </w:r>
      <w:r w:rsidR="007B6449">
        <w:rPr>
          <w:rFonts w:cs="Arial"/>
        </w:rPr>
        <w:t>and</w:t>
      </w:r>
      <w:r w:rsidR="00ED2EAE" w:rsidRPr="000C71A6">
        <w:rPr>
          <w:rFonts w:cs="Arial"/>
        </w:rPr>
        <w:t xml:space="preserve"> dissolved in water.</w:t>
      </w:r>
      <w:r w:rsidR="00B60ADE">
        <w:rPr>
          <w:rFonts w:cs="Arial"/>
        </w:rPr>
        <w:t xml:space="preserve"> </w:t>
      </w:r>
      <w:r w:rsidR="00ED2EAE" w:rsidRPr="000C71A6">
        <w:rPr>
          <w:rFonts w:cs="Arial"/>
        </w:rPr>
        <w:t>Concentration was determined in NanoDrop One (Thermo Scientific).</w:t>
      </w:r>
    </w:p>
    <w:p w14:paraId="35EA2FF5" w14:textId="019B197E" w:rsidR="00801423" w:rsidRPr="000C71A6" w:rsidRDefault="00D63A7E" w:rsidP="00801423">
      <w:pPr>
        <w:rPr>
          <w:rFonts w:cs="Arial"/>
          <w:color w:val="000000"/>
        </w:rPr>
      </w:pPr>
      <w:r w:rsidRPr="000C71A6">
        <w:rPr>
          <w:rFonts w:cs="Arial"/>
          <w:i/>
        </w:rPr>
        <w:t xml:space="preserve">Neospora caninum </w:t>
      </w:r>
      <w:r w:rsidR="002A01C2">
        <w:rPr>
          <w:rFonts w:cs="Arial"/>
        </w:rPr>
        <w:t>DNA was determined by qPCR</w:t>
      </w:r>
      <w:r w:rsidRPr="000C71A6">
        <w:rPr>
          <w:rFonts w:cs="Arial"/>
        </w:rPr>
        <w:t xml:space="preserve"> in a reaction containing 0</w:t>
      </w:r>
      <w:r w:rsidR="009F6DDD">
        <w:rPr>
          <w:rFonts w:cs="Arial"/>
        </w:rPr>
        <w:t>.</w:t>
      </w:r>
      <w:r w:rsidRPr="000C71A6">
        <w:rPr>
          <w:rFonts w:cs="Arial"/>
        </w:rPr>
        <w:t xml:space="preserve">2 </w:t>
      </w:r>
      <w:r w:rsidR="00327BF0">
        <w:rPr>
          <w:rFonts w:cs="Arial"/>
        </w:rPr>
        <w:t>μL</w:t>
      </w:r>
      <w:r w:rsidRPr="000C71A6">
        <w:rPr>
          <w:rFonts w:cs="Arial"/>
        </w:rPr>
        <w:t xml:space="preserve"> of primers </w:t>
      </w:r>
      <w:r w:rsidRPr="000C71A6">
        <w:rPr>
          <w:rFonts w:cs="Arial"/>
          <w:i/>
        </w:rPr>
        <w:t xml:space="preserve">NcA </w:t>
      </w:r>
      <w:r w:rsidRPr="000C71A6">
        <w:rPr>
          <w:rFonts w:cs="Arial"/>
        </w:rPr>
        <w:t xml:space="preserve">and </w:t>
      </w:r>
      <w:r w:rsidRPr="000C71A6">
        <w:rPr>
          <w:rFonts w:cs="Arial"/>
          <w:i/>
        </w:rPr>
        <w:t>NcS</w:t>
      </w:r>
      <w:r w:rsidR="002A01C2">
        <w:rPr>
          <w:rFonts w:cs="Arial"/>
        </w:rPr>
        <w:t xml:space="preserve"> </w:t>
      </w:r>
      <w:r w:rsidR="00D95C10">
        <w:rPr>
          <w:rFonts w:cs="Arial"/>
        </w:rPr>
        <w:t xml:space="preserve">(Sigma) </w:t>
      </w:r>
      <w:r w:rsidR="002A01C2">
        <w:rPr>
          <w:rFonts w:cs="Arial"/>
        </w:rPr>
        <w:t xml:space="preserve">(Annex A, Table </w:t>
      </w:r>
      <w:r w:rsidR="009A68DC">
        <w:rPr>
          <w:rFonts w:cs="Arial"/>
        </w:rPr>
        <w:t>A</w:t>
      </w:r>
      <w:r w:rsidR="002A01C2">
        <w:rPr>
          <w:rFonts w:cs="Arial"/>
        </w:rPr>
        <w:t>2</w:t>
      </w:r>
      <w:r w:rsidRPr="000C71A6">
        <w:rPr>
          <w:rFonts w:cs="Arial"/>
        </w:rPr>
        <w:t xml:space="preserve">), 5 </w:t>
      </w:r>
      <w:r w:rsidR="00327BF0">
        <w:rPr>
          <w:rFonts w:cs="Arial"/>
        </w:rPr>
        <w:t>μL</w:t>
      </w:r>
      <w:r w:rsidRPr="000C71A6">
        <w:rPr>
          <w:rFonts w:cs="Arial"/>
        </w:rPr>
        <w:t xml:space="preserve"> of </w:t>
      </w:r>
      <w:r w:rsidR="00801423" w:rsidRPr="000C71A6">
        <w:rPr>
          <w:rFonts w:cs="Arial"/>
        </w:rPr>
        <w:t>NZY qPCR Probe Master Mix (2</w:t>
      </w:r>
      <w:r w:rsidR="00D95C10">
        <w:rPr>
          <w:rFonts w:cs="Arial"/>
        </w:rPr>
        <w:t>×</w:t>
      </w:r>
      <w:r w:rsidR="00801423" w:rsidRPr="000C71A6">
        <w:rPr>
          <w:rFonts w:cs="Arial"/>
        </w:rPr>
        <w:t>)</w:t>
      </w:r>
      <w:r w:rsidRPr="000C71A6">
        <w:rPr>
          <w:rFonts w:cs="Arial"/>
        </w:rPr>
        <w:t xml:space="preserve"> (NZYTech</w:t>
      </w:r>
      <w:r w:rsidR="00D95C10">
        <w:rPr>
          <w:rFonts w:cs="Arial"/>
        </w:rPr>
        <w:t>, Lisbon, Portugal</w:t>
      </w:r>
      <w:r w:rsidRPr="000C71A6">
        <w:rPr>
          <w:rFonts w:cs="Arial"/>
        </w:rPr>
        <w:t>)</w:t>
      </w:r>
      <w:r w:rsidR="00801423" w:rsidRPr="000C71A6">
        <w:rPr>
          <w:rFonts w:cs="Arial"/>
        </w:rPr>
        <w:t xml:space="preserve">, 1 </w:t>
      </w:r>
      <w:r w:rsidR="00327BF0">
        <w:rPr>
          <w:rFonts w:cs="Arial"/>
        </w:rPr>
        <w:t>μL</w:t>
      </w:r>
      <w:r w:rsidR="00801423" w:rsidRPr="000C71A6">
        <w:rPr>
          <w:rFonts w:cs="Arial"/>
        </w:rPr>
        <w:t xml:space="preserve"> of fluorescent probe</w:t>
      </w:r>
      <w:r w:rsidR="00D95C10">
        <w:rPr>
          <w:rFonts w:cs="Arial"/>
        </w:rPr>
        <w:t xml:space="preserve"> </w:t>
      </w:r>
      <w:r w:rsidR="008F7BEA" w:rsidRPr="008F7BEA">
        <w:rPr>
          <w:rFonts w:cs="Arial"/>
        </w:rPr>
        <w:t>FAM-CCCGTTCACACACTATAGTCACAAACAAAA-BBQ (TIB Molbiol GmbH, Berlin, Germany)</w:t>
      </w:r>
      <w:r w:rsidRPr="000C71A6">
        <w:rPr>
          <w:rFonts w:cs="Arial"/>
        </w:rPr>
        <w:t xml:space="preserve"> plus 1 </w:t>
      </w:r>
      <w:r w:rsidR="00327BF0">
        <w:rPr>
          <w:rFonts w:cs="Arial"/>
        </w:rPr>
        <w:t>μL</w:t>
      </w:r>
      <w:r w:rsidRPr="000C71A6">
        <w:rPr>
          <w:rFonts w:cs="Arial"/>
        </w:rPr>
        <w:t xml:space="preserve"> </w:t>
      </w:r>
      <w:r w:rsidR="00801423" w:rsidRPr="000C71A6">
        <w:rPr>
          <w:rFonts w:cs="Arial"/>
        </w:rPr>
        <w:t xml:space="preserve">or 2 </w:t>
      </w:r>
      <w:r w:rsidR="00327BF0">
        <w:rPr>
          <w:rFonts w:cs="Arial"/>
        </w:rPr>
        <w:t>μL</w:t>
      </w:r>
      <w:r w:rsidR="00801423" w:rsidRPr="000C71A6">
        <w:rPr>
          <w:rFonts w:cs="Arial"/>
        </w:rPr>
        <w:t xml:space="preserve"> of DNA </w:t>
      </w:r>
      <w:r w:rsidR="002A01C2" w:rsidRPr="000C71A6">
        <w:rPr>
          <w:rFonts w:cs="Arial"/>
        </w:rPr>
        <w:t xml:space="preserve">sample </w:t>
      </w:r>
      <w:r w:rsidR="00551342">
        <w:rPr>
          <w:rFonts w:cs="Arial"/>
        </w:rPr>
        <w:t xml:space="preserve">(1 000 ng) </w:t>
      </w:r>
      <w:r w:rsidR="00801423" w:rsidRPr="000C71A6">
        <w:rPr>
          <w:rFonts w:cs="Arial"/>
        </w:rPr>
        <w:t xml:space="preserve">in a </w:t>
      </w:r>
      <w:r w:rsidRPr="000C71A6">
        <w:rPr>
          <w:rFonts w:cs="Arial"/>
        </w:rPr>
        <w:t xml:space="preserve">total </w:t>
      </w:r>
      <w:r w:rsidR="001D17DD">
        <w:rPr>
          <w:rFonts w:cs="Arial"/>
        </w:rPr>
        <w:t xml:space="preserve">volume </w:t>
      </w:r>
      <w:r w:rsidRPr="000C71A6">
        <w:rPr>
          <w:rFonts w:cs="Arial"/>
        </w:rPr>
        <w:t xml:space="preserve">of 10 </w:t>
      </w:r>
      <w:r w:rsidR="00327BF0">
        <w:rPr>
          <w:rFonts w:cs="Arial"/>
        </w:rPr>
        <w:t>μL</w:t>
      </w:r>
      <w:r w:rsidR="00801423" w:rsidRPr="000C71A6">
        <w:rPr>
          <w:rFonts w:cs="Arial"/>
        </w:rPr>
        <w:t>. The PCR program (denaturation at 95</w:t>
      </w:r>
      <w:r w:rsidR="003E6150">
        <w:rPr>
          <w:rFonts w:cs="Arial"/>
        </w:rPr>
        <w:t xml:space="preserve"> </w:t>
      </w:r>
      <w:r w:rsidR="00FE1822">
        <w:rPr>
          <w:rFonts w:cs="Arial"/>
        </w:rPr>
        <w:t>ºC</w:t>
      </w:r>
      <w:r w:rsidR="00801423" w:rsidRPr="000C71A6">
        <w:rPr>
          <w:rFonts w:cs="Arial"/>
        </w:rPr>
        <w:t xml:space="preserve"> for 3 min; 60 cycles of amplification: </w:t>
      </w:r>
      <w:r w:rsidR="00801423" w:rsidRPr="000C71A6">
        <w:rPr>
          <w:rFonts w:cs="Arial"/>
          <w:color w:val="000000"/>
        </w:rPr>
        <w:t>95</w:t>
      </w:r>
      <w:r w:rsidR="003E6150">
        <w:rPr>
          <w:rFonts w:cs="Arial"/>
          <w:color w:val="000000"/>
        </w:rPr>
        <w:t xml:space="preserve"> </w:t>
      </w:r>
      <w:r w:rsidR="00FE1822">
        <w:rPr>
          <w:rFonts w:cs="Arial"/>
          <w:color w:val="000000"/>
        </w:rPr>
        <w:t>ºC</w:t>
      </w:r>
      <w:r w:rsidR="00801423" w:rsidRPr="000C71A6">
        <w:rPr>
          <w:rFonts w:cs="Arial"/>
          <w:color w:val="000000"/>
        </w:rPr>
        <w:t xml:space="preserve"> for 5 seconds, 62</w:t>
      </w:r>
      <w:r w:rsidR="003E6150">
        <w:rPr>
          <w:rFonts w:cs="Arial"/>
          <w:color w:val="000000"/>
        </w:rPr>
        <w:t xml:space="preserve"> </w:t>
      </w:r>
      <w:r w:rsidR="00FE1822">
        <w:rPr>
          <w:rFonts w:cs="Arial"/>
          <w:color w:val="000000"/>
        </w:rPr>
        <w:t>ºC</w:t>
      </w:r>
      <w:r w:rsidR="00801423" w:rsidRPr="000C71A6">
        <w:rPr>
          <w:rFonts w:cs="Arial"/>
          <w:color w:val="000000"/>
        </w:rPr>
        <w:t xml:space="preserve"> for 20 seconds with fluorescence acquisition) was performed in a Corbett </w:t>
      </w:r>
      <w:r w:rsidR="00801423" w:rsidRPr="000C71A6">
        <w:rPr>
          <w:rFonts w:cs="Arial"/>
        </w:rPr>
        <w:t xml:space="preserve">rotor gene 6000 system (Corbett </w:t>
      </w:r>
      <w:r w:rsidR="00EE4B1D">
        <w:rPr>
          <w:rFonts w:cs="Arial"/>
        </w:rPr>
        <w:t>L</w:t>
      </w:r>
      <w:r w:rsidR="00801423" w:rsidRPr="000C71A6">
        <w:rPr>
          <w:rFonts w:cs="Arial"/>
        </w:rPr>
        <w:t xml:space="preserve">ife </w:t>
      </w:r>
      <w:r w:rsidR="00EE4B1D">
        <w:rPr>
          <w:rFonts w:cs="Arial"/>
        </w:rPr>
        <w:t>S</w:t>
      </w:r>
      <w:r w:rsidR="00EE4B1D" w:rsidRPr="000C71A6">
        <w:rPr>
          <w:rFonts w:cs="Arial"/>
        </w:rPr>
        <w:t>cience</w:t>
      </w:r>
      <w:r w:rsidR="00801423" w:rsidRPr="000C71A6">
        <w:rPr>
          <w:rFonts w:cs="Arial"/>
        </w:rPr>
        <w:t>).</w:t>
      </w:r>
    </w:p>
    <w:p w14:paraId="2A1C7678" w14:textId="1712B68F" w:rsidR="00801423" w:rsidRPr="000C71A6" w:rsidRDefault="00801423" w:rsidP="00772181">
      <w:pPr>
        <w:rPr>
          <w:rFonts w:cs="Arial"/>
          <w:color w:val="000000"/>
        </w:rPr>
      </w:pPr>
      <w:r w:rsidRPr="000C71A6">
        <w:rPr>
          <w:rFonts w:cs="Arial"/>
        </w:rPr>
        <w:t xml:space="preserve">To ensure </w:t>
      </w:r>
      <w:r w:rsidR="004E7153" w:rsidRPr="000C71A6">
        <w:rPr>
          <w:rFonts w:cs="Arial"/>
          <w:i/>
        </w:rPr>
        <w:t>N</w:t>
      </w:r>
      <w:r w:rsidR="004E7153">
        <w:rPr>
          <w:rFonts w:cs="Arial"/>
          <w:i/>
        </w:rPr>
        <w:t xml:space="preserve">. </w:t>
      </w:r>
      <w:r w:rsidRPr="000C71A6">
        <w:rPr>
          <w:rFonts w:cs="Arial"/>
          <w:i/>
        </w:rPr>
        <w:t xml:space="preserve">caninum </w:t>
      </w:r>
      <w:r w:rsidRPr="000C71A6">
        <w:rPr>
          <w:rFonts w:cs="Arial"/>
        </w:rPr>
        <w:t>DNA detection</w:t>
      </w:r>
      <w:r w:rsidR="004617EC">
        <w:rPr>
          <w:rFonts w:cs="Arial"/>
        </w:rPr>
        <w:t>,</w:t>
      </w:r>
      <w:r w:rsidRPr="000C71A6">
        <w:rPr>
          <w:rFonts w:cs="Arial"/>
        </w:rPr>
        <w:t xml:space="preserve"> a method </w:t>
      </w:r>
      <w:r w:rsidR="002A01C2">
        <w:rPr>
          <w:rFonts w:cs="Arial"/>
        </w:rPr>
        <w:t>designated</w:t>
      </w:r>
      <w:r w:rsidRPr="000C71A6">
        <w:rPr>
          <w:rFonts w:cs="Arial"/>
        </w:rPr>
        <w:t xml:space="preserve"> </w:t>
      </w:r>
      <w:r w:rsidR="004617EC">
        <w:rPr>
          <w:rFonts w:cs="Arial"/>
        </w:rPr>
        <w:t>n</w:t>
      </w:r>
      <w:r w:rsidRPr="000C71A6">
        <w:rPr>
          <w:rFonts w:cs="Arial"/>
        </w:rPr>
        <w:t xml:space="preserve">ested PCR was attempted: here, </w:t>
      </w:r>
      <w:r w:rsidR="002A01C2">
        <w:rPr>
          <w:rFonts w:cs="Arial"/>
        </w:rPr>
        <w:t>the samples underwent</w:t>
      </w:r>
      <w:r w:rsidR="00653575" w:rsidRPr="000C71A6">
        <w:rPr>
          <w:rFonts w:cs="Arial"/>
        </w:rPr>
        <w:t xml:space="preserve"> </w:t>
      </w:r>
      <w:r w:rsidR="004617EC">
        <w:rPr>
          <w:rFonts w:cs="Arial"/>
        </w:rPr>
        <w:t>a</w:t>
      </w:r>
      <w:r w:rsidR="004617EC" w:rsidRPr="000C71A6">
        <w:rPr>
          <w:rFonts w:cs="Arial"/>
        </w:rPr>
        <w:t xml:space="preserve"> </w:t>
      </w:r>
      <w:r w:rsidR="004617EC">
        <w:rPr>
          <w:rFonts w:cs="Arial"/>
        </w:rPr>
        <w:t>previous</w:t>
      </w:r>
      <w:r w:rsidR="004617EC" w:rsidRPr="000C71A6">
        <w:rPr>
          <w:rFonts w:cs="Arial"/>
        </w:rPr>
        <w:t xml:space="preserve"> </w:t>
      </w:r>
      <w:r w:rsidR="00653575" w:rsidRPr="000C71A6">
        <w:rPr>
          <w:rFonts w:cs="Arial"/>
        </w:rPr>
        <w:t>PCR that amplifie</w:t>
      </w:r>
      <w:r w:rsidR="004617EC">
        <w:rPr>
          <w:rFonts w:cs="Arial"/>
        </w:rPr>
        <w:t>d</w:t>
      </w:r>
      <w:r w:rsidR="00653575" w:rsidRPr="000C71A6">
        <w:rPr>
          <w:rFonts w:cs="Arial"/>
        </w:rPr>
        <w:t xml:space="preserve"> a wider section of parasitic genome before being submitted to the qPCR procedure described</w:t>
      </w:r>
      <w:r w:rsidR="004617EC">
        <w:rPr>
          <w:rFonts w:cs="Arial"/>
        </w:rPr>
        <w:t xml:space="preserve"> above</w:t>
      </w:r>
      <w:r w:rsidR="00653575" w:rsidRPr="000C71A6">
        <w:rPr>
          <w:rFonts w:cs="Arial"/>
        </w:rPr>
        <w:t>. Amplification was performed in a reaction containing 0</w:t>
      </w:r>
      <w:r w:rsidR="007A39C8">
        <w:rPr>
          <w:rFonts w:cs="Arial"/>
        </w:rPr>
        <w:t>.</w:t>
      </w:r>
      <w:r w:rsidR="00653575" w:rsidRPr="000C71A6">
        <w:rPr>
          <w:rFonts w:cs="Arial"/>
        </w:rPr>
        <w:t xml:space="preserve">5 </w:t>
      </w:r>
      <w:r w:rsidR="00327BF0">
        <w:rPr>
          <w:rFonts w:cs="Arial"/>
        </w:rPr>
        <w:t>μL</w:t>
      </w:r>
      <w:r w:rsidR="00653575" w:rsidRPr="000C71A6">
        <w:rPr>
          <w:rFonts w:cs="Arial"/>
        </w:rPr>
        <w:t xml:space="preserve"> of primers </w:t>
      </w:r>
      <w:r w:rsidR="00653575" w:rsidRPr="000C71A6">
        <w:rPr>
          <w:rFonts w:cs="Arial"/>
          <w:i/>
        </w:rPr>
        <w:t xml:space="preserve">Nc6 </w:t>
      </w:r>
      <w:r w:rsidR="00653575" w:rsidRPr="000C71A6">
        <w:rPr>
          <w:rFonts w:cs="Arial"/>
        </w:rPr>
        <w:t xml:space="preserve">and </w:t>
      </w:r>
      <w:r w:rsidR="00653575" w:rsidRPr="000C71A6">
        <w:rPr>
          <w:rFonts w:cs="Arial"/>
          <w:i/>
        </w:rPr>
        <w:t>Nc21</w:t>
      </w:r>
      <w:r w:rsidR="00653575" w:rsidRPr="000C71A6">
        <w:rPr>
          <w:rFonts w:cs="Arial"/>
        </w:rPr>
        <w:t xml:space="preserve"> </w:t>
      </w:r>
      <w:r w:rsidR="004405D2">
        <w:rPr>
          <w:rFonts w:cs="Arial"/>
        </w:rPr>
        <w:t xml:space="preserve">(TibMolBiol) </w:t>
      </w:r>
      <w:r w:rsidR="00653575" w:rsidRPr="000C71A6">
        <w:rPr>
          <w:rFonts w:cs="Arial"/>
        </w:rPr>
        <w:t>(Annex A</w:t>
      </w:r>
      <w:r w:rsidR="002A01C2">
        <w:rPr>
          <w:rFonts w:cs="Arial"/>
        </w:rPr>
        <w:t xml:space="preserve">, Table </w:t>
      </w:r>
      <w:r w:rsidR="00D03841">
        <w:rPr>
          <w:rFonts w:cs="Arial"/>
        </w:rPr>
        <w:t>A</w:t>
      </w:r>
      <w:r w:rsidR="002A01C2">
        <w:rPr>
          <w:rFonts w:cs="Arial"/>
        </w:rPr>
        <w:t>2</w:t>
      </w:r>
      <w:r w:rsidR="00653575" w:rsidRPr="000C71A6">
        <w:rPr>
          <w:rFonts w:cs="Arial"/>
        </w:rPr>
        <w:t xml:space="preserve">), 10 </w:t>
      </w:r>
      <w:r w:rsidR="00327BF0">
        <w:rPr>
          <w:rFonts w:cs="Arial"/>
        </w:rPr>
        <w:t>μL</w:t>
      </w:r>
      <w:r w:rsidR="00653575" w:rsidRPr="000C71A6">
        <w:rPr>
          <w:rFonts w:cs="Arial"/>
        </w:rPr>
        <w:t xml:space="preserve"> of NZY qPCR Probe Master Mix (2</w:t>
      </w:r>
      <w:r w:rsidR="004405D2">
        <w:rPr>
          <w:rFonts w:cs="Arial"/>
        </w:rPr>
        <w:t>×</w:t>
      </w:r>
      <w:r w:rsidR="00653575" w:rsidRPr="000C71A6">
        <w:rPr>
          <w:rFonts w:cs="Arial"/>
        </w:rPr>
        <w:t xml:space="preserve">) (NZYTech), plus 2 </w:t>
      </w:r>
      <w:r w:rsidR="00327BF0">
        <w:rPr>
          <w:rFonts w:cs="Arial"/>
        </w:rPr>
        <w:t>μL</w:t>
      </w:r>
      <w:r w:rsidR="00653575" w:rsidRPr="000C71A6">
        <w:rPr>
          <w:rFonts w:cs="Arial"/>
        </w:rPr>
        <w:t xml:space="preserve"> of sample DNA in a total of 20 </w:t>
      </w:r>
      <w:r w:rsidR="00327BF0">
        <w:rPr>
          <w:rFonts w:cs="Arial"/>
        </w:rPr>
        <w:t>μL</w:t>
      </w:r>
      <w:r w:rsidR="00653575" w:rsidRPr="000C71A6">
        <w:rPr>
          <w:rFonts w:cs="Arial"/>
        </w:rPr>
        <w:t>.</w:t>
      </w:r>
      <w:r w:rsidR="00530647">
        <w:rPr>
          <w:rFonts w:cs="Arial"/>
        </w:rPr>
        <w:t xml:space="preserve"> </w:t>
      </w:r>
      <w:r w:rsidR="00653575" w:rsidRPr="000C71A6">
        <w:rPr>
          <w:rFonts w:cs="Arial"/>
        </w:rPr>
        <w:t>The PCR program (denaturation at 95</w:t>
      </w:r>
      <w:r w:rsidR="003E6150">
        <w:rPr>
          <w:rFonts w:cs="Arial"/>
        </w:rPr>
        <w:t xml:space="preserve"> </w:t>
      </w:r>
      <w:r w:rsidR="00FE1822">
        <w:rPr>
          <w:rFonts w:cs="Arial"/>
        </w:rPr>
        <w:t>ºC</w:t>
      </w:r>
      <w:r w:rsidR="00653575" w:rsidRPr="000C71A6">
        <w:rPr>
          <w:rFonts w:cs="Arial"/>
        </w:rPr>
        <w:t xml:space="preserve"> for 7 min; 30 cycles of amplification: </w:t>
      </w:r>
      <w:r w:rsidR="00653575" w:rsidRPr="000C71A6">
        <w:rPr>
          <w:rFonts w:cs="Arial"/>
          <w:color w:val="000000"/>
        </w:rPr>
        <w:t>95</w:t>
      </w:r>
      <w:r w:rsidR="003E6150">
        <w:rPr>
          <w:rFonts w:cs="Arial"/>
          <w:color w:val="000000"/>
        </w:rPr>
        <w:t xml:space="preserve"> </w:t>
      </w:r>
      <w:r w:rsidR="00FE1822">
        <w:rPr>
          <w:rFonts w:cs="Arial"/>
          <w:color w:val="000000"/>
        </w:rPr>
        <w:t>ºC</w:t>
      </w:r>
      <w:r w:rsidR="00653575" w:rsidRPr="000C71A6">
        <w:rPr>
          <w:rFonts w:cs="Arial"/>
          <w:color w:val="000000"/>
        </w:rPr>
        <w:t xml:space="preserve"> for 30 seconds, 63</w:t>
      </w:r>
      <w:r w:rsidR="003E6150">
        <w:rPr>
          <w:rFonts w:cs="Arial"/>
          <w:color w:val="000000"/>
        </w:rPr>
        <w:t xml:space="preserve"> </w:t>
      </w:r>
      <w:r w:rsidR="00FE1822">
        <w:rPr>
          <w:rFonts w:cs="Arial"/>
          <w:color w:val="000000"/>
        </w:rPr>
        <w:t>ºC</w:t>
      </w:r>
      <w:r w:rsidR="00653575" w:rsidRPr="000C71A6">
        <w:rPr>
          <w:rFonts w:cs="Arial"/>
          <w:color w:val="000000"/>
        </w:rPr>
        <w:t xml:space="preserve"> for 15 seconds and 72</w:t>
      </w:r>
      <w:r w:rsidR="003E6150">
        <w:rPr>
          <w:rFonts w:cs="Arial"/>
          <w:color w:val="000000"/>
        </w:rPr>
        <w:t xml:space="preserve"> </w:t>
      </w:r>
      <w:r w:rsidR="00FE1822">
        <w:rPr>
          <w:rFonts w:cs="Arial"/>
          <w:color w:val="000000"/>
        </w:rPr>
        <w:t>ºC</w:t>
      </w:r>
      <w:r w:rsidR="00653575" w:rsidRPr="000C71A6">
        <w:rPr>
          <w:rFonts w:cs="Arial"/>
          <w:color w:val="000000"/>
        </w:rPr>
        <w:t xml:space="preserve"> for 45 seconds; and a hold </w:t>
      </w:r>
      <w:r w:rsidR="00E90649">
        <w:rPr>
          <w:rFonts w:cs="Arial"/>
          <w:color w:val="000000"/>
        </w:rPr>
        <w:t xml:space="preserve">step </w:t>
      </w:r>
      <w:r w:rsidR="00653575" w:rsidRPr="000C71A6">
        <w:rPr>
          <w:rFonts w:cs="Arial"/>
          <w:color w:val="000000"/>
        </w:rPr>
        <w:t>at 72</w:t>
      </w:r>
      <w:r w:rsidR="003E6150">
        <w:rPr>
          <w:rFonts w:cs="Arial"/>
          <w:color w:val="000000"/>
        </w:rPr>
        <w:t xml:space="preserve"> </w:t>
      </w:r>
      <w:r w:rsidR="00FE1822">
        <w:rPr>
          <w:rFonts w:cs="Arial"/>
          <w:color w:val="000000"/>
        </w:rPr>
        <w:t>ºC</w:t>
      </w:r>
      <w:r w:rsidR="00653575" w:rsidRPr="000C71A6">
        <w:rPr>
          <w:rFonts w:cs="Arial"/>
          <w:color w:val="000000"/>
        </w:rPr>
        <w:t xml:space="preserve"> for 7 min) was performed in a TProfessional Basic Thermocycler (Biometra GmbH, Goettingen, Germany). </w:t>
      </w:r>
      <w:r w:rsidR="00EA7792">
        <w:rPr>
          <w:rFonts w:cs="Arial"/>
          <w:color w:val="000000"/>
        </w:rPr>
        <w:t xml:space="preserve">A second </w:t>
      </w:r>
      <w:r w:rsidR="00653575" w:rsidRPr="000C71A6">
        <w:rPr>
          <w:rFonts w:cs="Arial"/>
          <w:color w:val="000000"/>
        </w:rPr>
        <w:t xml:space="preserve">amplification </w:t>
      </w:r>
      <w:r w:rsidR="00EA7792">
        <w:rPr>
          <w:rFonts w:cs="Arial"/>
          <w:color w:val="000000"/>
        </w:rPr>
        <w:t xml:space="preserve">step </w:t>
      </w:r>
      <w:r w:rsidR="00653575" w:rsidRPr="000C71A6">
        <w:rPr>
          <w:rFonts w:cs="Arial"/>
          <w:color w:val="000000"/>
        </w:rPr>
        <w:t>was then assessed by qPCR</w:t>
      </w:r>
      <w:r w:rsidR="00EA7792">
        <w:rPr>
          <w:rFonts w:cs="Arial"/>
          <w:color w:val="000000"/>
        </w:rPr>
        <w:t>,</w:t>
      </w:r>
      <w:r w:rsidR="00653575" w:rsidRPr="000C71A6">
        <w:rPr>
          <w:rFonts w:cs="Arial"/>
          <w:color w:val="000000"/>
        </w:rPr>
        <w:t xml:space="preserve"> as described previously</w:t>
      </w:r>
      <w:r w:rsidR="00EA7792">
        <w:rPr>
          <w:rFonts w:cs="Arial"/>
          <w:color w:val="000000"/>
        </w:rPr>
        <w:t xml:space="preserve">, using 1 </w:t>
      </w:r>
      <w:r w:rsidR="00EA7792">
        <w:rPr>
          <w:rFonts w:cs="Arial"/>
        </w:rPr>
        <w:t>μL of the amplified nested PCR products as t</w:t>
      </w:r>
      <w:r w:rsidR="00C307FD">
        <w:rPr>
          <w:rFonts w:cs="Arial"/>
        </w:rPr>
        <w:t>emplate</w:t>
      </w:r>
      <w:r w:rsidR="00EA7792">
        <w:rPr>
          <w:rFonts w:cs="Arial"/>
        </w:rPr>
        <w:t xml:space="preserve"> DNA</w:t>
      </w:r>
      <w:r w:rsidR="00653575" w:rsidRPr="000C71A6">
        <w:rPr>
          <w:rFonts w:cs="Arial"/>
          <w:color w:val="000000"/>
        </w:rPr>
        <w:t>.</w:t>
      </w:r>
    </w:p>
    <w:p w14:paraId="48B96960" w14:textId="304C3E59" w:rsidR="00A12F2F" w:rsidRPr="00F05A74" w:rsidRDefault="00271F53" w:rsidP="00F05A74">
      <w:pPr>
        <w:rPr>
          <w:rFonts w:cs="Arial"/>
        </w:rPr>
      </w:pPr>
      <w:r>
        <w:rPr>
          <w:rFonts w:cs="Arial"/>
          <w:color w:val="000000"/>
        </w:rPr>
        <w:t>qPCR d</w:t>
      </w:r>
      <w:r w:rsidR="00653575" w:rsidRPr="000C71A6">
        <w:rPr>
          <w:rFonts w:cs="Arial"/>
          <w:color w:val="000000"/>
        </w:rPr>
        <w:t xml:space="preserve">ata was analysed </w:t>
      </w:r>
      <w:r>
        <w:rPr>
          <w:rFonts w:cs="Arial"/>
          <w:color w:val="000000"/>
        </w:rPr>
        <w:t>with</w:t>
      </w:r>
      <w:r w:rsidRPr="000C71A6">
        <w:rPr>
          <w:rFonts w:cs="Arial"/>
          <w:color w:val="000000"/>
        </w:rPr>
        <w:t xml:space="preserve"> </w:t>
      </w:r>
      <w:r w:rsidR="00653575" w:rsidRPr="000C71A6">
        <w:rPr>
          <w:rFonts w:cs="Arial"/>
        </w:rPr>
        <w:t>Rotor-Gene Q Software 2.3.5.1 (Corbett life science, Sydney, Australia) by</w:t>
      </w:r>
      <w:r w:rsidR="00C74173" w:rsidRPr="000C71A6">
        <w:rPr>
          <w:rFonts w:cs="Arial"/>
        </w:rPr>
        <w:t xml:space="preserve"> interpolating the quantity from a standard curve determined </w:t>
      </w:r>
      <w:r>
        <w:rPr>
          <w:rFonts w:cs="Arial"/>
        </w:rPr>
        <w:t>using</w:t>
      </w:r>
      <w:r w:rsidRPr="000C71A6">
        <w:rPr>
          <w:rFonts w:cs="Arial"/>
        </w:rPr>
        <w:t xml:space="preserve"> </w:t>
      </w:r>
      <w:r w:rsidR="00C74173" w:rsidRPr="000C71A6">
        <w:rPr>
          <w:rFonts w:cs="Arial"/>
        </w:rPr>
        <w:t>serially diluted standards ranging from 10 to 10</w:t>
      </w:r>
      <w:r w:rsidR="00C74173" w:rsidRPr="000C71A6">
        <w:rPr>
          <w:rFonts w:cs="Arial"/>
          <w:vertAlign w:val="superscript"/>
        </w:rPr>
        <w:t>-4</w:t>
      </w:r>
      <w:r w:rsidR="00C74173" w:rsidRPr="000C71A6">
        <w:rPr>
          <w:rFonts w:cs="Arial"/>
        </w:rPr>
        <w:t xml:space="preserve"> ng of </w:t>
      </w:r>
      <w:r w:rsidR="004E7153" w:rsidRPr="000C71A6">
        <w:rPr>
          <w:rFonts w:cs="Arial"/>
          <w:i/>
        </w:rPr>
        <w:t>N</w:t>
      </w:r>
      <w:r w:rsidR="004E7153">
        <w:rPr>
          <w:rFonts w:cs="Arial"/>
          <w:i/>
        </w:rPr>
        <w:t>.</w:t>
      </w:r>
      <w:r w:rsidR="004E7153" w:rsidRPr="000C71A6">
        <w:rPr>
          <w:rFonts w:cs="Arial"/>
          <w:i/>
        </w:rPr>
        <w:t xml:space="preserve"> </w:t>
      </w:r>
      <w:r w:rsidR="00C74173" w:rsidRPr="000C71A6">
        <w:rPr>
          <w:rFonts w:cs="Arial"/>
          <w:i/>
        </w:rPr>
        <w:t xml:space="preserve">caninum </w:t>
      </w:r>
      <w:r w:rsidR="00C74173" w:rsidRPr="000C71A6">
        <w:rPr>
          <w:rFonts w:cs="Arial"/>
        </w:rPr>
        <w:t xml:space="preserve">DNA that </w:t>
      </w:r>
      <w:r w:rsidR="00F05A74">
        <w:rPr>
          <w:rFonts w:cs="Arial"/>
        </w:rPr>
        <w:t>were included in each qPCR run.</w:t>
      </w:r>
    </w:p>
    <w:p w14:paraId="48B96961" w14:textId="21C0A632" w:rsidR="0093369F" w:rsidRPr="000C71A6" w:rsidRDefault="00E90F8F" w:rsidP="00A078BC">
      <w:pPr>
        <w:pStyle w:val="Estilo1"/>
      </w:pPr>
      <w:bookmarkStart w:id="28" w:name="_Toc115037819"/>
      <w:r>
        <w:t xml:space="preserve">2.8. </w:t>
      </w:r>
      <w:r w:rsidR="002030C7" w:rsidRPr="000C71A6">
        <w:t>S</w:t>
      </w:r>
      <w:r w:rsidR="00A12F2F" w:rsidRPr="000C71A6">
        <w:t xml:space="preserve">erum </w:t>
      </w:r>
      <w:r w:rsidR="002030C7" w:rsidRPr="000C71A6">
        <w:t xml:space="preserve">antibody </w:t>
      </w:r>
      <w:r w:rsidR="00A12F2F" w:rsidRPr="000C71A6">
        <w:t>detection</w:t>
      </w:r>
      <w:bookmarkEnd w:id="28"/>
    </w:p>
    <w:p w14:paraId="389E778F" w14:textId="4FA82493" w:rsidR="009468CA" w:rsidRPr="00361DCD" w:rsidRDefault="00321136" w:rsidP="009468CA">
      <w:pPr>
        <w:rPr>
          <w:rFonts w:cs="Arial"/>
          <w:iCs/>
          <w:color w:val="000000"/>
        </w:rPr>
      </w:pPr>
      <w:r w:rsidRPr="000C71A6">
        <w:rPr>
          <w:rFonts w:cs="Arial"/>
          <w:color w:val="000000"/>
        </w:rPr>
        <w:t>Serum IgG</w:t>
      </w:r>
      <w:r w:rsidR="003465F0">
        <w:rPr>
          <w:rFonts w:cs="Arial"/>
          <w:color w:val="000000"/>
        </w:rPr>
        <w:t>,</w:t>
      </w:r>
      <w:r w:rsidRPr="000C71A6">
        <w:rPr>
          <w:rFonts w:cs="Arial"/>
          <w:color w:val="000000"/>
        </w:rPr>
        <w:t xml:space="preserve"> </w:t>
      </w:r>
      <w:r w:rsidR="00F763DB">
        <w:rPr>
          <w:rFonts w:cs="Arial"/>
          <w:color w:val="000000"/>
        </w:rPr>
        <w:t xml:space="preserve">IgG1 </w:t>
      </w:r>
      <w:r w:rsidRPr="000C71A6">
        <w:rPr>
          <w:rFonts w:cs="Arial"/>
          <w:color w:val="000000"/>
        </w:rPr>
        <w:t>and IgG</w:t>
      </w:r>
      <w:r w:rsidR="00F763DB">
        <w:rPr>
          <w:rFonts w:cs="Arial"/>
          <w:color w:val="000000"/>
        </w:rPr>
        <w:t>2</w:t>
      </w:r>
      <w:r w:rsidRPr="000C71A6">
        <w:rPr>
          <w:rFonts w:cs="Arial"/>
          <w:color w:val="000000"/>
        </w:rPr>
        <w:t xml:space="preserve"> antibodies were quantified by ELISA as described by </w:t>
      </w:r>
      <w:r w:rsidRPr="000C71A6">
        <w:rPr>
          <w:rFonts w:cs="Arial"/>
          <w:color w:val="000000"/>
        </w:rPr>
        <w:fldChar w:fldCharType="begin" w:fldLock="1"/>
      </w:r>
      <w:r w:rsidR="0023236C">
        <w:rPr>
          <w:rFonts w:cs="Arial"/>
          <w:color w:val="000000"/>
        </w:rPr>
        <w:instrText>ADDIN CSL_CITATION {"citationItems":[{"id":"ITEM-1","itemData":{"DOI":"10.1111/imm.12191","ISSN":"00192805","PMID":"24128071","abstract":"Neospora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-1","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tract","type":"article-journal","volume":"141"},"uris":["http://www.mendeley.com/documents/?uuid=fbd4020b-89bd-3c5d-8320-1ddc6afb78c0"]}],"mendeley":{"formattedCitation":"[44]","manualFormatting":"Ferreirinha et al.","plainTextFormattedCitation":"[44]","previouslyFormattedCitation":"[44]"},"properties":{"noteIndex":0},"schema":"https://github.com/citation-style-language/schema/raw/master/csl-citation.json"}</w:instrText>
      </w:r>
      <w:r w:rsidRPr="000C71A6">
        <w:rPr>
          <w:rFonts w:cs="Arial"/>
          <w:color w:val="000000"/>
        </w:rPr>
        <w:fldChar w:fldCharType="separate"/>
      </w:r>
      <w:r w:rsidR="00E90F8F">
        <w:rPr>
          <w:rFonts w:cs="Arial"/>
          <w:noProof/>
          <w:color w:val="000000"/>
        </w:rPr>
        <w:t xml:space="preserve">Ferreirinha </w:t>
      </w:r>
      <w:r w:rsidR="00E90F8F" w:rsidRPr="0023236C">
        <w:rPr>
          <w:rFonts w:cs="Arial"/>
          <w:i/>
          <w:noProof/>
          <w:color w:val="000000"/>
        </w:rPr>
        <w:t>et al.</w:t>
      </w:r>
      <w:r w:rsidRPr="000C71A6">
        <w:rPr>
          <w:rFonts w:cs="Arial"/>
          <w:color w:val="000000"/>
        </w:rPr>
        <w:fldChar w:fldCharType="end"/>
      </w:r>
      <w:r w:rsidR="0023236C">
        <w:rPr>
          <w:rFonts w:cs="Arial"/>
          <w:color w:val="000000"/>
        </w:rPr>
        <w:t xml:space="preserve"> </w:t>
      </w:r>
      <w:r w:rsidR="0023236C">
        <w:rPr>
          <w:rFonts w:cs="Arial"/>
          <w:color w:val="000000"/>
        </w:rPr>
        <w:fldChar w:fldCharType="begin" w:fldLock="1"/>
      </w:r>
      <w:r w:rsidR="0023236C">
        <w:rPr>
          <w:rFonts w:cs="Arial"/>
          <w:color w:val="000000"/>
        </w:rPr>
        <w:instrText>ADDIN CSL_CITATION {"citationItems":[{"id":"ITEM-1","itemData":{"DOI":"10.1111/imm.12191","ISSN":"00192805","PMID":"24128071","abstract":"Neospora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-1","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[44]","plainTextFormattedCitation":"[44]","previouslyFormattedCitation":"[44]"},"properties":{"noteIndex":0},"schema":"https://github.com/citation-style-language/schema/raw/master/csl-citation.json"}</w:instrText>
      </w:r>
      <w:r w:rsidR="0023236C">
        <w:rPr>
          <w:rFonts w:cs="Arial"/>
          <w:color w:val="000000"/>
        </w:rPr>
        <w:fldChar w:fldCharType="separate"/>
      </w:r>
      <w:r w:rsidR="0023236C" w:rsidRPr="0023236C">
        <w:rPr>
          <w:rFonts w:cs="Arial"/>
          <w:noProof/>
          <w:color w:val="000000"/>
        </w:rPr>
        <w:t>[44]</w:t>
      </w:r>
      <w:r w:rsidR="0023236C">
        <w:rPr>
          <w:rFonts w:cs="Arial"/>
          <w:color w:val="000000"/>
        </w:rPr>
        <w:fldChar w:fldCharType="end"/>
      </w:r>
      <w:r w:rsidRPr="000C71A6">
        <w:rPr>
          <w:rFonts w:cs="Arial"/>
          <w:color w:val="000000"/>
        </w:rPr>
        <w:t xml:space="preserve">. Briefly, </w:t>
      </w:r>
      <w:r w:rsidR="006C4D2C" w:rsidRPr="003E6150">
        <w:rPr>
          <w:rFonts w:cs="Arial"/>
          <w:i/>
          <w:iCs/>
          <w:color w:val="000000"/>
        </w:rPr>
        <w:t>N. caninum</w:t>
      </w:r>
      <w:r w:rsidR="006C4D2C">
        <w:rPr>
          <w:rFonts w:cs="Arial"/>
          <w:color w:val="000000"/>
        </w:rPr>
        <w:t xml:space="preserve">-specific antibodies were detected by using </w:t>
      </w:r>
      <w:r w:rsidRPr="000C71A6">
        <w:rPr>
          <w:rFonts w:cs="Arial"/>
          <w:color w:val="000000"/>
        </w:rPr>
        <w:t>anti-</w:t>
      </w:r>
      <w:r w:rsidR="006C4D2C">
        <w:rPr>
          <w:rFonts w:cs="Arial"/>
          <w:color w:val="000000"/>
        </w:rPr>
        <w:t>bovine IgG</w:t>
      </w:r>
      <w:r w:rsidR="00F763DB">
        <w:rPr>
          <w:rFonts w:cs="Arial"/>
          <w:color w:val="000000"/>
        </w:rPr>
        <w:t>, IgG1</w:t>
      </w:r>
      <w:r w:rsidR="006C4D2C">
        <w:rPr>
          <w:rFonts w:cs="Arial"/>
          <w:color w:val="000000"/>
        </w:rPr>
        <w:t xml:space="preserve"> and </w:t>
      </w:r>
      <w:r w:rsidR="00F763DB">
        <w:rPr>
          <w:rFonts w:cs="Arial"/>
          <w:color w:val="000000"/>
        </w:rPr>
        <w:t xml:space="preserve">IgG2 </w:t>
      </w:r>
      <w:r w:rsidR="006C4D2C" w:rsidRPr="000C71A6">
        <w:rPr>
          <w:rFonts w:cs="Arial"/>
          <w:color w:val="000000"/>
        </w:rPr>
        <w:t>antibodies</w:t>
      </w:r>
      <w:r w:rsidR="006C4D2C">
        <w:rPr>
          <w:rFonts w:cs="Arial"/>
          <w:color w:val="000000"/>
        </w:rPr>
        <w:t xml:space="preserve"> conjugated with an enzyme</w:t>
      </w:r>
      <w:r w:rsidR="006C4D2C" w:rsidRPr="000C71A6">
        <w:rPr>
          <w:rFonts w:cs="Arial"/>
          <w:i/>
          <w:color w:val="000000"/>
        </w:rPr>
        <w:t xml:space="preserve"> </w:t>
      </w:r>
      <w:r w:rsidR="006C4D2C" w:rsidRPr="003E6150">
        <w:rPr>
          <w:rFonts w:cs="Arial"/>
          <w:iCs/>
          <w:color w:val="000000"/>
        </w:rPr>
        <w:t>and</w:t>
      </w:r>
      <w:r w:rsidR="009468CA" w:rsidRPr="006C4D2C">
        <w:rPr>
          <w:rFonts w:cs="Arial"/>
          <w:iCs/>
          <w:color w:val="000000"/>
        </w:rPr>
        <w:t xml:space="preserve"> </w:t>
      </w:r>
      <w:r w:rsidR="009468CA" w:rsidRPr="000C71A6">
        <w:rPr>
          <w:rFonts w:cs="Arial"/>
          <w:color w:val="000000"/>
        </w:rPr>
        <w:t xml:space="preserve">reading the </w:t>
      </w:r>
      <w:r w:rsidR="006C4D2C">
        <w:rPr>
          <w:rFonts w:cs="Arial"/>
          <w:color w:val="000000"/>
        </w:rPr>
        <w:t>produced</w:t>
      </w:r>
      <w:r w:rsidR="006C4D2C" w:rsidRPr="000C71A6">
        <w:rPr>
          <w:rFonts w:cs="Arial"/>
          <w:color w:val="000000"/>
        </w:rPr>
        <w:t xml:space="preserve"> </w:t>
      </w:r>
      <w:r w:rsidR="009468CA" w:rsidRPr="000C71A6">
        <w:rPr>
          <w:rFonts w:cs="Arial"/>
          <w:color w:val="000000"/>
        </w:rPr>
        <w:t xml:space="preserve">absorbance by </w:t>
      </w:r>
      <w:r w:rsidR="006C4D2C">
        <w:rPr>
          <w:rFonts w:cs="Arial"/>
          <w:color w:val="000000"/>
        </w:rPr>
        <w:t>the reaction</w:t>
      </w:r>
      <w:r w:rsidR="006C4D2C" w:rsidRPr="000C71A6">
        <w:rPr>
          <w:rFonts w:cs="Arial"/>
          <w:color w:val="000000"/>
        </w:rPr>
        <w:t xml:space="preserve"> </w:t>
      </w:r>
      <w:r w:rsidR="009468CA" w:rsidRPr="000C71A6">
        <w:rPr>
          <w:rFonts w:cs="Arial"/>
          <w:color w:val="000000"/>
        </w:rPr>
        <w:t xml:space="preserve">with </w:t>
      </w:r>
      <w:r w:rsidR="009468CA" w:rsidRPr="00361DCD">
        <w:rPr>
          <w:rFonts w:cs="Arial"/>
          <w:color w:val="000000"/>
        </w:rPr>
        <w:t>a chromogenic substance</w:t>
      </w:r>
      <w:r w:rsidR="006C4D2C" w:rsidRPr="00361DCD">
        <w:rPr>
          <w:rFonts w:cs="Arial"/>
          <w:i/>
          <w:color w:val="000000"/>
        </w:rPr>
        <w:t xml:space="preserve"> </w:t>
      </w:r>
      <w:r w:rsidR="006C4D2C" w:rsidRPr="003E6150">
        <w:rPr>
          <w:rFonts w:cs="Arial"/>
          <w:iCs/>
          <w:color w:val="000000"/>
        </w:rPr>
        <w:t>in</w:t>
      </w:r>
      <w:r w:rsidR="006C4D2C" w:rsidRPr="00361DCD">
        <w:rPr>
          <w:rFonts w:cs="Arial"/>
          <w:i/>
          <w:color w:val="000000"/>
        </w:rPr>
        <w:t xml:space="preserve"> </w:t>
      </w:r>
      <w:r w:rsidR="006C4D2C" w:rsidRPr="003E6150">
        <w:rPr>
          <w:rFonts w:cs="Arial"/>
          <w:iCs/>
          <w:color w:val="000000"/>
        </w:rPr>
        <w:t xml:space="preserve">plates coated with </w:t>
      </w:r>
      <w:r w:rsidR="006C4D2C" w:rsidRPr="00361DCD">
        <w:rPr>
          <w:rFonts w:cs="Arial"/>
          <w:iCs/>
          <w:color w:val="000000"/>
        </w:rPr>
        <w:t>NcMP</w:t>
      </w:r>
      <w:r w:rsidR="009468CA" w:rsidRPr="00361DCD">
        <w:rPr>
          <w:rFonts w:cs="Arial"/>
          <w:iCs/>
          <w:color w:val="000000"/>
        </w:rPr>
        <w:t>.</w:t>
      </w:r>
    </w:p>
    <w:p w14:paraId="3C8CC9E5" w14:textId="17292BF0" w:rsidR="009468CA" w:rsidRPr="000C71A6" w:rsidRDefault="009468CA" w:rsidP="00E32A20">
      <w:pPr>
        <w:rPr>
          <w:rFonts w:cs="Arial"/>
          <w:color w:val="000000"/>
        </w:rPr>
      </w:pPr>
      <w:r w:rsidRPr="00361DCD">
        <w:rPr>
          <w:rFonts w:cs="Arial"/>
          <w:color w:val="000000"/>
        </w:rPr>
        <w:t xml:space="preserve">96-well </w:t>
      </w:r>
      <w:r w:rsidR="001823C4" w:rsidRPr="00361DCD">
        <w:rPr>
          <w:rFonts w:cs="Arial"/>
          <w:color w:val="000000"/>
        </w:rPr>
        <w:t xml:space="preserve">Maxisorp </w:t>
      </w:r>
      <w:r w:rsidRPr="00361DCD">
        <w:rPr>
          <w:rFonts w:cs="Arial"/>
          <w:color w:val="000000"/>
        </w:rPr>
        <w:t>plates</w:t>
      </w:r>
      <w:r w:rsidR="001823C4" w:rsidRPr="00361DCD">
        <w:rPr>
          <w:rFonts w:cs="Arial"/>
          <w:color w:val="000000"/>
        </w:rPr>
        <w:t xml:space="preserve"> (Nunc</w:t>
      </w:r>
      <w:r w:rsidR="00361DCD">
        <w:rPr>
          <w:rFonts w:cs="Arial"/>
          <w:color w:val="000000"/>
        </w:rPr>
        <w:t xml:space="preserve">, </w:t>
      </w:r>
      <w:r w:rsidR="00361DCD" w:rsidRPr="00361DCD">
        <w:rPr>
          <w:rFonts w:cs="Arial"/>
          <w:color w:val="000000"/>
        </w:rPr>
        <w:t>Roskilde, Sjelland, Denmark</w:t>
      </w:r>
      <w:r w:rsidR="001823C4">
        <w:rPr>
          <w:rFonts w:cs="Arial"/>
          <w:color w:val="000000"/>
        </w:rPr>
        <w:t>)</w:t>
      </w:r>
      <w:r w:rsidRPr="000C71A6">
        <w:rPr>
          <w:rFonts w:cs="Arial"/>
          <w:color w:val="000000"/>
        </w:rPr>
        <w:t xml:space="preserve"> were coated </w:t>
      </w:r>
      <w:r w:rsidR="002030C7" w:rsidRPr="000C71A6">
        <w:rPr>
          <w:rFonts w:cs="Arial"/>
          <w:color w:val="000000"/>
        </w:rPr>
        <w:t>with NcMP (5 μg/m</w:t>
      </w:r>
      <w:r w:rsidR="00327BF0">
        <w:rPr>
          <w:rFonts w:cs="Arial"/>
          <w:color w:val="000000"/>
        </w:rPr>
        <w:t>L</w:t>
      </w:r>
      <w:r w:rsidR="002030C7" w:rsidRPr="000C71A6">
        <w:rPr>
          <w:rFonts w:cs="Arial"/>
          <w:color w:val="000000"/>
        </w:rPr>
        <w:t xml:space="preserve"> in PBS) overnight at 4</w:t>
      </w:r>
      <w:r w:rsidR="003E6150">
        <w:rPr>
          <w:rFonts w:cs="Arial"/>
          <w:color w:val="000000"/>
        </w:rPr>
        <w:t xml:space="preserve"> </w:t>
      </w:r>
      <w:r w:rsidR="00FE1822">
        <w:rPr>
          <w:rFonts w:cs="Arial"/>
          <w:color w:val="000000"/>
        </w:rPr>
        <w:t>ºC</w:t>
      </w:r>
      <w:r w:rsidR="006865D3" w:rsidRPr="000C71A6">
        <w:rPr>
          <w:rFonts w:cs="Arial"/>
          <w:color w:val="000000"/>
        </w:rPr>
        <w:t xml:space="preserve">. Wells were washed </w:t>
      </w:r>
      <w:r w:rsidR="00317B01" w:rsidRPr="000C71A6">
        <w:rPr>
          <w:rFonts w:cs="Arial"/>
          <w:color w:val="000000"/>
        </w:rPr>
        <w:t xml:space="preserve">3 times </w:t>
      </w:r>
      <w:r w:rsidR="006865D3" w:rsidRPr="000C71A6">
        <w:rPr>
          <w:rFonts w:cs="Arial"/>
          <w:color w:val="000000"/>
        </w:rPr>
        <w:t xml:space="preserve">with PBS </w:t>
      </w:r>
      <w:r w:rsidR="005067FE">
        <w:rPr>
          <w:rFonts w:cs="Arial"/>
          <w:color w:val="000000"/>
        </w:rPr>
        <w:t xml:space="preserve">with </w:t>
      </w:r>
      <w:r w:rsidR="006865D3" w:rsidRPr="000C71A6">
        <w:rPr>
          <w:rFonts w:cs="Arial"/>
          <w:color w:val="000000"/>
        </w:rPr>
        <w:t>0</w:t>
      </w:r>
      <w:r w:rsidR="007A39C8">
        <w:rPr>
          <w:rFonts w:cs="Arial"/>
          <w:color w:val="000000"/>
        </w:rPr>
        <w:t>.</w:t>
      </w:r>
      <w:r w:rsidR="006865D3" w:rsidRPr="000C71A6">
        <w:rPr>
          <w:rFonts w:cs="Arial"/>
          <w:color w:val="000000"/>
        </w:rPr>
        <w:t xml:space="preserve">05% </w:t>
      </w:r>
      <w:r w:rsidR="00D95C10">
        <w:rPr>
          <w:rFonts w:cs="Arial"/>
          <w:color w:val="000000"/>
        </w:rPr>
        <w:t xml:space="preserve">(v/v) </w:t>
      </w:r>
      <w:r w:rsidR="006865D3" w:rsidRPr="000C71A6">
        <w:rPr>
          <w:rFonts w:cs="Arial"/>
          <w:color w:val="000000"/>
        </w:rPr>
        <w:t xml:space="preserve">Tween-20 (Washing Buffer) and blocked with </w:t>
      </w:r>
      <w:r w:rsidR="00317B01" w:rsidRPr="000C71A6">
        <w:rPr>
          <w:rFonts w:cs="Arial"/>
          <w:color w:val="000000"/>
        </w:rPr>
        <w:t xml:space="preserve">1% </w:t>
      </w:r>
      <w:r w:rsidR="00D95C10">
        <w:rPr>
          <w:rFonts w:cs="Arial"/>
          <w:color w:val="000000"/>
        </w:rPr>
        <w:t xml:space="preserve">(w/v) </w:t>
      </w:r>
      <w:r w:rsidR="00317B01" w:rsidRPr="000C71A6">
        <w:rPr>
          <w:rFonts w:cs="Arial"/>
          <w:color w:val="000000"/>
        </w:rPr>
        <w:t>bovine serum albumin (BSA</w:t>
      </w:r>
      <w:r w:rsidR="00D95C10">
        <w:rPr>
          <w:rFonts w:cs="Arial"/>
          <w:color w:val="000000"/>
        </w:rPr>
        <w:t>, NZY</w:t>
      </w:r>
      <w:r w:rsidR="00DC6309">
        <w:rPr>
          <w:rFonts w:cs="Arial"/>
          <w:color w:val="000000"/>
        </w:rPr>
        <w:t>Tech</w:t>
      </w:r>
      <w:r w:rsidR="00317B01" w:rsidRPr="000C71A6">
        <w:rPr>
          <w:rFonts w:cs="Arial"/>
          <w:color w:val="000000"/>
        </w:rPr>
        <w:t xml:space="preserve">) in PBS </w:t>
      </w:r>
      <w:r w:rsidR="005067FE">
        <w:rPr>
          <w:rFonts w:cs="Arial"/>
          <w:color w:val="000000"/>
        </w:rPr>
        <w:t xml:space="preserve">containing </w:t>
      </w:r>
      <w:r w:rsidR="00D54638" w:rsidRPr="000C71A6">
        <w:rPr>
          <w:rFonts w:cs="Arial"/>
          <w:color w:val="000000"/>
        </w:rPr>
        <w:t>0</w:t>
      </w:r>
      <w:r w:rsidR="007A39C8">
        <w:rPr>
          <w:rFonts w:cs="Arial"/>
          <w:color w:val="000000"/>
        </w:rPr>
        <w:t>.</w:t>
      </w:r>
      <w:r w:rsidR="00D54638" w:rsidRPr="000C71A6">
        <w:rPr>
          <w:rFonts w:cs="Arial"/>
          <w:color w:val="000000"/>
        </w:rPr>
        <w:t xml:space="preserve">05% Tween-20 </w:t>
      </w:r>
      <w:r w:rsidR="00317B01" w:rsidRPr="000C71A6">
        <w:rPr>
          <w:rFonts w:cs="Arial"/>
          <w:color w:val="000000"/>
        </w:rPr>
        <w:t xml:space="preserve">(Blocking Buffer) for 1 hour at room temperature. Serum samples were serially diluted in </w:t>
      </w:r>
      <w:r w:rsidR="0056032B" w:rsidRPr="000C71A6">
        <w:rPr>
          <w:rFonts w:cs="Arial"/>
          <w:color w:val="000000"/>
        </w:rPr>
        <w:t xml:space="preserve">PBS </w:t>
      </w:r>
      <w:r w:rsidR="005067FE">
        <w:rPr>
          <w:rFonts w:cs="Arial"/>
          <w:color w:val="000000"/>
        </w:rPr>
        <w:t xml:space="preserve">with </w:t>
      </w:r>
      <w:r w:rsidR="00317B01" w:rsidRPr="000C71A6">
        <w:rPr>
          <w:rFonts w:cs="Arial"/>
          <w:color w:val="000000"/>
        </w:rPr>
        <w:t>0</w:t>
      </w:r>
      <w:r w:rsidR="007A39C8">
        <w:rPr>
          <w:rFonts w:cs="Arial"/>
          <w:color w:val="000000"/>
        </w:rPr>
        <w:t>.</w:t>
      </w:r>
      <w:r w:rsidR="00317B01" w:rsidRPr="000C71A6">
        <w:rPr>
          <w:rFonts w:cs="Arial"/>
          <w:color w:val="000000"/>
        </w:rPr>
        <w:t xml:space="preserve">1% </w:t>
      </w:r>
      <w:r w:rsidR="00D95C10">
        <w:rPr>
          <w:rFonts w:cs="Arial"/>
          <w:color w:val="000000"/>
        </w:rPr>
        <w:t xml:space="preserve">(w/v) </w:t>
      </w:r>
      <w:r w:rsidR="00317B01" w:rsidRPr="000C71A6">
        <w:rPr>
          <w:rFonts w:cs="Arial"/>
          <w:color w:val="000000"/>
        </w:rPr>
        <w:t xml:space="preserve">BSA </w:t>
      </w:r>
      <w:r w:rsidR="005067FE">
        <w:rPr>
          <w:rFonts w:cs="Arial"/>
          <w:color w:val="000000"/>
        </w:rPr>
        <w:t xml:space="preserve">and </w:t>
      </w:r>
      <w:r w:rsidR="005067FE" w:rsidRPr="000C71A6">
        <w:rPr>
          <w:rFonts w:cs="Arial"/>
          <w:color w:val="000000"/>
        </w:rPr>
        <w:t>0</w:t>
      </w:r>
      <w:r w:rsidR="005067FE">
        <w:rPr>
          <w:rFonts w:cs="Arial"/>
          <w:color w:val="000000"/>
        </w:rPr>
        <w:t>.</w:t>
      </w:r>
      <w:r w:rsidR="005067FE" w:rsidRPr="000C71A6">
        <w:rPr>
          <w:rFonts w:cs="Arial"/>
          <w:color w:val="000000"/>
        </w:rPr>
        <w:t xml:space="preserve">05% Tween-20 </w:t>
      </w:r>
      <w:r w:rsidR="00317B01" w:rsidRPr="000C71A6">
        <w:rPr>
          <w:rFonts w:cs="Arial"/>
          <w:color w:val="000000"/>
        </w:rPr>
        <w:t xml:space="preserve">and incubated at </w:t>
      </w:r>
      <w:r w:rsidR="005B6B58" w:rsidRPr="000C71A6">
        <w:rPr>
          <w:rFonts w:cs="Arial"/>
          <w:color w:val="000000"/>
        </w:rPr>
        <w:t>37</w:t>
      </w:r>
      <w:r w:rsidR="0056032B">
        <w:rPr>
          <w:rFonts w:cs="Arial"/>
          <w:color w:val="000000"/>
        </w:rPr>
        <w:t xml:space="preserve"> </w:t>
      </w:r>
      <w:r w:rsidR="00FE1822">
        <w:rPr>
          <w:rFonts w:cs="Arial"/>
          <w:color w:val="000000"/>
        </w:rPr>
        <w:t>ºC</w:t>
      </w:r>
      <w:r w:rsidR="005B6B58" w:rsidRPr="000C71A6">
        <w:rPr>
          <w:rFonts w:cs="Arial"/>
          <w:color w:val="000000"/>
        </w:rPr>
        <w:t xml:space="preserve"> for 1 hour. Wells were washed 3 times with Washing Buffer and incubated with horseradish peroxidase</w:t>
      </w:r>
      <w:r w:rsidR="00E32A20" w:rsidRPr="000C71A6">
        <w:rPr>
          <w:rFonts w:cs="Arial"/>
          <w:color w:val="000000"/>
        </w:rPr>
        <w:t xml:space="preserve"> (HRP)</w:t>
      </w:r>
      <w:r w:rsidR="005B6B58" w:rsidRPr="000C71A6">
        <w:rPr>
          <w:rFonts w:cs="Arial"/>
          <w:color w:val="000000"/>
        </w:rPr>
        <w:t>-conjugated sheep anti-bovine IgG1</w:t>
      </w:r>
      <w:r w:rsidR="0056032B">
        <w:rPr>
          <w:rFonts w:cs="Arial"/>
          <w:color w:val="000000"/>
        </w:rPr>
        <w:t xml:space="preserve"> and </w:t>
      </w:r>
      <w:r w:rsidR="0056032B" w:rsidRPr="000C71A6">
        <w:rPr>
          <w:rFonts w:cs="Arial"/>
          <w:color w:val="000000"/>
        </w:rPr>
        <w:t>HRP-conjugated sheep anti-bovine</w:t>
      </w:r>
      <w:r w:rsidR="0056032B">
        <w:rPr>
          <w:rFonts w:cs="Arial"/>
          <w:color w:val="000000"/>
        </w:rPr>
        <w:t xml:space="preserve"> </w:t>
      </w:r>
      <w:r w:rsidR="00360BA8">
        <w:rPr>
          <w:rFonts w:cs="Arial"/>
          <w:color w:val="000000"/>
        </w:rPr>
        <w:t>IgG2</w:t>
      </w:r>
      <w:r w:rsidR="005B6B58" w:rsidRPr="000C71A6">
        <w:rPr>
          <w:rFonts w:cs="Arial"/>
          <w:color w:val="000000"/>
        </w:rPr>
        <w:t xml:space="preserve"> (Bio-Rad</w:t>
      </w:r>
      <w:r w:rsidR="00E32A20" w:rsidRPr="000C71A6">
        <w:rPr>
          <w:rFonts w:cs="Arial"/>
          <w:color w:val="000000"/>
        </w:rPr>
        <w:t>; formerly AbD Serotec</w:t>
      </w:r>
      <w:r w:rsidR="005B6B58" w:rsidRPr="000C71A6">
        <w:rPr>
          <w:rFonts w:cs="Arial"/>
          <w:color w:val="000000"/>
        </w:rPr>
        <w:t xml:space="preserve">) </w:t>
      </w:r>
      <w:r w:rsidR="00360BA8">
        <w:rPr>
          <w:rFonts w:cs="Arial"/>
          <w:color w:val="000000"/>
        </w:rPr>
        <w:t>or</w:t>
      </w:r>
      <w:r w:rsidR="00360BA8" w:rsidRPr="000C71A6">
        <w:rPr>
          <w:rFonts w:cs="Arial"/>
          <w:color w:val="000000"/>
        </w:rPr>
        <w:t xml:space="preserve"> </w:t>
      </w:r>
      <w:r w:rsidR="005B6B58" w:rsidRPr="000C71A6">
        <w:rPr>
          <w:rFonts w:cs="Arial"/>
          <w:color w:val="000000"/>
        </w:rPr>
        <w:t xml:space="preserve">anti-bovine </w:t>
      </w:r>
      <w:r w:rsidR="00E32A20" w:rsidRPr="000C71A6">
        <w:rPr>
          <w:rFonts w:cs="Arial"/>
          <w:color w:val="000000"/>
        </w:rPr>
        <w:t>IgG</w:t>
      </w:r>
      <w:r w:rsidR="00E32A20" w:rsidRPr="000C71A6">
        <w:t xml:space="preserve"> </w:t>
      </w:r>
      <w:r w:rsidR="00E32A20" w:rsidRPr="000C71A6">
        <w:rPr>
          <w:rFonts w:cs="Arial"/>
          <w:color w:val="000000"/>
        </w:rPr>
        <w:t xml:space="preserve">mAb (MT391), HRP (Mabtech, Nacka Strand, Sweden) for 1 hour at room temperature. Wells were washed 3 times and the antibodies that remained bound were detected by the addition of a 3,3′,5,5′-tetramethylbenzidine (TMB) solution </w:t>
      </w:r>
      <w:r w:rsidR="0056032B">
        <w:rPr>
          <w:rFonts w:cs="Arial"/>
          <w:color w:val="000000"/>
        </w:rPr>
        <w:t xml:space="preserve">(Invitrogen, </w:t>
      </w:r>
      <w:r w:rsidR="0056032B" w:rsidRPr="0056032B">
        <w:rPr>
          <w:rFonts w:cs="Arial"/>
          <w:color w:val="000000"/>
        </w:rPr>
        <w:t>Waltham, MA</w:t>
      </w:r>
      <w:r w:rsidR="0056032B">
        <w:rPr>
          <w:rFonts w:cs="Arial"/>
          <w:color w:val="000000"/>
        </w:rPr>
        <w:t>,</w:t>
      </w:r>
      <w:r w:rsidR="0056032B" w:rsidRPr="0056032B">
        <w:rPr>
          <w:rFonts w:cs="Arial"/>
          <w:color w:val="000000"/>
        </w:rPr>
        <w:t xml:space="preserve"> USA</w:t>
      </w:r>
      <w:r w:rsidR="0056032B">
        <w:rPr>
          <w:rFonts w:cs="Arial"/>
          <w:color w:val="000000"/>
        </w:rPr>
        <w:t xml:space="preserve">) </w:t>
      </w:r>
      <w:r w:rsidR="00E32A20" w:rsidRPr="000C71A6">
        <w:rPr>
          <w:rFonts w:cs="Arial"/>
          <w:color w:val="000000"/>
        </w:rPr>
        <w:t xml:space="preserve">that turns blue </w:t>
      </w:r>
      <w:r w:rsidR="00360BA8">
        <w:rPr>
          <w:rFonts w:cs="Arial"/>
          <w:color w:val="000000"/>
        </w:rPr>
        <w:t>after being metabolized</w:t>
      </w:r>
      <w:r w:rsidR="00630843" w:rsidRPr="000C71A6">
        <w:rPr>
          <w:rFonts w:cs="Arial"/>
          <w:color w:val="000000"/>
        </w:rPr>
        <w:t xml:space="preserve"> </w:t>
      </w:r>
      <w:r w:rsidR="00360BA8">
        <w:rPr>
          <w:rFonts w:cs="Arial"/>
          <w:color w:val="000000"/>
        </w:rPr>
        <w:t>by</w:t>
      </w:r>
      <w:r w:rsidR="00360BA8" w:rsidRPr="000C71A6">
        <w:rPr>
          <w:rFonts w:cs="Arial"/>
          <w:color w:val="000000"/>
        </w:rPr>
        <w:t xml:space="preserve"> </w:t>
      </w:r>
      <w:r w:rsidR="00630843" w:rsidRPr="000C71A6">
        <w:rPr>
          <w:rFonts w:cs="Arial"/>
          <w:color w:val="000000"/>
        </w:rPr>
        <w:t xml:space="preserve">HRP; the reaction was stopped with </w:t>
      </w:r>
      <w:r w:rsidR="00360BA8" w:rsidRPr="000C71A6">
        <w:rPr>
          <w:rFonts w:cs="Arial"/>
          <w:color w:val="000000"/>
        </w:rPr>
        <w:t>1</w:t>
      </w:r>
      <w:r w:rsidR="00772490">
        <w:rPr>
          <w:rFonts w:cs="Arial"/>
          <w:color w:val="000000"/>
        </w:rPr>
        <w:t xml:space="preserve"> </w:t>
      </w:r>
      <w:r w:rsidR="00360BA8" w:rsidRPr="000C71A6">
        <w:rPr>
          <w:rFonts w:cs="Arial"/>
          <w:color w:val="000000"/>
        </w:rPr>
        <w:t xml:space="preserve">M </w:t>
      </w:r>
      <w:r w:rsidR="00630843" w:rsidRPr="000C71A6">
        <w:rPr>
          <w:rFonts w:cs="Arial"/>
          <w:color w:val="000000"/>
        </w:rPr>
        <w:t>sulphuric acid and the absorbance was measured at 450 nm and 570 nm</w:t>
      </w:r>
      <w:r w:rsidR="00360BA8">
        <w:rPr>
          <w:rFonts w:cs="Arial"/>
          <w:color w:val="000000"/>
        </w:rPr>
        <w:t xml:space="preserve"> in </w:t>
      </w:r>
      <w:r w:rsidR="00360BA8" w:rsidRPr="00361DCD">
        <w:rPr>
          <w:rFonts w:cs="Arial"/>
          <w:color w:val="000000"/>
        </w:rPr>
        <w:t>a Biot</w:t>
      </w:r>
      <w:r w:rsidR="00361DCD" w:rsidRPr="00154C70">
        <w:rPr>
          <w:rFonts w:cs="Arial"/>
          <w:color w:val="000000"/>
        </w:rPr>
        <w:t>ek microplate reader</w:t>
      </w:r>
      <w:r w:rsidR="00630843" w:rsidRPr="00361DCD">
        <w:rPr>
          <w:rFonts w:cs="Arial"/>
          <w:color w:val="000000"/>
        </w:rPr>
        <w:t>.</w:t>
      </w:r>
    </w:p>
    <w:p w14:paraId="11043B2E" w14:textId="5526B637" w:rsidR="007661DC" w:rsidRPr="000C71A6" w:rsidRDefault="00630843" w:rsidP="00F05A74">
      <w:pPr>
        <w:rPr>
          <w:rFonts w:cs="Arial"/>
          <w:color w:val="000000"/>
        </w:rPr>
      </w:pPr>
      <w:r w:rsidRPr="000C71A6">
        <w:rPr>
          <w:rFonts w:cs="Arial"/>
          <w:color w:val="000000"/>
        </w:rPr>
        <w:t xml:space="preserve">To the absorbance at 450 nm was subtracted the absorbance at 570 nm as well as the absorbance of the background wells </w:t>
      </w:r>
      <w:r w:rsidR="00360BA8">
        <w:rPr>
          <w:rFonts w:cs="Arial"/>
          <w:color w:val="000000"/>
        </w:rPr>
        <w:t xml:space="preserve">(no serum added) </w:t>
      </w:r>
      <w:r w:rsidRPr="000C71A6">
        <w:rPr>
          <w:rFonts w:cs="Arial"/>
          <w:color w:val="000000"/>
        </w:rPr>
        <w:t>include</w:t>
      </w:r>
      <w:r w:rsidR="006D78E4" w:rsidRPr="000C71A6">
        <w:rPr>
          <w:rFonts w:cs="Arial"/>
          <w:color w:val="000000"/>
        </w:rPr>
        <w:t>d in every plate. Antibody tit</w:t>
      </w:r>
      <w:r w:rsidR="00DA409B" w:rsidRPr="000C71A6">
        <w:rPr>
          <w:rFonts w:cs="Arial"/>
          <w:color w:val="000000"/>
        </w:rPr>
        <w:t xml:space="preserve">res were calculated </w:t>
      </w:r>
      <w:r w:rsidR="00E12370">
        <w:rPr>
          <w:rFonts w:cs="Arial"/>
          <w:color w:val="000000"/>
        </w:rPr>
        <w:t xml:space="preserve">as the reciprocal of the </w:t>
      </w:r>
      <w:r w:rsidR="00E12370" w:rsidRPr="000C71A6">
        <w:rPr>
          <w:rFonts w:cs="Arial"/>
          <w:color w:val="000000"/>
        </w:rPr>
        <w:t xml:space="preserve">highest dilution </w:t>
      </w:r>
      <w:r w:rsidR="00E12370">
        <w:rPr>
          <w:rFonts w:cs="Arial"/>
          <w:color w:val="000000"/>
        </w:rPr>
        <w:t>reaching the established cut-off of 0.1. For that,</w:t>
      </w:r>
      <w:r w:rsidR="00DA409B" w:rsidRPr="000C71A6">
        <w:rPr>
          <w:rFonts w:cs="Arial"/>
          <w:color w:val="000000"/>
        </w:rPr>
        <w:t xml:space="preserve"> </w:t>
      </w:r>
      <w:r w:rsidR="00E12370">
        <w:rPr>
          <w:rFonts w:cs="Arial"/>
          <w:color w:val="000000"/>
        </w:rPr>
        <w:t xml:space="preserve">a </w:t>
      </w:r>
      <w:r w:rsidR="00E12370" w:rsidRPr="000C71A6">
        <w:rPr>
          <w:rFonts w:cs="Arial"/>
          <w:color w:val="000000"/>
        </w:rPr>
        <w:t xml:space="preserve">linear regression </w:t>
      </w:r>
      <w:r w:rsidR="00E12370">
        <w:rPr>
          <w:rFonts w:cs="Arial"/>
          <w:color w:val="000000"/>
        </w:rPr>
        <w:t>curve of Log</w:t>
      </w:r>
      <w:r w:rsidR="00E12370" w:rsidRPr="00C62877">
        <w:rPr>
          <w:rFonts w:cs="Arial"/>
          <w:color w:val="000000"/>
          <w:vertAlign w:val="subscript"/>
        </w:rPr>
        <w:t>10</w:t>
      </w:r>
      <w:r w:rsidR="00E12370">
        <w:rPr>
          <w:rFonts w:cs="Arial"/>
          <w:color w:val="000000"/>
        </w:rPr>
        <w:t xml:space="preserve"> absorvance </w:t>
      </w:r>
      <w:r w:rsidR="00E12370" w:rsidRPr="00C62877">
        <w:rPr>
          <w:rFonts w:cs="Arial"/>
          <w:i/>
          <w:color w:val="000000"/>
        </w:rPr>
        <w:t>versus</w:t>
      </w:r>
      <w:r w:rsidR="00E12370">
        <w:rPr>
          <w:rFonts w:cs="Arial"/>
          <w:color w:val="000000"/>
        </w:rPr>
        <w:t xml:space="preserve"> Log</w:t>
      </w:r>
      <w:r w:rsidR="00E12370" w:rsidRPr="00C62877">
        <w:rPr>
          <w:rFonts w:cs="Arial"/>
          <w:color w:val="000000"/>
          <w:vertAlign w:val="subscript"/>
        </w:rPr>
        <w:t xml:space="preserve">10 </w:t>
      </w:r>
      <w:r w:rsidR="00E12370">
        <w:rPr>
          <w:rFonts w:cs="Arial"/>
          <w:color w:val="000000"/>
        </w:rPr>
        <w:t xml:space="preserve">dilution </w:t>
      </w:r>
      <w:r w:rsidR="00564475">
        <w:rPr>
          <w:rFonts w:cs="Arial"/>
          <w:color w:val="000000"/>
        </w:rPr>
        <w:t xml:space="preserve">factor </w:t>
      </w:r>
      <w:r w:rsidR="00E12370">
        <w:rPr>
          <w:rFonts w:cs="Arial"/>
          <w:color w:val="000000"/>
        </w:rPr>
        <w:t xml:space="preserve">was determined </w:t>
      </w:r>
      <w:r w:rsidR="003572A4">
        <w:rPr>
          <w:rFonts w:cs="Arial"/>
          <w:color w:val="000000"/>
        </w:rPr>
        <w:t>for</w:t>
      </w:r>
      <w:r w:rsidR="003572A4" w:rsidRPr="000C71A6">
        <w:rPr>
          <w:rFonts w:cs="Arial"/>
          <w:color w:val="000000"/>
        </w:rPr>
        <w:t xml:space="preserve"> </w:t>
      </w:r>
      <w:r w:rsidR="00DA409B" w:rsidRPr="000C71A6">
        <w:rPr>
          <w:rFonts w:cs="Arial"/>
          <w:color w:val="000000"/>
        </w:rPr>
        <w:t>each sample</w:t>
      </w:r>
      <w:r w:rsidR="00977D45">
        <w:rPr>
          <w:rFonts w:cs="Arial"/>
          <w:color w:val="000000"/>
        </w:rPr>
        <w:t>.</w:t>
      </w:r>
    </w:p>
    <w:p w14:paraId="48B96964" w14:textId="5A4CC124" w:rsidR="0093369F" w:rsidRPr="000C71A6" w:rsidRDefault="00E90F8F" w:rsidP="00A078BC">
      <w:pPr>
        <w:pStyle w:val="Estilo1"/>
      </w:pPr>
      <w:bookmarkStart w:id="29" w:name="_Toc115037820"/>
      <w:r>
        <w:t xml:space="preserve">2.9. </w:t>
      </w:r>
      <w:r w:rsidR="00DA409B" w:rsidRPr="000C71A6">
        <w:t>Serum c</w:t>
      </w:r>
      <w:r w:rsidR="00164F7C" w:rsidRPr="000C71A6">
        <w:t>ytokine detection</w:t>
      </w:r>
      <w:bookmarkEnd w:id="29"/>
    </w:p>
    <w:p w14:paraId="48B96966" w14:textId="790F00B6" w:rsidR="00F45638" w:rsidRPr="000C71A6" w:rsidRDefault="00DA409B" w:rsidP="00D54638">
      <w:pPr>
        <w:rPr>
          <w:rFonts w:cs="Arial"/>
          <w:color w:val="000000"/>
        </w:rPr>
      </w:pPr>
      <w:r w:rsidRPr="000C71A6">
        <w:rPr>
          <w:rFonts w:cs="Arial"/>
        </w:rPr>
        <w:t xml:space="preserve">Serum IL-2, IL-4, IL-17 and </w:t>
      </w:r>
      <w:r w:rsidR="00CA5506" w:rsidRPr="000C71A6">
        <w:rPr>
          <w:rFonts w:cs="Arial"/>
        </w:rPr>
        <w:t>IFN-γ were quantified</w:t>
      </w:r>
      <w:r w:rsidR="001823C4">
        <w:rPr>
          <w:rFonts w:cs="Arial"/>
        </w:rPr>
        <w:t xml:space="preserve"> by using</w:t>
      </w:r>
      <w:r w:rsidR="00CA5506" w:rsidRPr="000C71A6">
        <w:rPr>
          <w:rFonts w:cs="Arial"/>
        </w:rPr>
        <w:t xml:space="preserve"> </w:t>
      </w:r>
      <w:r w:rsidR="001823C4">
        <w:rPr>
          <w:rFonts w:cs="Arial"/>
        </w:rPr>
        <w:t xml:space="preserve">the corresponding </w:t>
      </w:r>
      <w:r w:rsidR="00CA5506" w:rsidRPr="000C71A6">
        <w:rPr>
          <w:rFonts w:cs="Arial"/>
        </w:rPr>
        <w:t>ELISABASIC kit</w:t>
      </w:r>
      <w:r w:rsidR="001823C4">
        <w:rPr>
          <w:rFonts w:cs="Arial"/>
        </w:rPr>
        <w:t>s</w:t>
      </w:r>
      <w:r w:rsidR="00CA5506" w:rsidRPr="000C71A6">
        <w:rPr>
          <w:rFonts w:cs="Arial"/>
        </w:rPr>
        <w:t xml:space="preserve"> (</w:t>
      </w:r>
      <w:r w:rsidR="00CA5506" w:rsidRPr="000C71A6">
        <w:rPr>
          <w:rFonts w:cs="Arial"/>
          <w:color w:val="000000"/>
        </w:rPr>
        <w:t xml:space="preserve">Mabtech) according to manufacturer’s instructions. </w:t>
      </w:r>
    </w:p>
    <w:p w14:paraId="54EB02E2" w14:textId="058D780C" w:rsidR="00D54638" w:rsidRPr="00F05A74" w:rsidRDefault="001823C4" w:rsidP="00F05A74">
      <w:pPr>
        <w:rPr>
          <w:rFonts w:cs="Arial"/>
          <w:color w:val="000000"/>
        </w:rPr>
      </w:pPr>
      <w:r w:rsidRPr="000C71A6">
        <w:rPr>
          <w:rFonts w:cs="Arial"/>
          <w:color w:val="000000"/>
        </w:rPr>
        <w:t>Briefly,</w:t>
      </w:r>
      <w:r>
        <w:rPr>
          <w:rFonts w:cs="Arial"/>
          <w:color w:val="000000"/>
        </w:rPr>
        <w:t xml:space="preserve"> </w:t>
      </w:r>
      <w:r w:rsidR="00D54638" w:rsidRPr="000C71A6">
        <w:rPr>
          <w:rFonts w:cs="Arial"/>
          <w:color w:val="000000"/>
        </w:rPr>
        <w:t xml:space="preserve">96-well </w:t>
      </w:r>
      <w:r>
        <w:rPr>
          <w:rFonts w:cs="Arial"/>
          <w:color w:val="000000"/>
        </w:rPr>
        <w:t xml:space="preserve">Maxisorp </w:t>
      </w:r>
      <w:r w:rsidR="00D54638" w:rsidRPr="000C71A6">
        <w:rPr>
          <w:rFonts w:cs="Arial"/>
          <w:color w:val="000000"/>
        </w:rPr>
        <w:t xml:space="preserve">plates were coated with capture mAb </w:t>
      </w:r>
      <w:r w:rsidR="00CA41FF">
        <w:rPr>
          <w:rFonts w:cs="Arial"/>
          <w:color w:val="000000"/>
        </w:rPr>
        <w:t xml:space="preserve">in PBS </w:t>
      </w:r>
      <w:r w:rsidR="00D54638" w:rsidRPr="000C71A6">
        <w:rPr>
          <w:rFonts w:cs="Arial"/>
          <w:color w:val="000000"/>
        </w:rPr>
        <w:t>overnight at 4</w:t>
      </w:r>
      <w:r w:rsidR="00CA41FF">
        <w:rPr>
          <w:rFonts w:cs="Arial"/>
          <w:color w:val="000000"/>
        </w:rPr>
        <w:t xml:space="preserve"> </w:t>
      </w:r>
      <w:r w:rsidR="00FE1822">
        <w:rPr>
          <w:rFonts w:cs="Arial"/>
          <w:color w:val="000000"/>
        </w:rPr>
        <w:t>ºC</w:t>
      </w:r>
      <w:r w:rsidR="00D54638" w:rsidRPr="000C71A6">
        <w:rPr>
          <w:rFonts w:cs="Arial"/>
          <w:color w:val="000000"/>
        </w:rPr>
        <w:t>. Wells were blocked with 0</w:t>
      </w:r>
      <w:r w:rsidR="007A39C8">
        <w:rPr>
          <w:rFonts w:cs="Arial"/>
          <w:color w:val="000000"/>
        </w:rPr>
        <w:t>.</w:t>
      </w:r>
      <w:r w:rsidR="00D54638" w:rsidRPr="000C71A6">
        <w:rPr>
          <w:rFonts w:cs="Arial"/>
          <w:color w:val="000000"/>
        </w:rPr>
        <w:t xml:space="preserve">1% </w:t>
      </w:r>
      <w:r w:rsidR="006F58C4">
        <w:rPr>
          <w:rFonts w:cs="Arial"/>
          <w:color w:val="000000"/>
        </w:rPr>
        <w:t xml:space="preserve">(w/v) </w:t>
      </w:r>
      <w:r w:rsidR="00D54638" w:rsidRPr="000C71A6">
        <w:rPr>
          <w:rFonts w:cs="Arial"/>
          <w:color w:val="000000"/>
        </w:rPr>
        <w:t xml:space="preserve">BSA in PBS </w:t>
      </w:r>
      <w:r w:rsidR="00142C24">
        <w:rPr>
          <w:rFonts w:cs="Arial"/>
          <w:color w:val="000000"/>
        </w:rPr>
        <w:t>containing</w:t>
      </w:r>
      <w:r w:rsidR="005067FE">
        <w:rPr>
          <w:rFonts w:cs="Arial"/>
          <w:color w:val="000000"/>
        </w:rPr>
        <w:t xml:space="preserve"> </w:t>
      </w:r>
      <w:r w:rsidR="00D54638" w:rsidRPr="000C71A6">
        <w:rPr>
          <w:rFonts w:cs="Arial"/>
          <w:color w:val="000000"/>
        </w:rPr>
        <w:t>0</w:t>
      </w:r>
      <w:r w:rsidR="007A39C8">
        <w:rPr>
          <w:rFonts w:cs="Arial"/>
          <w:color w:val="000000"/>
        </w:rPr>
        <w:t>.</w:t>
      </w:r>
      <w:r w:rsidR="00D54638" w:rsidRPr="000C71A6">
        <w:rPr>
          <w:rFonts w:cs="Arial"/>
          <w:color w:val="000000"/>
        </w:rPr>
        <w:t xml:space="preserve">05% </w:t>
      </w:r>
      <w:r w:rsidR="006F58C4">
        <w:rPr>
          <w:rFonts w:cs="Arial"/>
          <w:color w:val="000000"/>
        </w:rPr>
        <w:t xml:space="preserve">(v/v) </w:t>
      </w:r>
      <w:r w:rsidR="00D54638" w:rsidRPr="000C71A6">
        <w:rPr>
          <w:rFonts w:cs="Arial"/>
          <w:color w:val="000000"/>
        </w:rPr>
        <w:t>Tween-20 (</w:t>
      </w:r>
      <w:r w:rsidR="00574A24" w:rsidRPr="000C71A6">
        <w:rPr>
          <w:rFonts w:cs="Arial"/>
          <w:color w:val="000000"/>
        </w:rPr>
        <w:t>Incubation</w:t>
      </w:r>
      <w:r w:rsidR="00D54638" w:rsidRPr="000C71A6">
        <w:rPr>
          <w:rFonts w:cs="Arial"/>
          <w:color w:val="000000"/>
        </w:rPr>
        <w:t xml:space="preserve"> Buffer) for 1 hour at room temperature and washed 5 times with PBS </w:t>
      </w:r>
      <w:r w:rsidR="00142C24">
        <w:rPr>
          <w:rFonts w:cs="Arial"/>
          <w:color w:val="000000"/>
        </w:rPr>
        <w:t xml:space="preserve">containing </w:t>
      </w:r>
      <w:r w:rsidR="00D54638" w:rsidRPr="000C71A6">
        <w:rPr>
          <w:rFonts w:cs="Arial"/>
          <w:color w:val="000000"/>
        </w:rPr>
        <w:t>0</w:t>
      </w:r>
      <w:r w:rsidR="007A39C8">
        <w:rPr>
          <w:rFonts w:cs="Arial"/>
          <w:color w:val="000000"/>
        </w:rPr>
        <w:t>.</w:t>
      </w:r>
      <w:r w:rsidR="00D54638" w:rsidRPr="000C71A6">
        <w:rPr>
          <w:rFonts w:cs="Arial"/>
          <w:color w:val="000000"/>
        </w:rPr>
        <w:t xml:space="preserve">05% </w:t>
      </w:r>
      <w:r w:rsidR="006F58C4">
        <w:rPr>
          <w:rFonts w:cs="Arial"/>
          <w:color w:val="000000"/>
        </w:rPr>
        <w:t xml:space="preserve">(v/v) </w:t>
      </w:r>
      <w:r w:rsidR="00D54638" w:rsidRPr="000C71A6">
        <w:rPr>
          <w:rFonts w:cs="Arial"/>
          <w:color w:val="000000"/>
        </w:rPr>
        <w:t>Tween-20 (Was</w:t>
      </w:r>
      <w:r w:rsidR="00574A24" w:rsidRPr="000C71A6">
        <w:rPr>
          <w:rFonts w:cs="Arial"/>
          <w:color w:val="000000"/>
        </w:rPr>
        <w:t xml:space="preserve">hing Buffer). Samples were </w:t>
      </w:r>
      <w:r w:rsidR="006F58C4">
        <w:rPr>
          <w:rFonts w:cs="Arial"/>
          <w:color w:val="000000"/>
        </w:rPr>
        <w:t>diluted</w:t>
      </w:r>
      <w:r w:rsidR="00574A24" w:rsidRPr="000C71A6">
        <w:rPr>
          <w:rFonts w:cs="Arial"/>
          <w:color w:val="000000"/>
        </w:rPr>
        <w:t xml:space="preserve"> 1:2 and standards were serially diluted in Incubation Buffer and </w:t>
      </w:r>
      <w:r w:rsidR="00D54638" w:rsidRPr="000C71A6">
        <w:rPr>
          <w:rFonts w:cs="Arial"/>
          <w:color w:val="000000"/>
        </w:rPr>
        <w:t xml:space="preserve">incubated at </w:t>
      </w:r>
      <w:r w:rsidR="00574A24" w:rsidRPr="000C71A6">
        <w:rPr>
          <w:rFonts w:cs="Arial"/>
          <w:color w:val="000000"/>
        </w:rPr>
        <w:t>room temperature for 2</w:t>
      </w:r>
      <w:r w:rsidR="00D54638" w:rsidRPr="000C71A6">
        <w:rPr>
          <w:rFonts w:cs="Arial"/>
          <w:color w:val="000000"/>
        </w:rPr>
        <w:t xml:space="preserve"> hour</w:t>
      </w:r>
      <w:r w:rsidR="00574A24" w:rsidRPr="000C71A6">
        <w:rPr>
          <w:rFonts w:cs="Arial"/>
          <w:color w:val="000000"/>
        </w:rPr>
        <w:t>s</w:t>
      </w:r>
      <w:r w:rsidR="00D54638" w:rsidRPr="000C71A6">
        <w:rPr>
          <w:rFonts w:cs="Arial"/>
          <w:color w:val="000000"/>
        </w:rPr>
        <w:t xml:space="preserve">. Wells were washed </w:t>
      </w:r>
      <w:r w:rsidR="00574A24" w:rsidRPr="000C71A6">
        <w:rPr>
          <w:rFonts w:cs="Arial"/>
          <w:color w:val="000000"/>
        </w:rPr>
        <w:t>5</w:t>
      </w:r>
      <w:r w:rsidR="00D54638" w:rsidRPr="000C71A6">
        <w:rPr>
          <w:rFonts w:cs="Arial"/>
          <w:color w:val="000000"/>
        </w:rPr>
        <w:t xml:space="preserve"> times with Washing Buffer and incubated with </w:t>
      </w:r>
      <w:r w:rsidR="00574A24" w:rsidRPr="000C71A6">
        <w:rPr>
          <w:rFonts w:cs="Arial"/>
          <w:color w:val="000000"/>
        </w:rPr>
        <w:t xml:space="preserve">detection mAb for 1 hour at room temperature. Wells were washed 5 times with Washing Buffer and incubated with streptavidin-HRP </w:t>
      </w:r>
      <w:r w:rsidR="00D54638" w:rsidRPr="000C71A6">
        <w:rPr>
          <w:rFonts w:cs="Arial"/>
          <w:color w:val="000000"/>
        </w:rPr>
        <w:t xml:space="preserve">for 1 hour at room </w:t>
      </w:r>
      <w:r w:rsidR="00574A24" w:rsidRPr="000C71A6">
        <w:rPr>
          <w:rFonts w:cs="Arial"/>
          <w:color w:val="000000"/>
        </w:rPr>
        <w:t>temperature. Wells were washed 5</w:t>
      </w:r>
      <w:r w:rsidR="00D54638" w:rsidRPr="000C71A6">
        <w:rPr>
          <w:rFonts w:cs="Arial"/>
          <w:color w:val="000000"/>
        </w:rPr>
        <w:t xml:space="preserve"> times and the antibodies that remained bound were detected by the addition of a </w:t>
      </w:r>
      <w:r w:rsidR="00574A24" w:rsidRPr="000C71A6">
        <w:rPr>
          <w:rFonts w:cs="Arial"/>
          <w:color w:val="000000"/>
        </w:rPr>
        <w:t>TMB</w:t>
      </w:r>
      <w:r w:rsidR="00D54638" w:rsidRPr="000C71A6">
        <w:rPr>
          <w:rFonts w:cs="Arial"/>
          <w:color w:val="000000"/>
        </w:rPr>
        <w:t xml:space="preserve"> solution; the reaction w</w:t>
      </w:r>
      <w:r w:rsidR="00574A24" w:rsidRPr="000C71A6">
        <w:rPr>
          <w:rFonts w:cs="Arial"/>
          <w:color w:val="000000"/>
        </w:rPr>
        <w:t xml:space="preserve">as stopped with </w:t>
      </w:r>
      <w:r w:rsidR="00154C70">
        <w:rPr>
          <w:rFonts w:cs="Arial"/>
          <w:color w:val="000000"/>
        </w:rPr>
        <w:t>0</w:t>
      </w:r>
      <w:r w:rsidR="007A39C8">
        <w:rPr>
          <w:rFonts w:cs="Arial"/>
          <w:color w:val="000000"/>
        </w:rPr>
        <w:t>.</w:t>
      </w:r>
      <w:r w:rsidR="00154C70">
        <w:rPr>
          <w:rFonts w:cs="Arial"/>
          <w:color w:val="000000"/>
        </w:rPr>
        <w:t>2</w:t>
      </w:r>
      <w:r w:rsidR="006F58C4">
        <w:rPr>
          <w:rFonts w:cs="Arial"/>
          <w:color w:val="000000"/>
        </w:rPr>
        <w:t xml:space="preserve"> </w:t>
      </w:r>
      <w:r w:rsidR="006F58C4" w:rsidRPr="000C71A6">
        <w:rPr>
          <w:rFonts w:cs="Arial"/>
          <w:color w:val="000000"/>
        </w:rPr>
        <w:t xml:space="preserve">M </w:t>
      </w:r>
      <w:r w:rsidR="00574A24" w:rsidRPr="000C71A6">
        <w:rPr>
          <w:rFonts w:cs="Arial"/>
          <w:color w:val="000000"/>
        </w:rPr>
        <w:t xml:space="preserve">sulphuric acid </w:t>
      </w:r>
      <w:r w:rsidR="00D54638" w:rsidRPr="000C71A6">
        <w:rPr>
          <w:rFonts w:cs="Arial"/>
          <w:color w:val="000000"/>
        </w:rPr>
        <w:t>and the absorbance was measured at 450 nm and 570 nm.</w:t>
      </w:r>
      <w:r w:rsidR="00A4039C">
        <w:rPr>
          <w:rFonts w:cs="Arial"/>
          <w:color w:val="000000"/>
        </w:rPr>
        <w:t xml:space="preserve"> </w:t>
      </w:r>
      <w:r w:rsidR="00A4039C" w:rsidRPr="00C5068C">
        <w:rPr>
          <w:rFonts w:cs="Arial"/>
          <w:color w:val="000000"/>
        </w:rPr>
        <w:t xml:space="preserve">The standard curves ranged from </w:t>
      </w:r>
      <w:r w:rsidR="00A4039C" w:rsidRPr="00A4039C">
        <w:rPr>
          <w:rFonts w:cs="Arial"/>
          <w:color w:val="000000"/>
        </w:rPr>
        <w:t>6000 pg/m</w:t>
      </w:r>
      <w:r w:rsidR="00A4039C">
        <w:rPr>
          <w:rFonts w:cs="Arial"/>
          <w:color w:val="000000"/>
        </w:rPr>
        <w:t>L</w:t>
      </w:r>
      <w:r w:rsidR="00A4039C" w:rsidRPr="00A4039C">
        <w:rPr>
          <w:rFonts w:cs="Arial"/>
          <w:color w:val="000000"/>
        </w:rPr>
        <w:t xml:space="preserve"> </w:t>
      </w:r>
      <w:r w:rsidR="00A4039C">
        <w:rPr>
          <w:rFonts w:cs="Arial"/>
          <w:color w:val="000000"/>
        </w:rPr>
        <w:t>to</w:t>
      </w:r>
      <w:r w:rsidR="00A4039C" w:rsidRPr="00A4039C">
        <w:rPr>
          <w:rFonts w:cs="Arial"/>
          <w:color w:val="000000"/>
        </w:rPr>
        <w:t xml:space="preserve"> 11,72 pg/m</w:t>
      </w:r>
      <w:r w:rsidR="00A4039C">
        <w:rPr>
          <w:rFonts w:cs="Arial"/>
          <w:color w:val="000000"/>
        </w:rPr>
        <w:t>L for IL-2</w:t>
      </w:r>
      <w:r w:rsidR="00D62319">
        <w:rPr>
          <w:rFonts w:cs="Arial"/>
          <w:color w:val="000000"/>
        </w:rPr>
        <w:t>,</w:t>
      </w:r>
      <w:r w:rsidR="00A4039C" w:rsidRPr="00A4039C">
        <w:rPr>
          <w:rFonts w:cs="Arial"/>
          <w:color w:val="000000"/>
        </w:rPr>
        <w:t xml:space="preserve"> </w:t>
      </w:r>
      <w:r w:rsidR="00A4039C" w:rsidRPr="00C5068C">
        <w:rPr>
          <w:rFonts w:cs="Arial"/>
          <w:color w:val="000000"/>
        </w:rPr>
        <w:t>from</w:t>
      </w:r>
      <w:r w:rsidR="00A4039C" w:rsidRPr="00A4039C">
        <w:rPr>
          <w:rFonts w:cs="Arial"/>
          <w:color w:val="000000"/>
        </w:rPr>
        <w:t xml:space="preserve"> 10 000 pg/m</w:t>
      </w:r>
      <w:r w:rsidR="00A4039C" w:rsidRPr="00C5068C">
        <w:rPr>
          <w:rFonts w:cs="Arial"/>
          <w:color w:val="000000"/>
        </w:rPr>
        <w:t>L</w:t>
      </w:r>
      <w:r w:rsidR="00A4039C" w:rsidRPr="00A4039C">
        <w:rPr>
          <w:rFonts w:cs="Arial"/>
          <w:color w:val="000000"/>
        </w:rPr>
        <w:t xml:space="preserve"> </w:t>
      </w:r>
      <w:r w:rsidR="00A4039C">
        <w:rPr>
          <w:rFonts w:cs="Arial"/>
          <w:color w:val="000000"/>
        </w:rPr>
        <w:t>to</w:t>
      </w:r>
      <w:r w:rsidR="00A4039C" w:rsidRPr="00A4039C">
        <w:rPr>
          <w:rFonts w:cs="Arial"/>
          <w:color w:val="000000"/>
        </w:rPr>
        <w:t xml:space="preserve"> 19,53 ng/m</w:t>
      </w:r>
      <w:r w:rsidR="00A4039C">
        <w:rPr>
          <w:rFonts w:cs="Arial"/>
          <w:color w:val="000000"/>
        </w:rPr>
        <w:t>L for IL-4; from</w:t>
      </w:r>
      <w:r w:rsidR="00A4039C" w:rsidRPr="00A4039C">
        <w:rPr>
          <w:rFonts w:cs="Arial"/>
          <w:color w:val="000000"/>
        </w:rPr>
        <w:t xml:space="preserve"> 1000 pg/m</w:t>
      </w:r>
      <w:r w:rsidR="00A4039C">
        <w:rPr>
          <w:rFonts w:cs="Arial"/>
          <w:color w:val="000000"/>
        </w:rPr>
        <w:t>L</w:t>
      </w:r>
      <w:r w:rsidR="00A4039C" w:rsidRPr="00A4039C">
        <w:rPr>
          <w:rFonts w:cs="Arial"/>
          <w:color w:val="000000"/>
        </w:rPr>
        <w:t xml:space="preserve"> </w:t>
      </w:r>
      <w:r w:rsidR="00A4039C">
        <w:rPr>
          <w:rFonts w:cs="Arial"/>
          <w:color w:val="000000"/>
        </w:rPr>
        <w:t>to</w:t>
      </w:r>
      <w:r w:rsidR="00A4039C" w:rsidRPr="00A4039C">
        <w:rPr>
          <w:rFonts w:cs="Arial"/>
          <w:color w:val="000000"/>
        </w:rPr>
        <w:t xml:space="preserve"> 1,95 pg/m</w:t>
      </w:r>
      <w:r w:rsidR="00A4039C">
        <w:rPr>
          <w:rFonts w:cs="Arial"/>
          <w:color w:val="000000"/>
        </w:rPr>
        <w:t>L for IL-17A; from</w:t>
      </w:r>
      <w:r w:rsidR="00D62319">
        <w:rPr>
          <w:rFonts w:cs="Arial"/>
          <w:color w:val="000000"/>
        </w:rPr>
        <w:t xml:space="preserve"> </w:t>
      </w:r>
      <w:r w:rsidR="00A4039C" w:rsidRPr="00A4039C">
        <w:rPr>
          <w:rFonts w:cs="Arial"/>
          <w:color w:val="000000"/>
        </w:rPr>
        <w:t>1500 pg/m</w:t>
      </w:r>
      <w:r w:rsidR="00A4039C">
        <w:rPr>
          <w:rFonts w:cs="Arial"/>
          <w:color w:val="000000"/>
        </w:rPr>
        <w:t>L</w:t>
      </w:r>
      <w:r w:rsidR="00A4039C" w:rsidRPr="00A4039C">
        <w:rPr>
          <w:rFonts w:cs="Arial"/>
          <w:color w:val="000000"/>
        </w:rPr>
        <w:t xml:space="preserve"> </w:t>
      </w:r>
      <w:r w:rsidR="00A4039C">
        <w:rPr>
          <w:rFonts w:cs="Arial"/>
          <w:color w:val="000000"/>
        </w:rPr>
        <w:t>to</w:t>
      </w:r>
      <w:r w:rsidR="00A4039C" w:rsidRPr="00A4039C">
        <w:rPr>
          <w:rFonts w:cs="Arial"/>
          <w:color w:val="000000"/>
        </w:rPr>
        <w:t xml:space="preserve"> 2,93 pg/m</w:t>
      </w:r>
      <w:r w:rsidR="00A4039C">
        <w:rPr>
          <w:rFonts w:cs="Arial"/>
          <w:color w:val="000000"/>
        </w:rPr>
        <w:t>L for IFN-</w:t>
      </w:r>
      <w:r w:rsidR="00A4039C" w:rsidRPr="000C71A6">
        <w:rPr>
          <w:rFonts w:cs="Arial"/>
        </w:rPr>
        <w:t>γ</w:t>
      </w:r>
      <w:r w:rsidR="00A4039C" w:rsidRPr="00A4039C">
        <w:rPr>
          <w:rFonts w:cs="Arial"/>
          <w:color w:val="000000"/>
        </w:rPr>
        <w:t>.</w:t>
      </w:r>
      <w:r w:rsidR="00B60ADE">
        <w:rPr>
          <w:rFonts w:cs="Arial"/>
          <w:color w:val="000000"/>
        </w:rPr>
        <w:t xml:space="preserve"> </w:t>
      </w:r>
      <w:r w:rsidR="00574A24" w:rsidRPr="000C71A6">
        <w:rPr>
          <w:rFonts w:cs="Arial"/>
          <w:color w:val="000000"/>
        </w:rPr>
        <w:t>To the absorbance at 450 nm was subtracted the absorbance at 570 nm as well as the absorbance of the background wells included in every plate. A standard curve was determined by linear regression of the absorbance values of the diluted standards and it was applied to the samples to q</w:t>
      </w:r>
      <w:r w:rsidR="00F05A74">
        <w:rPr>
          <w:rFonts w:cs="Arial"/>
          <w:color w:val="000000"/>
        </w:rPr>
        <w:t>uantify cytokine concentration.</w:t>
      </w:r>
    </w:p>
    <w:p w14:paraId="48B96967" w14:textId="2F146F23" w:rsidR="00FA2256" w:rsidRPr="000C71A6" w:rsidRDefault="00E90F8F" w:rsidP="00A078BC">
      <w:pPr>
        <w:pStyle w:val="Estilo1"/>
      </w:pPr>
      <w:bookmarkStart w:id="30" w:name="_Toc115037821"/>
      <w:r>
        <w:t xml:space="preserve">2.10. </w:t>
      </w:r>
      <w:r w:rsidR="00FA2256" w:rsidRPr="000C71A6">
        <w:t>Flow cytometry analysis</w:t>
      </w:r>
      <w:bookmarkEnd w:id="30"/>
      <w:r w:rsidR="00FA2256" w:rsidRPr="000C71A6">
        <w:t xml:space="preserve"> </w:t>
      </w:r>
    </w:p>
    <w:p w14:paraId="11959190" w14:textId="04A5A85F" w:rsidR="00285035" w:rsidRPr="000C71A6" w:rsidRDefault="00045597" w:rsidP="00977929">
      <w:pPr>
        <w:rPr>
          <w:rFonts w:cs="Arial"/>
        </w:rPr>
      </w:pPr>
      <w:r>
        <w:rPr>
          <w:rFonts w:cs="Arial"/>
        </w:rPr>
        <w:t>PBMCs</w:t>
      </w:r>
      <w:r w:rsidR="005B3FFF" w:rsidRPr="000C71A6">
        <w:rPr>
          <w:rFonts w:cs="Arial"/>
        </w:rPr>
        <w:t xml:space="preserve"> </w:t>
      </w:r>
      <w:r w:rsidR="00405FD7">
        <w:rPr>
          <w:rFonts w:cs="Arial"/>
        </w:rPr>
        <w:t>from experiment 1,</w:t>
      </w:r>
      <w:r w:rsidR="006421A9">
        <w:rPr>
          <w:rFonts w:cs="Arial"/>
        </w:rPr>
        <w:t xml:space="preserve"> from before and after infection timepoints,</w:t>
      </w:r>
      <w:r w:rsidR="00405FD7">
        <w:rPr>
          <w:rFonts w:cs="Arial"/>
        </w:rPr>
        <w:t xml:space="preserve"> </w:t>
      </w:r>
      <w:r w:rsidR="005B3FFF" w:rsidRPr="000C71A6">
        <w:rPr>
          <w:rFonts w:cs="Arial"/>
        </w:rPr>
        <w:t xml:space="preserve">were </w:t>
      </w:r>
      <w:r w:rsidR="00862CA0">
        <w:rPr>
          <w:rFonts w:cs="Arial"/>
        </w:rPr>
        <w:t xml:space="preserve">thawed in warm complete RMPI </w:t>
      </w:r>
      <w:r w:rsidR="006421A9">
        <w:rPr>
          <w:rFonts w:cs="Arial"/>
        </w:rPr>
        <w:t>[</w:t>
      </w:r>
      <w:r w:rsidR="00862CA0">
        <w:rPr>
          <w:rFonts w:cs="Arial"/>
        </w:rPr>
        <w:t>RPMI 1640 (Sigma</w:t>
      </w:r>
      <w:r w:rsidR="00977929">
        <w:rPr>
          <w:rFonts w:cs="Arial"/>
        </w:rPr>
        <w:t>-Aldrich</w:t>
      </w:r>
      <w:r w:rsidR="00862CA0">
        <w:rPr>
          <w:rFonts w:cs="Arial"/>
        </w:rPr>
        <w:t xml:space="preserve">), </w:t>
      </w:r>
      <w:r w:rsidR="00862CA0" w:rsidRPr="000C71A6">
        <w:rPr>
          <w:rFonts w:cs="Arial"/>
        </w:rPr>
        <w:t xml:space="preserve">supplemented with </w:t>
      </w:r>
      <w:r w:rsidR="00862CA0">
        <w:rPr>
          <w:rFonts w:cs="Arial"/>
        </w:rPr>
        <w:t xml:space="preserve">4 mM </w:t>
      </w:r>
      <w:r w:rsidR="00862CA0" w:rsidRPr="000C71A6">
        <w:rPr>
          <w:rFonts w:cs="Arial"/>
        </w:rPr>
        <w:t>L-glutamine</w:t>
      </w:r>
      <w:r w:rsidR="00862CA0">
        <w:rPr>
          <w:rFonts w:cs="Arial"/>
        </w:rPr>
        <w:t>,</w:t>
      </w:r>
      <w:r w:rsidR="00862CA0" w:rsidRPr="000C71A6">
        <w:rPr>
          <w:rFonts w:cs="Arial"/>
        </w:rPr>
        <w:t xml:space="preserve"> 10% </w:t>
      </w:r>
      <w:r w:rsidR="00862CA0">
        <w:rPr>
          <w:rFonts w:cs="Arial"/>
        </w:rPr>
        <w:t>(v/v) FBS</w:t>
      </w:r>
      <w:r w:rsidR="00862CA0" w:rsidRPr="000C71A6">
        <w:rPr>
          <w:rFonts w:cs="Arial"/>
        </w:rPr>
        <w:t>, (200 units/m</w:t>
      </w:r>
      <w:r w:rsidR="00862CA0">
        <w:rPr>
          <w:rFonts w:cs="Arial"/>
        </w:rPr>
        <w:t>L</w:t>
      </w:r>
      <w:r w:rsidR="00862CA0" w:rsidRPr="000C71A6">
        <w:rPr>
          <w:rFonts w:cs="Arial"/>
        </w:rPr>
        <w:t xml:space="preserve">) penicillin and (200 </w:t>
      </w:r>
      <w:r w:rsidR="00862CA0">
        <w:rPr>
          <w:rFonts w:cs="Arial"/>
        </w:rPr>
        <w:t>μL</w:t>
      </w:r>
      <w:r w:rsidR="00862CA0" w:rsidRPr="000C71A6">
        <w:rPr>
          <w:rFonts w:cs="Arial"/>
        </w:rPr>
        <w:t>/m</w:t>
      </w:r>
      <w:r w:rsidR="007A39C8">
        <w:rPr>
          <w:rFonts w:cs="Arial"/>
        </w:rPr>
        <w:t>L</w:t>
      </w:r>
      <w:r w:rsidR="00862CA0" w:rsidRPr="000C71A6">
        <w:rPr>
          <w:rFonts w:cs="Arial"/>
        </w:rPr>
        <w:t>)</w:t>
      </w:r>
      <w:r w:rsidR="00862CA0" w:rsidRPr="00C16979">
        <w:rPr>
          <w:rFonts w:cs="Arial"/>
        </w:rPr>
        <w:t xml:space="preserve"> </w:t>
      </w:r>
      <w:r w:rsidR="00862CA0" w:rsidRPr="000C71A6">
        <w:rPr>
          <w:rFonts w:cs="Arial"/>
        </w:rPr>
        <w:t>streptomycin</w:t>
      </w:r>
      <w:r w:rsidR="00862CA0">
        <w:rPr>
          <w:rFonts w:cs="Arial"/>
        </w:rPr>
        <w:t xml:space="preserve">, and 50 ng/mL </w:t>
      </w:r>
      <w:r w:rsidR="00862CA0">
        <w:rPr>
          <w:rFonts w:ascii="Times New Roman" w:hAnsi="Times New Roman" w:cs="Times New Roman"/>
        </w:rPr>
        <w:t>β</w:t>
      </w:r>
      <w:r w:rsidR="00862CA0">
        <w:rPr>
          <w:rFonts w:cs="Arial"/>
        </w:rPr>
        <w:t>-mercaptoethanol</w:t>
      </w:r>
      <w:r w:rsidR="006421A9">
        <w:rPr>
          <w:rFonts w:cs="Arial"/>
        </w:rPr>
        <w:t>]</w:t>
      </w:r>
      <w:r w:rsidR="00157DCD">
        <w:rPr>
          <w:rFonts w:cs="Arial"/>
        </w:rPr>
        <w:t xml:space="preserve">, centrifuged at 300 </w:t>
      </w:r>
      <w:r w:rsidR="00157DCD" w:rsidRPr="00962EF4">
        <w:rPr>
          <w:rFonts w:cs="Arial"/>
          <w:i/>
          <w:iCs/>
        </w:rPr>
        <w:t>g</w:t>
      </w:r>
      <w:r w:rsidR="00157DCD">
        <w:rPr>
          <w:rFonts w:cs="Arial"/>
        </w:rPr>
        <w:t xml:space="preserve"> for 10 min at 4 ºC </w:t>
      </w:r>
      <w:r w:rsidR="005E1BF7">
        <w:rPr>
          <w:rFonts w:cs="Arial"/>
        </w:rPr>
        <w:t xml:space="preserve">and </w:t>
      </w:r>
      <w:r w:rsidR="00157DCD">
        <w:rPr>
          <w:rFonts w:cs="Arial"/>
        </w:rPr>
        <w:t xml:space="preserve">suspended in warm complete RPMI. Cells were </w:t>
      </w:r>
      <w:r w:rsidR="005E1BF7">
        <w:rPr>
          <w:rFonts w:cs="Arial"/>
        </w:rPr>
        <w:t xml:space="preserve">cultured overnight </w:t>
      </w:r>
      <w:r w:rsidR="00157DCD">
        <w:rPr>
          <w:rFonts w:cs="Arial"/>
        </w:rPr>
        <w:t xml:space="preserve">in 24-well culture plates (Nunc) </w:t>
      </w:r>
      <w:r w:rsidR="005E1BF7">
        <w:rPr>
          <w:rFonts w:cs="Arial"/>
        </w:rPr>
        <w:t xml:space="preserve">at </w:t>
      </w:r>
      <w:r w:rsidR="00157DCD">
        <w:rPr>
          <w:rFonts w:cs="Arial"/>
        </w:rPr>
        <w:t>37 ºC and 5% CO</w:t>
      </w:r>
      <w:r w:rsidR="00157DCD" w:rsidRPr="00154C70">
        <w:rPr>
          <w:rFonts w:cs="Arial"/>
          <w:vertAlign w:val="subscript"/>
        </w:rPr>
        <w:t>2</w:t>
      </w:r>
      <w:r w:rsidR="00157DCD">
        <w:rPr>
          <w:rFonts w:cs="Arial"/>
        </w:rPr>
        <w:t xml:space="preserve"> and then recovered and centrifuged as before to pellet the cells. Cells were suspended in warm PBS and counted in a haemocytometer. Cells were </w:t>
      </w:r>
      <w:r w:rsidR="005B3FFF" w:rsidRPr="000C71A6">
        <w:rPr>
          <w:rFonts w:cs="Arial"/>
        </w:rPr>
        <w:t>stained with CellTrace</w:t>
      </w:r>
      <w:r w:rsidR="00394D28">
        <w:rPr>
          <w:rFonts w:cs="Arial"/>
        </w:rPr>
        <w:t>™</w:t>
      </w:r>
      <w:r w:rsidR="005B3FFF" w:rsidRPr="000C71A6">
        <w:rPr>
          <w:rFonts w:cs="Arial"/>
        </w:rPr>
        <w:t xml:space="preserve"> Violet</w:t>
      </w:r>
      <w:r w:rsidR="00157DCD">
        <w:rPr>
          <w:rFonts w:cs="Arial"/>
        </w:rPr>
        <w:t xml:space="preserve"> (</w:t>
      </w:r>
      <w:r w:rsidR="00394D28">
        <w:rPr>
          <w:rFonts w:cs="Arial"/>
        </w:rPr>
        <w:t>Invitrogen</w:t>
      </w:r>
      <w:r w:rsidR="00157DCD">
        <w:rPr>
          <w:rFonts w:cs="Arial"/>
        </w:rPr>
        <w:t>), following the manufacturer’s instructions</w:t>
      </w:r>
      <w:r w:rsidR="0044005D">
        <w:rPr>
          <w:rFonts w:cs="Arial"/>
        </w:rPr>
        <w:t>,</w:t>
      </w:r>
      <w:r w:rsidR="005B3FFF" w:rsidRPr="000C71A6">
        <w:rPr>
          <w:rFonts w:cs="Arial"/>
        </w:rPr>
        <w:t xml:space="preserve"> for determination of cell proliferation. </w:t>
      </w:r>
      <w:r w:rsidR="0044005D">
        <w:rPr>
          <w:rFonts w:cs="Arial"/>
        </w:rPr>
        <w:t>1 × 10</w:t>
      </w:r>
      <w:r w:rsidR="0044005D" w:rsidRPr="00154C70">
        <w:rPr>
          <w:rFonts w:cs="Arial"/>
          <w:vertAlign w:val="superscript"/>
        </w:rPr>
        <w:t>5</w:t>
      </w:r>
      <w:r w:rsidR="0044005D">
        <w:rPr>
          <w:rFonts w:cs="Arial"/>
        </w:rPr>
        <w:t xml:space="preserve"> PBMCs were </w:t>
      </w:r>
      <w:r w:rsidR="0044005D" w:rsidRPr="000C71A6">
        <w:rPr>
          <w:rFonts w:cs="Arial"/>
        </w:rPr>
        <w:t>cultured in 96-</w:t>
      </w:r>
      <w:r w:rsidR="00962EF4">
        <w:rPr>
          <w:rFonts w:cs="Arial"/>
        </w:rPr>
        <w:t xml:space="preserve">round </w:t>
      </w:r>
      <w:r w:rsidR="0044005D" w:rsidRPr="000C71A6">
        <w:rPr>
          <w:rFonts w:cs="Arial"/>
        </w:rPr>
        <w:t xml:space="preserve">well </w:t>
      </w:r>
      <w:r w:rsidR="00E23688">
        <w:rPr>
          <w:rFonts w:cs="Arial"/>
        </w:rPr>
        <w:t xml:space="preserve">cell culture </w:t>
      </w:r>
      <w:r w:rsidR="0044005D" w:rsidRPr="000C71A6">
        <w:rPr>
          <w:rFonts w:cs="Arial"/>
        </w:rPr>
        <w:t xml:space="preserve">microplates </w:t>
      </w:r>
      <w:r w:rsidR="00E23688">
        <w:rPr>
          <w:rFonts w:cs="Arial"/>
        </w:rPr>
        <w:t xml:space="preserve">(Nunc) </w:t>
      </w:r>
      <w:r w:rsidR="0044005D" w:rsidRPr="000C71A6">
        <w:rPr>
          <w:rFonts w:cs="Arial"/>
        </w:rPr>
        <w:t xml:space="preserve">and </w:t>
      </w:r>
      <w:r w:rsidR="0044005D">
        <w:rPr>
          <w:rFonts w:cs="Arial"/>
        </w:rPr>
        <w:t>left unstimulated (negative control) or stimulated with 10 µg/mL NcMP or freeze-killed NcT</w:t>
      </w:r>
      <w:r w:rsidR="00E23688">
        <w:rPr>
          <w:rFonts w:cs="Arial"/>
        </w:rPr>
        <w:t xml:space="preserve"> (4 NcT: 1 PBMC)</w:t>
      </w:r>
      <w:r w:rsidR="00043E17">
        <w:rPr>
          <w:rFonts w:cs="Arial"/>
        </w:rPr>
        <w:t xml:space="preserve"> for 5 days at 37</w:t>
      </w:r>
      <w:r w:rsidR="00043E17" w:rsidRPr="00043E17">
        <w:rPr>
          <w:rFonts w:cs="Arial"/>
        </w:rPr>
        <w:t xml:space="preserve"> </w:t>
      </w:r>
      <w:r w:rsidR="00043E17">
        <w:rPr>
          <w:rFonts w:cs="Arial"/>
        </w:rPr>
        <w:t>ºC and 5% CO</w:t>
      </w:r>
      <w:r w:rsidR="00043E17" w:rsidRPr="00154C70">
        <w:rPr>
          <w:rFonts w:cs="Arial"/>
          <w:vertAlign w:val="subscript"/>
        </w:rPr>
        <w:t>2</w:t>
      </w:r>
      <w:r w:rsidR="0044005D">
        <w:rPr>
          <w:rFonts w:cs="Arial"/>
        </w:rPr>
        <w:t xml:space="preserve">. </w:t>
      </w:r>
      <w:r w:rsidR="00E544A3" w:rsidRPr="000C71A6">
        <w:rPr>
          <w:rFonts w:cs="Arial"/>
        </w:rPr>
        <w:t>Microplates were</w:t>
      </w:r>
      <w:r w:rsidR="005B3FFF" w:rsidRPr="000C71A6">
        <w:rPr>
          <w:rFonts w:cs="Arial"/>
        </w:rPr>
        <w:t xml:space="preserve"> centrifuged and the supernatants were collected </w:t>
      </w:r>
      <w:r w:rsidR="00F05AC2">
        <w:rPr>
          <w:rFonts w:cs="Arial"/>
        </w:rPr>
        <w:t>and stored at -80 ºC</w:t>
      </w:r>
      <w:r w:rsidR="00F05AC2" w:rsidRPr="000C71A6">
        <w:rPr>
          <w:rFonts w:cs="Arial"/>
        </w:rPr>
        <w:t xml:space="preserve"> </w:t>
      </w:r>
      <w:r w:rsidR="005B3FFF" w:rsidRPr="000C71A6">
        <w:rPr>
          <w:rFonts w:cs="Arial"/>
        </w:rPr>
        <w:t xml:space="preserve">for further cytokine detection </w:t>
      </w:r>
      <w:r w:rsidR="00F05AC2">
        <w:rPr>
          <w:rFonts w:cs="Arial"/>
        </w:rPr>
        <w:t>by</w:t>
      </w:r>
      <w:r w:rsidR="00F05AC2" w:rsidRPr="000C71A6">
        <w:rPr>
          <w:rFonts w:cs="Arial"/>
        </w:rPr>
        <w:t xml:space="preserve"> </w:t>
      </w:r>
      <w:r w:rsidR="005B3FFF" w:rsidRPr="000C71A6">
        <w:rPr>
          <w:rFonts w:cs="Arial"/>
        </w:rPr>
        <w:t xml:space="preserve">ELISA. </w:t>
      </w:r>
      <w:r w:rsidR="00962EF4">
        <w:rPr>
          <w:rFonts w:cs="Arial"/>
        </w:rPr>
        <w:t>Cells were stained with a m</w:t>
      </w:r>
      <w:r w:rsidR="00962EF4" w:rsidRPr="000C71A6">
        <w:rPr>
          <w:rFonts w:cs="Arial"/>
        </w:rPr>
        <w:t>ix containing surface</w:t>
      </w:r>
      <w:r w:rsidR="00962EF4">
        <w:rPr>
          <w:rFonts w:cs="Arial"/>
        </w:rPr>
        <w:t xml:space="preserve"> antigen</w:t>
      </w:r>
      <w:r w:rsidR="00962EF4" w:rsidRPr="000C71A6">
        <w:rPr>
          <w:rFonts w:cs="Arial"/>
        </w:rPr>
        <w:t>-specific antibodies (Annex B</w:t>
      </w:r>
      <w:r w:rsidR="00962EF4">
        <w:rPr>
          <w:rFonts w:cs="Arial"/>
        </w:rPr>
        <w:t>, Table B</w:t>
      </w:r>
      <w:r w:rsidR="00962EF4" w:rsidRPr="000C71A6">
        <w:rPr>
          <w:rFonts w:cs="Arial"/>
        </w:rPr>
        <w:t>)</w:t>
      </w:r>
      <w:r w:rsidR="00962EF4">
        <w:rPr>
          <w:rFonts w:cs="Arial"/>
        </w:rPr>
        <w:t xml:space="preserve"> and </w:t>
      </w:r>
      <w:r w:rsidR="00F05AC2">
        <w:rPr>
          <w:rFonts w:cs="Arial"/>
        </w:rPr>
        <w:t xml:space="preserve">eFluor 780 </w:t>
      </w:r>
      <w:r w:rsidR="005B3FFF" w:rsidRPr="000C71A6">
        <w:rPr>
          <w:rFonts w:cs="Arial"/>
        </w:rPr>
        <w:t>Fixable Viable Dye (FVD</w:t>
      </w:r>
      <w:r w:rsidR="00F05AC2">
        <w:rPr>
          <w:rFonts w:cs="Arial"/>
        </w:rPr>
        <w:t>, Invitrogen</w:t>
      </w:r>
      <w:r w:rsidR="005B3FFF" w:rsidRPr="000C71A6">
        <w:rPr>
          <w:rFonts w:cs="Arial"/>
        </w:rPr>
        <w:t>)</w:t>
      </w:r>
      <w:r w:rsidR="00962EF4">
        <w:rPr>
          <w:rFonts w:cs="Arial"/>
        </w:rPr>
        <w:t>,</w:t>
      </w:r>
      <w:r w:rsidR="00E544A3" w:rsidRPr="000C71A6">
        <w:rPr>
          <w:rFonts w:cs="Arial"/>
        </w:rPr>
        <w:t xml:space="preserve"> </w:t>
      </w:r>
      <w:r w:rsidR="003323CB" w:rsidRPr="000C71A6">
        <w:rPr>
          <w:rFonts w:cs="Arial"/>
        </w:rPr>
        <w:t>added</w:t>
      </w:r>
      <w:r w:rsidR="002860D9">
        <w:rPr>
          <w:rFonts w:cs="Arial"/>
        </w:rPr>
        <w:t xml:space="preserve"> at 1:500</w:t>
      </w:r>
      <w:r w:rsidR="00962EF4">
        <w:rPr>
          <w:rFonts w:cs="Arial"/>
        </w:rPr>
        <w:t>, for 30 min at 4 ºC</w:t>
      </w:r>
      <w:r w:rsidR="003323CB" w:rsidRPr="000C71A6">
        <w:rPr>
          <w:rFonts w:cs="Arial"/>
        </w:rPr>
        <w:t xml:space="preserve">. </w:t>
      </w:r>
      <w:r w:rsidR="00D63AF3">
        <w:rPr>
          <w:rFonts w:cs="Arial"/>
        </w:rPr>
        <w:t xml:space="preserve">Cells were washed and resuspended in </w:t>
      </w:r>
      <w:r w:rsidR="00D63AF3" w:rsidRPr="000C71A6">
        <w:t xml:space="preserve">Flow Cytometry buffer </w:t>
      </w:r>
      <w:r w:rsidR="00D63AF3">
        <w:t>[</w:t>
      </w:r>
      <w:r w:rsidR="00D63AF3" w:rsidRPr="000C71A6">
        <w:t>FACS</w:t>
      </w:r>
      <w:r w:rsidR="00D63AF3">
        <w:t xml:space="preserve"> buffer - PBS with 1% (v/v) FBS, 2 mM EDTA, 1 mM sodium azide</w:t>
      </w:r>
      <w:r w:rsidR="000C37EA">
        <w:t>].</w:t>
      </w:r>
    </w:p>
    <w:p w14:paraId="4FE91FAE" w14:textId="75A5B82C" w:rsidR="00E544A3" w:rsidRPr="00977929" w:rsidRDefault="003323CB" w:rsidP="00977929">
      <w:pPr>
        <w:rPr>
          <w:rFonts w:cs="Arial"/>
        </w:rPr>
      </w:pPr>
      <w:r w:rsidRPr="000C71A6">
        <w:rPr>
          <w:rFonts w:cs="Arial"/>
        </w:rPr>
        <w:t>For cytokine intracellular staining,</w:t>
      </w:r>
      <w:r w:rsidR="004636BC">
        <w:rPr>
          <w:rFonts w:cs="Arial"/>
        </w:rPr>
        <w:t xml:space="preserve"> PBMCs of the </w:t>
      </w:r>
      <w:r w:rsidR="00977929">
        <w:rPr>
          <w:rFonts w:cs="Arial"/>
        </w:rPr>
        <w:t>post</w:t>
      </w:r>
      <w:r w:rsidR="00D12AE7">
        <w:rPr>
          <w:rFonts w:cs="Arial"/>
        </w:rPr>
        <w:t>-infection</w:t>
      </w:r>
      <w:r w:rsidR="004636BC">
        <w:rPr>
          <w:rFonts w:cs="Arial"/>
        </w:rPr>
        <w:t xml:space="preserve"> time point,</w:t>
      </w:r>
      <w:r w:rsidRPr="000C71A6">
        <w:rPr>
          <w:rFonts w:cs="Arial"/>
        </w:rPr>
        <w:t xml:space="preserve"> </w:t>
      </w:r>
      <w:r w:rsidR="0072554C" w:rsidRPr="000C71A6">
        <w:rPr>
          <w:rFonts w:cs="Arial"/>
        </w:rPr>
        <w:t>stained with CellTrace</w:t>
      </w:r>
      <w:r w:rsidR="0072554C">
        <w:rPr>
          <w:rFonts w:cs="Arial"/>
        </w:rPr>
        <w:t>™</w:t>
      </w:r>
      <w:r w:rsidR="0072554C" w:rsidRPr="000C71A6">
        <w:rPr>
          <w:rFonts w:cs="Arial"/>
        </w:rPr>
        <w:t xml:space="preserve"> Violet</w:t>
      </w:r>
      <w:r w:rsidR="0072554C" w:rsidRPr="000C71A6" w:rsidDel="0072554C">
        <w:rPr>
          <w:rFonts w:cs="Arial"/>
        </w:rPr>
        <w:t xml:space="preserve"> </w:t>
      </w:r>
      <w:r w:rsidR="0072554C">
        <w:rPr>
          <w:rFonts w:cs="Arial"/>
        </w:rPr>
        <w:t xml:space="preserve">and </w:t>
      </w:r>
      <w:r w:rsidRPr="000C71A6">
        <w:rPr>
          <w:rFonts w:cs="Arial"/>
        </w:rPr>
        <w:t xml:space="preserve">cultured in 96-well microplates </w:t>
      </w:r>
      <w:r w:rsidR="0072554C">
        <w:rPr>
          <w:rFonts w:cs="Arial"/>
        </w:rPr>
        <w:t>as before</w:t>
      </w:r>
      <w:r w:rsidR="004636BC">
        <w:rPr>
          <w:rFonts w:cs="Arial"/>
        </w:rPr>
        <w:t>,</w:t>
      </w:r>
      <w:r w:rsidR="0072554C">
        <w:rPr>
          <w:rFonts w:cs="Arial"/>
        </w:rPr>
        <w:t xml:space="preserve"> were treated with 0</w:t>
      </w:r>
      <w:r w:rsidR="007A39C8">
        <w:rPr>
          <w:rFonts w:cs="Arial"/>
        </w:rPr>
        <w:t>.</w:t>
      </w:r>
      <w:r w:rsidR="0072554C">
        <w:rPr>
          <w:rFonts w:cs="Arial"/>
        </w:rPr>
        <w:t>1 µg/mL Brefeldin A (Invitrogen) for the last 5 hours</w:t>
      </w:r>
      <w:r w:rsidRPr="000C71A6">
        <w:rPr>
          <w:rFonts w:cs="Arial"/>
        </w:rPr>
        <w:t xml:space="preserve">. For cell population </w:t>
      </w:r>
      <w:r w:rsidR="0072554C">
        <w:rPr>
          <w:rFonts w:cs="Arial"/>
        </w:rPr>
        <w:t xml:space="preserve">lineage </w:t>
      </w:r>
      <w:r w:rsidRPr="000C71A6">
        <w:rPr>
          <w:rFonts w:cs="Arial"/>
        </w:rPr>
        <w:t xml:space="preserve">and cytokine differentiation, </w:t>
      </w:r>
      <w:r w:rsidR="0072554C">
        <w:rPr>
          <w:rFonts w:cs="Arial"/>
        </w:rPr>
        <w:t>antibody</w:t>
      </w:r>
      <w:r w:rsidR="0072554C" w:rsidRPr="000C71A6">
        <w:rPr>
          <w:rFonts w:cs="Arial"/>
        </w:rPr>
        <w:t xml:space="preserve"> </w:t>
      </w:r>
      <w:r w:rsidR="0072554C">
        <w:rPr>
          <w:rFonts w:cs="Arial"/>
        </w:rPr>
        <w:t>m</w:t>
      </w:r>
      <w:r w:rsidRPr="000C71A6">
        <w:rPr>
          <w:rFonts w:cs="Arial"/>
        </w:rPr>
        <w:t>ix</w:t>
      </w:r>
      <w:r w:rsidR="0072554C">
        <w:rPr>
          <w:rFonts w:cs="Arial"/>
        </w:rPr>
        <w:t>es</w:t>
      </w:r>
      <w:r w:rsidRPr="000C71A6">
        <w:rPr>
          <w:rFonts w:cs="Arial"/>
        </w:rPr>
        <w:t xml:space="preserve"> </w:t>
      </w:r>
      <w:r w:rsidR="0072554C" w:rsidRPr="000C71A6">
        <w:rPr>
          <w:rFonts w:cs="Arial"/>
        </w:rPr>
        <w:t>w</w:t>
      </w:r>
      <w:r w:rsidR="0072554C">
        <w:rPr>
          <w:rFonts w:cs="Arial"/>
        </w:rPr>
        <w:t>ere</w:t>
      </w:r>
      <w:r w:rsidR="0072554C" w:rsidRPr="000C71A6">
        <w:rPr>
          <w:rFonts w:cs="Arial"/>
        </w:rPr>
        <w:t xml:space="preserve"> </w:t>
      </w:r>
      <w:r w:rsidRPr="000C71A6">
        <w:rPr>
          <w:rFonts w:cs="Arial"/>
        </w:rPr>
        <w:t xml:space="preserve">prepared containing surface </w:t>
      </w:r>
      <w:r w:rsidR="0072554C">
        <w:rPr>
          <w:rFonts w:cs="Arial"/>
        </w:rPr>
        <w:t xml:space="preserve">antigen </w:t>
      </w:r>
      <w:r w:rsidRPr="000C71A6">
        <w:rPr>
          <w:rFonts w:cs="Arial"/>
        </w:rPr>
        <w:t>and intracellu</w:t>
      </w:r>
      <w:r w:rsidR="002C338D" w:rsidRPr="000C71A6">
        <w:rPr>
          <w:rFonts w:cs="Arial"/>
        </w:rPr>
        <w:t>lar-specific antibodies (Annex B</w:t>
      </w:r>
      <w:r w:rsidR="009A68DC">
        <w:rPr>
          <w:rFonts w:cs="Arial"/>
        </w:rPr>
        <w:t>, Table B</w:t>
      </w:r>
      <w:r w:rsidRPr="000C71A6">
        <w:rPr>
          <w:rFonts w:cs="Arial"/>
        </w:rPr>
        <w:t xml:space="preserve">). </w:t>
      </w:r>
      <w:r w:rsidR="00E643ED">
        <w:t>Cells</w:t>
      </w:r>
      <w:r w:rsidR="0016567D" w:rsidRPr="000C71A6">
        <w:t xml:space="preserve"> were incubated </w:t>
      </w:r>
      <w:r w:rsidR="00977929">
        <w:t xml:space="preserve">with </w:t>
      </w:r>
      <w:r w:rsidR="00E643ED">
        <w:rPr>
          <w:rFonts w:cs="Arial"/>
        </w:rPr>
        <w:t>eFluor 506 FVD</w:t>
      </w:r>
      <w:r w:rsidR="00E643ED" w:rsidRPr="000C71A6">
        <w:rPr>
          <w:rFonts w:cs="Arial"/>
        </w:rPr>
        <w:t xml:space="preserve"> (</w:t>
      </w:r>
      <w:r w:rsidR="00E643ED">
        <w:rPr>
          <w:rFonts w:cs="Arial"/>
        </w:rPr>
        <w:t>Invitrogen</w:t>
      </w:r>
      <w:r w:rsidR="00E643ED" w:rsidRPr="000C71A6">
        <w:rPr>
          <w:rFonts w:cs="Arial"/>
        </w:rPr>
        <w:t xml:space="preserve">) </w:t>
      </w:r>
      <w:r w:rsidR="00E643ED">
        <w:rPr>
          <w:rFonts w:cs="Arial"/>
        </w:rPr>
        <w:t xml:space="preserve">at 1:500 </w:t>
      </w:r>
      <w:r w:rsidR="00E643ED">
        <w:t xml:space="preserve">together with the </w:t>
      </w:r>
      <w:r w:rsidR="00977929">
        <w:t xml:space="preserve">surface-staining antibody mix </w:t>
      </w:r>
      <w:r w:rsidR="0016567D" w:rsidRPr="000C71A6">
        <w:t>for 30 min at 4</w:t>
      </w:r>
      <w:r w:rsidR="00856A7A">
        <w:t xml:space="preserve"> </w:t>
      </w:r>
      <w:r w:rsidR="00FE1822">
        <w:t>ºC</w:t>
      </w:r>
      <w:r w:rsidR="0016567D" w:rsidRPr="000C71A6">
        <w:t xml:space="preserve">, in the dark. </w:t>
      </w:r>
      <w:r w:rsidR="00E643ED">
        <w:t xml:space="preserve">Cells were washed with </w:t>
      </w:r>
      <w:r w:rsidR="00856A7A" w:rsidRPr="000C71A6">
        <w:t>FACS</w:t>
      </w:r>
      <w:r w:rsidR="00856A7A">
        <w:t xml:space="preserve"> buffer </w:t>
      </w:r>
      <w:r w:rsidR="00E643ED">
        <w:t>and then</w:t>
      </w:r>
      <w:r w:rsidR="0016567D" w:rsidRPr="000C71A6">
        <w:t xml:space="preserve"> incubated with 2% </w:t>
      </w:r>
      <w:r w:rsidR="00F108D4">
        <w:t xml:space="preserve">(v/v) </w:t>
      </w:r>
      <w:r w:rsidR="0016567D" w:rsidRPr="000C71A6">
        <w:t xml:space="preserve">formaldehyde for 25 min at room temperature, in the dark. After centrifugation, supernatants were discarded. Cells were incubated with </w:t>
      </w:r>
      <w:r w:rsidR="0067473E" w:rsidRPr="000C71A6">
        <w:t>P</w:t>
      </w:r>
      <w:r w:rsidR="0016567D" w:rsidRPr="000C71A6">
        <w:t xml:space="preserve">ermeabilization </w:t>
      </w:r>
      <w:r w:rsidR="0067473E" w:rsidRPr="000C71A6">
        <w:t>B</w:t>
      </w:r>
      <w:r w:rsidR="0016567D" w:rsidRPr="000C71A6">
        <w:t xml:space="preserve">uffer </w:t>
      </w:r>
      <w:r w:rsidR="00DC4A9E">
        <w:t>[</w:t>
      </w:r>
      <w:r w:rsidR="0016567D" w:rsidRPr="000C71A6">
        <w:t>PB</w:t>
      </w:r>
      <w:r w:rsidR="0067473E" w:rsidRPr="000C71A6">
        <w:t xml:space="preserve">, </w:t>
      </w:r>
      <w:r w:rsidR="00E643ED">
        <w:t>composed of</w:t>
      </w:r>
      <w:r w:rsidR="0067473E" w:rsidRPr="000C71A6">
        <w:t xml:space="preserve"> </w:t>
      </w:r>
      <w:r w:rsidR="00E643ED" w:rsidRPr="000C71A6">
        <w:t>0</w:t>
      </w:r>
      <w:r w:rsidR="00E643ED">
        <w:t>.</w:t>
      </w:r>
      <w:r w:rsidR="00E643ED" w:rsidRPr="000C71A6">
        <w:t xml:space="preserve">5% </w:t>
      </w:r>
      <w:r w:rsidR="00E643ED">
        <w:t xml:space="preserve">(w/v) </w:t>
      </w:r>
      <w:r w:rsidR="00E643ED" w:rsidRPr="000C71A6">
        <w:t xml:space="preserve">saponin </w:t>
      </w:r>
      <w:r w:rsidR="00E643ED">
        <w:t xml:space="preserve">in </w:t>
      </w:r>
      <w:r w:rsidR="0067473E" w:rsidRPr="000C71A6">
        <w:t>FACS buffer</w:t>
      </w:r>
      <w:r w:rsidR="00DC4A9E">
        <w:t>]</w:t>
      </w:r>
      <w:r w:rsidR="0067473E" w:rsidRPr="000C71A6">
        <w:t xml:space="preserve"> for 10 min at room temperature, in the dark. After centrifugation, supernatants were discarded. The pellet was resuspended in PB with 2% </w:t>
      </w:r>
      <w:r w:rsidR="00F108D4">
        <w:t xml:space="preserve">(v/v) </w:t>
      </w:r>
      <w:r w:rsidR="0067473E" w:rsidRPr="000C71A6">
        <w:t xml:space="preserve">mouse serum and incubated for 10 min at room temperature. </w:t>
      </w:r>
      <w:r w:rsidR="00975D5B">
        <w:t>Cells</w:t>
      </w:r>
      <w:r w:rsidR="00975D5B" w:rsidRPr="000C71A6">
        <w:t xml:space="preserve"> </w:t>
      </w:r>
      <w:r w:rsidR="0067473E" w:rsidRPr="000C71A6">
        <w:t xml:space="preserve">were incubated with </w:t>
      </w:r>
      <w:r w:rsidR="00E643ED">
        <w:t xml:space="preserve">the cytokine </w:t>
      </w:r>
      <w:r w:rsidR="0067473E" w:rsidRPr="000C71A6">
        <w:t xml:space="preserve">antibody Mix for 30 min at room temperature, in the dark. </w:t>
      </w:r>
      <w:r w:rsidR="00E643ED">
        <w:t>Cells</w:t>
      </w:r>
      <w:r w:rsidR="0067473E" w:rsidRPr="000C71A6">
        <w:t xml:space="preserve"> w</w:t>
      </w:r>
      <w:r w:rsidR="00E643ED">
        <w:t>ere</w:t>
      </w:r>
      <w:r w:rsidR="0067473E" w:rsidRPr="000C71A6">
        <w:t xml:space="preserve"> washed with PB and resuspended in FACS buffer.</w:t>
      </w:r>
      <w:r w:rsidR="00D63AF3" w:rsidRPr="00D63AF3">
        <w:t xml:space="preserve"> </w:t>
      </w:r>
      <w:r w:rsidR="00D63AF3" w:rsidRPr="000C71A6">
        <w:t>FMOs were prepared</w:t>
      </w:r>
      <w:r w:rsidR="00E643ED" w:rsidRPr="00E643ED">
        <w:t xml:space="preserve"> </w:t>
      </w:r>
      <w:r w:rsidR="00E643ED">
        <w:t>and used</w:t>
      </w:r>
      <w:r w:rsidR="00E643ED" w:rsidRPr="000C71A6">
        <w:t xml:space="preserve"> for gating selection</w:t>
      </w:r>
      <w:r w:rsidR="00D63AF3">
        <w:t>. UltraComp Beads (Invitrogen) were used to prepare most single stainings.</w:t>
      </w:r>
    </w:p>
    <w:p w14:paraId="60293543" w14:textId="2B0DA801" w:rsidR="00D55E51" w:rsidRPr="00F05A74" w:rsidRDefault="0067473E" w:rsidP="00F05A74">
      <w:r w:rsidRPr="000C71A6">
        <w:t xml:space="preserve">Flow cytometry </w:t>
      </w:r>
      <w:r w:rsidR="002C338D" w:rsidRPr="000C71A6">
        <w:t>analysis</w:t>
      </w:r>
      <w:r w:rsidRPr="000C71A6">
        <w:t xml:space="preserve"> was performed </w:t>
      </w:r>
      <w:r w:rsidR="00975D5B">
        <w:t>i</w:t>
      </w:r>
      <w:r w:rsidRPr="000C71A6">
        <w:t>n a FACSCanto</w:t>
      </w:r>
      <w:r w:rsidRPr="000C71A6">
        <w:rPr>
          <w:vertAlign w:val="superscript"/>
        </w:rPr>
        <w:t>TM</w:t>
      </w:r>
      <w:r w:rsidRPr="000C71A6">
        <w:t>II system (BD Biosciences, San Jose, CA)</w:t>
      </w:r>
      <w:r w:rsidR="002C338D" w:rsidRPr="000C71A6">
        <w:t xml:space="preserve"> using FACSDiva</w:t>
      </w:r>
      <w:r w:rsidR="002C338D" w:rsidRPr="000C71A6">
        <w:rPr>
          <w:vertAlign w:val="superscript"/>
        </w:rPr>
        <w:t>TM</w:t>
      </w:r>
      <w:r w:rsidR="002C338D" w:rsidRPr="000C71A6">
        <w:t xml:space="preserve">software (BD Biosciences) and analysed </w:t>
      </w:r>
      <w:r w:rsidR="00975D5B">
        <w:t>using</w:t>
      </w:r>
      <w:r w:rsidR="00975D5B" w:rsidRPr="000C71A6">
        <w:t xml:space="preserve"> </w:t>
      </w:r>
      <w:r w:rsidR="002C338D" w:rsidRPr="000C71A6">
        <w:t xml:space="preserve">FlowJo version 10.8.1 </w:t>
      </w:r>
      <w:r w:rsidR="00975D5B">
        <w:t xml:space="preserve">software </w:t>
      </w:r>
      <w:r w:rsidR="002C338D" w:rsidRPr="000C71A6">
        <w:t>(Tree Star, Inc., Ashland, Oregon)</w:t>
      </w:r>
      <w:r w:rsidR="00975D5B">
        <w:t>.</w:t>
      </w:r>
      <w:r w:rsidR="002C338D" w:rsidRPr="000C71A6">
        <w:t xml:space="preserve"> </w:t>
      </w:r>
    </w:p>
    <w:p w14:paraId="6D999392" w14:textId="4152834D" w:rsidR="00D55E51" w:rsidRDefault="00E90F8F" w:rsidP="00A078BC">
      <w:pPr>
        <w:pStyle w:val="Estilo1"/>
      </w:pPr>
      <w:bookmarkStart w:id="31" w:name="_Toc115037822"/>
      <w:r>
        <w:t xml:space="preserve">2.11. </w:t>
      </w:r>
      <w:r w:rsidR="00D55E51">
        <w:t>Statistical Analysis</w:t>
      </w:r>
      <w:bookmarkEnd w:id="31"/>
    </w:p>
    <w:p w14:paraId="374F2CC0" w14:textId="05FD560C" w:rsidR="00F00084" w:rsidRPr="000C71A6" w:rsidRDefault="00D55E51" w:rsidP="00F05A74">
      <w:pPr>
        <w:rPr>
          <w:rFonts w:cs="Arial"/>
        </w:rPr>
      </w:pPr>
      <w:r>
        <w:rPr>
          <w:rFonts w:cs="Arial"/>
        </w:rPr>
        <w:t xml:space="preserve">Data was analysed in GraphPad Prism, Version 9.4.1 </w:t>
      </w:r>
      <w:r w:rsidR="00FB62E4">
        <w:rPr>
          <w:rFonts w:cs="Arial"/>
        </w:rPr>
        <w:t xml:space="preserve">software </w:t>
      </w:r>
      <w:r>
        <w:rPr>
          <w:rFonts w:cs="Arial"/>
        </w:rPr>
        <w:t>(GraphPad Software, Inc., La Jolla, CA).</w:t>
      </w:r>
      <w:r w:rsidR="00FB62E4">
        <w:rPr>
          <w:rFonts w:cs="Arial"/>
        </w:rPr>
        <w:t xml:space="preserve"> </w:t>
      </w:r>
      <w:r w:rsidR="00FB62E4" w:rsidRPr="00FB62E4">
        <w:rPr>
          <w:rFonts w:cs="Arial"/>
        </w:rPr>
        <w:t xml:space="preserve">Shapiro–Wilk test </w:t>
      </w:r>
      <w:r w:rsidR="00FB62E4">
        <w:rPr>
          <w:rFonts w:cs="Arial"/>
        </w:rPr>
        <w:t>was used to assess n</w:t>
      </w:r>
      <w:r w:rsidR="00FB62E4" w:rsidRPr="00FB62E4">
        <w:rPr>
          <w:rFonts w:cs="Arial"/>
        </w:rPr>
        <w:t xml:space="preserve">ormal distribution. </w:t>
      </w:r>
      <w:r w:rsidR="00FB62E4">
        <w:rPr>
          <w:rFonts w:cs="Arial"/>
        </w:rPr>
        <w:t>If</w:t>
      </w:r>
      <w:r w:rsidR="00FB62E4" w:rsidRPr="00FB62E4">
        <w:rPr>
          <w:rFonts w:cs="Arial"/>
        </w:rPr>
        <w:t xml:space="preserve"> passing normality test</w:t>
      </w:r>
      <w:r w:rsidR="00FB62E4">
        <w:rPr>
          <w:rFonts w:cs="Arial"/>
        </w:rPr>
        <w:t>,</w:t>
      </w:r>
      <w:r w:rsidR="00FB62E4" w:rsidRPr="00FB62E4">
        <w:rPr>
          <w:rFonts w:cs="Arial"/>
        </w:rPr>
        <w:t xml:space="preserve"> data were analy</w:t>
      </w:r>
      <w:r w:rsidR="00FB62E4">
        <w:rPr>
          <w:rFonts w:cs="Arial"/>
        </w:rPr>
        <w:t>s</w:t>
      </w:r>
      <w:r w:rsidR="00FB62E4" w:rsidRPr="00FB62E4">
        <w:rPr>
          <w:rFonts w:cs="Arial"/>
        </w:rPr>
        <w:t xml:space="preserve">ed using </w:t>
      </w:r>
      <w:r w:rsidR="0019573F">
        <w:rPr>
          <w:rFonts w:cs="Arial"/>
        </w:rPr>
        <w:t xml:space="preserve">two-tailed </w:t>
      </w:r>
      <w:r w:rsidR="00FB62E4" w:rsidRPr="00FB62E4">
        <w:rPr>
          <w:rFonts w:cs="Arial"/>
        </w:rPr>
        <w:t xml:space="preserve">unpaired Student’s t-test. Otherwise, Mann–Whitney test, as indicated in figure legends. </w:t>
      </w:r>
    </w:p>
    <w:p w14:paraId="48B96970" w14:textId="485EBD0A" w:rsidR="00FB2ADE" w:rsidRPr="000C71A6" w:rsidRDefault="00E90F8F" w:rsidP="00C5068C">
      <w:pPr>
        <w:pStyle w:val="tesettulos"/>
      </w:pPr>
      <w:bookmarkStart w:id="32" w:name="_Toc111229791"/>
      <w:bookmarkStart w:id="33" w:name="_Toc111229829"/>
      <w:bookmarkStart w:id="34" w:name="_Toc115037823"/>
      <w:r>
        <w:t xml:space="preserve">3. </w:t>
      </w:r>
      <w:r w:rsidR="00FB2ADE" w:rsidRPr="000C71A6">
        <w:t>Results</w:t>
      </w:r>
      <w:bookmarkEnd w:id="32"/>
      <w:bookmarkEnd w:id="33"/>
      <w:bookmarkEnd w:id="34"/>
    </w:p>
    <w:p w14:paraId="647178CA" w14:textId="548EB3F5" w:rsidR="00D2406D" w:rsidRDefault="00E90F8F" w:rsidP="00A078BC">
      <w:pPr>
        <w:pStyle w:val="Estilo1"/>
      </w:pPr>
      <w:bookmarkStart w:id="35" w:name="_Toc115037824"/>
      <w:r>
        <w:t>3.1</w:t>
      </w:r>
      <w:r w:rsidRPr="00CA37DE">
        <w:rPr>
          <w:i/>
          <w:iCs/>
        </w:rPr>
        <w:t xml:space="preserve">. </w:t>
      </w:r>
      <w:r w:rsidR="00A844AA" w:rsidRPr="00CA37DE">
        <w:rPr>
          <w:i/>
          <w:iCs/>
        </w:rPr>
        <w:t>N</w:t>
      </w:r>
      <w:r w:rsidR="002A3BF9">
        <w:rPr>
          <w:i/>
          <w:iCs/>
        </w:rPr>
        <w:t>eospora</w:t>
      </w:r>
      <w:r w:rsidR="00A844AA" w:rsidRPr="00CA37DE">
        <w:rPr>
          <w:i/>
          <w:iCs/>
        </w:rPr>
        <w:t xml:space="preserve"> caninum</w:t>
      </w:r>
      <w:r w:rsidR="00A844AA">
        <w:t xml:space="preserve"> membrane protein extract preparation and e</w:t>
      </w:r>
      <w:r w:rsidR="0051705E" w:rsidRPr="000C71A6">
        <w:t>lectrophoretic analysis</w:t>
      </w:r>
      <w:bookmarkEnd w:id="35"/>
      <w:r w:rsidR="0051705E" w:rsidRPr="000C71A6">
        <w:t xml:space="preserve"> </w:t>
      </w:r>
    </w:p>
    <w:p w14:paraId="43F740B6" w14:textId="29BD69C2" w:rsidR="00DE41FB" w:rsidRPr="00DE41FB" w:rsidRDefault="00D2406D" w:rsidP="00DE41FB">
      <w:pPr>
        <w:rPr>
          <w:noProof/>
          <w:lang w:eastAsia="pt-PT"/>
        </w:rPr>
      </w:pPr>
      <w:r>
        <w:t>Membrane protein</w:t>
      </w:r>
      <w:r w:rsidRPr="000C71A6">
        <w:t xml:space="preserve"> extracts </w:t>
      </w:r>
      <w:r w:rsidR="000A5B4E">
        <w:t xml:space="preserve">used to immunize the calves </w:t>
      </w:r>
      <w:r w:rsidRPr="000C71A6">
        <w:t xml:space="preserve">were obtained from </w:t>
      </w:r>
      <w:r>
        <w:t xml:space="preserve">two distinct batches of </w:t>
      </w:r>
      <w:r w:rsidRPr="000C71A6">
        <w:rPr>
          <w:i/>
        </w:rPr>
        <w:t>N</w:t>
      </w:r>
      <w:r>
        <w:rPr>
          <w:i/>
        </w:rPr>
        <w:t>.</w:t>
      </w:r>
      <w:r w:rsidRPr="000C71A6">
        <w:rPr>
          <w:i/>
        </w:rPr>
        <w:t xml:space="preserve"> caninum </w:t>
      </w:r>
      <w:r w:rsidRPr="000C71A6">
        <w:t>isolate</w:t>
      </w:r>
      <w:r>
        <w:t>d tachyzoites</w:t>
      </w:r>
      <w:r w:rsidR="000A5B4E">
        <w:t>.</w:t>
      </w:r>
      <w:r w:rsidRPr="000C71A6">
        <w:t xml:space="preserve"> </w:t>
      </w:r>
      <w:r w:rsidR="000A5B4E">
        <w:t>The two extracts were</w:t>
      </w:r>
      <w:r w:rsidR="000A5B4E" w:rsidRPr="000C71A6">
        <w:t xml:space="preserve"> </w:t>
      </w:r>
      <w:r>
        <w:t>submitted to</w:t>
      </w:r>
      <w:r w:rsidRPr="000C71A6">
        <w:t xml:space="preserve"> SDS-PAGE to verify their migration profile (Fig.</w:t>
      </w:r>
      <w:r>
        <w:t xml:space="preserve"> </w:t>
      </w:r>
      <w:r w:rsidRPr="000C71A6">
        <w:t>1).</w:t>
      </w:r>
      <w:r>
        <w:t xml:space="preserve"> Both batches of NcMP presented a similar SDS-PAGE band profile that was completely different from the one seen with the hydrophilic proteins (HP). The profile of the proteins recovered from the interphase (IP) was similar to the NcMP’s.</w:t>
      </w:r>
      <w:r w:rsidRPr="003A6237">
        <w:rPr>
          <w:noProof/>
          <w:lang w:eastAsia="pt-PT"/>
        </w:rPr>
        <w:t xml:space="preserve"> </w:t>
      </w:r>
      <w:r w:rsidR="00DE41FB">
        <w:rPr>
          <w:rFonts w:cs="Arial"/>
        </w:rPr>
        <w:t xml:space="preserve">The profile obtained for NcMP was very similar to the one obtained by </w:t>
      </w:r>
      <w:r w:rsidR="00DE41FB">
        <w:rPr>
          <w:rFonts w:cs="Arial"/>
        </w:rPr>
        <w:fldChar w:fldCharType="begin" w:fldLock="1"/>
      </w:r>
      <w:r w:rsidR="0023236C">
        <w:rPr>
          <w:rFonts w:cs="Arial"/>
        </w:rPr>
        <w:instrText>ADDIN CSL_CITATION {"citationItems":[{"id":"ITEM-1","itemData":{"DOI":"10.1111/imm.12191","ISSN":"00192805","PMID":"24128071","abstract":"Neospora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-1","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tract","type":"article-journal","volume":"141"},"uris":["http://www.mendeley.com/documents/?uuid=fbd4020b-89bd-3c5d-8320-1ddc6afb78c0"]}],"mendeley":{"formattedCitation":"[44]","manualFormatting":"Ferreirinha et al.","plainTextFormattedCitation":"[44]","previouslyFormattedCitation":"[44]"},"properties":{"noteIndex":0},"schema":"https://github.com/citation-style-language/schema/raw/master/csl-citation.json"}</w:instrText>
      </w:r>
      <w:r w:rsidR="00DE41FB">
        <w:rPr>
          <w:rFonts w:cs="Arial"/>
        </w:rPr>
        <w:fldChar w:fldCharType="separate"/>
      </w:r>
      <w:r w:rsidR="00DE41FB" w:rsidRPr="00E66E07">
        <w:rPr>
          <w:rFonts w:cs="Arial"/>
          <w:noProof/>
        </w:rPr>
        <w:t xml:space="preserve">Ferreirinha </w:t>
      </w:r>
      <w:r w:rsidR="00DE41FB" w:rsidRPr="0023236C">
        <w:rPr>
          <w:rFonts w:cs="Arial"/>
          <w:i/>
          <w:noProof/>
        </w:rPr>
        <w:t>et al.</w:t>
      </w:r>
      <w:r w:rsidR="00DE41FB">
        <w:rPr>
          <w:rFonts w:cs="Arial"/>
        </w:rPr>
        <w:fldChar w:fldCharType="end"/>
      </w:r>
      <w:r w:rsidR="0023236C">
        <w:rPr>
          <w:rFonts w:cs="Arial"/>
        </w:rPr>
        <w:t xml:space="preserve"> </w:t>
      </w:r>
      <w:r w:rsidR="0023236C">
        <w:rPr>
          <w:rFonts w:cs="Arial"/>
        </w:rPr>
        <w:fldChar w:fldCharType="begin" w:fldLock="1"/>
      </w:r>
      <w:r w:rsidR="0023236C">
        <w:rPr>
          <w:rFonts w:cs="Arial"/>
        </w:rPr>
        <w:instrText>ADDIN CSL_CITATION {"citationItems":[{"id":"ITEM-1","itemData":{"DOI":"10.1111/imm.12191","ISSN":"00192805","PMID":"24128071","abstract":"Neospora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-1","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[44]","plainTextFormattedCitation":"[44]","previouslyFormattedCitation":"[44]"},"properties":{"noteIndex":0},"schema":"https://github.com/citation-style-language/schema/raw/master/csl-citation.json"}</w:instrText>
      </w:r>
      <w:r w:rsidR="0023236C">
        <w:rPr>
          <w:rFonts w:cs="Arial"/>
        </w:rPr>
        <w:fldChar w:fldCharType="separate"/>
      </w:r>
      <w:r w:rsidR="0023236C" w:rsidRPr="0023236C">
        <w:rPr>
          <w:rFonts w:cs="Arial"/>
          <w:noProof/>
        </w:rPr>
        <w:t>[44]</w:t>
      </w:r>
      <w:r w:rsidR="0023236C">
        <w:rPr>
          <w:rFonts w:cs="Arial"/>
        </w:rPr>
        <w:fldChar w:fldCharType="end"/>
      </w:r>
      <w:r w:rsidR="00DE41FB">
        <w:rPr>
          <w:rFonts w:cs="Arial"/>
        </w:rPr>
        <w:t>, indicating that the isolation protocol results in consistent membrane protein isolation.</w:t>
      </w:r>
    </w:p>
    <w:p w14:paraId="178A4E10" w14:textId="161DD448" w:rsidR="00C715C7" w:rsidRPr="000C71A6" w:rsidRDefault="00DE41FB" w:rsidP="00D2406D">
      <w:pPr>
        <w:ind w:firstLine="0"/>
        <w:jc w:val="center"/>
      </w:pPr>
      <w:r w:rsidRPr="00EA0558">
        <w:rPr>
          <w:noProof/>
          <w:lang w:val="pt-PT" w:eastAsia="pt-PT"/>
        </w:rPr>
        <w:drawing>
          <wp:anchor distT="0" distB="0" distL="114300" distR="114300" simplePos="0" relativeHeight="251664384" behindDoc="0" locked="0" layoutInCell="1" allowOverlap="1" wp14:anchorId="0C4BFFAA" wp14:editId="2674E0AB">
            <wp:simplePos x="0" y="0"/>
            <wp:positionH relativeFrom="column">
              <wp:posOffset>62865</wp:posOffset>
            </wp:positionH>
            <wp:positionV relativeFrom="paragraph">
              <wp:posOffset>19050</wp:posOffset>
            </wp:positionV>
            <wp:extent cx="4896485" cy="2162175"/>
            <wp:effectExtent l="0" t="0" r="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891"/>
                    <a:stretch/>
                  </pic:blipFill>
                  <pic:spPr bwMode="auto">
                    <a:xfrm>
                      <a:off x="0" y="0"/>
                      <a:ext cx="4896485" cy="2162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C1BDE1" w14:textId="77B7C576" w:rsidR="00EA0558" w:rsidRDefault="00EA0558" w:rsidP="002123E8">
      <w:pPr>
        <w:pStyle w:val="Legenda"/>
        <w:spacing w:line="276" w:lineRule="auto"/>
        <w:rPr>
          <w:b/>
          <w:color w:val="auto"/>
        </w:rPr>
      </w:pPr>
      <w:bookmarkStart w:id="36" w:name="_Toc113920032"/>
      <w:bookmarkStart w:id="37" w:name="_Toc113566216"/>
      <w:bookmarkStart w:id="38" w:name="_Toc114089151"/>
      <w:bookmarkStart w:id="39" w:name="_Toc114595394"/>
      <w:bookmarkStart w:id="40" w:name="_Toc114595561"/>
    </w:p>
    <w:p w14:paraId="47AAAEEC" w14:textId="6D8DC4AB" w:rsidR="00EA0558" w:rsidRDefault="00EA0558" w:rsidP="002123E8">
      <w:pPr>
        <w:pStyle w:val="Legenda"/>
        <w:spacing w:line="276" w:lineRule="auto"/>
        <w:rPr>
          <w:b/>
          <w:color w:val="auto"/>
        </w:rPr>
      </w:pPr>
    </w:p>
    <w:p w14:paraId="400C9243" w14:textId="3A0DAD00" w:rsidR="00EA0558" w:rsidRDefault="00EA0558" w:rsidP="002123E8">
      <w:pPr>
        <w:pStyle w:val="Legenda"/>
        <w:spacing w:line="276" w:lineRule="auto"/>
        <w:rPr>
          <w:b/>
          <w:color w:val="auto"/>
        </w:rPr>
      </w:pPr>
    </w:p>
    <w:p w14:paraId="5561495A" w14:textId="77777777" w:rsidR="00EA0558" w:rsidRDefault="00EA0558" w:rsidP="002123E8">
      <w:pPr>
        <w:pStyle w:val="Legenda"/>
        <w:spacing w:line="276" w:lineRule="auto"/>
        <w:rPr>
          <w:b/>
          <w:color w:val="auto"/>
        </w:rPr>
      </w:pPr>
    </w:p>
    <w:p w14:paraId="3008A515" w14:textId="77777777" w:rsidR="00EA0558" w:rsidRDefault="00EA0558" w:rsidP="002123E8">
      <w:pPr>
        <w:pStyle w:val="Legenda"/>
        <w:spacing w:line="276" w:lineRule="auto"/>
        <w:rPr>
          <w:b/>
          <w:color w:val="auto"/>
        </w:rPr>
      </w:pPr>
    </w:p>
    <w:p w14:paraId="7EC2B28B" w14:textId="77777777" w:rsidR="00EA0558" w:rsidRDefault="00EA0558" w:rsidP="002123E8">
      <w:pPr>
        <w:pStyle w:val="Legenda"/>
        <w:spacing w:line="276" w:lineRule="auto"/>
        <w:rPr>
          <w:b/>
          <w:color w:val="auto"/>
        </w:rPr>
      </w:pPr>
    </w:p>
    <w:p w14:paraId="0F9B9A7B" w14:textId="77777777" w:rsidR="00EA0558" w:rsidRDefault="00EA0558" w:rsidP="002123E8">
      <w:pPr>
        <w:pStyle w:val="Legenda"/>
        <w:spacing w:line="276" w:lineRule="auto"/>
        <w:rPr>
          <w:b/>
          <w:color w:val="auto"/>
        </w:rPr>
      </w:pPr>
    </w:p>
    <w:p w14:paraId="1FF2708A" w14:textId="77777777" w:rsidR="00EA0558" w:rsidRDefault="00EA0558" w:rsidP="002123E8">
      <w:pPr>
        <w:pStyle w:val="Legenda"/>
        <w:spacing w:line="276" w:lineRule="auto"/>
        <w:rPr>
          <w:b/>
          <w:color w:val="auto"/>
        </w:rPr>
      </w:pPr>
    </w:p>
    <w:p w14:paraId="0D247A4E" w14:textId="77777777" w:rsidR="00EA0558" w:rsidRDefault="00EA0558" w:rsidP="002123E8">
      <w:pPr>
        <w:pStyle w:val="Legenda"/>
        <w:spacing w:line="276" w:lineRule="auto"/>
        <w:rPr>
          <w:b/>
          <w:color w:val="auto"/>
        </w:rPr>
      </w:pPr>
    </w:p>
    <w:p w14:paraId="5647AB8E" w14:textId="77777777" w:rsidR="00EA0558" w:rsidRDefault="00EA0558" w:rsidP="002123E8">
      <w:pPr>
        <w:pStyle w:val="Legenda"/>
        <w:spacing w:line="276" w:lineRule="auto"/>
        <w:rPr>
          <w:b/>
          <w:color w:val="auto"/>
        </w:rPr>
      </w:pPr>
    </w:p>
    <w:p w14:paraId="443B03C7" w14:textId="77777777" w:rsidR="00EA0558" w:rsidRDefault="00EA0558" w:rsidP="002123E8">
      <w:pPr>
        <w:pStyle w:val="Legenda"/>
        <w:spacing w:line="276" w:lineRule="auto"/>
        <w:rPr>
          <w:b/>
          <w:color w:val="auto"/>
        </w:rPr>
      </w:pPr>
    </w:p>
    <w:p w14:paraId="30281B34" w14:textId="77777777" w:rsidR="00EA0558" w:rsidRDefault="00EA0558" w:rsidP="002123E8">
      <w:pPr>
        <w:pStyle w:val="Legenda"/>
        <w:spacing w:line="276" w:lineRule="auto"/>
        <w:rPr>
          <w:b/>
          <w:color w:val="auto"/>
        </w:rPr>
      </w:pPr>
    </w:p>
    <w:p w14:paraId="608F5645" w14:textId="77777777" w:rsidR="00EA0558" w:rsidRDefault="00EA0558" w:rsidP="002123E8">
      <w:pPr>
        <w:pStyle w:val="Legenda"/>
        <w:spacing w:line="276" w:lineRule="auto"/>
        <w:rPr>
          <w:b/>
          <w:color w:val="auto"/>
        </w:rPr>
      </w:pPr>
    </w:p>
    <w:p w14:paraId="2A11CE5C" w14:textId="76269527" w:rsidR="00E66E07" w:rsidRPr="002123E8" w:rsidRDefault="00F45F7F" w:rsidP="002123E8">
      <w:pPr>
        <w:pStyle w:val="Legenda"/>
        <w:spacing w:line="276" w:lineRule="auto"/>
        <w:rPr>
          <w:color w:val="auto"/>
          <w:sz w:val="22"/>
          <w:lang w:eastAsia="pt-PT"/>
        </w:rPr>
      </w:pPr>
      <w:r w:rsidRPr="00C715C7">
        <w:rPr>
          <w:b/>
          <w:color w:val="auto"/>
        </w:rPr>
        <w:t xml:space="preserve">Figure </w:t>
      </w:r>
      <w:r w:rsidRPr="00C715C7">
        <w:rPr>
          <w:b/>
          <w:color w:val="auto"/>
        </w:rPr>
        <w:fldChar w:fldCharType="begin"/>
      </w:r>
      <w:r w:rsidRPr="00C715C7">
        <w:rPr>
          <w:b/>
          <w:color w:val="auto"/>
        </w:rPr>
        <w:instrText xml:space="preserve"> SEQ Figure \* ARABIC </w:instrText>
      </w:r>
      <w:r w:rsidRPr="00C715C7">
        <w:rPr>
          <w:b/>
          <w:color w:val="auto"/>
        </w:rPr>
        <w:fldChar w:fldCharType="separate"/>
      </w:r>
      <w:r w:rsidR="00184C64">
        <w:rPr>
          <w:b/>
          <w:noProof/>
          <w:color w:val="auto"/>
        </w:rPr>
        <w:t>1</w:t>
      </w:r>
      <w:r w:rsidRPr="00C715C7">
        <w:rPr>
          <w:b/>
          <w:color w:val="auto"/>
        </w:rPr>
        <w:fldChar w:fldCharType="end"/>
      </w:r>
      <w:r w:rsidRPr="00C715C7">
        <w:rPr>
          <w:b/>
          <w:color w:val="auto"/>
        </w:rPr>
        <w:t>.</w:t>
      </w:r>
      <w:r w:rsidRPr="009A68DC">
        <w:rPr>
          <w:color w:val="auto"/>
        </w:rPr>
        <w:t xml:space="preserve"> </w:t>
      </w:r>
      <w:r w:rsidR="00390995" w:rsidRPr="00C715C7">
        <w:rPr>
          <w:i/>
          <w:color w:val="auto"/>
        </w:rPr>
        <w:t>Neospora caninum</w:t>
      </w:r>
      <w:r w:rsidR="00390995" w:rsidRPr="00C715C7">
        <w:rPr>
          <w:color w:val="auto"/>
        </w:rPr>
        <w:t xml:space="preserve"> </w:t>
      </w:r>
      <w:r w:rsidR="00797B47" w:rsidRPr="00C715C7">
        <w:rPr>
          <w:color w:val="auto"/>
        </w:rPr>
        <w:t>extracts</w:t>
      </w:r>
      <w:r w:rsidR="00A844AA" w:rsidRPr="00C715C7">
        <w:rPr>
          <w:color w:val="auto"/>
        </w:rPr>
        <w:t>’</w:t>
      </w:r>
      <w:r w:rsidR="00797B47" w:rsidRPr="00C715C7">
        <w:rPr>
          <w:color w:val="auto"/>
        </w:rPr>
        <w:t xml:space="preserve"> migration profile. </w:t>
      </w:r>
      <w:r w:rsidR="003C6E29" w:rsidRPr="00C715C7">
        <w:rPr>
          <w:color w:val="auto"/>
        </w:rPr>
        <w:t xml:space="preserve">MW: molecular weight marker; </w:t>
      </w:r>
      <w:r w:rsidR="00797B47" w:rsidRPr="00C715C7">
        <w:t xml:space="preserve">NcMP corresponds to </w:t>
      </w:r>
      <w:r w:rsidR="00A844AA" w:rsidRPr="00C715C7">
        <w:t xml:space="preserve">two </w:t>
      </w:r>
      <w:r w:rsidR="00797B47" w:rsidRPr="00C715C7">
        <w:t>hydrophobic proteins</w:t>
      </w:r>
      <w:r w:rsidR="009C3403" w:rsidRPr="00C715C7">
        <w:t xml:space="preserve"> </w:t>
      </w:r>
      <w:r w:rsidR="00A844AA" w:rsidRPr="00C715C7">
        <w:t xml:space="preserve">from </w:t>
      </w:r>
      <w:r w:rsidR="009C3403" w:rsidRPr="00C715C7">
        <w:t>the organic phase</w:t>
      </w:r>
      <w:r w:rsidR="00797B47" w:rsidRPr="00C715C7">
        <w:t xml:space="preserve">, </w:t>
      </w:r>
      <w:r w:rsidR="00A844AA" w:rsidRPr="00C715C7">
        <w:t xml:space="preserve">run in duplicate, </w:t>
      </w:r>
      <w:r w:rsidR="00797B47" w:rsidRPr="00C715C7">
        <w:t>HP</w:t>
      </w:r>
      <w:r w:rsidR="003C6E29" w:rsidRPr="00C715C7">
        <w:t>:</w:t>
      </w:r>
      <w:r w:rsidR="00797B47" w:rsidRPr="00C715C7">
        <w:t xml:space="preserve"> hydrophilic proteins </w:t>
      </w:r>
      <w:r w:rsidR="00A844AA" w:rsidRPr="00C715C7">
        <w:t xml:space="preserve">from </w:t>
      </w:r>
      <w:r w:rsidR="00797B47" w:rsidRPr="00C715C7">
        <w:t>the supernatant</w:t>
      </w:r>
      <w:r w:rsidR="003C6E29" w:rsidRPr="00C715C7">
        <w:t>;</w:t>
      </w:r>
      <w:r w:rsidR="00797B47" w:rsidRPr="00C715C7">
        <w:t xml:space="preserve"> IP</w:t>
      </w:r>
      <w:r w:rsidR="003C6E29" w:rsidRPr="00C715C7">
        <w:t>:</w:t>
      </w:r>
      <w:r w:rsidR="00797B47" w:rsidRPr="00C715C7">
        <w:t xml:space="preserve"> inter</w:t>
      </w:r>
      <w:r w:rsidR="00AD421B" w:rsidRPr="00C715C7">
        <w:t>phase</w:t>
      </w:r>
      <w:r w:rsidR="00797B47" w:rsidRPr="00C715C7">
        <w:t xml:space="preserve"> proteins that were present between the </w:t>
      </w:r>
      <w:r w:rsidR="003C6E29" w:rsidRPr="00C715C7">
        <w:t xml:space="preserve">hydrophobic and </w:t>
      </w:r>
      <w:r w:rsidR="001C11EA" w:rsidRPr="00C715C7">
        <w:t>hydrophilic</w:t>
      </w:r>
      <w:r w:rsidR="003C6E29" w:rsidRPr="00C715C7">
        <w:t xml:space="preserve"> </w:t>
      </w:r>
      <w:r w:rsidR="00797B47" w:rsidRPr="00C715C7">
        <w:t>phases.</w:t>
      </w:r>
      <w:bookmarkEnd w:id="36"/>
      <w:bookmarkEnd w:id="37"/>
      <w:bookmarkEnd w:id="38"/>
      <w:bookmarkEnd w:id="39"/>
      <w:bookmarkEnd w:id="40"/>
      <w:r w:rsidR="00797B47" w:rsidRPr="009A68DC">
        <w:rPr>
          <w:color w:val="auto"/>
        </w:rPr>
        <w:t xml:space="preserve"> </w:t>
      </w:r>
    </w:p>
    <w:p w14:paraId="5D484007" w14:textId="7DFD7A66" w:rsidR="00A15F68" w:rsidRPr="000C71A6" w:rsidRDefault="00E90F8F" w:rsidP="00A078BC">
      <w:pPr>
        <w:pStyle w:val="Estilo1"/>
      </w:pPr>
      <w:bookmarkStart w:id="41" w:name="_Toc115037825"/>
      <w:r>
        <w:t xml:space="preserve">3.2. </w:t>
      </w:r>
      <w:r w:rsidR="00405769">
        <w:t xml:space="preserve">Analysis of the levels of </w:t>
      </w:r>
      <w:r w:rsidR="00A15F68" w:rsidRPr="000C71A6">
        <w:t xml:space="preserve">IgG and IgG1 </w:t>
      </w:r>
      <w:r w:rsidR="00405769">
        <w:t>induced by vaccination and infection</w:t>
      </w:r>
      <w:bookmarkEnd w:id="41"/>
    </w:p>
    <w:p w14:paraId="4AD87FB4" w14:textId="4C2B59E3" w:rsidR="00133821" w:rsidRPr="00711FC6" w:rsidRDefault="006A063A" w:rsidP="00133821">
      <w:r>
        <w:t xml:space="preserve">Humoral immunity against </w:t>
      </w:r>
      <w:r w:rsidR="00DB72B9">
        <w:rPr>
          <w:i/>
        </w:rPr>
        <w:t xml:space="preserve">N. </w:t>
      </w:r>
      <w:r>
        <w:rPr>
          <w:i/>
        </w:rPr>
        <w:t xml:space="preserve">caninum </w:t>
      </w:r>
      <w:r>
        <w:t>is mostly comprised of antibodies</w:t>
      </w:r>
      <w:r w:rsidR="00DB1DDB">
        <w:t xml:space="preserve"> of</w:t>
      </w:r>
      <w:r>
        <w:t xml:space="preserve"> </w:t>
      </w:r>
      <w:r w:rsidR="00DB1DDB">
        <w:t xml:space="preserve">the IgG </w:t>
      </w:r>
      <w:r>
        <w:t xml:space="preserve">class </w:t>
      </w:r>
      <w:r w:rsidR="00E36B25" w:rsidRPr="000C71A6">
        <w:fldChar w:fldCharType="begin" w:fldLock="1"/>
      </w:r>
      <w:r w:rsidR="002600A2">
        <w:instrText>ADDIN CSL_CITATION {"citationItems":[{"id":"ITEM-1","itemData":{"DOI":"10.1016/J.MEEGID.2012.08.012","ISSN":"1567-1348","PMID":"22985682","abstract":"This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B.V.","author":[{"dropping-particle":"","family":"Goodswen","given":"Stephen J.","non-dropping-particle":"","parse-names":false,"suffix":""},{"dropping-particle":"","family":"Kennedy","given":"Paul J.","non-dropping-particle":"","parse-names":false,"suffix":""},{"dropping-particle":"","family":"Ellis","given":"John T.","non-dropping-particle":"","parse-names":false,"suffix":""}],"container-title":"Infection, Genetics and Evolution","id":"ITEM-1","issue":"1","issued":{"date-parts":[["2013","1","1"]]},"page":"133-150","publisher":"Elsevier","title":"A review of the infection, genetics, and evolution of Neospora caninum: From the past to the present","type":"article-journal","volume":"13"},"uris":["http://www.mendeley.com/documents/?uuid=ec998491-25c0-3ac3-a2aa-a141fbdeeff9"]},{"id":"ITEM-2","itemData":{"DOI":"10.1016/J.IJPPAW.2015.04.002","ISSN":"2213-2244","abstract":"Neospora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Wildlife","id":"ITEM-2","issue":"2","issued":{"date-parts":[["2015","8","1"]]},"page":"216-238","publisher":"Elsevier","title":"A review of neosporosis and pathologic findings of Neospora caninum infection in wildlife","type":"article-journal","volume":"4"},"uris":["http://www.mendeley.com/documents/?uuid=0eb21b67-0b11-310b-bb97-5e8fd960f5bc"]}],"mendeley":{"formattedCitation":"[10], [11]","manualFormatting":"[10, 11]","plainTextFormattedCitation":"[10], [11]","previouslyFormattedCitation":"[10], [11]"},"properties":{"noteIndex":0},"schema":"https://github.com/citation-style-language/schema/raw/master/csl-citation.json"}</w:instrText>
      </w:r>
      <w:r w:rsidR="00E36B25" w:rsidRPr="000C71A6">
        <w:fldChar w:fldCharType="separate"/>
      </w:r>
      <w:r w:rsidR="002600A2">
        <w:rPr>
          <w:noProof/>
        </w:rPr>
        <w:t xml:space="preserve">[10, </w:t>
      </w:r>
      <w:r w:rsidR="00F00084" w:rsidRPr="00F00084">
        <w:rPr>
          <w:noProof/>
        </w:rPr>
        <w:t>11]</w:t>
      </w:r>
      <w:r w:rsidR="00E36B25" w:rsidRPr="000C71A6">
        <w:fldChar w:fldCharType="end"/>
      </w:r>
      <w:r w:rsidR="00E36B25" w:rsidRPr="000C71A6">
        <w:t xml:space="preserve">. </w:t>
      </w:r>
      <w:r>
        <w:t xml:space="preserve">To verify whether </w:t>
      </w:r>
      <w:r w:rsidR="004D6743">
        <w:t xml:space="preserve">parasite-specific </w:t>
      </w:r>
      <w:r>
        <w:t xml:space="preserve">antibodies were induced by this immunization </w:t>
      </w:r>
      <w:r w:rsidR="00DC0733">
        <w:t>strategy</w:t>
      </w:r>
      <w:r w:rsidR="00DB72B9">
        <w:t>,</w:t>
      </w:r>
      <w:r w:rsidR="001244AE">
        <w:t xml:space="preserve"> as well as by the infection</w:t>
      </w:r>
      <w:r>
        <w:t xml:space="preserve">, serum samples were analysed for the presence of </w:t>
      </w:r>
      <w:r w:rsidR="00DB72B9" w:rsidRPr="00BE1DAC">
        <w:rPr>
          <w:i/>
          <w:iCs/>
        </w:rPr>
        <w:t>N. caninum</w:t>
      </w:r>
      <w:r w:rsidR="00DB72B9">
        <w:t xml:space="preserve"> specific </w:t>
      </w:r>
      <w:r>
        <w:t>IgG</w:t>
      </w:r>
      <w:r w:rsidR="004D6743">
        <w:t>, IgG1</w:t>
      </w:r>
      <w:r>
        <w:t xml:space="preserve"> and IgG</w:t>
      </w:r>
      <w:r w:rsidR="004D6743">
        <w:t>2</w:t>
      </w:r>
      <w:r w:rsidR="00133821">
        <w:t>.</w:t>
      </w:r>
      <w:r w:rsidR="00443C8D">
        <w:t xml:space="preserve"> Due to elevated non-specificity of the anti-bovine IgG2</w:t>
      </w:r>
      <w:r w:rsidR="00443C8D" w:rsidRPr="00443C8D">
        <w:t xml:space="preserve"> </w:t>
      </w:r>
      <w:r w:rsidR="00443C8D">
        <w:t xml:space="preserve">used, it was not possible to evaluate the levels of </w:t>
      </w:r>
      <w:r w:rsidR="00711FC6">
        <w:t xml:space="preserve">this antibody </w:t>
      </w:r>
      <w:r w:rsidR="00711FC6" w:rsidRPr="00CA37DE">
        <w:t>isotype.</w:t>
      </w:r>
    </w:p>
    <w:p w14:paraId="093763F9" w14:textId="18FC0765" w:rsidR="006A063A" w:rsidRDefault="001244AE" w:rsidP="001A3B6F">
      <w:r>
        <w:t xml:space="preserve">As displayed </w:t>
      </w:r>
      <w:r w:rsidR="005C498A">
        <w:t xml:space="preserve">in </w:t>
      </w:r>
      <w:r>
        <w:t>Fig.</w:t>
      </w:r>
      <w:r w:rsidR="00EE28AD">
        <w:t xml:space="preserve"> </w:t>
      </w:r>
      <w:r>
        <w:t xml:space="preserve">2, </w:t>
      </w:r>
      <w:r w:rsidR="00722615">
        <w:t xml:space="preserve">there was </w:t>
      </w:r>
      <w:r w:rsidR="00E40424">
        <w:t xml:space="preserve">a </w:t>
      </w:r>
      <w:r w:rsidR="00E40424" w:rsidRPr="005E507C">
        <w:t xml:space="preserve">general </w:t>
      </w:r>
      <w:r w:rsidR="00722615" w:rsidRPr="005E507C">
        <w:t xml:space="preserve">increase in both </w:t>
      </w:r>
      <w:r w:rsidR="004D6743" w:rsidRPr="005E507C">
        <w:t xml:space="preserve">NcMP-specific </w:t>
      </w:r>
      <w:r w:rsidR="00722615" w:rsidRPr="005E507C">
        <w:t xml:space="preserve">IgG and IgG1 </w:t>
      </w:r>
      <w:r w:rsidR="004D6743" w:rsidRPr="005E507C">
        <w:t>titres</w:t>
      </w:r>
      <w:r w:rsidR="00722615" w:rsidRPr="005E507C">
        <w:t xml:space="preserve"> one month after the </w:t>
      </w:r>
      <w:r w:rsidR="00E40424" w:rsidRPr="005E507C">
        <w:t>third</w:t>
      </w:r>
      <w:r w:rsidR="00722615" w:rsidRPr="005E507C">
        <w:t xml:space="preserve"> boost</w:t>
      </w:r>
      <w:r w:rsidR="004D6743" w:rsidRPr="005E507C">
        <w:t>er</w:t>
      </w:r>
      <w:r w:rsidR="00F05A74">
        <w:t xml:space="preserve"> immunization</w:t>
      </w:r>
      <w:r w:rsidR="00482E60">
        <w:t xml:space="preserve"> </w:t>
      </w:r>
      <w:r w:rsidR="00722615" w:rsidRPr="005E507C">
        <w:t>and 15 days after</w:t>
      </w:r>
      <w:r w:rsidR="00C22D63" w:rsidRPr="005E507C">
        <w:t xml:space="preserve"> the</w:t>
      </w:r>
      <w:r w:rsidR="00722615" w:rsidRPr="005E507C">
        <w:t xml:space="preserve"> infection</w:t>
      </w:r>
      <w:r w:rsidR="00722615">
        <w:t xml:space="preserve"> with </w:t>
      </w:r>
      <w:r w:rsidR="00D2663D">
        <w:rPr>
          <w:i/>
        </w:rPr>
        <w:t xml:space="preserve">N. </w:t>
      </w:r>
      <w:r w:rsidR="00722615">
        <w:rPr>
          <w:i/>
        </w:rPr>
        <w:t xml:space="preserve">caninum </w:t>
      </w:r>
      <w:r w:rsidR="00722615">
        <w:t>tachyzoites.</w:t>
      </w:r>
      <w:r w:rsidR="00BE7F04">
        <w:t xml:space="preserve"> </w:t>
      </w:r>
    </w:p>
    <w:p w14:paraId="07450539" w14:textId="0B6B876B" w:rsidR="00822150" w:rsidRDefault="00822150" w:rsidP="00F05A74">
      <w:pPr>
        <w:ind w:firstLine="0"/>
        <w:jc w:val="center"/>
      </w:pPr>
      <w:bookmarkStart w:id="42" w:name="_Toc113566217"/>
      <w:bookmarkStart w:id="43" w:name="_Toc113920033"/>
      <w:r w:rsidRPr="00822150">
        <w:rPr>
          <w:noProof/>
          <w:lang w:val="pt-PT" w:eastAsia="pt-PT"/>
        </w:rPr>
        <w:drawing>
          <wp:inline distT="0" distB="0" distL="0" distR="0" wp14:anchorId="6442F390" wp14:editId="720B4FF2">
            <wp:extent cx="4541520" cy="3304296"/>
            <wp:effectExtent l="0" t="0" r="0" b="0"/>
            <wp:docPr id="4" name="Imagem 4" descr="C:\Users\Utilizador\Desktop\enviar\layouts\antibodies together sem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ador\Desktop\enviar\layouts\antibodies together sem lo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9304" cy="3317236"/>
                    </a:xfrm>
                    <a:prstGeom prst="rect">
                      <a:avLst/>
                    </a:prstGeom>
                    <a:noFill/>
                    <a:ln>
                      <a:noFill/>
                    </a:ln>
                  </pic:spPr>
                </pic:pic>
              </a:graphicData>
            </a:graphic>
          </wp:inline>
        </w:drawing>
      </w:r>
    </w:p>
    <w:p w14:paraId="5BC9F631" w14:textId="45A90058" w:rsidR="002357E3" w:rsidRDefault="00F45F7F" w:rsidP="004A4869">
      <w:pPr>
        <w:pStyle w:val="Legenda"/>
        <w:spacing w:line="276" w:lineRule="auto"/>
        <w:rPr>
          <w:rStyle w:val="Refdecomentrio"/>
          <w:iCs w:val="0"/>
          <w:color w:val="auto"/>
        </w:rPr>
      </w:pPr>
      <w:bookmarkStart w:id="44" w:name="_Toc114089152"/>
      <w:bookmarkStart w:id="45" w:name="_Toc114595395"/>
      <w:bookmarkStart w:id="46" w:name="_Toc114595562"/>
      <w:r w:rsidRPr="006D2FB0">
        <w:rPr>
          <w:b/>
          <w:color w:val="auto"/>
        </w:rPr>
        <w:t xml:space="preserve">Figure </w:t>
      </w:r>
      <w:r w:rsidRPr="006D2FB0">
        <w:rPr>
          <w:b/>
          <w:color w:val="auto"/>
        </w:rPr>
        <w:fldChar w:fldCharType="begin"/>
      </w:r>
      <w:r w:rsidRPr="006D2FB0">
        <w:rPr>
          <w:b/>
          <w:color w:val="auto"/>
        </w:rPr>
        <w:instrText xml:space="preserve"> SEQ Figure \* ARABIC </w:instrText>
      </w:r>
      <w:r w:rsidRPr="006D2FB0">
        <w:rPr>
          <w:b/>
          <w:color w:val="auto"/>
        </w:rPr>
        <w:fldChar w:fldCharType="separate"/>
      </w:r>
      <w:r w:rsidR="00184C64">
        <w:rPr>
          <w:b/>
          <w:noProof/>
          <w:color w:val="auto"/>
        </w:rPr>
        <w:t>2</w:t>
      </w:r>
      <w:r w:rsidRPr="006D2FB0">
        <w:rPr>
          <w:b/>
          <w:color w:val="auto"/>
        </w:rPr>
        <w:fldChar w:fldCharType="end"/>
      </w:r>
      <w:r w:rsidRPr="006D2FB0">
        <w:rPr>
          <w:b/>
          <w:color w:val="auto"/>
        </w:rPr>
        <w:t>.</w:t>
      </w:r>
      <w:r w:rsidRPr="009A68DC">
        <w:rPr>
          <w:color w:val="auto"/>
        </w:rPr>
        <w:t xml:space="preserve"> </w:t>
      </w:r>
      <w:r w:rsidRPr="006D2FB0">
        <w:rPr>
          <w:color w:val="auto"/>
        </w:rPr>
        <w:t>Serum</w:t>
      </w:r>
      <w:r w:rsidR="00922BA8" w:rsidRPr="006D2FB0">
        <w:rPr>
          <w:color w:val="auto"/>
        </w:rPr>
        <w:t xml:space="preserve"> IgG and IgG1 antibod</w:t>
      </w:r>
      <w:r w:rsidR="00A223F6">
        <w:rPr>
          <w:color w:val="auto"/>
        </w:rPr>
        <w:t>y</w:t>
      </w:r>
      <w:r w:rsidR="00922BA8" w:rsidRPr="006D2FB0">
        <w:rPr>
          <w:color w:val="auto"/>
        </w:rPr>
        <w:t xml:space="preserve"> detection.</w:t>
      </w:r>
      <w:r w:rsidR="004258AA" w:rsidRPr="006D2FB0">
        <w:rPr>
          <w:color w:val="auto"/>
        </w:rPr>
        <w:t xml:space="preserve"> </w:t>
      </w:r>
      <w:r w:rsidR="004258AA" w:rsidRPr="006D2FB0">
        <w:t xml:space="preserve">Comparison of IgG and IgG1 levels in the serum of cattle immunized with NcMP/CpG/R848 </w:t>
      </w:r>
      <w:r w:rsidR="00FB1063" w:rsidRPr="006D2FB0">
        <w:t xml:space="preserve">(immunized) </w:t>
      </w:r>
      <w:r w:rsidR="004258AA" w:rsidRPr="006D2FB0">
        <w:t>or sham-immunized with CpG/R848</w:t>
      </w:r>
      <w:r w:rsidR="00FB1063" w:rsidRPr="006D2FB0">
        <w:t xml:space="preserve"> (control)</w:t>
      </w:r>
      <w:r w:rsidR="004258AA" w:rsidRPr="006D2FB0">
        <w:t xml:space="preserve">, as indicated previously, </w:t>
      </w:r>
      <w:r w:rsidR="000E22AD">
        <w:t xml:space="preserve">exactly </w:t>
      </w:r>
      <w:r w:rsidR="004258AA" w:rsidRPr="006D2FB0">
        <w:t>before</w:t>
      </w:r>
      <w:r w:rsidR="00822150">
        <w:t xml:space="preserve"> </w:t>
      </w:r>
      <w:r w:rsidR="00A223F6">
        <w:t xml:space="preserve">(pre-booster) </w:t>
      </w:r>
      <w:r w:rsidR="00822150">
        <w:t xml:space="preserve">and </w:t>
      </w:r>
      <w:r w:rsidR="004258AA" w:rsidRPr="006D2FB0">
        <w:t>4 weeks after the third boost</w:t>
      </w:r>
      <w:r w:rsidR="004D6743" w:rsidRPr="006D2FB0">
        <w:t>er</w:t>
      </w:r>
      <w:r w:rsidR="004258AA" w:rsidRPr="006D2FB0">
        <w:t xml:space="preserve"> immunization</w:t>
      </w:r>
      <w:r w:rsidR="00A223F6">
        <w:t xml:space="preserve"> (after-booster)</w:t>
      </w:r>
      <w:r w:rsidR="00822150">
        <w:t xml:space="preserve">, which </w:t>
      </w:r>
      <w:r w:rsidR="00A223F6">
        <w:t xml:space="preserve">corresponded </w:t>
      </w:r>
      <w:r w:rsidR="00822150">
        <w:t xml:space="preserve">to the day of infection with </w:t>
      </w:r>
      <w:r w:rsidR="00FD75A1" w:rsidRPr="006D2FB0">
        <w:rPr>
          <w:i/>
          <w:iCs w:val="0"/>
        </w:rPr>
        <w:t xml:space="preserve">N. </w:t>
      </w:r>
      <w:r w:rsidR="004258AA" w:rsidRPr="006D2FB0">
        <w:rPr>
          <w:i/>
          <w:iCs w:val="0"/>
        </w:rPr>
        <w:t>caninum</w:t>
      </w:r>
      <w:r w:rsidR="004258AA" w:rsidRPr="006D2FB0">
        <w:t xml:space="preserve"> tachyzoites</w:t>
      </w:r>
      <w:r w:rsidR="00DC0733" w:rsidRPr="006D2FB0">
        <w:t xml:space="preserve"> (</w:t>
      </w:r>
      <w:r w:rsidR="00FD75A1" w:rsidRPr="006D2FB0">
        <w:t xml:space="preserve">animals from </w:t>
      </w:r>
      <w:r w:rsidR="00DC0733" w:rsidRPr="006D2FB0">
        <w:t>Experiment 1 received 2</w:t>
      </w:r>
      <w:r w:rsidR="009F6DDD" w:rsidRPr="006D2FB0">
        <w:t>.</w:t>
      </w:r>
      <w:r w:rsidR="00DC0733" w:rsidRPr="006D2FB0">
        <w:t>5</w:t>
      </w:r>
      <w:r w:rsidR="00FD75A1" w:rsidRPr="006D2FB0">
        <w:t xml:space="preserve"> </w:t>
      </w:r>
      <w:r w:rsidR="00FD75A1" w:rsidRPr="006D2FB0">
        <w:rPr>
          <w:rFonts w:cs="Arial"/>
        </w:rPr>
        <w:t>×</w:t>
      </w:r>
      <w:r w:rsidR="00FD75A1" w:rsidRPr="006D2FB0">
        <w:t xml:space="preserve"> </w:t>
      </w:r>
      <w:r w:rsidR="00DC0733" w:rsidRPr="006D2FB0">
        <w:t>10</w:t>
      </w:r>
      <w:r w:rsidR="00DC0733" w:rsidRPr="006D2FB0">
        <w:rPr>
          <w:vertAlign w:val="superscript"/>
        </w:rPr>
        <w:t>8</w:t>
      </w:r>
      <w:r w:rsidR="00DC0733" w:rsidRPr="006D2FB0">
        <w:t xml:space="preserve"> parasites and </w:t>
      </w:r>
      <w:r w:rsidR="00FD75A1" w:rsidRPr="006D2FB0">
        <w:t xml:space="preserve">those from </w:t>
      </w:r>
      <w:r w:rsidR="00DC0733" w:rsidRPr="006D2FB0">
        <w:t>Experiment 2</w:t>
      </w:r>
      <w:r w:rsidR="00FD75A1" w:rsidRPr="006D2FB0">
        <w:t xml:space="preserve"> received</w:t>
      </w:r>
      <w:r w:rsidR="00DC0733" w:rsidRPr="006D2FB0">
        <w:t xml:space="preserve"> 7</w:t>
      </w:r>
      <w:r w:rsidR="009F6DDD" w:rsidRPr="006D2FB0">
        <w:t>.</w:t>
      </w:r>
      <w:r w:rsidR="00DC0733" w:rsidRPr="006D2FB0">
        <w:t>0</w:t>
      </w:r>
      <w:r w:rsidR="00FD75A1" w:rsidRPr="006D2FB0">
        <w:t xml:space="preserve"> </w:t>
      </w:r>
      <w:r w:rsidR="00FD75A1" w:rsidRPr="006D2FB0">
        <w:rPr>
          <w:rFonts w:cs="Arial"/>
        </w:rPr>
        <w:t>×</w:t>
      </w:r>
      <w:r w:rsidR="00FD75A1" w:rsidRPr="006D2FB0">
        <w:t xml:space="preserve"> </w:t>
      </w:r>
      <w:r w:rsidR="00DC0733" w:rsidRPr="006D2FB0">
        <w:t>10</w:t>
      </w:r>
      <w:r w:rsidR="00DC0733" w:rsidRPr="006D2FB0">
        <w:rPr>
          <w:vertAlign w:val="superscript"/>
        </w:rPr>
        <w:t>8</w:t>
      </w:r>
      <w:r w:rsidR="00DC0733" w:rsidRPr="006D2FB0">
        <w:t xml:space="preserve"> parasites)</w:t>
      </w:r>
      <w:r w:rsidR="008408BF">
        <w:t>, and 15 days after infection</w:t>
      </w:r>
      <w:r w:rsidR="00A223F6">
        <w:t xml:space="preserve"> (after-infection)</w:t>
      </w:r>
      <w:r w:rsidR="004258AA" w:rsidRPr="006D2FB0">
        <w:t>.</w:t>
      </w:r>
      <w:r w:rsidR="00F80E44" w:rsidRPr="006D2FB0">
        <w:t xml:space="preserve"> Data corresponds to </w:t>
      </w:r>
      <w:r w:rsidR="00CD3750">
        <w:t xml:space="preserve">pooled </w:t>
      </w:r>
      <w:r w:rsidR="008408BF">
        <w:t>serum samples from Experiment 1</w:t>
      </w:r>
      <w:r w:rsidR="004E21E7">
        <w:t xml:space="preserve"> </w:t>
      </w:r>
      <w:r w:rsidR="008408BF">
        <w:t>(</w:t>
      </w:r>
      <w:r w:rsidR="004E21E7">
        <w:t xml:space="preserve">represented with </w:t>
      </w:r>
      <w:r w:rsidR="007E122F">
        <w:rPr>
          <w:rFonts w:cs="Arial"/>
        </w:rPr>
        <w:t>closed circles</w:t>
      </w:r>
      <w:r w:rsidR="008408BF">
        <w:rPr>
          <w:rFonts w:cs="Arial"/>
        </w:rPr>
        <w:t>)</w:t>
      </w:r>
      <w:r w:rsidR="004E21E7">
        <w:rPr>
          <w:rFonts w:cs="Arial"/>
        </w:rPr>
        <w:t xml:space="preserve"> and </w:t>
      </w:r>
      <w:r w:rsidR="008408BF">
        <w:rPr>
          <w:rFonts w:cs="Arial"/>
        </w:rPr>
        <w:t>Experiment</w:t>
      </w:r>
      <w:r w:rsidR="007661DC">
        <w:rPr>
          <w:rFonts w:cs="Arial"/>
        </w:rPr>
        <w:t xml:space="preserve"> </w:t>
      </w:r>
      <w:r w:rsidR="008408BF">
        <w:rPr>
          <w:rFonts w:cs="Arial"/>
        </w:rPr>
        <w:t>2 (</w:t>
      </w:r>
      <w:r w:rsidR="007E122F">
        <w:rPr>
          <w:rFonts w:cs="Arial"/>
        </w:rPr>
        <w:t>open circles</w:t>
      </w:r>
      <w:r w:rsidR="00F80E44" w:rsidRPr="006D2FB0">
        <w:t>) with a total number of 4 animals per group</w:t>
      </w:r>
      <w:r w:rsidR="00FD75A1" w:rsidRPr="006D2FB0">
        <w:t xml:space="preserve"> per experiment</w:t>
      </w:r>
      <w:r w:rsidR="00F80E44" w:rsidRPr="006D2FB0">
        <w:t xml:space="preserve">. Each dot represents an individual animal. </w:t>
      </w:r>
      <w:r w:rsidR="004660D8">
        <w:t>Each colour represents one animal throughout the measurements.</w:t>
      </w:r>
      <w:r w:rsidR="004660D8" w:rsidRPr="006D2FB0">
        <w:t xml:space="preserve"> </w:t>
      </w:r>
      <w:r w:rsidR="00F80E44" w:rsidRPr="006D2FB0">
        <w:t xml:space="preserve">Each bar represents the mean of each pooled group. Data </w:t>
      </w:r>
      <w:r w:rsidR="003A6237">
        <w:t>are</w:t>
      </w:r>
      <w:r w:rsidR="003A6237" w:rsidRPr="006D2FB0">
        <w:t xml:space="preserve"> </w:t>
      </w:r>
      <w:r w:rsidR="00F80E44" w:rsidRPr="006D2FB0">
        <w:t>presented as Log</w:t>
      </w:r>
      <w:r w:rsidR="00F80E44" w:rsidRPr="008408BF">
        <w:rPr>
          <w:vertAlign w:val="subscript"/>
        </w:rPr>
        <w:t>10</w:t>
      </w:r>
      <w:r w:rsidR="00F80E44" w:rsidRPr="006D2FB0">
        <w:t xml:space="preserve"> of the </w:t>
      </w:r>
      <w:r w:rsidR="00D2663D" w:rsidRPr="006D2FB0">
        <w:t xml:space="preserve">antibody </w:t>
      </w:r>
      <w:r w:rsidR="00F80E44" w:rsidRPr="006D2FB0">
        <w:t>titres.</w:t>
      </w:r>
      <w:r w:rsidR="00756E38" w:rsidRPr="006D2FB0">
        <w:t xml:space="preserve"> </w:t>
      </w:r>
      <w:bookmarkStart w:id="47" w:name="OLE_LINK1"/>
      <w:r w:rsidR="001A3B6F" w:rsidRPr="006D2FB0">
        <w:t>Data w</w:t>
      </w:r>
      <w:r w:rsidR="00207FAB">
        <w:t>ere</w:t>
      </w:r>
      <w:r w:rsidR="001A3B6F" w:rsidRPr="006D2FB0">
        <w:t xml:space="preserve"> analysed with Mann-Whitney</w:t>
      </w:r>
      <w:bookmarkEnd w:id="42"/>
      <w:r w:rsidR="00752DC3">
        <w:t xml:space="preserve"> </w:t>
      </w:r>
      <w:bookmarkStart w:id="48" w:name="OLE_LINK4"/>
      <w:r w:rsidR="00752DC3">
        <w:t>(</w:t>
      </w:r>
      <w:r w:rsidR="008408BF">
        <w:t xml:space="preserve">* </w:t>
      </w:r>
      <w:r w:rsidR="008408BF">
        <w:rPr>
          <w:i/>
        </w:rPr>
        <w:t xml:space="preserve">P </w:t>
      </w:r>
      <w:r w:rsidR="008408BF">
        <w:t xml:space="preserve">0.05; </w:t>
      </w:r>
      <w:r w:rsidR="00752DC3">
        <w:t>*</w:t>
      </w:r>
      <w:r w:rsidR="007E122F">
        <w:t>*</w:t>
      </w:r>
      <w:r w:rsidR="00752DC3">
        <w:t xml:space="preserve"> </w:t>
      </w:r>
      <w:r w:rsidR="00752DC3">
        <w:rPr>
          <w:i/>
        </w:rPr>
        <w:t xml:space="preserve">P </w:t>
      </w:r>
      <w:r w:rsidR="00752DC3">
        <w:t>&lt; 0.0</w:t>
      </w:r>
      <w:bookmarkEnd w:id="48"/>
      <w:r w:rsidR="007E122F">
        <w:t>1</w:t>
      </w:r>
      <w:r w:rsidR="00752DC3">
        <w:t xml:space="preserve">; *** </w:t>
      </w:r>
      <w:r w:rsidR="00752DC3">
        <w:rPr>
          <w:i/>
        </w:rPr>
        <w:t xml:space="preserve">P </w:t>
      </w:r>
      <w:r w:rsidR="00752DC3">
        <w:t>&lt; 0.001</w:t>
      </w:r>
      <w:r w:rsidR="00752DC3">
        <w:rPr>
          <w:rStyle w:val="Refdecomentrio"/>
          <w:iCs w:val="0"/>
          <w:color w:val="auto"/>
        </w:rPr>
        <w:t>).</w:t>
      </w:r>
      <w:bookmarkEnd w:id="43"/>
      <w:bookmarkEnd w:id="44"/>
      <w:bookmarkEnd w:id="45"/>
      <w:bookmarkEnd w:id="46"/>
      <w:bookmarkEnd w:id="47"/>
    </w:p>
    <w:p w14:paraId="44748DA3" w14:textId="01157B09" w:rsidR="00F05A74" w:rsidRPr="00F05A74" w:rsidRDefault="00F05A74" w:rsidP="002123E8">
      <w:pPr>
        <w:spacing w:before="240"/>
      </w:pPr>
      <w:r>
        <w:t xml:space="preserve">Animals from the </w:t>
      </w:r>
      <w:r w:rsidRPr="005E507C">
        <w:t xml:space="preserve">immunized group displayed significantly higher levels of both NcMP-specific IgG and IgG1 after </w:t>
      </w:r>
      <w:r>
        <w:t xml:space="preserve">booster and after </w:t>
      </w:r>
      <w:r w:rsidRPr="005E507C">
        <w:t>infection than animals from the control group in both experiments</w:t>
      </w:r>
      <w:r>
        <w:t xml:space="preserve"> (</w:t>
      </w:r>
      <w:r w:rsidRPr="00E66E07">
        <w:rPr>
          <w:i/>
          <w:iCs/>
        </w:rPr>
        <w:t>P</w:t>
      </w:r>
      <w:r>
        <w:t xml:space="preserve"> &lt; 0.05). No significant differences in IgG or IgG1 levels were found before the third booster immunization between control and immunized group. Antibody levels presented in the serum of animals from Experiment 2 before immunization were not measured. IgG1 was below detection levels in all animals of the control group of the Experiment 2 before infection, but most of them developed antibodies 15 days after infection (Fig. 2). The </w:t>
      </w:r>
      <w:r w:rsidRPr="005E507C">
        <w:t xml:space="preserve">serum of animals from Experiment 2 had </w:t>
      </w:r>
      <w:r>
        <w:t>a</w:t>
      </w:r>
      <w:r w:rsidRPr="005E507C">
        <w:t xml:space="preserve"> smaller increase in the levels of IgG 15 days after infection than</w:t>
      </w:r>
      <w:r>
        <w:t xml:space="preserve"> in</w:t>
      </w:r>
      <w:r w:rsidRPr="005E507C">
        <w:t xml:space="preserve"> the serum from animals of Experiment 1, despite having received a larger quantity of parasites</w:t>
      </w:r>
      <w:r>
        <w:t xml:space="preserve">. The increase in specific IgG1 antibodies is indicative of a Th2-type immune response. However, further conclusions about the predominance of IgG1 and an associated Th2 response cannot be drawn due to lack of IgG2 investigation. </w:t>
      </w:r>
    </w:p>
    <w:p w14:paraId="12970DD3" w14:textId="3B424469" w:rsidR="002357E3" w:rsidRPr="000C71A6" w:rsidRDefault="00E90F8F" w:rsidP="00A078BC">
      <w:pPr>
        <w:pStyle w:val="Estilo1"/>
      </w:pPr>
      <w:bookmarkStart w:id="49" w:name="_Toc115037826"/>
      <w:r>
        <w:t xml:space="preserve">3.3. </w:t>
      </w:r>
      <w:r w:rsidR="00405769">
        <w:t xml:space="preserve">Assessment of the </w:t>
      </w:r>
      <w:r w:rsidR="00552C1B">
        <w:t>IL-2, IL-4, IL-17A and IFN-γ</w:t>
      </w:r>
      <w:r w:rsidR="002357E3" w:rsidRPr="000C71A6">
        <w:t xml:space="preserve"> </w:t>
      </w:r>
      <w:r w:rsidR="00405769">
        <w:t>levels in the serum of vaccinated and infected animals</w:t>
      </w:r>
      <w:bookmarkEnd w:id="49"/>
    </w:p>
    <w:p w14:paraId="71E86C6A" w14:textId="6B746C9B" w:rsidR="00DC3FD9" w:rsidRDefault="006B7B6F" w:rsidP="00DC3FD9">
      <w:r>
        <w:t xml:space="preserve">Cell mediated immunity is known to be the most effective host resistance mechanism against </w:t>
      </w:r>
      <w:r w:rsidR="00FD75A1">
        <w:rPr>
          <w:i/>
        </w:rPr>
        <w:t xml:space="preserve">N. </w:t>
      </w:r>
      <w:r>
        <w:rPr>
          <w:i/>
        </w:rPr>
        <w:t>caninum</w:t>
      </w:r>
      <w:r>
        <w:t xml:space="preserve"> </w:t>
      </w:r>
      <w:r>
        <w:fldChar w:fldCharType="begin" w:fldLock="1"/>
      </w:r>
      <w:r w:rsidR="009C5E6C">
        <w:instrText>ADDIN CSL_CITATION {"citationItems":[{"id":"ITEM-1","itemData":{"DOI":"10.1016/J.IJPPAW.2015.04.002","ISSN":"2213-2244","abstract":"Neospora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Wildlife","id":"ITEM-1","issue":"2","issued":{"date-parts":[["2015","8","1"]]},"page":"216-238","publisher":"Elsevier","title":"A review of neosporosis and pathologic findings of Neospora caninum infection in wildlife","type":"article-journal","volume":"4"},"uris":["http://www.mendeley.com/documents/?uuid=0eb21b67-0b11-310b-bb97-5e8fd960f5bc"]},{"id":"ITEM-2","itemData":{"DOI":"10.1128/CMR.00031-06","ISSN":"0893-8512","PMID":"17428888","abstract":"Neospora caninum is a protozoan parasite of animals. Until 1988, it was misidentified as Toxoplasma gondii. Since its first recognition in dogs in 1984 and the description of the new genus and species Neospora caninum in 1988, neosporosis has emerged as a serious disease of cattle and dogs worldwide. Abortions and neonatal mortality are a major problem in livestock operations, and neosporosis is a major cause of abortion in cattle. Although antibodies to N. caninum have been reported, the parasite has not been detected in human tissues. Thus, the zoonotic potential is uncertain. This review is focused mainly on the epidemiology and control of neosporosis in cattle, but worldwide seroprevalences of N. caninum in animals and humans are tabulated. The role of wildlife in the life cycle of N. caninum and strategies for the control of neosporosis in cattle are discussed. Copyright © 2007, American Society for Microbiology. All Rights Reserved.","author":[{"dropping-particle":"","family":"Dubey","given":"J. P.","non-dropping-particle":"","parse-names":false,"suffix":""},{"dropping-particle":"","family":"Schares","given":"G.","non-dropping-particle":"","parse-names":false,"suffix":""},{"dropping-particle":"","family":"Ortega-Mora","given":"L. M.","non-dropping-particle":"","parse-names":false,"suffix":""}],"container-title":"Clinical Microbiology Reviews","id":"ITEM-2","issue":"2","issued":{"date-parts":[["2007","4"]]},"page":"323-367","publisher":"American Society for Microbiology (ASM)","title":"Epidemiology and Control of Neosporosis and Neospora caninum","type":"article-journal","volume":"20"},"uris":["http://www.mendeley.com/documents/?uuid=70fcd63a-553e-3413-ab2d-6114b98716c2"]},{"id":"ITEM-3","itemData":{"DOI":"10.1016/J.MEEGID.2012.08.012","ISSN":"1567-1348","PMID":"22985682","abstract":"This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B.V.","author":[{"dropping-particle":"","family":"Goodswen","given":"Stephen J.","non-dropping-particle":"","parse-names":false,"suffix":""},{"dropping-particle":"","family":"Kennedy","given":"Paul J.","non-dropping-particle":"","parse-names":false,"suffix":""},{"dropping-particle":"","family":"Ellis","given":"John T.","non-dropping-particle":"","parse-names":false,"suffix":""}],"container-title":"Infection, Genetics and Evolution","id":"ITEM-3","issue":"1","issued":{"date-parts":[["2013","1","1"]]},"page":"133-150","publisher":"Elsevier","title":"A review of the infection, genetics, and evolution of Neospora caninum: From the past to the present","type":"article-journal","volume":"13"},"uris":["http://www.mendeley.com/documents/?uuid=ec998491-25c0-3ac3-a2aa-a141fbdeeff9"]}],"mendeley":{"formattedCitation":"[9]–[11]","manualFormatting":"[9–11]","plainTextFormattedCitation":"[9]–[11]","previouslyFormattedCitation":"[9]–[11]"},"properties":{"noteIndex":0},"schema":"https://github.com/citation-style-language/schema/raw/master/csl-citation.json"}</w:instrText>
      </w:r>
      <w:r>
        <w:fldChar w:fldCharType="separate"/>
      </w:r>
      <w:r w:rsidR="002600A2">
        <w:rPr>
          <w:noProof/>
        </w:rPr>
        <w:t>[9–</w:t>
      </w:r>
      <w:r w:rsidR="00F00084" w:rsidRPr="00F00084">
        <w:rPr>
          <w:noProof/>
        </w:rPr>
        <w:t>11]</w:t>
      </w:r>
      <w:r>
        <w:fldChar w:fldCharType="end"/>
      </w:r>
      <w:r w:rsidR="0034038B">
        <w:t>.</w:t>
      </w:r>
      <w:r w:rsidR="00DC3FD9">
        <w:t xml:space="preserve"> </w:t>
      </w:r>
      <w:r>
        <w:t xml:space="preserve">Pro-inflammatory cytokines </w:t>
      </w:r>
      <w:r w:rsidR="00E57A43">
        <w:t>IFN-</w:t>
      </w:r>
      <w:r w:rsidR="00E57A43">
        <w:rPr>
          <w:rFonts w:cs="Arial"/>
        </w:rPr>
        <w:t>γ</w:t>
      </w:r>
      <w:r w:rsidR="00E57A43">
        <w:t xml:space="preserve"> and IL-2 are </w:t>
      </w:r>
      <w:r w:rsidR="00DC3FD9">
        <w:t>considered</w:t>
      </w:r>
      <w:r w:rsidR="00E57A43">
        <w:t xml:space="preserve"> key mediators in </w:t>
      </w:r>
      <w:r w:rsidR="00E04597">
        <w:t>cell mediated immunity</w:t>
      </w:r>
      <w:r w:rsidR="00E57A43">
        <w:t xml:space="preserve"> </w:t>
      </w:r>
      <w:r w:rsidR="005D6559" w:rsidRPr="000C71A6">
        <w:fldChar w:fldCharType="begin" w:fldLock="1"/>
      </w:r>
      <w:r w:rsidR="004A4DFA">
        <w:instrText>ADDIN CSL_CITATION {"citationItems":[{"id":"ITEM-1","itemData":{"DOI":"10.1016/S0020-7519(99)00141-1","ISSN":"00207519","PMID":"10608450","abstract":"The type of immune response required to protect mice against clinical disease during acute Neospora caninum challenge was investigated in BALB/c mice. Groups of female BALB/c mice were infected i.p. with N. caninum tachyzoites concomitant with either: (1) antibody to interferon-γ; (2) recombinant murine interleukin-12; or (3) recombinant murine interleukin-12 plus antibody to interferon-γ. Mice treated with anti-interferon-γ alone had increased morbidity/mortality, decreased body weight, increased foci of liver necrosis and increased numbers of N. caninum tachyzoites in the lung by 7 days p.i. compared with controls. Increased disease and parasite load in the anti-interferon-γ-treated mice was associated with antigen-specific antibody IgG1 &gt; IgG2a and a three-fold decreased ratio of antigen-specific interferon-γ:interleukin-4. Mice treated with recombinant murine interleukin-12 had decreased encephalitis and brain parasite load at 3 weeks p.i. compared with control mice treated with PBS. In recombinant murine interleukin-12-treated mice, decreased brain lesions and parasite load were associated with antigen-specific antibody IgG2a &gt; IgG1 and a three-fold increased ratio of antigen-specific interferon-γ:interleukin-4 from splenocytes; the interleukin-12 effect was dependent upon interferon-γ, as indicated by concomitant in vivo interferon-γ neutralisation. By 6 weeks p.i. with N. caninum, there were no differences in brain lesions and parasite load between interleukin-12- and PBS-treated groups, indicating that the effects of interleukin-12 on driving a protective type 1 response were transient. These data indicate a role for interferon-γ, interleukin-12 and type 1 immune responses in control of acute neosporosis in mice.","author":[{"dropping-particle":"V.","family":"Baszler","given":"Timothy","non-dropping-particle":"","parse-names":false,"suffix":""},{"dropping-particle":"","family":"Long","given":"Maureen T.","non-dropping-particle":"","parse-names":false,"suffix":""},{"dropping-particle":"","family":"McElwain","given":"Terry F.","non-dropping-particle":"","parse-names":false,"suffix":""},{"dropping-particle":"","family":"Mathison","given":"Bruce A.","non-dropping-particle":"","parse-names":false,"suffix":""}],"container-title":"International Journal for Parasitology","id":"ITEM-1","issue":"10","issued":{"date-parts":[["1999"]]},"page":"1635-1646","publisher":"Elsevier Ltd","title":"Interferon-γ and interleukin-12 mediate protection to acute Neospora caninum infection in BALB/c mice","type":"article-journal","volume":"29"},"uris":["http://www.mendeley.com/documents/?uuid=c01e2452-6513-3b8b-a67d-9127f55db327"]},{"id":"ITEM-2","itemData":{"DOI":"10.1016/J.IJPPAW.2015.04.002","ISSN":"2213-2244","abstract":"Neospora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Wildlife","id":"ITEM-2","issue":"2","issued":{"date-parts":[["2015","8","1"]]},"page":"216-238","publisher":"Elsevier","title":"A review of neosporosis and pathologic findings of Neospora caninum infection in wildlife","type":"article-journal","volume":"4"},"uris":["http://www.mendeley.com/documents/?uuid=0eb21b67-0b11-310b-bb97-5e8fd960f5bc"]}],"mendeley":{"formattedCitation":"[10], [18]","manualFormatting":"[10, 17]","plainTextFormattedCitation":"[10], [18]","previouslyFormattedCitation":"[10], [18]"},"properties":{"noteIndex":0},"schema":"https://github.com/citation-style-language/schema/raw/master/csl-citation.json"}</w:instrText>
      </w:r>
      <w:r w:rsidR="005D6559" w:rsidRPr="000C71A6">
        <w:fldChar w:fldCharType="separate"/>
      </w:r>
      <w:r w:rsidR="002600A2">
        <w:rPr>
          <w:noProof/>
        </w:rPr>
        <w:t xml:space="preserve">[10, </w:t>
      </w:r>
      <w:r w:rsidR="00F00084" w:rsidRPr="00F00084">
        <w:rPr>
          <w:noProof/>
        </w:rPr>
        <w:t>17]</w:t>
      </w:r>
      <w:r w:rsidR="005D6559" w:rsidRPr="000C71A6">
        <w:fldChar w:fldCharType="end"/>
      </w:r>
      <w:r w:rsidR="005D6559" w:rsidRPr="000C71A6">
        <w:t>.</w:t>
      </w:r>
      <w:r w:rsidR="00133821" w:rsidRPr="00133821">
        <w:t xml:space="preserve"> </w:t>
      </w:r>
    </w:p>
    <w:p w14:paraId="551B14C4" w14:textId="242A47EA" w:rsidR="00642F95" w:rsidRPr="00DC3FD9" w:rsidRDefault="00133821" w:rsidP="00DC3FD9">
      <w:r>
        <w:t xml:space="preserve">To determine whether immunization and infection induced an increase </w:t>
      </w:r>
      <w:r w:rsidR="00DC3FD9">
        <w:t xml:space="preserve">in </w:t>
      </w:r>
      <w:r>
        <w:t xml:space="preserve">these </w:t>
      </w:r>
      <w:r w:rsidR="00DC3FD9">
        <w:t xml:space="preserve">molecules </w:t>
      </w:r>
      <w:r>
        <w:t xml:space="preserve">and </w:t>
      </w:r>
      <w:r w:rsidR="00DC3FD9">
        <w:t xml:space="preserve">in </w:t>
      </w:r>
      <w:r>
        <w:t xml:space="preserve">other cytokines related to the </w:t>
      </w:r>
      <w:r w:rsidR="00AF68ED">
        <w:t xml:space="preserve">T cell </w:t>
      </w:r>
      <w:r>
        <w:t xml:space="preserve">response to </w:t>
      </w:r>
      <w:r>
        <w:rPr>
          <w:i/>
        </w:rPr>
        <w:t>Neospora caninum</w:t>
      </w:r>
      <w:r>
        <w:t>, serum samples were analysed</w:t>
      </w:r>
      <w:r w:rsidR="00C22D63">
        <w:t xml:space="preserve"> by ELISA</w:t>
      </w:r>
      <w:r>
        <w:t xml:space="preserve"> and cytokine concentration was determined.</w:t>
      </w:r>
      <w:r w:rsidR="00986BA2" w:rsidRPr="00986BA2">
        <w:t xml:space="preserve"> </w:t>
      </w:r>
      <w:r w:rsidR="00E04597">
        <w:t>Here, a</w:t>
      </w:r>
      <w:r w:rsidR="00571329">
        <w:t xml:space="preserve"> slight</w:t>
      </w:r>
      <w:r w:rsidR="00E04597" w:rsidRPr="005E507C">
        <w:t xml:space="preserve"> increase </w:t>
      </w:r>
      <w:r w:rsidR="00571329">
        <w:t>in</w:t>
      </w:r>
      <w:r w:rsidR="00571329" w:rsidRPr="005E507C">
        <w:t xml:space="preserve"> </w:t>
      </w:r>
      <w:r w:rsidR="00E04597" w:rsidRPr="005E507C">
        <w:t>IL-2 levels was noted in b</w:t>
      </w:r>
      <w:r w:rsidR="00F566BA" w:rsidRPr="005E507C">
        <w:t>oth experiments after infection</w:t>
      </w:r>
      <w:r w:rsidR="00F566BA">
        <w:t>.</w:t>
      </w:r>
      <w:r w:rsidR="00E04597">
        <w:t xml:space="preserve"> </w:t>
      </w:r>
      <w:r w:rsidR="007D4619">
        <w:t xml:space="preserve">In general, </w:t>
      </w:r>
      <w:r w:rsidR="007D4619" w:rsidRPr="005E507C">
        <w:t>c</w:t>
      </w:r>
      <w:r w:rsidR="00644BAE" w:rsidRPr="005E507C">
        <w:t>ontrol</w:t>
      </w:r>
      <w:r w:rsidR="00660B75" w:rsidRPr="005E507C">
        <w:t xml:space="preserve"> groups displayed higher levels of IL-2 than </w:t>
      </w:r>
      <w:r w:rsidR="00644BAE" w:rsidRPr="005E507C">
        <w:t>immunized</w:t>
      </w:r>
      <w:r w:rsidR="00660B75" w:rsidRPr="005E507C">
        <w:t xml:space="preserve"> groups in b</w:t>
      </w:r>
      <w:r w:rsidR="00E828DE" w:rsidRPr="005E507C">
        <w:t>oth experiments</w:t>
      </w:r>
      <w:r w:rsidR="00A72446">
        <w:t>, which were already evident before infection.</w:t>
      </w:r>
      <w:r w:rsidR="00E828DE">
        <w:t xml:space="preserve"> </w:t>
      </w:r>
      <w:r w:rsidR="00CB610C" w:rsidRPr="00CB610C">
        <w:t xml:space="preserve">Animals from the control group presented significantly higher levels than the immunized group in a pool of samples from Experiment 1 and 2 (P &lt; 0.05; difference between means = 147.2 ± 64.17). </w:t>
      </w:r>
      <w:r w:rsidR="00E828DE">
        <w:t xml:space="preserve">These </w:t>
      </w:r>
      <w:r w:rsidR="006333C9">
        <w:t xml:space="preserve">increased IL-2 levels in the serum of control animals </w:t>
      </w:r>
      <w:r w:rsidR="00E828DE">
        <w:t xml:space="preserve">are in </w:t>
      </w:r>
      <w:r w:rsidR="006333C9">
        <w:t xml:space="preserve">general in </w:t>
      </w:r>
      <w:r w:rsidR="00E828DE">
        <w:t xml:space="preserve">agreement with </w:t>
      </w:r>
      <w:r w:rsidR="00660B75">
        <w:t>IFN-</w:t>
      </w:r>
      <w:r w:rsidR="00660B75">
        <w:rPr>
          <w:rFonts w:cs="Arial"/>
        </w:rPr>
        <w:t>γ</w:t>
      </w:r>
      <w:r w:rsidR="00660B75">
        <w:t xml:space="preserve"> levels</w:t>
      </w:r>
      <w:r w:rsidR="009278EF">
        <w:t xml:space="preserve">, </w:t>
      </w:r>
      <w:r w:rsidR="00F268EC">
        <w:t>what is expected, since Th1 cells are major IFN-</w:t>
      </w:r>
      <w:r w:rsidR="00F268EC">
        <w:rPr>
          <w:rFonts w:cs="Arial"/>
        </w:rPr>
        <w:t>γ and</w:t>
      </w:r>
      <w:r w:rsidR="00F268EC">
        <w:t xml:space="preserve"> IL-2 producers </w:t>
      </w:r>
      <w:r w:rsidR="00F268EC">
        <w:fldChar w:fldCharType="begin" w:fldLock="1"/>
      </w:r>
      <w:r w:rsidR="004A4DFA">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mendeley":{"formattedCitation":"[19]","plainTextFormattedCitation":"[19]","previouslyFormattedCitation":"[19]"},"properties":{"noteIndex":0},"schema":"https://github.com/citation-style-language/schema/raw/master/csl-citation.json"}</w:instrText>
      </w:r>
      <w:r w:rsidR="00F268EC">
        <w:fldChar w:fldCharType="separate"/>
      </w:r>
      <w:r w:rsidR="004A4DFA" w:rsidRPr="004A4DFA">
        <w:rPr>
          <w:noProof/>
        </w:rPr>
        <w:t>[19]</w:t>
      </w:r>
      <w:r w:rsidR="00F268EC">
        <w:fldChar w:fldCharType="end"/>
      </w:r>
      <w:r w:rsidR="00F268EC">
        <w:t>. Nevertheless, t</w:t>
      </w:r>
      <w:r w:rsidR="009278EF">
        <w:t xml:space="preserve">he levels of </w:t>
      </w:r>
      <w:r w:rsidR="00F268EC">
        <w:t>IFN-</w:t>
      </w:r>
      <w:r w:rsidR="00F268EC">
        <w:rPr>
          <w:rFonts w:cs="Arial"/>
        </w:rPr>
        <w:t>γ</w:t>
      </w:r>
      <w:r w:rsidR="00F268EC">
        <w:t xml:space="preserve"> were </w:t>
      </w:r>
      <w:r w:rsidR="009278EF">
        <w:t xml:space="preserve">very low in the serum of </w:t>
      </w:r>
      <w:r w:rsidR="006333C9">
        <w:t xml:space="preserve">both </w:t>
      </w:r>
      <w:r w:rsidR="009278EF">
        <w:t>immunized and control animals</w:t>
      </w:r>
      <w:r w:rsidR="0042127D">
        <w:t>, most of the times below the detection limit</w:t>
      </w:r>
      <w:r w:rsidR="00986BA2">
        <w:t xml:space="preserve">. </w:t>
      </w:r>
      <w:r w:rsidR="006333C9">
        <w:t>No significant differences were found between groups regarding IFN-</w:t>
      </w:r>
      <w:r w:rsidR="006333C9">
        <w:rPr>
          <w:rFonts w:cs="Arial"/>
        </w:rPr>
        <w:t xml:space="preserve">γ, although the serum from two animals </w:t>
      </w:r>
      <w:r w:rsidR="00905B07">
        <w:rPr>
          <w:rFonts w:cs="Arial"/>
        </w:rPr>
        <w:t xml:space="preserve">of the control group from Experiment 1 </w:t>
      </w:r>
      <w:r w:rsidR="006333C9">
        <w:rPr>
          <w:rFonts w:cs="Arial"/>
        </w:rPr>
        <w:t xml:space="preserve">had markedly increased </w:t>
      </w:r>
      <w:r w:rsidR="006333C9">
        <w:t>IFN-</w:t>
      </w:r>
      <w:r w:rsidR="006333C9">
        <w:rPr>
          <w:rFonts w:cs="Arial"/>
        </w:rPr>
        <w:t>γ levels</w:t>
      </w:r>
      <w:r w:rsidR="006333C9">
        <w:t xml:space="preserve">. One of these also had the highest levels of IL-2. Only </w:t>
      </w:r>
      <w:r w:rsidR="006333C9">
        <w:rPr>
          <w:rFonts w:cs="Arial"/>
        </w:rPr>
        <w:t xml:space="preserve">two animals from </w:t>
      </w:r>
      <w:r w:rsidR="006333C9">
        <w:t>Experiment 2 had detectable serum IFN-</w:t>
      </w:r>
      <w:r w:rsidR="006333C9">
        <w:rPr>
          <w:rFonts w:cs="Arial"/>
        </w:rPr>
        <w:t xml:space="preserve">γ levels 15 days after infection in the immunized group. The serum from one of these animals presented the highest IL-2 level. </w:t>
      </w:r>
    </w:p>
    <w:p w14:paraId="68452A9B" w14:textId="54775631" w:rsidR="00E962A8" w:rsidRDefault="006E3558" w:rsidP="00F05A74">
      <w:pPr>
        <w:spacing w:line="276" w:lineRule="auto"/>
        <w:ind w:firstLine="0"/>
        <w:jc w:val="center"/>
      </w:pPr>
      <w:bookmarkStart w:id="50" w:name="_Toc113920034"/>
      <w:r>
        <w:rPr>
          <w:noProof/>
          <w:lang w:val="pt-PT" w:eastAsia="pt-PT"/>
        </w:rPr>
        <w:drawing>
          <wp:inline distT="0" distB="0" distL="0" distR="0" wp14:anchorId="7613E9C5" wp14:editId="7ACEFD70">
            <wp:extent cx="5400000" cy="423421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4234210"/>
                    </a:xfrm>
                    <a:prstGeom prst="rect">
                      <a:avLst/>
                    </a:prstGeom>
                  </pic:spPr>
                </pic:pic>
              </a:graphicData>
            </a:graphic>
          </wp:inline>
        </w:drawing>
      </w:r>
    </w:p>
    <w:p w14:paraId="6BE7EB0D" w14:textId="084FD732" w:rsidR="00EA06A4" w:rsidRPr="00A83118" w:rsidRDefault="00EA06A4" w:rsidP="006553B8">
      <w:pPr>
        <w:pStyle w:val="Legenda"/>
        <w:spacing w:line="276" w:lineRule="auto"/>
      </w:pPr>
      <w:bookmarkStart w:id="51" w:name="_Toc114595396"/>
      <w:bookmarkStart w:id="52" w:name="_Toc114595563"/>
      <w:r w:rsidRPr="00E962A8">
        <w:rPr>
          <w:b/>
        </w:rPr>
        <w:t xml:space="preserve">Figure </w:t>
      </w:r>
      <w:r w:rsidRPr="00E962A8">
        <w:rPr>
          <w:b/>
        </w:rPr>
        <w:fldChar w:fldCharType="begin"/>
      </w:r>
      <w:r w:rsidRPr="00E962A8">
        <w:rPr>
          <w:b/>
        </w:rPr>
        <w:instrText xml:space="preserve"> SEQ Figure \* ARABIC </w:instrText>
      </w:r>
      <w:r w:rsidRPr="00E962A8">
        <w:rPr>
          <w:b/>
        </w:rPr>
        <w:fldChar w:fldCharType="separate"/>
      </w:r>
      <w:r w:rsidR="00184C64">
        <w:rPr>
          <w:b/>
          <w:noProof/>
        </w:rPr>
        <w:t>3</w:t>
      </w:r>
      <w:r w:rsidRPr="00E962A8">
        <w:rPr>
          <w:b/>
        </w:rPr>
        <w:fldChar w:fldCharType="end"/>
      </w:r>
      <w:r w:rsidRPr="00E962A8">
        <w:rPr>
          <w:b/>
        </w:rPr>
        <w:t>.</w:t>
      </w:r>
      <w:r w:rsidRPr="00E962A8">
        <w:t xml:space="preserve"> Serum IL-2, IL-4, IL-17A and IFN-γ cytokines detection. Comparison of IL-2, IL-4, IL-17A and IFN-γ levels in the serum of immunized or sham-immunized cattle, as indicated previously, </w:t>
      </w:r>
      <w:r w:rsidR="000E22AD" w:rsidRPr="00C5068C">
        <w:t>at the infection day (Pre-infection)</w:t>
      </w:r>
      <w:r w:rsidR="000E22AD" w:rsidRPr="00E962A8">
        <w:t xml:space="preserve"> </w:t>
      </w:r>
      <w:r w:rsidRPr="00E962A8">
        <w:t xml:space="preserve">and 15 days after the infection </w:t>
      </w:r>
      <w:r w:rsidR="000E22AD" w:rsidRPr="00C5068C">
        <w:t xml:space="preserve">(After-infection) </w:t>
      </w:r>
      <w:r w:rsidRPr="00E962A8">
        <w:t xml:space="preserve">with </w:t>
      </w:r>
      <w:r w:rsidRPr="00E962A8">
        <w:rPr>
          <w:i/>
        </w:rPr>
        <w:t>N. caninum</w:t>
      </w:r>
      <w:r w:rsidRPr="00E962A8">
        <w:t xml:space="preserve"> tachyzoites. Data corresponds to two independent experiments. Each dot represents an individual animal. Each colour represents one animal throughout the measurements. Each bar represents the mean of each group. </w:t>
      </w:r>
      <w:bookmarkEnd w:id="50"/>
      <w:r w:rsidR="006E3558" w:rsidRPr="00C5068C">
        <w:t>DL</w:t>
      </w:r>
      <w:r w:rsidR="00295444" w:rsidRPr="00C5068C">
        <w:t xml:space="preserve">- </w:t>
      </w:r>
      <w:r w:rsidR="006E3558" w:rsidRPr="00C5068C">
        <w:t>detection limit.</w:t>
      </w:r>
      <w:bookmarkEnd w:id="51"/>
      <w:bookmarkEnd w:id="52"/>
    </w:p>
    <w:p w14:paraId="28601F2C" w14:textId="48D0B571" w:rsidR="00CB610C" w:rsidRDefault="00986BA2" w:rsidP="00CB610C">
      <w:pPr>
        <w:spacing w:before="240"/>
      </w:pPr>
      <w:r>
        <w:rPr>
          <w:rFonts w:cs="Arial"/>
        </w:rPr>
        <w:t xml:space="preserve"> </w:t>
      </w:r>
      <w:r w:rsidR="00107199">
        <w:t xml:space="preserve"> </w:t>
      </w:r>
      <w:r w:rsidR="00CB610C">
        <w:t xml:space="preserve">IL-4 is a Th2-type cytokine and has been associated with a humoral immune response and, therefore, antibody production, particularly of the IgG1 and IgE isotypes </w:t>
      </w:r>
      <w:r w:rsidR="00CB610C" w:rsidRPr="000C71A6">
        <w:fldChar w:fldCharType="begin" w:fldLock="1"/>
      </w:r>
      <w:r w:rsidR="004A4DFA">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Immunology","type":"chapter"},"uris":["http://www.mendeley.com/documents/?uuid=5b612fa0-4782-467b-a937-4cc8cbeba109"]},{"id":"ITEM-2","itemData":{"DOI":"10.1016/J.IJPPAW.2015.04.002","ISSN":"2213-2244","abstract":"Neospora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Wildlife","id":"ITEM-2","issue":"2","issued":{"date-parts":[["2015","8","1"]]},"page":"216-238","publisher":"Elsevier","title":"A review of neosporosis and pathologic findings of Neospora caninum infection in wildlife","type":"article-journal","volume":"4"},"uris":["http://www.mendeley.com/documents/?uuid=0eb21b67-0b11-310b-bb97-5e8fd960f5bc"]}],"mendeley":{"formattedCitation":"[10], [19]","plainTextFormattedCitation":"[10], [19]","previouslyFormattedCitation":"[10], [19]"},"properties":{"noteIndex":0},"schema":"https://github.com/citation-style-language/schema/raw/master/csl-citation.json"}</w:instrText>
      </w:r>
      <w:r w:rsidR="00CB610C" w:rsidRPr="000C71A6">
        <w:fldChar w:fldCharType="separate"/>
      </w:r>
      <w:r w:rsidR="004A4DFA" w:rsidRPr="004A4DFA">
        <w:rPr>
          <w:noProof/>
        </w:rPr>
        <w:t>[10], [19]</w:t>
      </w:r>
      <w:r w:rsidR="00CB610C" w:rsidRPr="000C71A6">
        <w:fldChar w:fldCharType="end"/>
      </w:r>
      <w:r w:rsidR="00CB610C">
        <w:t>. IL-4 is produced by Th2 activated cells and suppresses IFN-</w:t>
      </w:r>
      <w:r w:rsidR="00CB610C">
        <w:rPr>
          <w:rFonts w:cs="Arial"/>
        </w:rPr>
        <w:t>γ</w:t>
      </w:r>
      <w:r w:rsidR="00CB610C">
        <w:t xml:space="preserve"> production </w:t>
      </w:r>
      <w:r w:rsidR="00CB610C">
        <w:fldChar w:fldCharType="begin" w:fldLock="1"/>
      </w:r>
      <w:r w:rsidR="004A4DFA">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mendeley":{"formattedCitation":"[19]","plainTextFormattedCitation":"[19]","previouslyFormattedCitation":"[19]"},"properties":{"noteIndex":0},"schema":"https://github.com/citation-style-language/schema/raw/master/csl-citation.json"}</w:instrText>
      </w:r>
      <w:r w:rsidR="00CB610C">
        <w:fldChar w:fldCharType="separate"/>
      </w:r>
      <w:r w:rsidR="004A4DFA" w:rsidRPr="004A4DFA">
        <w:rPr>
          <w:noProof/>
        </w:rPr>
        <w:t>[19]</w:t>
      </w:r>
      <w:r w:rsidR="00CB610C">
        <w:fldChar w:fldCharType="end"/>
      </w:r>
      <w:r w:rsidR="00CB610C">
        <w:t xml:space="preserve">. This type of immune response is associated with parasite survival and is often linked to recrudescence of infection that follows modulation of the immune response during pregnancy </w:t>
      </w:r>
      <w:r w:rsidR="00CB610C">
        <w:fldChar w:fldCharType="begin" w:fldLock="1"/>
      </w:r>
      <w:r w:rsidR="00CB610C">
        <w:instrText>ADDIN CSL_CITATION {"citationItems":[{"id":"ITEM-1","itemData":{"DOI":"10.1016/J.MEEGID.2012.08.012","ISSN":"1567-1348","PMID":"22985682","abstract":"This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B.V.","author":[{"dropping-particle":"","family":"Goodswen","given":"Stephen J.","non-dropping-particle":"","parse-names":false,"suffix":""},{"dropping-particle":"","family":"Kennedy","given":"Paul J.","non-dropping-particle":"","parse-names":false,"suffix":""},{"dropping-particle":"","family":"Ellis","given":"John T.","non-dropping-particle":"","parse-names":false,"suffix":""}],"container-title":"Infection, Genetics and Evolution","id":"ITEM-1","issue":"1","issued":{"date-parts":[["2013","1","1"]]},"page":"133-150","publisher":"Elsevier","title":"A review of the infection, genetics, and evolution of Neospora caninum: From the past to the present","type":"article-journal","volume":"13"},"uris":["http://www.mendeley.com/documents/?uuid=ec998491-25c0-3ac3-a2aa-a141fbdeeff9"]},{"id":"ITEM-2","itemData":{"DOI":"10.1371/journal.pone.0268903","ISSN":"1932-6203","PMID":"35604902","abstract":"Background","author":[{"dropping-particle":"","family":"Nayeri","given":"Tooran","non-dropping-particle":"","parse-names":false,"suffix":""},{"dropping-particle":"","family":"Moosazadeh","given":"Mahmood","non-dropping-particle":"","parse-names":false,"suffix":""},{"dropping-particle":"","family":"Sarvi","given":"Shahabeddin","non-dropping-particle":"","parse-names":false,"suffix":""},{"dropping-particle":"","family":"Daryani","given":"Ahmad","non-dropping-particle":"","parse-names":false,"suffix":""}],"container-title":"PLOS ONE","editor":[{"dropping-particle":"","family":"Rosenthal","given":"Benjamin M.","non-dropping-particle":"","parse-names":false,"suffix":""}],"id":"ITEM-2","issue":"5","issued":{"date-parts":[["2022","5","23"]]},"page":"e0268903","publisher":"PLoS One","title":"Neospora caninum infection in aborting bovines and lost fetuses: A systematic review and meta-analysis","type":"article-journal","volume":"17"},"uris":["http://www.mendeley.com/documents/?uuid=213fcfe5-2cf2-3ed1-986b-a5773735de14"]}],"mendeley":{"formattedCitation":"[1], [11]","manualFormatting":"[1, 11]","plainTextFormattedCitation":"[1], [11]","previouslyFormattedCitation":"[1], [11]"},"properties":{"noteIndex":0},"schema":"https://github.com/citation-style-language/schema/raw/master/csl-citation.json"}</w:instrText>
      </w:r>
      <w:r w:rsidR="00CB610C">
        <w:fldChar w:fldCharType="separate"/>
      </w:r>
      <w:r w:rsidR="00CB610C">
        <w:rPr>
          <w:noProof/>
        </w:rPr>
        <w:t xml:space="preserve">[1, </w:t>
      </w:r>
      <w:r w:rsidR="00CB610C" w:rsidRPr="00F00084">
        <w:rPr>
          <w:noProof/>
        </w:rPr>
        <w:t>11]</w:t>
      </w:r>
      <w:r w:rsidR="00CB610C">
        <w:fldChar w:fldCharType="end"/>
      </w:r>
      <w:r w:rsidR="00CB610C">
        <w:t xml:space="preserve">. Here, an </w:t>
      </w:r>
      <w:r w:rsidR="00CB610C" w:rsidRPr="005E507C">
        <w:t xml:space="preserve">increase of the IL-4 levels </w:t>
      </w:r>
      <w:r w:rsidR="00CB610C">
        <w:t xml:space="preserve">was noted </w:t>
      </w:r>
      <w:r w:rsidR="00CB610C" w:rsidRPr="005E507C">
        <w:t xml:space="preserve">after infection in the serum of </w:t>
      </w:r>
      <w:r w:rsidR="00CB610C">
        <w:t xml:space="preserve">control </w:t>
      </w:r>
      <w:r w:rsidR="00CB610C" w:rsidRPr="005E507C">
        <w:t>calves from Experiment 2</w:t>
      </w:r>
      <w:r w:rsidR="00CB610C">
        <w:t xml:space="preserve"> (Fig. 3). In Experiment 1, Il-4 was not detected in any but one serum from an animal of the control group. Controversially, this animal was one of the two animals presenting the highest IFN-</w:t>
      </w:r>
      <w:r w:rsidR="00CB610C">
        <w:rPr>
          <w:rFonts w:cs="Arial"/>
        </w:rPr>
        <w:t>γ levels</w:t>
      </w:r>
      <w:r w:rsidR="00CB610C">
        <w:t xml:space="preserve">. Comparison of the IL-4 </w:t>
      </w:r>
      <w:r w:rsidR="00CB610C" w:rsidRPr="000A655B">
        <w:rPr>
          <w:i/>
          <w:iCs/>
        </w:rPr>
        <w:t>versus</w:t>
      </w:r>
      <w:r w:rsidR="00CB610C">
        <w:t xml:space="preserve"> IFN-</w:t>
      </w:r>
      <w:r w:rsidR="00CB610C">
        <w:rPr>
          <w:rFonts w:cs="Arial"/>
        </w:rPr>
        <w:t>γ</w:t>
      </w:r>
      <w:r w:rsidR="00CB610C">
        <w:t xml:space="preserve"> levels in the serum of animals from Experiment 2, reveal that in general, and as expected from literature, </w:t>
      </w:r>
      <w:r w:rsidR="00CB610C" w:rsidRPr="005E507C">
        <w:t>animals with higher IL-4 levels had lower IFN-γ levels and animals with lower IL-4 levels had higher IFN-γ levels</w:t>
      </w:r>
      <w:r w:rsidR="00CB610C">
        <w:t xml:space="preserve">. In </w:t>
      </w:r>
      <w:r w:rsidR="00CB610C" w:rsidRPr="005E507C">
        <w:t>Experiment 2, the immunized group showed higher levels of IL-4 than the control group, both before and after infection indicating that in this experiment a Th2-biased response might have been induced</w:t>
      </w:r>
      <w:r w:rsidR="00CB610C">
        <w:t>. However, no significant differences were observed.</w:t>
      </w:r>
    </w:p>
    <w:p w14:paraId="3BF52541" w14:textId="7C09B2B0" w:rsidR="00063BCC" w:rsidRPr="000C71A6" w:rsidRDefault="00F05A74" w:rsidP="00F05A74">
      <w:pPr>
        <w:rPr>
          <w:rFonts w:cs="Arial"/>
        </w:rPr>
      </w:pPr>
      <w:r>
        <w:t xml:space="preserve">Th17 cells produce cytokines of the IL-17 family that are known to mediate the immune response against extracellular bacteria and fungi </w:t>
      </w:r>
      <w:r>
        <w:fldChar w:fldCharType="begin" w:fldLock="1"/>
      </w:r>
      <w:r w:rsidR="004A4DFA">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mendeley":{"formattedCitation":"[19]","plainTextFormattedCitation":"[19]","previouslyFormattedCitation":"[19]"},"properties":{"noteIndex":0},"schema":"https://github.com/citation-style-language/schema/raw/master/csl-citation.json"}</w:instrText>
      </w:r>
      <w:r>
        <w:fldChar w:fldCharType="separate"/>
      </w:r>
      <w:r w:rsidR="004A4DFA" w:rsidRPr="004A4DFA">
        <w:rPr>
          <w:noProof/>
        </w:rPr>
        <w:t>[19]</w:t>
      </w:r>
      <w:r>
        <w:fldChar w:fldCharType="end"/>
      </w:r>
      <w:r>
        <w:t xml:space="preserve">, but these have also been detected in protozoan infections, such as in a </w:t>
      </w:r>
      <w:r>
        <w:rPr>
          <w:i/>
        </w:rPr>
        <w:t>Neospora caninum</w:t>
      </w:r>
      <w:r>
        <w:t xml:space="preserve"> and </w:t>
      </w:r>
      <w:r w:rsidR="00207072">
        <w:rPr>
          <w:i/>
        </w:rPr>
        <w:t>Toxoplasma</w:t>
      </w:r>
      <w:r>
        <w:rPr>
          <w:i/>
        </w:rPr>
        <w:t xml:space="preserve"> gondii </w:t>
      </w:r>
      <w:r>
        <w:rPr>
          <w:iCs/>
        </w:rPr>
        <w:t xml:space="preserve">infections </w:t>
      </w:r>
      <w:r>
        <w:rPr>
          <w:i/>
        </w:rPr>
        <w:fldChar w:fldCharType="begin" w:fldLock="1"/>
      </w:r>
      <w:r w:rsidR="0023236C">
        <w:rPr>
          <w:i/>
        </w:rPr>
        <w:instrText>ADDIN CSL_CITATION {"citationItems":[{"id":"ITEM-1","itemData":{"DOI":"10.1155/2014/573825","abstract":"This study aimed to measure the synthesis of Th1 and Th2 cytokines by mononuclear cells after culture with live T. gondii and identified Th17 (CD4 +) and Tc17 (CD8 +) cells in toxoplasma-seronegative and toxoplasma-seropositive parturient and nonpregnant women. Cytometric bead arrays were used to measure cytokine levels (IL-2, TNF-í µí»¼, IFN-í µí»¾, IL-4, IL-5, and IL-10); immunophenotyping was used to characterize Th17 and Tc17 cells, and the cells were stained with antibodies against CD4 + and CD8 + T cells expressing IL-17. The addition of tachyzoites to cell cultures induced the synthesis of IL-5, IL-10, and TNF-í µí»¼ by cells from seronegative parturient women and of IL-5 and IL-10 by cells from seropositive, nonpregnant women. We observed a lower level of IL-17-expressing CD4 + and CD8 + T lymphocytes in cultures of cells from seronegative and seropositive parturient and nonpregnant women that were stimulated with tachyzoites, whereas analysis of the CD4 + and CD8 + T cell populations showed a higher level of CD4 + T cells compared with CD8 + T cells. These results suggest that the cytokine pattern and IL-17-expressing CD4 + and CD8 + T lymphocytes may have important roles in the inflammatory response to T. gondii, thus contributing to the maintenance of pregnancy and control of parasite invasion and replication.","author":[{"dropping-particle":"","family":"Líver Alves Silva","given":"Jéssica","non-dropping-particle":"","parse-names":false,"suffix":""},{"dropping-particle":"","family":"Rezende-Oliveira","given":"Karine","non-dropping-particle":"","parse-names":false,"suffix":""},{"dropping-particle":"","family":"Vinicius da Silva","given":"Marcos","non-dropping-particle":"","parse-names":false,"suffix":""},{"dropping-particle":"","family":"Gómez-Hernández","given":"César","non-dropping-particle":"","parse-names":false,"suffix":""},{"dropping-particle":"","family":"Crema Peghini","given":"Bethânea","non-dropping-particle":"","parse-names":false,"suffix":""},{"dropping-particle":"","family":"Maria Silva","given":"Neide","non-dropping-particle":"","parse-names":false,"suffix":""},{"dropping-particle":"","family":"Roberto Mineo","given":"José","non-dropping-particle":"","parse-names":false,"suffix":""},{"dropping-particle":"","family":"Rodrigues Júnior","given":"Virmondes","non-dropping-particle":"","parse-names":false,"suffix":""}],"id":"ITEM-1","issued":{"date-parts":[["2014"]]},"title":"IL-17-Expressing CD4 + and CD8 + T Lymphocytes in Human Toxoplasmosis","type":"article-journal"},"uris":["http://www.mendeley.com/documents/?uuid=7774e89d-d5c4-3d88-82c9-4a1df049a0bb"]},{"id":"ITEM-2","itemData":{"DOI":"10.3390/VACCINES10060925","ISSN":"2076-393X","PMID":"35746533","abstract":"Neospora caninum is an obligate intracellular protozoan responsible for abortion and stillbirths in cattle. We previously developed a mucosal vaccination approach using N. caninum membrane proteins and CpG adjuvant that conferred long-term protection against neosporosis in mice. Here, we have extended this approach by alternatively using the carbomer-based adjuvant Carbigen™ in the immunizing preparation. Immunized mice presented higher proportions and numbers of memory CD4+ and CD8+ T cells. Stimulation of spleen, lungs and liver leukocytes with parasite antigens induced a marked production of IFN-γ and IL-17A and, less markedly, IL-4. This balanced response was also evident in that both parasite-specific IgG1 and IgG2c were raised by immunization, together with specific intestinal IgA. Upon intraperitoneal infection with N. caninum, immunized mice presented lower parasitic burdens than sham-immunized controls. In the infected immunized mice, memory CD4+ T cells predominantly expressed T-bet and RORγt, and CD8+ T cells expressing T-bet were found increased. While spleen, lungs and liver leukocytes of both immunized and sham-immunized infected animals produced high amounts of IFN-γ, only the cells from immunized mice responded with high IL-17A production. Since in cattle both IFN-γ and IL-17A have been associated with protective mechanisms against N. caninum infection, the elicited cytokine profile obtained using CarbigenTM as adjuvant indicates that it could be worth exploring for bovine neosporosis vaccination.","author":[{"dropping-particle":"","family":"Correia","given":"Alexandra","non-dropping-particle":"","parse-names":false,"suffix":""},{"dropping-particle":"","family":"Alves","given":"Pedro","non-dropping-particle":"","parse-names":false,"suffix":""},{"dropping-particle":"","family":"Fróis-Martins","given":"Ricardo","non-dropping-particle":"","parse-names":false,"suffix":""},{"dropping-particle":"","family":"Teixeira","given":"Luzia","non-dropping-particle":"","parse-names":false,"suffix":""},{"dropping-particle":"","family":"Vilanova","given":"Manuel","non-dropping-particle":"","parse-names":false,"suffix":""}],"container-title":"Vaccines","id":"ITEM-2","issue":"6","issued":{"date-parts":[["2022","6","10"]]},"note":"T-bet and RORgt associated with Th1 and Th17 cell populations responses, respectively.\n\nIL-17A is generally associated with bacterial and fungal infections, however it has been detected to establish a protective role in protozoan infections such as toxoplasmosis.","page":"925","publisher":"Vaccines (Basel)","title":"Protective Effect against Neosporosis Induced by Intranasal Immunization with Neospora caninum Membrane Antigens Plus Carbomer-Based Adjuvant","type":"article-journal","volume":"10"},"uris":["http://www.mendeley.com/documents/?uuid=55936595-3a35-3056-b6ba-7a00f7805700"]}],"mendeley":{"formattedCitation":"[24], [54]","manualFormatting":"[21, 44]","plainTextFormattedCitation":"[24], [54]","previouslyFormattedCitation":"[24], [54]"},"properties":{"noteIndex":0},"schema":"https://github.com/citation-style-language/schema/raw/master/csl-citation.json"}</w:instrText>
      </w:r>
      <w:r>
        <w:rPr>
          <w:i/>
        </w:rPr>
        <w:fldChar w:fldCharType="separate"/>
      </w:r>
      <w:r>
        <w:rPr>
          <w:noProof/>
        </w:rPr>
        <w:t xml:space="preserve">[21, </w:t>
      </w:r>
      <w:r w:rsidRPr="00F00084">
        <w:rPr>
          <w:noProof/>
        </w:rPr>
        <w:t>44]</w:t>
      </w:r>
      <w:r>
        <w:rPr>
          <w:i/>
        </w:rPr>
        <w:fldChar w:fldCharType="end"/>
      </w:r>
      <w:r>
        <w:t>. IL-17A production is downregulated by IFN-</w:t>
      </w:r>
      <w:r>
        <w:rPr>
          <w:rFonts w:cs="Arial"/>
        </w:rPr>
        <w:t xml:space="preserve">γ </w:t>
      </w:r>
      <w:r>
        <w:fldChar w:fldCharType="begin" w:fldLock="1"/>
      </w:r>
      <w:r w:rsidR="0023236C">
        <w:instrText>ADDIN CSL_CITATION {"citationItems":[{"id":"ITEM-1","itemData":{"DOI":"10.1038/srep05431","ISSN":"2045-2322","PMID":"24961164","abstract":"IL-17 has emerged as a key player in the immune system, exhibiting roles in protection from infectious diseases and promoting inflammation in autoimmunity. Initially thought to be CD4 T-cell-derived, the sources of IL-17 are now known to be varied and belong to both the innate and adaptive arms of the immune system. Mechanisms for inducing IL-17 production in lymphoid cells are thought to rely on appropriate antigenic stimulation in the context of TGF-β1, IL-6 and/or IL-1β. Using culture protocols adapted from human studies, we have effectively induced both bovine CD4+ and WC1+ γδ T-cells to produce IL-17 termed Th17 and γδ17 cells, respectively. The negative regulatory effect of IFN-γ on mouse and human IL-17 production can be extended to the bovine model, as addition of IFN-γ decreases IL-17 production in both cell types. Furthermore we show that infection with the protozoan Neospora caninum will induce fibroblasts to secrete pro-IL-17 factors thereby inducing a γδ17 phenotype that preferentially kills infected target cells. Our study identifies two T-cell sources of IL-17 and is the first to demonstrate a protective effect of IL-17+ T-cells in ruminants. Our findings offer further opportunities for future adjuvants or vaccines which could benefit from inducing these responses.","author":[{"dropping-particle":"","family":"Peckham","given":"R. K.","non-dropping-particle":"","parse-names":false,"suffix":""},{"dropping-particle":"","family":"Brill","given":"R.","non-dropping-particle":"","parse-names":false,"suffix":""},{"dropping-particle":"","family":"Foster","given":"D. S.","non-dropping-particle":"","parse-names":false,"suffix":""},{"dropping-particle":"","family":"Bowen","given":"A. L.","non-dropping-particle":"","parse-names":false,"suffix":""},{"dropping-particle":"","family":"Leigh","given":"J. A.","non-dropping-particle":"","parse-names":false,"suffix":""},{"dropping-particle":"","family":"Coffey","given":"T. J.","non-dropping-particle":"","parse-names":false,"suffix":""},{"dropping-particle":"","family":"Flynn","given":"R. J.","non-dropping-particle":"","parse-names":false,"suffix":""}],"container-title":"Scientific Reports 2014 4:1","id":"ITEM-1","issue":"1","issued":{"date-parts":[["2014","6","25"]]},"page":"1-5","publisher":"Nature Publishing Group","title":"Two distinct populations of Bovine IL-17+ T-cells can be induced and WC1+IL-17+γδ T-cells are effective killers of protozoan parasites","type":"article-journal","volume":"4"},"uris":["http://www.mendeley.com/documents/?uuid=c6606cc8-8a57-336b-8051-fdc52aeaafe2"]},{"id":"ITEM-2","itemData":{"ISBN":"978-1-4557-0362-3","abstract":"The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Sciences","edition":"9th","id":"ITEM-2","issued":{"date-parts":[["2012"]]},"publisher":"W.B. Saunders Company","title":"Veterinary Immunology","type":"chapter"},"uris":["http://www.mendeley.com/documents/?uuid=5b612fa0-4782-467b-a937-4cc8cbeba109"]}],"mendeley":{"formattedCitation":"[19], [55]","manualFormatting":"[19, 45]","plainTextFormattedCitation":"[19], [55]","previouslyFormattedCitation":"[19], [55]"},"properties":{"noteIndex":0},"schema":"https://github.com/citation-style-language/schema/raw/master/csl-citation.json"}</w:instrText>
      </w:r>
      <w:r>
        <w:fldChar w:fldCharType="separate"/>
      </w:r>
      <w:r>
        <w:rPr>
          <w:noProof/>
        </w:rPr>
        <w:t xml:space="preserve">[19, </w:t>
      </w:r>
      <w:r w:rsidRPr="00F00084">
        <w:rPr>
          <w:noProof/>
        </w:rPr>
        <w:t>45]</w:t>
      </w:r>
      <w:r>
        <w:fldChar w:fldCharType="end"/>
      </w:r>
      <w:r>
        <w:t xml:space="preserve">. Here, the levels of IL-17 were very low in bovine serum, regardless of the group and time point analysed. Most values were below the detection limit and only one animal of the control group in Experiment 2 displayed clearly detectable IL-17A amounts in the serum </w:t>
      </w:r>
      <w:r>
        <w:rPr>
          <w:rFonts w:cs="Arial"/>
        </w:rPr>
        <w:t>(Fig. 3).</w:t>
      </w:r>
    </w:p>
    <w:p w14:paraId="05E9CA99" w14:textId="4E417BD7" w:rsidR="00133821" w:rsidRDefault="00E90F8F" w:rsidP="00A078BC">
      <w:pPr>
        <w:pStyle w:val="Estilo1"/>
      </w:pPr>
      <w:bookmarkStart w:id="53" w:name="_Toc115037827"/>
      <w:r w:rsidRPr="007041B6">
        <w:t xml:space="preserve">3.4. </w:t>
      </w:r>
      <w:r w:rsidR="0057107E">
        <w:t xml:space="preserve">Analysis of T cell proliferation and cytokine production by </w:t>
      </w:r>
      <w:r w:rsidR="00A30A5D" w:rsidRPr="007041B6">
        <w:t>Flow Cytometry</w:t>
      </w:r>
      <w:bookmarkEnd w:id="53"/>
    </w:p>
    <w:p w14:paraId="16E8875F" w14:textId="04651A91" w:rsidR="007041B6" w:rsidRDefault="00B85FF0" w:rsidP="00AB7B87">
      <w:r>
        <w:t>Flow cytometry can be used to evaluate both cell proliferation and cytokine production. Using this technique, it is possible to analyse which cells are responding to stimul</w:t>
      </w:r>
      <w:r w:rsidR="00C6255F">
        <w:t>ation</w:t>
      </w:r>
      <w:r>
        <w:t xml:space="preserve"> and the cytokines each cell is producing. </w:t>
      </w:r>
      <w:r w:rsidR="00C80709">
        <w:t>C</w:t>
      </w:r>
      <w:r w:rsidR="00AB7B87">
        <w:t>ell proliferation can be followed by detecting the fluorescen</w:t>
      </w:r>
      <w:r w:rsidR="00FA14D8">
        <w:t xml:space="preserve">ce dilution </w:t>
      </w:r>
      <w:r w:rsidR="00AB7B87">
        <w:t xml:space="preserve">of </w:t>
      </w:r>
      <w:r w:rsidR="00C6255F">
        <w:t>a cell proliferation</w:t>
      </w:r>
      <w:r w:rsidR="00AB7B87">
        <w:t xml:space="preserve"> dye</w:t>
      </w:r>
      <w:r w:rsidR="00FA14D8">
        <w:t>,</w:t>
      </w:r>
      <w:r w:rsidR="00AB7B87">
        <w:t xml:space="preserve"> that </w:t>
      </w:r>
      <w:r w:rsidR="00FA14D8">
        <w:t>is bound to</w:t>
      </w:r>
      <w:r w:rsidR="00AB7B87">
        <w:t xml:space="preserve"> cell </w:t>
      </w:r>
      <w:r w:rsidR="00FA14D8">
        <w:t xml:space="preserve">proteins, over the </w:t>
      </w:r>
      <w:r w:rsidR="00AB7B87">
        <w:t>division process</w:t>
      </w:r>
      <w:r w:rsidR="00FA14D8">
        <w:t>.</w:t>
      </w:r>
      <w:r w:rsidR="00AB7B87">
        <w:t xml:space="preserve"> </w:t>
      </w:r>
      <w:r w:rsidR="00FA14D8">
        <w:t>F</w:t>
      </w:r>
      <w:r w:rsidR="00AB7B87">
        <w:t>or this reason</w:t>
      </w:r>
      <w:r w:rsidR="00FA14D8">
        <w:t>,</w:t>
      </w:r>
      <w:r w:rsidR="00AB7B87">
        <w:t xml:space="preserve"> two daughter-cells will display each half the dye </w:t>
      </w:r>
      <w:r w:rsidR="007C3E31">
        <w:t>fluorescence</w:t>
      </w:r>
      <w:r w:rsidR="007C3E31" w:rsidDel="00C6255F">
        <w:t xml:space="preserve"> </w:t>
      </w:r>
      <w:r w:rsidR="00AB7B87">
        <w:t xml:space="preserve">the mother-cell previously possessed </w:t>
      </w:r>
      <w:r w:rsidR="00C80709">
        <w:rPr>
          <w:rFonts w:cs="Arial"/>
        </w:rPr>
        <w:fldChar w:fldCharType="begin" w:fldLock="1"/>
      </w:r>
      <w:r w:rsidR="0023236C">
        <w:rPr>
          <w:rFonts w:cs="Arial"/>
        </w:rPr>
        <w:instrText>ADDIN CSL_CITATION {"citationItems":[{"id":"ITEM-1","itemData":{"DOI":"10.1002/CPIM.40","ISSN":"1934-368X","PMID":"29512141","abstract":"Flow cytometry is a technology that provides rapid multi-parametric analysis of single cells in solution. Flow cytometers utilize lasers as light sources to produce both scattered and fluorescent light signals that are read by detectors such as photodiodes or photomultiplier tubes. These light signals are converted into electronic signals that are analyzed by a computer and written to a standardized format (.fcs) data file. Cell populations can be analyzed and/or purified based on their fluorescent or light scattering characteristics. A variety of fluorescent reagents are utilized in flow cytometry. These include fluorescently conjugated antibodies, nucleic acid binding dyes, viability dyes, ion indicator dyes, and fluorescent expression proteins. Flow cytometry is a powerful tool that has applications in immunology, molecular biology, bacteriology, virology, cancer biology, and infectious disease monitoring. It has seen dramatic advances over the last 30 years, allowing unprecedented detail in studies of the immune system and other areas of cell biology.","author":[{"dropping-particle":"","family":"McKinnon","given":"Katherine M.","non-dropping-particle":"","parse-names":false,"suffix":""}],"container-title":"Current Protocols in Immunology","id":"ITEM-1","issue":"1","issued":{"date-parts":[["2018","1","1"]]},"page":"5.1.1-5.1.11","publisher":"John Wiley &amp; Sons, Ltd","title":"Flow Cytometry: An Overview","type":"article-journal","volume":"120"},"uris":["http://www.mendeley.com/documents/?uuid=d9b2ff74-9429-3e2e-a42b-492614d83411"]}],"mendeley":{"formattedCitation":"[56]","plainTextFormattedCitation":"[56]","previouslyFormattedCitation":"[56]"},"properties":{"noteIndex":0},"schema":"https://github.com/citation-style-language/schema/raw/master/csl-citation.json"}</w:instrText>
      </w:r>
      <w:r w:rsidR="00C80709">
        <w:rPr>
          <w:rFonts w:cs="Arial"/>
        </w:rPr>
        <w:fldChar w:fldCharType="separate"/>
      </w:r>
      <w:r w:rsidR="0023236C" w:rsidRPr="0023236C">
        <w:rPr>
          <w:rFonts w:cs="Arial"/>
          <w:noProof/>
        </w:rPr>
        <w:t>[56]</w:t>
      </w:r>
      <w:r w:rsidR="00C80709">
        <w:rPr>
          <w:rFonts w:cs="Arial"/>
        </w:rPr>
        <w:fldChar w:fldCharType="end"/>
      </w:r>
      <w:r w:rsidR="00C80709">
        <w:rPr>
          <w:rFonts w:cs="Arial"/>
        </w:rPr>
        <w:t xml:space="preserve">. </w:t>
      </w:r>
      <w:r>
        <w:t>Here, the analysis of T cell proliferation in response to antigenic recall</w:t>
      </w:r>
      <w:r w:rsidR="007A3257">
        <w:t xml:space="preserve"> </w:t>
      </w:r>
      <w:r>
        <w:t>w</w:t>
      </w:r>
      <w:r w:rsidR="007A3257">
        <w:t>as</w:t>
      </w:r>
      <w:r>
        <w:t xml:space="preserve"> evaluated</w:t>
      </w:r>
      <w:r w:rsidR="007C3E31">
        <w:t xml:space="preserve">, using both whole freeze-killed </w:t>
      </w:r>
      <w:r w:rsidR="007C3E31" w:rsidRPr="00C5068C">
        <w:rPr>
          <w:i/>
          <w:iCs/>
        </w:rPr>
        <w:t>N. caninum</w:t>
      </w:r>
      <w:r w:rsidR="007C3E31">
        <w:t xml:space="preserve"> tachyzoites or NcMP</w:t>
      </w:r>
      <w:r>
        <w:t xml:space="preserve">. </w:t>
      </w:r>
      <w:r w:rsidR="007C3E31">
        <w:t xml:space="preserve">Concanavalin A (ConA) is a lectin extracted from </w:t>
      </w:r>
      <w:r w:rsidR="007C3E31">
        <w:rPr>
          <w:i/>
        </w:rPr>
        <w:t>Canavalia ensiformis</w:t>
      </w:r>
      <w:r w:rsidR="007C3E31">
        <w:t xml:space="preserve"> that is often used to induce </w:t>
      </w:r>
      <w:r w:rsidR="00BE669B">
        <w:t xml:space="preserve">potent </w:t>
      </w:r>
      <w:r w:rsidR="007C3E31">
        <w:t xml:space="preserve">T cell division and cytokine production </w:t>
      </w:r>
      <w:r w:rsidR="007C3E31">
        <w:fldChar w:fldCharType="begin" w:fldLock="1"/>
      </w:r>
      <w:r w:rsidR="0023236C">
        <w:instrText>ADDIN CSL_CITATION {"citationItems":[{"id":"ITEM-1","itemData":{"abstract":"Concanavalin A (ConA), normally a mitogen of T-lympho-cytes, was found to be a cell cycle-independent apoptosis-inducing agent in cultured murine macrophage PU5-1.8 cells. This assertion is based on the following observations: (1) ConA increased the number of cells with hypo-diploid DNA in a dose dependent manner as revealed by flow cytometry; (2) ConA elicited DNA fragmentation and the cytotoxicity of ConA was suppressed by α-D-methylmannoside which blocks the lectin site of ConA; (3) ConA was able to release cytochrome c (cyto c) into the cytosol of PU5-1.8 cells. When isolated mitochondria were incubated with ConA, release of cyto c was observed too. Interestingly, clustering of mitochondria was found in the cytosol under a confocal microscope after ConA treatment. When cells were incubated with ConA-FITC and subsequently with mitotracker red (a probe for mi-tochondria), co-localization of fluorescence signals was observed. These results suggest that ConA was delivered to the mitochondria, induced mitochondrial clustering and released cyto c. Our results also show that introduction of exogenous cyto c electroporationally into ConA-untreated cells elicited DNA fragmentation. On the other hand, introduction of specific antibody against cyto c into PU5-1.8 cells suppressed the ConA-mediated cell death. Taken together, our results indicate that ConA induced apoptosis in PU5-1.8 cells through mitochondrial clustering and release of cyto c and the release of cyto c was sufficient to elicit apoptosis in PU5-1.8 cells.","author":[{"dropping-particle":"","family":"Suen","given":"Y K","non-dropping-particle":"","parse-names":false,"suffix":""},{"dropping-particle":"","family":"Fung","given":"K P","non-dropping-particle":"","parse-names":false,"suffix":""},{"dropping-particle":"","family":"Choy","given":"Y M","non-dropping-particle":"","parse-names":false,"suffix":""},{"dropping-particle":"","family":"Lee","given":"C Y","non-dropping-particle":"","parse-names":false,"suffix":""},{"dropping-particle":"","family":"Chan","given":"C W","non-dropping-particle":"","parse-names":false,"suffix":""},{"dropping-particle":"","family":"Kong","given":"S K","non-dropping-particle":"","parse-names":false,"suffix":""}],"container-title":"Apoptosis","id":"ITEM-1","issued":{"date-parts":[["2000"]]},"number-of-pages":"369-377","publisher":"Kluwer Academic Publishers","title":"Concanavalin A induced apoptosis in murine macrophage PU5-1.8 cells through clustering of mitochondria and release of cytochrome c","type":"report","volume":"5"},"uris":["http://www.mendeley.com/documents/?uuid=a7bdc798-7abf-3aca-b960-5422e6867ac0"]}],"mendeley":{"formattedCitation":"[57]","plainTextFormattedCitation":"[57]","previouslyFormattedCitation":"[57]"},"properties":{"noteIndex":0},"schema":"https://github.com/citation-style-language/schema/raw/master/csl-citation.json"}</w:instrText>
      </w:r>
      <w:r w:rsidR="007C3E31">
        <w:fldChar w:fldCharType="separate"/>
      </w:r>
      <w:r w:rsidR="0023236C" w:rsidRPr="0023236C">
        <w:rPr>
          <w:noProof/>
        </w:rPr>
        <w:t>[57]</w:t>
      </w:r>
      <w:r w:rsidR="007C3E31">
        <w:fldChar w:fldCharType="end"/>
      </w:r>
      <w:r w:rsidR="007C3E31">
        <w:t xml:space="preserve">. </w:t>
      </w:r>
      <w:r w:rsidR="007A3257">
        <w:t xml:space="preserve">Stimulation with ConA was used </w:t>
      </w:r>
      <w:r w:rsidR="00BE669B">
        <w:t xml:space="preserve">here </w:t>
      </w:r>
      <w:r w:rsidR="007A3257">
        <w:t xml:space="preserve">as a positive control of T cell </w:t>
      </w:r>
      <w:r w:rsidR="00C95E95">
        <w:t>proliferation.</w:t>
      </w:r>
      <w:r w:rsidR="007A3257">
        <w:t xml:space="preserve"> </w:t>
      </w:r>
    </w:p>
    <w:p w14:paraId="697A788C" w14:textId="1EE8C74E" w:rsidR="0034038B" w:rsidRPr="004B3F6D" w:rsidRDefault="001F7160" w:rsidP="004B3F6D">
      <w:r>
        <w:t>Gating strategy used to determine T cell proliferation and cytokine production is shown in Annex C</w:t>
      </w:r>
      <w:r w:rsidR="00D03841">
        <w:t>, Fig. C1</w:t>
      </w:r>
      <w:r>
        <w:t xml:space="preserve">. </w:t>
      </w:r>
      <w:r w:rsidR="00486E77">
        <w:t>Cell population g</w:t>
      </w:r>
      <w:r w:rsidR="00AB7B87">
        <w:t xml:space="preserve">ating was determined by analysing the FMO controls. Whenever necessary, individual gating was adjusted </w:t>
      </w:r>
      <w:r w:rsidR="003F74C0">
        <w:t xml:space="preserve">to select </w:t>
      </w:r>
      <w:r w:rsidR="00AB7B87">
        <w:t>cell populations more accurately.</w:t>
      </w:r>
      <w:r w:rsidR="0034038B">
        <w:t xml:space="preserve"> </w:t>
      </w:r>
      <w:r w:rsidR="00486E77">
        <w:t>For example, cells stimulated with ConA display</w:t>
      </w:r>
      <w:r w:rsidR="003F74C0">
        <w:t>ed</w:t>
      </w:r>
      <w:r w:rsidR="00486E77">
        <w:t xml:space="preserve"> higher expression of CD4 and CD8</w:t>
      </w:r>
      <w:r w:rsidR="003F74C0">
        <w:t xml:space="preserve"> than cells under the other culture conditions</w:t>
      </w:r>
      <w:r w:rsidR="00486E77">
        <w:t xml:space="preserve">. </w:t>
      </w:r>
      <w:r w:rsidR="0034038B">
        <w:t>Bovine-specific antibodies</w:t>
      </w:r>
      <w:r w:rsidR="006A55D4">
        <w:t xml:space="preserve"> </w:t>
      </w:r>
      <w:r w:rsidR="008E629E">
        <w:t xml:space="preserve">labelled with suitable fluorophores </w:t>
      </w:r>
      <w:r w:rsidR="0071654C">
        <w:t xml:space="preserve">to combine in more complex </w:t>
      </w:r>
      <w:r w:rsidR="008E629E">
        <w:t xml:space="preserve">multiparametric </w:t>
      </w:r>
      <w:r w:rsidR="0071654C">
        <w:t xml:space="preserve">flow cytometry </w:t>
      </w:r>
      <w:r w:rsidR="008E629E">
        <w:t xml:space="preserve">analysis </w:t>
      </w:r>
      <w:r w:rsidR="0034038B">
        <w:t xml:space="preserve">are not available commercially and therefore it was necessary to </w:t>
      </w:r>
      <w:r w:rsidR="008E629E">
        <w:t>conjugate some antibodies</w:t>
      </w:r>
      <w:r w:rsidR="0034038B">
        <w:t xml:space="preserve">. </w:t>
      </w:r>
      <w:r w:rsidR="008E629E">
        <w:t xml:space="preserve">Spectral overlapping of some fluorophores, and possibly poor dye quenching of in-house conjugated antibodies, difficulted the analysis of some parameters. This was the case of anti-bovine TCR </w:t>
      </w:r>
      <w:r w:rsidR="008E629E">
        <w:rPr>
          <w:rFonts w:cs="Arial"/>
        </w:rPr>
        <w:t>γδ</w:t>
      </w:r>
      <w:r w:rsidR="00D922E5">
        <w:t xml:space="preserve"> </w:t>
      </w:r>
      <w:r w:rsidR="008E629E">
        <w:t xml:space="preserve">antibody. It was </w:t>
      </w:r>
      <w:r w:rsidR="00BE7E6E">
        <w:t xml:space="preserve">then </w:t>
      </w:r>
      <w:r w:rsidR="008E629E">
        <w:t>not possible to</w:t>
      </w:r>
      <w:r w:rsidR="00D922E5">
        <w:t xml:space="preserve"> accurat</w:t>
      </w:r>
      <w:r w:rsidR="008E629E">
        <w:t>ely</w:t>
      </w:r>
      <w:r w:rsidR="00D922E5">
        <w:t xml:space="preserve"> </w:t>
      </w:r>
      <w:r w:rsidR="008E629E">
        <w:t>distinguish this</w:t>
      </w:r>
      <w:r w:rsidR="00D922E5">
        <w:t xml:space="preserve"> cell population</w:t>
      </w:r>
      <w:r w:rsidR="008E629E">
        <w:t xml:space="preserve"> and</w:t>
      </w:r>
      <w:r w:rsidR="00D922E5">
        <w:t xml:space="preserve">, </w:t>
      </w:r>
      <w:r w:rsidR="008E629E">
        <w:t>therefore,</w:t>
      </w:r>
      <w:r w:rsidR="00D922E5">
        <w:t xml:space="preserve"> </w:t>
      </w:r>
      <w:r w:rsidR="0034038B">
        <w:t xml:space="preserve">TCR </w:t>
      </w:r>
      <w:r w:rsidR="0034038B">
        <w:rPr>
          <w:rFonts w:cs="Arial"/>
        </w:rPr>
        <w:t>γδ</w:t>
      </w:r>
      <w:r w:rsidR="00E33FD2">
        <w:rPr>
          <w:rFonts w:cs="Arial"/>
        </w:rPr>
        <w:t xml:space="preserve"> </w:t>
      </w:r>
      <w:r w:rsidR="008E629E">
        <w:rPr>
          <w:rFonts w:cs="Arial"/>
        </w:rPr>
        <w:t>expression was not evaluated</w:t>
      </w:r>
      <w:r w:rsidR="00E33FD2">
        <w:rPr>
          <w:rFonts w:cs="Arial"/>
        </w:rPr>
        <w:t xml:space="preserve">. </w:t>
      </w:r>
      <w:r w:rsidR="00F973B7">
        <w:rPr>
          <w:rFonts w:cs="Arial"/>
        </w:rPr>
        <w:t>Nevertheless, results from the group have confirmed that most of the CD4</w:t>
      </w:r>
      <w:r w:rsidR="00F973B7" w:rsidRPr="00752DC3">
        <w:rPr>
          <w:rFonts w:cs="Arial"/>
          <w:vertAlign w:val="superscript"/>
        </w:rPr>
        <w:t>-</w:t>
      </w:r>
      <w:r w:rsidR="00F973B7">
        <w:rPr>
          <w:rFonts w:cs="Arial"/>
        </w:rPr>
        <w:t>CD8</w:t>
      </w:r>
      <w:r w:rsidR="00F973B7" w:rsidRPr="00752DC3">
        <w:rPr>
          <w:rFonts w:cs="Arial"/>
          <w:vertAlign w:val="superscript"/>
        </w:rPr>
        <w:t>-</w:t>
      </w:r>
      <w:r w:rsidR="00F973B7">
        <w:rPr>
          <w:rFonts w:cs="Arial"/>
        </w:rPr>
        <w:t xml:space="preserve"> cells are </w:t>
      </w:r>
      <w:r w:rsidR="00F973B7">
        <w:t xml:space="preserve">TCR </w:t>
      </w:r>
      <w:r w:rsidR="00F973B7">
        <w:rPr>
          <w:rFonts w:cs="Arial"/>
        </w:rPr>
        <w:t>γδ</w:t>
      </w:r>
      <w:r w:rsidR="00F973B7" w:rsidRPr="00752DC3">
        <w:rPr>
          <w:rFonts w:cs="Arial"/>
          <w:vertAlign w:val="superscript"/>
        </w:rPr>
        <w:t>+</w:t>
      </w:r>
      <w:r w:rsidR="00F973B7">
        <w:rPr>
          <w:rFonts w:cs="Arial"/>
        </w:rPr>
        <w:t xml:space="preserve"> and we can indirectly infer the </w:t>
      </w:r>
      <w:r w:rsidR="00F973B7">
        <w:t xml:space="preserve">TCR </w:t>
      </w:r>
      <w:r w:rsidR="00F973B7">
        <w:rPr>
          <w:rFonts w:cs="Arial"/>
        </w:rPr>
        <w:t>γδ</w:t>
      </w:r>
      <w:r w:rsidR="00F973B7" w:rsidRPr="00011986">
        <w:rPr>
          <w:rFonts w:cs="Arial"/>
          <w:vertAlign w:val="superscript"/>
        </w:rPr>
        <w:t>+</w:t>
      </w:r>
      <w:r w:rsidR="00F973B7">
        <w:rPr>
          <w:rFonts w:cs="Arial"/>
        </w:rPr>
        <w:t xml:space="preserve"> cell response by looking at the CD4</w:t>
      </w:r>
      <w:r w:rsidR="00F973B7" w:rsidRPr="00011986">
        <w:rPr>
          <w:rFonts w:cs="Arial"/>
          <w:vertAlign w:val="superscript"/>
        </w:rPr>
        <w:t>-</w:t>
      </w:r>
      <w:r w:rsidR="00016C15">
        <w:rPr>
          <w:rFonts w:cs="Arial"/>
          <w:vertAlign w:val="superscript"/>
        </w:rPr>
        <w:t xml:space="preserve"> </w:t>
      </w:r>
      <w:r w:rsidR="00F973B7">
        <w:rPr>
          <w:rFonts w:cs="Arial"/>
        </w:rPr>
        <w:t>CD8</w:t>
      </w:r>
      <w:r w:rsidR="00F973B7" w:rsidRPr="00011986">
        <w:rPr>
          <w:rFonts w:cs="Arial"/>
          <w:vertAlign w:val="superscript"/>
        </w:rPr>
        <w:t>-</w:t>
      </w:r>
      <w:r w:rsidR="00F973B7">
        <w:rPr>
          <w:rFonts w:cs="Arial"/>
          <w:vertAlign w:val="superscript"/>
        </w:rPr>
        <w:t xml:space="preserve"> </w:t>
      </w:r>
      <w:r w:rsidR="00F973B7">
        <w:rPr>
          <w:rFonts w:cs="Arial"/>
        </w:rPr>
        <w:t>cell population.</w:t>
      </w:r>
      <w:r w:rsidR="00F973B7">
        <w:t xml:space="preserve"> </w:t>
      </w:r>
      <w:r w:rsidR="00D922E5">
        <w:rPr>
          <w:rFonts w:cs="Arial"/>
        </w:rPr>
        <w:t xml:space="preserve">Viability </w:t>
      </w:r>
      <w:r w:rsidR="008E629E">
        <w:rPr>
          <w:rFonts w:cs="Arial"/>
        </w:rPr>
        <w:t xml:space="preserve">analysis </w:t>
      </w:r>
      <w:r w:rsidR="00D922E5">
        <w:rPr>
          <w:rFonts w:cs="Arial"/>
        </w:rPr>
        <w:t>was also compromised in th</w:t>
      </w:r>
      <w:r w:rsidR="008E629E">
        <w:rPr>
          <w:rFonts w:cs="Arial"/>
        </w:rPr>
        <w:t>e intracell</w:t>
      </w:r>
      <w:r w:rsidR="007C5035">
        <w:rPr>
          <w:rFonts w:cs="Arial"/>
        </w:rPr>
        <w:t>ular cytokine analysis</w:t>
      </w:r>
      <w:r w:rsidR="00D922E5">
        <w:rPr>
          <w:rFonts w:cs="Arial"/>
        </w:rPr>
        <w:t xml:space="preserve"> experiment</w:t>
      </w:r>
      <w:r w:rsidR="008D095E">
        <w:rPr>
          <w:rFonts w:cs="Arial"/>
        </w:rPr>
        <w:t xml:space="preserve"> due to CellTrace™ Violet and FVD eF506 spectral overlapping.</w:t>
      </w:r>
      <w:r w:rsidR="00D922E5">
        <w:rPr>
          <w:rFonts w:cs="Arial"/>
        </w:rPr>
        <w:t xml:space="preserve"> </w:t>
      </w:r>
      <w:r w:rsidR="00E33FD2">
        <w:rPr>
          <w:rFonts w:cs="Arial"/>
        </w:rPr>
        <w:t xml:space="preserve">For this reason, </w:t>
      </w:r>
      <w:r w:rsidR="00F93ADC">
        <w:rPr>
          <w:rFonts w:cs="Arial"/>
        </w:rPr>
        <w:t xml:space="preserve">dead </w:t>
      </w:r>
      <w:r w:rsidR="00E33FD2">
        <w:rPr>
          <w:rFonts w:cs="Arial"/>
        </w:rPr>
        <w:t>cell</w:t>
      </w:r>
      <w:r w:rsidR="00F93ADC">
        <w:rPr>
          <w:rFonts w:cs="Arial"/>
        </w:rPr>
        <w:t xml:space="preserve">s were not excluded in the analysis of </w:t>
      </w:r>
      <w:r w:rsidR="00D922E5">
        <w:rPr>
          <w:rFonts w:cs="Arial"/>
        </w:rPr>
        <w:t>cytokine-producing cells.</w:t>
      </w:r>
    </w:p>
    <w:p w14:paraId="505C4EB6" w14:textId="54F8A382" w:rsidR="00FD7354" w:rsidRDefault="00522ECE" w:rsidP="00522ECE">
      <w:r>
        <w:t>Proli</w:t>
      </w:r>
      <w:r w:rsidR="000C7E49">
        <w:t>f</w:t>
      </w:r>
      <w:r>
        <w:t xml:space="preserve">eration was determined </w:t>
      </w:r>
      <w:r w:rsidR="00C825D3">
        <w:t xml:space="preserve">in PBMCs collected </w:t>
      </w:r>
      <w:r>
        <w:t>before</w:t>
      </w:r>
      <w:r w:rsidR="00C9387E">
        <w:t xml:space="preserve"> </w:t>
      </w:r>
      <w:r w:rsidR="007532FB">
        <w:t xml:space="preserve">infection </w:t>
      </w:r>
      <w:r w:rsidR="00C9387E">
        <w:t>(Fig. 4)</w:t>
      </w:r>
      <w:r>
        <w:t xml:space="preserve"> and 1</w:t>
      </w:r>
      <w:r w:rsidR="00CB76EC">
        <w:t>5</w:t>
      </w:r>
      <w:r>
        <w:t xml:space="preserve"> days after infection</w:t>
      </w:r>
      <w:r w:rsidR="00C9387E">
        <w:t xml:space="preserve"> (Fig.5)</w:t>
      </w:r>
      <w:r>
        <w:t xml:space="preserve">. </w:t>
      </w:r>
      <w:r w:rsidR="005A2BA6">
        <w:t>Overall, samples stimulated with ConA displayed notewor</w:t>
      </w:r>
      <w:r w:rsidR="00C364F9">
        <w:t xml:space="preserve">thy proliferation </w:t>
      </w:r>
      <w:r w:rsidR="00E573F1">
        <w:t xml:space="preserve">in </w:t>
      </w:r>
      <w:r w:rsidR="00C364F9">
        <w:t xml:space="preserve">all </w:t>
      </w:r>
      <w:r w:rsidR="008D1A8E">
        <w:t xml:space="preserve">T </w:t>
      </w:r>
      <w:r w:rsidR="00C364F9">
        <w:t>cell</w:t>
      </w:r>
      <w:r w:rsidR="00C825D3">
        <w:t xml:space="preserve"> populations</w:t>
      </w:r>
      <w:r w:rsidR="00C364F9">
        <w:t>.</w:t>
      </w:r>
    </w:p>
    <w:p w14:paraId="18D939F7" w14:textId="54350A9F" w:rsidR="000C7E49" w:rsidRDefault="00706201" w:rsidP="00103A64">
      <w:r>
        <w:t xml:space="preserve">In cells collected </w:t>
      </w:r>
      <w:r w:rsidRPr="00E962A8">
        <w:t>b</w:t>
      </w:r>
      <w:r w:rsidR="00522ECE" w:rsidRPr="00E962A8">
        <w:t xml:space="preserve">efore infection, proliferation was more evident </w:t>
      </w:r>
      <w:r w:rsidRPr="00E962A8">
        <w:t>i</w:t>
      </w:r>
      <w:r w:rsidR="000C7E49" w:rsidRPr="00E962A8">
        <w:t xml:space="preserve">n the immunized group </w:t>
      </w:r>
      <w:r w:rsidRPr="00E962A8">
        <w:t xml:space="preserve">when </w:t>
      </w:r>
      <w:r w:rsidR="000C7E49" w:rsidRPr="00E962A8">
        <w:t xml:space="preserve">stimulated with </w:t>
      </w:r>
      <w:r w:rsidRPr="00E962A8">
        <w:t xml:space="preserve">the </w:t>
      </w:r>
      <w:r w:rsidRPr="00E962A8">
        <w:rPr>
          <w:i/>
        </w:rPr>
        <w:t>N. caninum</w:t>
      </w:r>
      <w:r w:rsidRPr="00E962A8">
        <w:t xml:space="preserve"> antigens</w:t>
      </w:r>
      <w:r w:rsidR="000C7E49" w:rsidRPr="00E962A8">
        <w:t xml:space="preserve"> NcMP and NcT</w:t>
      </w:r>
      <w:r w:rsidR="000C7E49">
        <w:t>. Percentage of division was significantly higher in CD3</w:t>
      </w:r>
      <w:r w:rsidR="000C7E49" w:rsidRPr="00C95E95">
        <w:rPr>
          <w:vertAlign w:val="superscript"/>
        </w:rPr>
        <w:t>+</w:t>
      </w:r>
      <w:r w:rsidR="000C7E49">
        <w:t>, CD4</w:t>
      </w:r>
      <w:r w:rsidR="000C7E49" w:rsidRPr="00C95E95">
        <w:rPr>
          <w:vertAlign w:val="superscript"/>
        </w:rPr>
        <w:t>+</w:t>
      </w:r>
      <w:r w:rsidR="000C7E49">
        <w:t xml:space="preserve"> and CD4</w:t>
      </w:r>
      <w:r w:rsidR="000C7E49" w:rsidRPr="00C95E95">
        <w:rPr>
          <w:vertAlign w:val="superscript"/>
        </w:rPr>
        <w:t>-</w:t>
      </w:r>
      <w:r w:rsidR="000C7E49">
        <w:t xml:space="preserve"> CD8</w:t>
      </w:r>
      <w:r w:rsidR="000C7E49" w:rsidRPr="00C95E95">
        <w:rPr>
          <w:vertAlign w:val="superscript"/>
        </w:rPr>
        <w:t>-</w:t>
      </w:r>
      <w:r w:rsidR="000C7E49">
        <w:t xml:space="preserve"> </w:t>
      </w:r>
      <w:r w:rsidR="00103A64">
        <w:t xml:space="preserve">T </w:t>
      </w:r>
      <w:r w:rsidR="000C7E49">
        <w:t xml:space="preserve">cells </w:t>
      </w:r>
      <w:r>
        <w:t xml:space="preserve">from immunized animals </w:t>
      </w:r>
      <w:r w:rsidR="000C7E49">
        <w:t>stimulated with NcMP, and in CD3</w:t>
      </w:r>
      <w:r w:rsidR="000C7E49" w:rsidRPr="00C95E95">
        <w:rPr>
          <w:vertAlign w:val="superscript"/>
        </w:rPr>
        <w:t>+</w:t>
      </w:r>
      <w:r w:rsidR="000C7E49">
        <w:t xml:space="preserve"> and CD4</w:t>
      </w:r>
      <w:r w:rsidR="000C7E49" w:rsidRPr="00C95E95">
        <w:rPr>
          <w:vertAlign w:val="superscript"/>
        </w:rPr>
        <w:t xml:space="preserve">- </w:t>
      </w:r>
      <w:r w:rsidR="000C7E49">
        <w:t>CD8</w:t>
      </w:r>
      <w:r w:rsidR="000C7E49" w:rsidRPr="00C95E95">
        <w:rPr>
          <w:vertAlign w:val="superscript"/>
        </w:rPr>
        <w:t>-</w:t>
      </w:r>
      <w:r w:rsidR="000C7E49">
        <w:t xml:space="preserve"> </w:t>
      </w:r>
      <w:r w:rsidR="00103A64">
        <w:t xml:space="preserve">T </w:t>
      </w:r>
      <w:r w:rsidR="000C7E49">
        <w:t>cells stimulated with NcT</w:t>
      </w:r>
      <w:r w:rsidR="00DA694A">
        <w:t xml:space="preserve"> (Fig. 4)</w:t>
      </w:r>
      <w:r w:rsidR="00103A64">
        <w:t>.</w:t>
      </w:r>
      <w:r w:rsidR="000C7E49">
        <w:t xml:space="preserve"> </w:t>
      </w:r>
    </w:p>
    <w:p w14:paraId="3D7D9717" w14:textId="38BA4F3D" w:rsidR="00C15398" w:rsidRDefault="002C5FD8" w:rsidP="00F05A74">
      <w:pPr>
        <w:ind w:firstLine="0"/>
        <w:jc w:val="center"/>
      </w:pPr>
      <w:r w:rsidRPr="002C5FD8">
        <w:rPr>
          <w:noProof/>
          <w:lang w:val="pt-PT" w:eastAsia="pt-PT"/>
        </w:rPr>
        <w:drawing>
          <wp:inline distT="0" distB="0" distL="0" distR="0" wp14:anchorId="65474087" wp14:editId="21A24A11">
            <wp:extent cx="5400000" cy="4476316"/>
            <wp:effectExtent l="0" t="0" r="0" b="635"/>
            <wp:docPr id="27" name="Imagem 27" descr="C:\Users\Utilizador\Desktop\enviar\layouts\pre-infection prolife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zador\Desktop\enviar\layouts\pre-infection proliferation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4476316"/>
                    </a:xfrm>
                    <a:prstGeom prst="rect">
                      <a:avLst/>
                    </a:prstGeom>
                    <a:noFill/>
                    <a:ln>
                      <a:noFill/>
                    </a:ln>
                  </pic:spPr>
                </pic:pic>
              </a:graphicData>
            </a:graphic>
          </wp:inline>
        </w:drawing>
      </w:r>
    </w:p>
    <w:p w14:paraId="376DA82E" w14:textId="7609A185" w:rsidR="00F00084" w:rsidRDefault="00C15398" w:rsidP="00F05A74">
      <w:pPr>
        <w:pStyle w:val="Legenda"/>
        <w:spacing w:line="276" w:lineRule="auto"/>
      </w:pPr>
      <w:bookmarkStart w:id="54" w:name="_Toc113920035"/>
      <w:bookmarkStart w:id="55" w:name="_Toc114089153"/>
      <w:bookmarkStart w:id="56" w:name="_Toc114595397"/>
      <w:bookmarkStart w:id="57" w:name="_Toc114595564"/>
      <w:r w:rsidRPr="00C95E95">
        <w:rPr>
          <w:b/>
        </w:rPr>
        <w:t xml:space="preserve">Figure </w:t>
      </w:r>
      <w:r w:rsidRPr="00C95E95">
        <w:rPr>
          <w:b/>
        </w:rPr>
        <w:fldChar w:fldCharType="begin"/>
      </w:r>
      <w:r w:rsidRPr="00C95E95">
        <w:rPr>
          <w:b/>
        </w:rPr>
        <w:instrText xml:space="preserve"> SEQ Figure \* ARABIC </w:instrText>
      </w:r>
      <w:r w:rsidRPr="00C95E95">
        <w:rPr>
          <w:b/>
        </w:rPr>
        <w:fldChar w:fldCharType="separate"/>
      </w:r>
      <w:r w:rsidR="00184C64">
        <w:rPr>
          <w:b/>
          <w:noProof/>
        </w:rPr>
        <w:t>4</w:t>
      </w:r>
      <w:r w:rsidRPr="00C95E95">
        <w:rPr>
          <w:b/>
        </w:rPr>
        <w:fldChar w:fldCharType="end"/>
      </w:r>
      <w:r w:rsidRPr="00C95E95">
        <w:rPr>
          <w:b/>
        </w:rPr>
        <w:t>.</w:t>
      </w:r>
      <w:r w:rsidR="00FD7354" w:rsidRPr="0034181F">
        <w:t xml:space="preserve"> Percentage of division of CD3</w:t>
      </w:r>
      <w:r w:rsidR="00FD7354" w:rsidRPr="0034181F">
        <w:rPr>
          <w:vertAlign w:val="superscript"/>
        </w:rPr>
        <w:t>+</w:t>
      </w:r>
      <w:r w:rsidR="00FD7354" w:rsidRPr="0034181F">
        <w:t>, CD4</w:t>
      </w:r>
      <w:r w:rsidR="00FD7354" w:rsidRPr="0034181F">
        <w:rPr>
          <w:vertAlign w:val="superscript"/>
        </w:rPr>
        <w:t>+</w:t>
      </w:r>
      <w:r w:rsidR="00FD7354" w:rsidRPr="0034181F">
        <w:t>, CD8</w:t>
      </w:r>
      <w:r w:rsidR="00FD7354" w:rsidRPr="0034181F">
        <w:rPr>
          <w:vertAlign w:val="superscript"/>
        </w:rPr>
        <w:t>+</w:t>
      </w:r>
      <w:r w:rsidR="00FD7354" w:rsidRPr="0034181F">
        <w:t xml:space="preserve"> and CD4</w:t>
      </w:r>
      <w:r w:rsidR="00FD7354" w:rsidRPr="0034181F">
        <w:rPr>
          <w:vertAlign w:val="superscript"/>
        </w:rPr>
        <w:t>-</w:t>
      </w:r>
      <w:r w:rsidR="00FD7354" w:rsidRPr="0034181F">
        <w:t xml:space="preserve"> CD8</w:t>
      </w:r>
      <w:r w:rsidR="00FD7354" w:rsidRPr="0034181F">
        <w:rPr>
          <w:vertAlign w:val="superscript"/>
        </w:rPr>
        <w:t>-</w:t>
      </w:r>
      <w:r w:rsidR="00FD7354" w:rsidRPr="0034181F">
        <w:t xml:space="preserve"> </w:t>
      </w:r>
      <w:r w:rsidR="006E1439">
        <w:t xml:space="preserve">T </w:t>
      </w:r>
      <w:r w:rsidR="00FD7354" w:rsidRPr="0034181F">
        <w:t xml:space="preserve">cells in </w:t>
      </w:r>
      <w:r w:rsidR="006E1439">
        <w:t xml:space="preserve">the </w:t>
      </w:r>
      <w:r w:rsidR="00FD7354" w:rsidRPr="0034181F">
        <w:t xml:space="preserve">PBMCs of cattle immunized thrice with NcMP/CpG/R848 and sham-immunized with CpG/R848, as indicated previously, </w:t>
      </w:r>
      <w:r w:rsidR="00522ECE">
        <w:t>before infection</w:t>
      </w:r>
      <w:r w:rsidR="00FD7354" w:rsidRPr="0034181F">
        <w:t xml:space="preserve">, stimulated with concanavalin A (ConA), </w:t>
      </w:r>
      <w:r w:rsidR="00FD7354" w:rsidRPr="0034181F">
        <w:rPr>
          <w:i/>
        </w:rPr>
        <w:t xml:space="preserve">N. caninum </w:t>
      </w:r>
      <w:r w:rsidR="00FD7354" w:rsidRPr="0034181F">
        <w:t xml:space="preserve">membrane proteins (NcMP), </w:t>
      </w:r>
      <w:r w:rsidR="00FD7354" w:rsidRPr="0034181F">
        <w:rPr>
          <w:i/>
        </w:rPr>
        <w:t xml:space="preserve">N. caninum </w:t>
      </w:r>
      <w:r w:rsidR="00FD7354" w:rsidRPr="0034181F">
        <w:t xml:space="preserve">tachyzoites (NcT) or without stimulation (w/o stim). Data corresponds to one independent experiment (Experiment 1). Each dot corresponds to an individual </w:t>
      </w:r>
      <w:r w:rsidR="009D31C3">
        <w:t xml:space="preserve">animal. Each </w:t>
      </w:r>
      <w:r w:rsidR="006E1439">
        <w:t xml:space="preserve">symbol </w:t>
      </w:r>
      <w:r w:rsidR="009D31C3">
        <w:t>colour represents one animal throughout measurements</w:t>
      </w:r>
      <w:r w:rsidR="00FD7354" w:rsidRPr="0034181F">
        <w:t xml:space="preserve">. Each bar represents the mean of the group. Data </w:t>
      </w:r>
      <w:r w:rsidR="006E1439">
        <w:t>are</w:t>
      </w:r>
      <w:r w:rsidR="00FD7354" w:rsidRPr="0034181F">
        <w:t xml:space="preserve"> presented </w:t>
      </w:r>
      <w:r w:rsidR="006E1439">
        <w:t>as the</w:t>
      </w:r>
      <w:r w:rsidR="00FD7354" w:rsidRPr="0034181F">
        <w:t xml:space="preserve"> percentage of </w:t>
      </w:r>
      <w:r w:rsidR="00934BA8">
        <w:t>dividing cells in each gated live T cell population</w:t>
      </w:r>
      <w:r w:rsidR="00FD7354" w:rsidRPr="0034181F">
        <w:t xml:space="preserve">. </w:t>
      </w:r>
      <w:r w:rsidR="006E1439">
        <w:t>Statistical differences between control and immunized groups</w:t>
      </w:r>
      <w:r w:rsidR="00024F33">
        <w:t>,</w:t>
      </w:r>
      <w:r w:rsidR="006E1439">
        <w:t xml:space="preserve"> </w:t>
      </w:r>
      <w:r w:rsidR="003D267E">
        <w:t>for each culture condition</w:t>
      </w:r>
      <w:r w:rsidR="00024F33">
        <w:t>,</w:t>
      </w:r>
      <w:r w:rsidR="003D267E">
        <w:t xml:space="preserve"> </w:t>
      </w:r>
      <w:r w:rsidR="006E1439">
        <w:t xml:space="preserve">were calculated using two-tailed </w:t>
      </w:r>
      <w:r w:rsidR="003C6842">
        <w:t xml:space="preserve">unpaired </w:t>
      </w:r>
      <w:r w:rsidR="00FD7354" w:rsidRPr="0034181F">
        <w:t>Student’s t-test</w:t>
      </w:r>
      <w:bookmarkEnd w:id="54"/>
      <w:r w:rsidR="005A2BA6">
        <w:t xml:space="preserve"> (* </w:t>
      </w:r>
      <w:r w:rsidR="005A2BA6">
        <w:rPr>
          <w:i/>
        </w:rPr>
        <w:t>P</w:t>
      </w:r>
      <w:r w:rsidR="005A2BA6">
        <w:t xml:space="preserve"> &lt; 0.05; ** </w:t>
      </w:r>
      <w:r w:rsidR="005A2BA6">
        <w:rPr>
          <w:i/>
        </w:rPr>
        <w:t>P</w:t>
      </w:r>
      <w:r w:rsidR="005A2BA6">
        <w:t xml:space="preserve"> &lt; 0.01).</w:t>
      </w:r>
      <w:bookmarkEnd w:id="55"/>
      <w:bookmarkEnd w:id="56"/>
      <w:bookmarkEnd w:id="57"/>
    </w:p>
    <w:p w14:paraId="581CAB88" w14:textId="77777777" w:rsidR="00CB610C" w:rsidRDefault="00CB610C" w:rsidP="00CB610C">
      <w:pPr>
        <w:spacing w:before="240"/>
      </w:pPr>
      <w:r>
        <w:t>Non-stimulated cells were used as negative controls of proliferation, representing basal proliferation levels in culture. Curiously, cells from the control group showed significantly higher basal CD8</w:t>
      </w:r>
      <w:r w:rsidRPr="00C95E95">
        <w:rPr>
          <w:vertAlign w:val="superscript"/>
        </w:rPr>
        <w:t>+</w:t>
      </w:r>
      <w:r>
        <w:t xml:space="preserve"> T cell proliferation (Fig. 4). Thus, although absolute proliferation percentages were not different in CD8</w:t>
      </w:r>
      <w:r w:rsidRPr="00C95E95">
        <w:rPr>
          <w:vertAlign w:val="superscript"/>
        </w:rPr>
        <w:t>+</w:t>
      </w:r>
      <w:r>
        <w:t xml:space="preserve"> cells between control and immunized groups upon antigenic recall, when considering the respective basal proliferation levels, it is clear that CD8</w:t>
      </w:r>
      <w:r w:rsidRPr="00E962A8">
        <w:rPr>
          <w:vertAlign w:val="superscript"/>
        </w:rPr>
        <w:t>+</w:t>
      </w:r>
      <w:r>
        <w:t xml:space="preserve"> T cells from immunized animals also responded to </w:t>
      </w:r>
      <w:r w:rsidRPr="00C95E95">
        <w:rPr>
          <w:i/>
        </w:rPr>
        <w:t>N. caninum</w:t>
      </w:r>
      <w:r>
        <w:t xml:space="preserve"> antigens.</w:t>
      </w:r>
    </w:p>
    <w:p w14:paraId="08D37C86" w14:textId="0F07C06C" w:rsidR="009D31C3" w:rsidRDefault="00C364F9" w:rsidP="00CB610C">
      <w:r w:rsidRPr="00E962A8">
        <w:t>A</w:t>
      </w:r>
      <w:r w:rsidR="009D31C3" w:rsidRPr="00E962A8">
        <w:t xml:space="preserve">fter infection, </w:t>
      </w:r>
      <w:r w:rsidRPr="00E962A8">
        <w:t xml:space="preserve">proliferation was more evident </w:t>
      </w:r>
      <w:r w:rsidR="008F55F2" w:rsidRPr="00E962A8">
        <w:t>i</w:t>
      </w:r>
      <w:r w:rsidRPr="00E962A8">
        <w:t xml:space="preserve">n </w:t>
      </w:r>
      <w:r w:rsidR="006428D3" w:rsidRPr="00E962A8">
        <w:t xml:space="preserve">all cell populations of </w:t>
      </w:r>
      <w:r w:rsidRPr="00E962A8">
        <w:t xml:space="preserve">the control group </w:t>
      </w:r>
      <w:r w:rsidR="006428D3" w:rsidRPr="00E962A8">
        <w:t>when</w:t>
      </w:r>
      <w:r w:rsidR="00FE7C08" w:rsidRPr="00E962A8">
        <w:t xml:space="preserve"> stimulated with NcT</w:t>
      </w:r>
      <w:r w:rsidR="006428D3" w:rsidRPr="00E962A8">
        <w:t>, compared to cells from the immunized group</w:t>
      </w:r>
      <w:r w:rsidR="00FE7C08" w:rsidRPr="00E962A8">
        <w:t>.</w:t>
      </w:r>
      <w:r w:rsidR="00FE7C08">
        <w:t xml:space="preserve"> </w:t>
      </w:r>
      <w:r w:rsidR="006428D3">
        <w:t>However, n</w:t>
      </w:r>
      <w:r w:rsidR="00D178B4">
        <w:t>o statistical significance</w:t>
      </w:r>
      <w:r w:rsidR="00FB7109">
        <w:t>s</w:t>
      </w:r>
      <w:r w:rsidR="00D178B4">
        <w:t xml:space="preserve"> w</w:t>
      </w:r>
      <w:r w:rsidR="00FB7109">
        <w:t>ere</w:t>
      </w:r>
      <w:r w:rsidR="00D178B4">
        <w:t xml:space="preserve"> found between groups</w:t>
      </w:r>
      <w:r w:rsidR="006428D3" w:rsidRPr="006428D3">
        <w:t xml:space="preserve"> </w:t>
      </w:r>
      <w:r w:rsidR="006428D3">
        <w:t>(Fig. 5).</w:t>
      </w:r>
    </w:p>
    <w:p w14:paraId="3FF13A00" w14:textId="38668ED2" w:rsidR="00C15398" w:rsidRDefault="008408BF" w:rsidP="00F05A74">
      <w:pPr>
        <w:ind w:firstLine="0"/>
        <w:jc w:val="center"/>
      </w:pPr>
      <w:r w:rsidRPr="008408BF">
        <w:rPr>
          <w:noProof/>
          <w:lang w:val="pt-PT" w:eastAsia="pt-PT"/>
        </w:rPr>
        <w:drawing>
          <wp:inline distT="0" distB="0" distL="0" distR="0" wp14:anchorId="358DB85A" wp14:editId="06016E79">
            <wp:extent cx="5400000" cy="4481229"/>
            <wp:effectExtent l="0" t="0" r="0" b="0"/>
            <wp:docPr id="5" name="Imagem 5" descr="C:\Users\Utilizador\Desktop\enviar\layouts\after-infection proliferation se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zador\Desktop\enviar\layouts\after-infection proliferation sem %.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4481229"/>
                    </a:xfrm>
                    <a:prstGeom prst="rect">
                      <a:avLst/>
                    </a:prstGeom>
                    <a:noFill/>
                    <a:ln>
                      <a:noFill/>
                    </a:ln>
                  </pic:spPr>
                </pic:pic>
              </a:graphicData>
            </a:graphic>
          </wp:inline>
        </w:drawing>
      </w:r>
    </w:p>
    <w:p w14:paraId="12F12AD6" w14:textId="7B753174" w:rsidR="00FD7354" w:rsidRDefault="00C15398" w:rsidP="00F05A74">
      <w:pPr>
        <w:pStyle w:val="Legenda"/>
        <w:spacing w:line="276" w:lineRule="auto"/>
      </w:pPr>
      <w:bookmarkStart w:id="58" w:name="_Toc114595398"/>
      <w:bookmarkStart w:id="59" w:name="_Toc114595565"/>
      <w:bookmarkStart w:id="60" w:name="_Toc114089154"/>
      <w:bookmarkStart w:id="61" w:name="_Toc113920036"/>
      <w:r w:rsidRPr="009C19B3">
        <w:rPr>
          <w:b/>
        </w:rPr>
        <w:t xml:space="preserve">Figure </w:t>
      </w:r>
      <w:r w:rsidRPr="009C19B3">
        <w:rPr>
          <w:b/>
        </w:rPr>
        <w:fldChar w:fldCharType="begin"/>
      </w:r>
      <w:r w:rsidRPr="009C19B3">
        <w:rPr>
          <w:b/>
        </w:rPr>
        <w:instrText xml:space="preserve"> SEQ Figure \* ARABIC </w:instrText>
      </w:r>
      <w:r w:rsidRPr="009C19B3">
        <w:rPr>
          <w:b/>
        </w:rPr>
        <w:fldChar w:fldCharType="separate"/>
      </w:r>
      <w:r w:rsidR="00184C64">
        <w:rPr>
          <w:b/>
          <w:noProof/>
        </w:rPr>
        <w:t>5</w:t>
      </w:r>
      <w:r w:rsidRPr="009C19B3">
        <w:rPr>
          <w:b/>
        </w:rPr>
        <w:fldChar w:fldCharType="end"/>
      </w:r>
      <w:r w:rsidRPr="009C19B3">
        <w:rPr>
          <w:b/>
        </w:rPr>
        <w:t>.</w:t>
      </w:r>
      <w:r>
        <w:t xml:space="preserve"> </w:t>
      </w:r>
      <w:r w:rsidR="00FD7354" w:rsidRPr="006B6027">
        <w:t>Percentage of division of CD3</w:t>
      </w:r>
      <w:r w:rsidR="00FD7354" w:rsidRPr="006B6027">
        <w:rPr>
          <w:vertAlign w:val="superscript"/>
        </w:rPr>
        <w:t>+</w:t>
      </w:r>
      <w:r w:rsidR="00FD7354" w:rsidRPr="006B6027">
        <w:t>, CD4</w:t>
      </w:r>
      <w:r w:rsidR="00FD7354" w:rsidRPr="006B6027">
        <w:rPr>
          <w:vertAlign w:val="superscript"/>
        </w:rPr>
        <w:t>+</w:t>
      </w:r>
      <w:r w:rsidR="00FD7354" w:rsidRPr="006B6027">
        <w:t>, CD8</w:t>
      </w:r>
      <w:r w:rsidR="00FD7354" w:rsidRPr="006B6027">
        <w:rPr>
          <w:vertAlign w:val="superscript"/>
        </w:rPr>
        <w:t>+</w:t>
      </w:r>
      <w:r w:rsidR="00FD7354" w:rsidRPr="006B6027">
        <w:t xml:space="preserve"> and CD4</w:t>
      </w:r>
      <w:r w:rsidR="00FD7354" w:rsidRPr="006B6027">
        <w:rPr>
          <w:vertAlign w:val="superscript"/>
        </w:rPr>
        <w:t>-</w:t>
      </w:r>
      <w:r w:rsidR="00FD7354" w:rsidRPr="006B6027">
        <w:t xml:space="preserve"> CD8</w:t>
      </w:r>
      <w:r w:rsidR="00FD7354" w:rsidRPr="006B6027">
        <w:rPr>
          <w:vertAlign w:val="superscript"/>
        </w:rPr>
        <w:t>-</w:t>
      </w:r>
      <w:r w:rsidR="00FD7354" w:rsidRPr="006B6027">
        <w:t xml:space="preserve"> </w:t>
      </w:r>
      <w:r w:rsidR="00FF24C8">
        <w:t xml:space="preserve">T </w:t>
      </w:r>
      <w:r w:rsidR="00FD7354" w:rsidRPr="006B6027">
        <w:t xml:space="preserve">cells in </w:t>
      </w:r>
      <w:r w:rsidR="00FF24C8">
        <w:t xml:space="preserve">the </w:t>
      </w:r>
      <w:r w:rsidR="00FD7354" w:rsidRPr="006B6027">
        <w:t xml:space="preserve">PBMCs of cattle immunized thrice with NcMP/CpG/R848 and sham-immunized with CpG/R848, as indicated previously, </w:t>
      </w:r>
      <w:r w:rsidR="00FD7354" w:rsidRPr="009A68DC">
        <w:t>1</w:t>
      </w:r>
      <w:r w:rsidR="00CB76EC">
        <w:t>5</w:t>
      </w:r>
      <w:r w:rsidR="00FD7354" w:rsidRPr="009A68DC">
        <w:t xml:space="preserve"> days after infection with 2,</w:t>
      </w:r>
      <w:r w:rsidR="00FF24C8">
        <w:t>5</w:t>
      </w:r>
      <w:r w:rsidR="00FD7354" w:rsidRPr="009A68DC">
        <w:t xml:space="preserve"> </w:t>
      </w:r>
      <w:r w:rsidR="00FD7354" w:rsidRPr="009A68DC">
        <w:rPr>
          <w:rFonts w:cs="Arial"/>
        </w:rPr>
        <w:t>×</w:t>
      </w:r>
      <w:r w:rsidR="00FD7354" w:rsidRPr="009A68DC">
        <w:t xml:space="preserve"> 10</w:t>
      </w:r>
      <w:r w:rsidR="00FD7354" w:rsidRPr="009A68DC">
        <w:rPr>
          <w:vertAlign w:val="superscript"/>
        </w:rPr>
        <w:t xml:space="preserve">8 </w:t>
      </w:r>
      <w:r w:rsidR="00FD7354" w:rsidRPr="009A68DC">
        <w:rPr>
          <w:i/>
        </w:rPr>
        <w:t xml:space="preserve">N. caninum </w:t>
      </w:r>
      <w:r w:rsidR="00FD7354" w:rsidRPr="009A68DC">
        <w:t>tachyzoites</w:t>
      </w:r>
      <w:r w:rsidR="00FD7354" w:rsidRPr="006B6027">
        <w:t xml:space="preserve">, stimulated with concanavalin A (ConA), </w:t>
      </w:r>
      <w:r w:rsidR="00FD7354" w:rsidRPr="006B6027">
        <w:rPr>
          <w:i/>
        </w:rPr>
        <w:t xml:space="preserve">N. caninum </w:t>
      </w:r>
      <w:r w:rsidR="00FD7354" w:rsidRPr="006B6027">
        <w:t xml:space="preserve">membrane proteins (NcMP), </w:t>
      </w:r>
      <w:r w:rsidR="00FD7354" w:rsidRPr="006B6027">
        <w:rPr>
          <w:i/>
        </w:rPr>
        <w:t xml:space="preserve">N. caninum </w:t>
      </w:r>
      <w:r w:rsidR="00FD7354" w:rsidRPr="006B6027">
        <w:t xml:space="preserve">tachyzoites (NcT) or without stimulation (w/o stim). Data corresponds to one independent experiment (Experiment 1). Each dot corresponds to an individual </w:t>
      </w:r>
      <w:r w:rsidR="008408BF" w:rsidRPr="006B6027">
        <w:t>animal;</w:t>
      </w:r>
      <w:r w:rsidR="00FD7354" w:rsidRPr="006B6027">
        <w:t xml:space="preserve"> each </w:t>
      </w:r>
      <w:r w:rsidR="00FF24C8">
        <w:t>symbol colo</w:t>
      </w:r>
      <w:r w:rsidR="00C95E95">
        <w:t>u</w:t>
      </w:r>
      <w:r w:rsidR="00FF24C8">
        <w:t xml:space="preserve">r represents a distinct </w:t>
      </w:r>
      <w:r w:rsidR="00FD7354" w:rsidRPr="006B6027">
        <w:t xml:space="preserve">animal. Each bar represents the mean of the group. Data </w:t>
      </w:r>
      <w:r w:rsidR="00023A1C">
        <w:t>are</w:t>
      </w:r>
      <w:r w:rsidR="00FD7354" w:rsidRPr="006B6027">
        <w:t xml:space="preserve"> presented </w:t>
      </w:r>
      <w:r w:rsidR="00FF24C8">
        <w:t>as the</w:t>
      </w:r>
      <w:r w:rsidR="00FD7354" w:rsidRPr="006B6027">
        <w:t xml:space="preserve"> percentage of </w:t>
      </w:r>
      <w:r w:rsidR="00D05781">
        <w:t>dividing cells in each gated live T cell population</w:t>
      </w:r>
      <w:r w:rsidR="00D05781" w:rsidRPr="0034181F">
        <w:t>.</w:t>
      </w:r>
      <w:bookmarkEnd w:id="58"/>
      <w:bookmarkEnd w:id="59"/>
      <w:r w:rsidR="00D05781" w:rsidRPr="0034181F">
        <w:t xml:space="preserve"> </w:t>
      </w:r>
      <w:bookmarkEnd w:id="60"/>
      <w:bookmarkEnd w:id="61"/>
    </w:p>
    <w:p w14:paraId="454F731B" w14:textId="46169B7C" w:rsidR="00084A61" w:rsidRDefault="00CE7562" w:rsidP="00F05A74">
      <w:pPr>
        <w:spacing w:before="240"/>
      </w:pPr>
      <w:r>
        <w:rPr>
          <w:rFonts w:cs="Arial"/>
        </w:rPr>
        <w:t>CD4</w:t>
      </w:r>
      <w:r w:rsidRPr="00AE5A28">
        <w:rPr>
          <w:rFonts w:cs="Arial"/>
          <w:vertAlign w:val="superscript"/>
        </w:rPr>
        <w:t>+</w:t>
      </w:r>
      <w:r>
        <w:rPr>
          <w:rFonts w:cs="Arial"/>
        </w:rPr>
        <w:t xml:space="preserve"> Th1</w:t>
      </w:r>
      <w:r w:rsidR="00B0445B">
        <w:rPr>
          <w:rFonts w:cs="Arial"/>
        </w:rPr>
        <w:t>,</w:t>
      </w:r>
      <w:r>
        <w:rPr>
          <w:rFonts w:cs="Arial"/>
        </w:rPr>
        <w:t xml:space="preserve"> CD8</w:t>
      </w:r>
      <w:r w:rsidRPr="00AE5A28">
        <w:rPr>
          <w:rFonts w:cs="Arial"/>
          <w:vertAlign w:val="superscript"/>
        </w:rPr>
        <w:t>+</w:t>
      </w:r>
      <w:r>
        <w:rPr>
          <w:rFonts w:cs="Arial"/>
        </w:rPr>
        <w:t xml:space="preserve"> T cytotoxic </w:t>
      </w:r>
      <w:r w:rsidR="00B0445B">
        <w:rPr>
          <w:rFonts w:cs="Arial"/>
        </w:rPr>
        <w:t xml:space="preserve">and </w:t>
      </w:r>
      <w:r w:rsidR="00B0445B">
        <w:t xml:space="preserve">TCR </w:t>
      </w:r>
      <w:r w:rsidR="00B0445B">
        <w:rPr>
          <w:rFonts w:cs="Arial"/>
        </w:rPr>
        <w:t>γδ</w:t>
      </w:r>
      <w:r w:rsidR="00B0445B" w:rsidRPr="00AE5A28">
        <w:rPr>
          <w:vertAlign w:val="superscript"/>
        </w:rPr>
        <w:t>+</w:t>
      </w:r>
      <w:r w:rsidR="00B0445B">
        <w:t xml:space="preserve"> </w:t>
      </w:r>
      <w:r>
        <w:rPr>
          <w:rFonts w:cs="Arial"/>
        </w:rPr>
        <w:t xml:space="preserve">cells </w:t>
      </w:r>
      <w:r w:rsidR="006C4552">
        <w:rPr>
          <w:rFonts w:cs="Arial"/>
        </w:rPr>
        <w:t xml:space="preserve">are the main producers of </w:t>
      </w:r>
      <w:r w:rsidR="006C4552">
        <w:t>IFN-</w:t>
      </w:r>
      <w:r w:rsidR="006C4552">
        <w:rPr>
          <w:rFonts w:cs="Arial"/>
        </w:rPr>
        <w:t>γ</w:t>
      </w:r>
      <w:r w:rsidR="00073F5B">
        <w:rPr>
          <w:rFonts w:cs="Arial"/>
        </w:rPr>
        <w:t xml:space="preserve">, along with </w:t>
      </w:r>
      <w:r w:rsidR="00F973B7">
        <w:rPr>
          <w:rFonts w:cs="Arial"/>
        </w:rPr>
        <w:t>NK cells</w:t>
      </w:r>
      <w:r w:rsidR="006C4552">
        <w:rPr>
          <w:rFonts w:cs="Arial"/>
        </w:rPr>
        <w:t xml:space="preserve"> </w:t>
      </w:r>
      <w:r>
        <w:fldChar w:fldCharType="begin" w:fldLock="1"/>
      </w:r>
      <w:r w:rsidR="0023236C">
        <w:instrText>ADDIN CSL_CITATION {"citationItems":[{"id":"ITEM-1","itemData":{"DOI":"10.1186/1297-9716-44-69","ISSN":"1297-9716","abstract":"The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Research","id":"ITEM-1","issue":"1","issued":{"date-parts":[["2013","12","10"]]},"page":"69","title":"Mucosal and systemic T cell response in mice intragastrically infected with Neospora caninum tachyzoites","type":"article-journal","volume":"44"},"uris":["http://www.mendeley.com/documents/?uuid=19882f4e-bdad-3bfb-8938-a1dba45db020"]},{"id":"ITEM-2","itemData":{"ISBN":"978-1-4557-0362-3","abstract":"The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Sciences","edition":"9th","id":"ITEM-2","issued":{"date-parts":[["2012"]]},"publisher":"W.B. Saunders Company","title":"Veterinary Immunology","type":"chapter"},"uris":["http://www.mendeley.com/documents/?uuid=5b612fa0-4782-467b-a937-4cc8cbeba109"]},{"id":"ITEM-3","itemData":{"DOI":"10.1038/srep23475","abstract":"Here we report that lean mice infected with the intracellular parasite Neospora caninum show a fast but sustained increase in the frequency of IFN-γ-producing cells noticeable in distinct adipose tissue depots. Moreover, IFN-γ-mediated immune memory could be evoked in vitro in parasite antigen-stimulated adipose tissue stromal vascular fraction cells collected from mice infected one year before. Innate or innate-like cells such as NK, NK T and TCRγδ + cells, but also CD4 + and CD8 + TCRβ + lymphocytes contributed to the IFN-γ production observed since day one of infection. This early cytokine production was largely abrogated in IL-12/IL23 p40-deficient mice. Moreover, production of IFN-γ by stromal vascular fraction cells isolated from these mice was markedly lower than that of wild-type counterparts upon stimulation with parasite antigen. In wild-type mice the increased IFN-γ production was concomitant with up-regulated expression of genes encoding interferon-inducible GTPases and nitric oxide synthase, which are important effector molecules in controlling intracellular parasite growth. This increased gene expression was markedly impaired in the p40-deficient mice. Overall, these results show that NK cells but also diverse T cell populations mediate a prompt and widespread production of IFN-γ in the adipose tissue of N. caninum infected mice.","author":[{"dropping-particle":"","family":"Teixeira","given":"Luzia","non-dropping-particle":"","parse-names":false,"suffix":""},{"dropping-particle":"","family":"Marques","given":"Raquel M","non-dropping-particle":"","parse-names":false,"suffix":""},{"dropping-particle":"","family":"Ferreirinha","given":"Pedro","non-dropping-particle":"","parse-names":false,"suffix":""},{"dropping-particle":"","family":"Bezerra","given":"Filipa","non-dropping-particle":"","parse-names":false,"suffix":""},{"dropping-particle":"","family":"Melo","given":"Joana","non-dropping-particle":"","parse-names":false,"suffix":""},{"dropping-particle":"","family":"Moreira","given":"João","non-dropping-particle":"","parse-names":false,"suffix":""},{"dropping-particle":"","family":"Pinto","given":"Ana","non-dropping-particle":"","parse-names":false,"suffix":""},{"dropping-particle":"","family":"Correia","given":"Alexandra","non-dropping-particle":"","parse-names":false,"suffix":""},{"dropping-particle":"","family":"Ferreira","given":"Paula G","non-dropping-particle":"","parse-names":false,"suffix":""},{"dropping-particle":"","family":"Vilanova","given":"Manuel","non-dropping-particle":"","parse-names":false,"suffix":""}],"container-title":"Nature Publishing Group","id":"ITEM-3","issued":{"date-parts":[["2016"]]},"title":"Enrichment of IFN-γ producing cells in different murine adipose tissue depots upon infection with an apicomplexan parasite","type":"article-journal"},"uris":["http://www.mendeley.com/documents/?uuid=b9d70f49-e3fa-3e01-a02c-3c6cf123fe0d"]},{"id":"ITEM-4","itemData":{"DOI":"10.1016/S0165-2427(01)00334-8","ISSN":"01652427","PMID":"11498249","abstract":"The synthesis of IFNγ and IL-4 by CD4, CD8 and WC1 γδ TCR+ T cell sub-populations, and T cells stained with activation/memory-sub-set markers has been examined by flow cytometric analysis. Cells from blood, prescapular, bronchial and mesenteric lymph nodes and Peyer's patches were incubated with phorbol 12-myristate 13-acetate (PMA), ionomycin and brefeldin-A before staining. Lymphocytes that stained for cytoplasmic IFNγ were evident within the CD4 and CD8 populations from all tissues and also in the WC1 population from lymph nodes. IL-4 producing cells were primarily evident within the CD4 population. IFNγ synthesis was evident within both CD45RO+ and CD45RB+ populations, but IL-4 synthesis was predominantly by cells that were CD45RO+/CD45RB-. Expression of CD62L is not related to functional memory in CD4+ T cells from cattle and CD62L+ cells, particularly from the lymph nodes draining the skin and the lungs, stained with mAb to IFNγ and IL-4. The findings indicate that at least for CD4+ T cells, where CD45 isoform expression is related to functional memory, these two cytokines are produced predominantly by cells with a memory phenotype. The observation that some WC1+ cells produce IFNγ implies the presence of distinct sub-sets of this γδ TCR+ population cattle and suggests a functional role. Copyright © 2001 Elsevier Science B.V.","author":[{"dropping-particle":"","family":"Sopp","given":"P.","non-dropping-particle":"","parse-names":false,"suffix":""}],"container-title":"Veterinary Immunology and Immunopathology","id":"ITEM-4","issue":"1-2","issued":{"date-parts":[["2001","8","30"]]},"page":"85-96","publisher":"Elsevier","title":"IFNγ and IL-4 production by CD4, CD8 and WC1 γδ TCR+ T cells from cattle lymph nodes and blood","type":"article-journal","volume":"81"},"uris":["http://www.mendeley.com/documents/?uuid=ed6744f7-a5a5-3209-9ca7-f1a80cfa03fd"]}],"mendeley":{"formattedCitation":"[13], [19], [30], [58]","manualFormatting":"[12, 18, 19, 48]","plainTextFormattedCitation":"[13], [19], [30], [58]","previouslyFormattedCitation":"[13], [19], [30], [58]"},"properties":{"noteIndex":0},"schema":"https://github.com/citation-style-language/schema/raw/master/csl-citation.json"}</w:instrText>
      </w:r>
      <w:r>
        <w:fldChar w:fldCharType="separate"/>
      </w:r>
      <w:r w:rsidR="002600A2">
        <w:rPr>
          <w:noProof/>
        </w:rPr>
        <w:t xml:space="preserve">[12, 18, 19, </w:t>
      </w:r>
      <w:r w:rsidR="00F00084" w:rsidRPr="00F00084">
        <w:rPr>
          <w:noProof/>
        </w:rPr>
        <w:t>48]</w:t>
      </w:r>
      <w:r>
        <w:fldChar w:fldCharType="end"/>
      </w:r>
      <w:r>
        <w:t xml:space="preserve">. </w:t>
      </w:r>
      <w:r w:rsidR="00084A61">
        <w:t xml:space="preserve">To determine if immunization and infection could lead to the induction of parasite-specific T cells, the evaluation of </w:t>
      </w:r>
      <w:r w:rsidR="00084A61">
        <w:rPr>
          <w:rFonts w:cs="Arial"/>
        </w:rPr>
        <w:t>pro-inflammatory cytokine production in response to the different stimuli was done following intracellular staining of IFN-γ and IL-17A.</w:t>
      </w:r>
      <w:r w:rsidR="00D03841">
        <w:rPr>
          <w:rFonts w:cs="Arial"/>
        </w:rPr>
        <w:t xml:space="preserve"> Gating strategy used is presented in Annex C, Fig. C2.</w:t>
      </w:r>
    </w:p>
    <w:p w14:paraId="29DC0848" w14:textId="21B4325F" w:rsidR="00AE2D79" w:rsidRDefault="00225EB8" w:rsidP="00C46FA2">
      <w:r>
        <w:t>IFN-</w:t>
      </w:r>
      <w:r>
        <w:rPr>
          <w:rFonts w:cs="Arial"/>
        </w:rPr>
        <w:t>γ</w:t>
      </w:r>
      <w:r>
        <w:t xml:space="preserve"> production was generally higher in </w:t>
      </w:r>
      <w:r w:rsidR="00615B86">
        <w:t xml:space="preserve">cells from </w:t>
      </w:r>
      <w:r>
        <w:t xml:space="preserve">the control group, which is in accordance with the </w:t>
      </w:r>
      <w:r w:rsidR="00E55C2C">
        <w:t xml:space="preserve">proliferation </w:t>
      </w:r>
      <w:r>
        <w:t xml:space="preserve">results </w:t>
      </w:r>
      <w:r w:rsidR="00E55C2C">
        <w:t xml:space="preserve">and </w:t>
      </w:r>
      <w:r>
        <w:t>IFN-</w:t>
      </w:r>
      <w:r>
        <w:rPr>
          <w:rFonts w:cs="Arial"/>
        </w:rPr>
        <w:t>γ</w:t>
      </w:r>
      <w:r>
        <w:t xml:space="preserve"> serum measurement after infection. </w:t>
      </w:r>
      <w:r w:rsidR="00970D16">
        <w:t xml:space="preserve">Antigen-specific </w:t>
      </w:r>
      <w:r>
        <w:t>CD4</w:t>
      </w:r>
      <w:r w:rsidRPr="00C95E95">
        <w:rPr>
          <w:vertAlign w:val="superscript"/>
        </w:rPr>
        <w:t>+</w:t>
      </w:r>
      <w:r>
        <w:t xml:space="preserve"> IFN-</w:t>
      </w:r>
      <w:r>
        <w:rPr>
          <w:rFonts w:cs="Arial"/>
        </w:rPr>
        <w:t>γ</w:t>
      </w:r>
      <w:r>
        <w:t xml:space="preserve"> producing cells were more frequent than </w:t>
      </w:r>
      <w:r w:rsidR="00BB2F72">
        <w:t>CD8</w:t>
      </w:r>
      <w:r w:rsidR="00BB2F72" w:rsidRPr="00C95E95">
        <w:rPr>
          <w:vertAlign w:val="superscript"/>
        </w:rPr>
        <w:t>+</w:t>
      </w:r>
      <w:r w:rsidR="00BB2F72">
        <w:t xml:space="preserve"> and </w:t>
      </w:r>
      <w:r>
        <w:t>CD4</w:t>
      </w:r>
      <w:r w:rsidRPr="00C95E95">
        <w:rPr>
          <w:vertAlign w:val="superscript"/>
        </w:rPr>
        <w:t>-</w:t>
      </w:r>
      <w:r>
        <w:t xml:space="preserve"> CD8</w:t>
      </w:r>
      <w:r w:rsidRPr="00C95E95">
        <w:rPr>
          <w:vertAlign w:val="superscript"/>
        </w:rPr>
        <w:t>-</w:t>
      </w:r>
      <w:r>
        <w:t xml:space="preserve"> cells</w:t>
      </w:r>
      <w:r w:rsidR="00970D16">
        <w:t xml:space="preserve">. </w:t>
      </w:r>
      <w:r w:rsidR="00993B2A">
        <w:t>NcT induced greater IFN-</w:t>
      </w:r>
      <w:r w:rsidR="00993B2A">
        <w:rPr>
          <w:rFonts w:cs="Arial"/>
        </w:rPr>
        <w:t>γ</w:t>
      </w:r>
      <w:r w:rsidR="00993B2A">
        <w:t xml:space="preserve"> production </w:t>
      </w:r>
      <w:r w:rsidR="00615B86">
        <w:t>in</w:t>
      </w:r>
      <w:r w:rsidR="00993B2A">
        <w:t xml:space="preserve"> all cell</w:t>
      </w:r>
      <w:r w:rsidR="00615B86">
        <w:t xml:space="preserve"> populations</w:t>
      </w:r>
      <w:r w:rsidR="00970D16">
        <w:t xml:space="preserve"> than NcMP</w:t>
      </w:r>
      <w:r w:rsidR="00993B2A">
        <w:t xml:space="preserve">, but more evidently </w:t>
      </w:r>
      <w:r w:rsidR="00615B86">
        <w:t>in</w:t>
      </w:r>
      <w:r w:rsidR="00993B2A">
        <w:t xml:space="preserve"> CD4</w:t>
      </w:r>
      <w:r w:rsidR="00993B2A" w:rsidRPr="00C95E95">
        <w:rPr>
          <w:vertAlign w:val="superscript"/>
        </w:rPr>
        <w:t>+</w:t>
      </w:r>
      <w:r w:rsidR="00993B2A">
        <w:t xml:space="preserve"> </w:t>
      </w:r>
      <w:r w:rsidR="00615B86">
        <w:t xml:space="preserve">T </w:t>
      </w:r>
      <w:r w:rsidR="00993B2A">
        <w:t xml:space="preserve">cells </w:t>
      </w:r>
      <w:r w:rsidR="002866DD">
        <w:t>(Fig. 6)</w:t>
      </w:r>
      <w:r w:rsidR="00CE7562">
        <w:t xml:space="preserve">. </w:t>
      </w:r>
      <w:r w:rsidR="00615B86">
        <w:t>However, n</w:t>
      </w:r>
      <w:r w:rsidR="00CE7562">
        <w:t xml:space="preserve">o </w:t>
      </w:r>
      <w:r w:rsidR="00C7705E">
        <w:t>statistically</w:t>
      </w:r>
      <w:r w:rsidR="00CE7562">
        <w:t xml:space="preserve"> </w:t>
      </w:r>
      <w:r w:rsidR="00615B86">
        <w:t xml:space="preserve">significant differences were </w:t>
      </w:r>
      <w:r w:rsidR="00CE7562">
        <w:t>found between groups.</w:t>
      </w:r>
    </w:p>
    <w:p w14:paraId="3282ECAB" w14:textId="77777777" w:rsidR="00F566BA" w:rsidRDefault="002C5FD8" w:rsidP="00F05A74">
      <w:pPr>
        <w:ind w:firstLine="0"/>
        <w:jc w:val="center"/>
      </w:pPr>
      <w:bookmarkStart w:id="62" w:name="_Toc113566219"/>
      <w:bookmarkStart w:id="63" w:name="_Toc113920037"/>
      <w:r w:rsidRPr="002C5FD8">
        <w:rPr>
          <w:noProof/>
          <w:lang w:val="pt-PT" w:eastAsia="pt-PT"/>
        </w:rPr>
        <w:drawing>
          <wp:inline distT="0" distB="0" distL="0" distR="0" wp14:anchorId="5760E95A" wp14:editId="13B47913">
            <wp:extent cx="5400000" cy="4156577"/>
            <wp:effectExtent l="0" t="0" r="0" b="0"/>
            <wp:docPr id="23" name="Imagem 23" descr="C:\Users\Utilizador\Desktop\enviar\layouts\IFN-gamma producing cell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zador\Desktop\enviar\layouts\IFN-gamma producing cells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4156577"/>
                    </a:xfrm>
                    <a:prstGeom prst="rect">
                      <a:avLst/>
                    </a:prstGeom>
                    <a:noFill/>
                    <a:ln>
                      <a:noFill/>
                    </a:ln>
                  </pic:spPr>
                </pic:pic>
              </a:graphicData>
            </a:graphic>
          </wp:inline>
        </w:drawing>
      </w:r>
    </w:p>
    <w:p w14:paraId="659462C2" w14:textId="355AC338" w:rsidR="00993B2A" w:rsidRDefault="004438BE" w:rsidP="00F05A74">
      <w:pPr>
        <w:pStyle w:val="Legenda"/>
        <w:spacing w:line="276" w:lineRule="auto"/>
      </w:pPr>
      <w:bookmarkStart w:id="64" w:name="_Toc114089155"/>
      <w:bookmarkStart w:id="65" w:name="_Toc114595399"/>
      <w:bookmarkStart w:id="66" w:name="_Toc114595566"/>
      <w:r w:rsidRPr="00752DC3">
        <w:rPr>
          <w:b/>
        </w:rPr>
        <w:t xml:space="preserve">Figure </w:t>
      </w:r>
      <w:r w:rsidRPr="00752DC3">
        <w:rPr>
          <w:b/>
          <w:iCs w:val="0"/>
        </w:rPr>
        <w:fldChar w:fldCharType="begin"/>
      </w:r>
      <w:r w:rsidRPr="00752DC3">
        <w:rPr>
          <w:b/>
        </w:rPr>
        <w:instrText xml:space="preserve"> SEQ Figure \* ARABIC </w:instrText>
      </w:r>
      <w:r w:rsidRPr="00752DC3">
        <w:rPr>
          <w:b/>
          <w:iCs w:val="0"/>
        </w:rPr>
        <w:fldChar w:fldCharType="separate"/>
      </w:r>
      <w:r w:rsidR="00184C64">
        <w:rPr>
          <w:b/>
          <w:noProof/>
        </w:rPr>
        <w:t>6</w:t>
      </w:r>
      <w:r w:rsidRPr="00752DC3">
        <w:rPr>
          <w:b/>
          <w:iCs w:val="0"/>
        </w:rPr>
        <w:fldChar w:fldCharType="end"/>
      </w:r>
      <w:r w:rsidRPr="00752DC3">
        <w:rPr>
          <w:b/>
        </w:rPr>
        <w:t>.</w:t>
      </w:r>
      <w:r w:rsidRPr="009A68DC">
        <w:t xml:space="preserve"> </w:t>
      </w:r>
      <w:r w:rsidR="00726DA3" w:rsidRPr="00752DC3">
        <w:t xml:space="preserve">Percentage of </w:t>
      </w:r>
      <w:r w:rsidR="00B97C90" w:rsidRPr="00752DC3">
        <w:t>CD3</w:t>
      </w:r>
      <w:r w:rsidR="00B97C90" w:rsidRPr="00752DC3">
        <w:rPr>
          <w:vertAlign w:val="superscript"/>
        </w:rPr>
        <w:t>+</w:t>
      </w:r>
      <w:r w:rsidR="00B97C90" w:rsidRPr="00752DC3">
        <w:t xml:space="preserve">, </w:t>
      </w:r>
      <w:r w:rsidR="00726DA3" w:rsidRPr="00752DC3">
        <w:t>CD4</w:t>
      </w:r>
      <w:r w:rsidR="00726DA3" w:rsidRPr="00752DC3">
        <w:rPr>
          <w:vertAlign w:val="superscript"/>
        </w:rPr>
        <w:t>+</w:t>
      </w:r>
      <w:r w:rsidR="00726DA3" w:rsidRPr="00752DC3">
        <w:t>,</w:t>
      </w:r>
      <w:r w:rsidRPr="00752DC3">
        <w:t xml:space="preserve"> CD8</w:t>
      </w:r>
      <w:r w:rsidRPr="00752DC3">
        <w:rPr>
          <w:vertAlign w:val="superscript"/>
        </w:rPr>
        <w:t>+</w:t>
      </w:r>
      <w:r w:rsidR="00726DA3" w:rsidRPr="00752DC3">
        <w:t xml:space="preserve"> and CD4</w:t>
      </w:r>
      <w:r w:rsidR="00726DA3" w:rsidRPr="00752DC3">
        <w:rPr>
          <w:vertAlign w:val="superscript"/>
        </w:rPr>
        <w:t>-</w:t>
      </w:r>
      <w:r w:rsidR="00726DA3" w:rsidRPr="00752DC3">
        <w:t xml:space="preserve"> CD8</w:t>
      </w:r>
      <w:r w:rsidR="00726DA3" w:rsidRPr="00752DC3">
        <w:rPr>
          <w:vertAlign w:val="superscript"/>
        </w:rPr>
        <w:t>-</w:t>
      </w:r>
      <w:r w:rsidRPr="00752DC3">
        <w:t xml:space="preserve"> </w:t>
      </w:r>
      <w:r w:rsidR="00983523">
        <w:t xml:space="preserve">T cells </w:t>
      </w:r>
      <w:r w:rsidRPr="00752DC3">
        <w:t>producing IFN-</w:t>
      </w:r>
      <w:r w:rsidRPr="00752DC3">
        <w:rPr>
          <w:rFonts w:cs="Arial"/>
        </w:rPr>
        <w:t>γ</w:t>
      </w:r>
      <w:r w:rsidR="00B97C90" w:rsidRPr="00752DC3">
        <w:rPr>
          <w:rFonts w:cs="Arial"/>
        </w:rPr>
        <w:t xml:space="preserve">. </w:t>
      </w:r>
      <w:r w:rsidR="00E12AD8" w:rsidRPr="00752DC3">
        <w:t>IFN-</w:t>
      </w:r>
      <w:r w:rsidR="00E12AD8" w:rsidRPr="00752DC3">
        <w:rPr>
          <w:rFonts w:cs="Arial"/>
        </w:rPr>
        <w:t>γ</w:t>
      </w:r>
      <w:r w:rsidR="00726DA3" w:rsidRPr="00752DC3">
        <w:rPr>
          <w:rFonts w:cs="Arial"/>
        </w:rPr>
        <w:t xml:space="preserve"> </w:t>
      </w:r>
      <w:r w:rsidR="00E12AD8" w:rsidRPr="00752DC3">
        <w:t xml:space="preserve">producing cells in PBMCs of cattle immunized thrice with NcMP/CpG/R848 </w:t>
      </w:r>
      <w:r w:rsidR="00B97C90" w:rsidRPr="00752DC3">
        <w:t xml:space="preserve">and </w:t>
      </w:r>
      <w:r w:rsidR="00E12AD8" w:rsidRPr="00752DC3">
        <w:t>sham-immunized with CpG/R848, as indicated previously, 1</w:t>
      </w:r>
      <w:r w:rsidR="00CB76EC">
        <w:t>5</w:t>
      </w:r>
      <w:r w:rsidR="00E12AD8" w:rsidRPr="00752DC3">
        <w:t xml:space="preserve"> days after infection with 2</w:t>
      </w:r>
      <w:r w:rsidR="009F6DDD" w:rsidRPr="00752DC3">
        <w:t>.</w:t>
      </w:r>
      <w:r w:rsidR="00983523">
        <w:t>5</w:t>
      </w:r>
      <w:r w:rsidR="00631CDC" w:rsidRPr="00752DC3">
        <w:t xml:space="preserve"> </w:t>
      </w:r>
      <w:r w:rsidR="00631CDC" w:rsidRPr="00752DC3">
        <w:rPr>
          <w:rFonts w:cs="Arial"/>
        </w:rPr>
        <w:t>×</w:t>
      </w:r>
      <w:r w:rsidR="00631CDC" w:rsidRPr="00752DC3">
        <w:t xml:space="preserve"> </w:t>
      </w:r>
      <w:r w:rsidR="00E12AD8" w:rsidRPr="00752DC3">
        <w:t>10</w:t>
      </w:r>
      <w:r w:rsidR="00E12AD8" w:rsidRPr="00752DC3">
        <w:rPr>
          <w:vertAlign w:val="superscript"/>
        </w:rPr>
        <w:t xml:space="preserve">8 </w:t>
      </w:r>
      <w:r w:rsidR="00FD75A1" w:rsidRPr="00752DC3">
        <w:rPr>
          <w:i/>
        </w:rPr>
        <w:t xml:space="preserve">N. </w:t>
      </w:r>
      <w:r w:rsidR="00E12AD8" w:rsidRPr="00752DC3">
        <w:rPr>
          <w:i/>
        </w:rPr>
        <w:t xml:space="preserve">caninum </w:t>
      </w:r>
      <w:r w:rsidR="00E12AD8" w:rsidRPr="00752DC3">
        <w:t>tachyzoites</w:t>
      </w:r>
      <w:r w:rsidR="00B97C90" w:rsidRPr="00752DC3">
        <w:t xml:space="preserve">, stimulated </w:t>
      </w:r>
      <w:r w:rsidR="00D12AE7" w:rsidRPr="00752DC3">
        <w:rPr>
          <w:i/>
          <w:iCs w:val="0"/>
        </w:rPr>
        <w:t>ex-vivo</w:t>
      </w:r>
      <w:r w:rsidR="00D12AE7" w:rsidRPr="00752DC3">
        <w:t xml:space="preserve"> </w:t>
      </w:r>
      <w:r w:rsidR="00B97C90" w:rsidRPr="00752DC3">
        <w:t xml:space="preserve">with concanavalin A (ConA), </w:t>
      </w:r>
      <w:r w:rsidR="00B97C90" w:rsidRPr="00752DC3">
        <w:rPr>
          <w:i/>
        </w:rPr>
        <w:t xml:space="preserve">N. caninum </w:t>
      </w:r>
      <w:r w:rsidR="00B97C90" w:rsidRPr="00752DC3">
        <w:t xml:space="preserve">membrane proteins (NcMP), </w:t>
      </w:r>
      <w:r w:rsidR="00B97C90" w:rsidRPr="00752DC3">
        <w:rPr>
          <w:i/>
        </w:rPr>
        <w:t xml:space="preserve">N. caninum </w:t>
      </w:r>
      <w:r w:rsidR="00B97C90" w:rsidRPr="00752DC3">
        <w:t xml:space="preserve">tachyzoites (NcT) or without stimulation (w/o stim). </w:t>
      </w:r>
      <w:r w:rsidR="00E12AD8" w:rsidRPr="00752DC3">
        <w:t xml:space="preserve">Data corresponds to one independent experiment (Experiment 1). Each dot corresponds to an individual animal. </w:t>
      </w:r>
      <w:r w:rsidR="00FF1779">
        <w:t xml:space="preserve">Each </w:t>
      </w:r>
      <w:r w:rsidR="00983523">
        <w:t xml:space="preserve">symbol </w:t>
      </w:r>
      <w:r w:rsidR="00FF1779">
        <w:t xml:space="preserve">colour represents one animal throughout the measurements. </w:t>
      </w:r>
      <w:r w:rsidR="00E12AD8" w:rsidRPr="00752DC3">
        <w:t>Each bar represents the mean of the group.</w:t>
      </w:r>
      <w:r w:rsidR="0034038B" w:rsidRPr="00752DC3">
        <w:t xml:space="preserve"> </w:t>
      </w:r>
      <w:r w:rsidR="000A40F4" w:rsidRPr="00752DC3">
        <w:t xml:space="preserve">Data </w:t>
      </w:r>
      <w:r w:rsidR="000A40F4">
        <w:t>are</w:t>
      </w:r>
      <w:r w:rsidR="000A40F4" w:rsidRPr="00752DC3">
        <w:t xml:space="preserve"> presented as percentage of </w:t>
      </w:r>
      <w:r w:rsidR="000A40F4">
        <w:t xml:space="preserve">the corresponding gated </w:t>
      </w:r>
      <w:r w:rsidR="000A40F4" w:rsidRPr="00752DC3">
        <w:t>cell populations</w:t>
      </w:r>
      <w:r w:rsidR="000A40F4">
        <w:t xml:space="preserve"> producing </w:t>
      </w:r>
      <w:r w:rsidR="000A40F4" w:rsidRPr="00752DC3">
        <w:t>IFN-</w:t>
      </w:r>
      <w:r w:rsidR="000A40F4" w:rsidRPr="00752DC3">
        <w:rPr>
          <w:rFonts w:cs="Arial"/>
        </w:rPr>
        <w:t>γ</w:t>
      </w:r>
      <w:r w:rsidR="000A40F4">
        <w:t>.</w:t>
      </w:r>
      <w:bookmarkEnd w:id="62"/>
      <w:bookmarkEnd w:id="63"/>
      <w:bookmarkEnd w:id="64"/>
      <w:bookmarkEnd w:id="65"/>
      <w:bookmarkEnd w:id="66"/>
    </w:p>
    <w:p w14:paraId="059AF2E2" w14:textId="26F66635" w:rsidR="00993B2A" w:rsidRDefault="00993B2A" w:rsidP="00F05A74">
      <w:pPr>
        <w:spacing w:before="240"/>
      </w:pPr>
      <w:r>
        <w:t xml:space="preserve">IL-17A is produced mainly by Th17 and TCR </w:t>
      </w:r>
      <w:r>
        <w:rPr>
          <w:rFonts w:cs="Arial"/>
        </w:rPr>
        <w:t>γδ</w:t>
      </w:r>
      <w:r w:rsidRPr="00AE5A28">
        <w:rPr>
          <w:vertAlign w:val="superscript"/>
        </w:rPr>
        <w:t>+</w:t>
      </w:r>
      <w:r>
        <w:t xml:space="preserve"> cells </w:t>
      </w:r>
      <w:r>
        <w:fldChar w:fldCharType="begin" w:fldLock="1"/>
      </w:r>
      <w:r w:rsidR="0023236C">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Immunology","type":"chapter"},"uris":["http://www.mendeley.com/documents/?uuid=5b612fa0-4782-467b-a937-4cc8cbeba109"]},{"id":"ITEM-2","itemData":{"DOI":"10.1038/srep05431","ISSN":"2045-2322","PMID":"24961164","abstract":"IL-17 has emerged as a key player in the immune system, exhibiting roles in protection from infectious diseases and promoting inflammation in autoimmunity. Initially thought to be CD4 T-cell-derived, the sources of IL-17 are now known to be varied and belong to both the innate and adaptive arms of the immune system. Mechanisms for inducing IL-17 production in lymphoid cells are thought to rely on appropriate antigenic stimulation in the context of TGF-β1, IL-6 and/or IL-1β. Using culture protocols adapted from human studies, we have effectively induced both bovine CD4+ and WC1+ γδ T-cells to produce IL-17 termed Th17 and γδ17 cells, respectively. The negative regulatory effect of IFN-γ on mouse and human IL-17 production can be extended to the bovine model, as addition of IFN-γ decreases IL-17 production in both cell types. Furthermore we show that infection with the protozoan Neospora caninum will induce fibroblasts to secrete pro-IL-17 factors thereby inducing a γδ17 phenotype that preferentially kills infected target cells. Our study identifies two T-cell sources of IL-17 and is the first to demonstrate a protective effect of IL-17+ T-cells in ruminants. Our findings offer further opportunities for future adjuvants or vaccines which could benefit from inducing these responses.","author":[{"dropping-particle":"","family":"Peckham","given":"R. K.","non-dropping-particle":"","parse-names":false,"suffix":""},{"dropping-particle":"","family":"Brill","given":"R.","non-dropping-particle":"","parse-names":false,"suffix":""},{"dropping-particle":"","family":"Foster","given":"D. S.","non-dropping-particle":"","parse-names":false,"suffix":""},{"dropping-particle":"","family":"Bowen","given":"A. L.","non-dropping-particle":"","parse-names":false,"suffix":""},{"dropping-particle":"","family":"Leigh","given":"J. A.","non-dropping-particle":"","parse-names":false,"suffix":""},{"dropping-particle":"","family":"Coffey","given":"T. J.","non-dropping-particle":"","parse-names":false,"suffix":""},{"dropping-particle":"","family":"Flynn","given":"R. J.","non-dropping-particle":"","parse-names":false,"suffix":""}],"container-title":"Scientific Reports 2014 4:1","id":"ITEM-2","issue":"1","issued":{"date-parts":[["2014","6","25"]]},"page":"1-5","publisher":"Nature Publishing Group","title":"Two distinct populations of Bovine IL-17+ T-cells can be induced and WC1+IL-17+γδ T-cells are effective killers of protozoan parasites","type":"article-journal","volume":"4"},"uris":["http://www.mendeley.com/documents/?uuid=c6606cc8-8a57-336b-8051-fdc52aeaafe2"]}],"mendeley":{"formattedCitation":"[19], [55]","manualFormatting":"[19, 45]","plainTextFormattedCitation":"[19], [55]","previouslyFormattedCitation":"[19], [55]"},"properties":{"noteIndex":0},"schema":"https://github.com/citation-style-language/schema/raw/master/csl-citation.json"}</w:instrText>
      </w:r>
      <w:r>
        <w:fldChar w:fldCharType="separate"/>
      </w:r>
      <w:r w:rsidR="002600A2">
        <w:rPr>
          <w:noProof/>
        </w:rPr>
        <w:t xml:space="preserve">[19, </w:t>
      </w:r>
      <w:r w:rsidR="00F00084" w:rsidRPr="00F00084">
        <w:rPr>
          <w:noProof/>
        </w:rPr>
        <w:t>45]</w:t>
      </w:r>
      <w:r>
        <w:fldChar w:fldCharType="end"/>
      </w:r>
      <w:r>
        <w:t xml:space="preserve">. TCR </w:t>
      </w:r>
      <w:r>
        <w:rPr>
          <w:rFonts w:cs="Arial"/>
        </w:rPr>
        <w:t>γδ</w:t>
      </w:r>
      <w:r w:rsidRPr="00AE5A28">
        <w:rPr>
          <w:vertAlign w:val="superscript"/>
        </w:rPr>
        <w:t>+</w:t>
      </w:r>
      <w:r>
        <w:t xml:space="preserve"> cells were not accurately identified</w:t>
      </w:r>
      <w:r w:rsidR="00185DDB">
        <w:t xml:space="preserve"> here,</w:t>
      </w:r>
      <w:r>
        <w:t xml:space="preserve"> due to technical limitations, which compromised IL-17A measurements</w:t>
      </w:r>
      <w:r w:rsidRPr="00B0445B">
        <w:t xml:space="preserve"> </w:t>
      </w:r>
      <w:r>
        <w:t xml:space="preserve">by TCR </w:t>
      </w:r>
      <w:r>
        <w:rPr>
          <w:rFonts w:cs="Arial"/>
        </w:rPr>
        <w:t>γδ</w:t>
      </w:r>
      <w:r w:rsidRPr="00AE5A28">
        <w:rPr>
          <w:vertAlign w:val="superscript"/>
        </w:rPr>
        <w:t>+</w:t>
      </w:r>
      <w:r>
        <w:t xml:space="preserve"> cells. However, </w:t>
      </w:r>
      <w:r w:rsidR="002866DD">
        <w:t>these were indirectly determined by evaluating the CD4</w:t>
      </w:r>
      <w:r w:rsidR="002866DD" w:rsidRPr="00C95E95">
        <w:rPr>
          <w:vertAlign w:val="superscript"/>
        </w:rPr>
        <w:t>-</w:t>
      </w:r>
      <w:r w:rsidR="002866DD">
        <w:t xml:space="preserve"> CD8</w:t>
      </w:r>
      <w:r w:rsidR="002866DD" w:rsidRPr="00C95E95">
        <w:rPr>
          <w:vertAlign w:val="superscript"/>
        </w:rPr>
        <w:t>-</w:t>
      </w:r>
      <w:r w:rsidR="002866DD">
        <w:t xml:space="preserve"> </w:t>
      </w:r>
      <w:r w:rsidR="00185DDB">
        <w:t xml:space="preserve">T </w:t>
      </w:r>
      <w:r w:rsidR="002866DD">
        <w:t xml:space="preserve">cell population, as previously mentioned. As displayed in Fig. 7, </w:t>
      </w:r>
      <w:r w:rsidR="002866DD" w:rsidRPr="00E962A8">
        <w:t xml:space="preserve">IL-17A production was higher </w:t>
      </w:r>
      <w:r w:rsidR="00185DDB" w:rsidRPr="00E962A8">
        <w:t>in</w:t>
      </w:r>
      <w:r w:rsidR="002866DD" w:rsidRPr="00E962A8">
        <w:t xml:space="preserve"> all cell</w:t>
      </w:r>
      <w:r w:rsidR="00185DDB" w:rsidRPr="00E962A8">
        <w:t xml:space="preserve"> populations</w:t>
      </w:r>
      <w:r w:rsidR="002866DD" w:rsidRPr="00E962A8">
        <w:t xml:space="preserve"> o</w:t>
      </w:r>
      <w:r w:rsidR="00185DDB" w:rsidRPr="00E962A8">
        <w:t>f</w:t>
      </w:r>
      <w:r w:rsidR="002866DD" w:rsidRPr="00E962A8">
        <w:t xml:space="preserve"> the control group samples that were stimulated with NcT</w:t>
      </w:r>
      <w:r w:rsidR="002866DD">
        <w:t xml:space="preserve">. </w:t>
      </w:r>
      <w:r w:rsidR="006C2768">
        <w:t>N</w:t>
      </w:r>
      <w:r w:rsidR="0038590E">
        <w:t>evertheless, n</w:t>
      </w:r>
      <w:r w:rsidR="006C2768">
        <w:t>o statistical significan</w:t>
      </w:r>
      <w:r w:rsidR="00185DDB">
        <w:t>t differences</w:t>
      </w:r>
      <w:r w:rsidR="006C2768">
        <w:t xml:space="preserve"> w</w:t>
      </w:r>
      <w:r w:rsidR="00185DDB">
        <w:t>ere</w:t>
      </w:r>
      <w:r w:rsidR="006C2768">
        <w:t xml:space="preserve"> found between groups. </w:t>
      </w:r>
      <w:r w:rsidR="002866DD">
        <w:t xml:space="preserve"> </w:t>
      </w:r>
    </w:p>
    <w:p w14:paraId="6535BC0F" w14:textId="705346CB" w:rsidR="00C15398" w:rsidRDefault="002C5FD8" w:rsidP="00F05A74">
      <w:pPr>
        <w:ind w:firstLine="0"/>
        <w:jc w:val="center"/>
      </w:pPr>
      <w:r w:rsidRPr="002C5FD8">
        <w:rPr>
          <w:noProof/>
          <w:lang w:val="pt-PT" w:eastAsia="pt-PT"/>
        </w:rPr>
        <w:drawing>
          <wp:inline distT="0" distB="0" distL="0" distR="0" wp14:anchorId="41291986" wp14:editId="7C78BF41">
            <wp:extent cx="5400000" cy="4070410"/>
            <wp:effectExtent l="0" t="0" r="0" b="6350"/>
            <wp:docPr id="24" name="Imagem 24" descr="C:\Users\Utilizador\Desktop\enviar\layouts\IL-17A producing cell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zador\Desktop\enviar\layouts\IL-17A producing cells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4070410"/>
                    </a:xfrm>
                    <a:prstGeom prst="rect">
                      <a:avLst/>
                    </a:prstGeom>
                    <a:noFill/>
                    <a:ln>
                      <a:noFill/>
                    </a:ln>
                  </pic:spPr>
                </pic:pic>
              </a:graphicData>
            </a:graphic>
          </wp:inline>
        </w:drawing>
      </w:r>
    </w:p>
    <w:p w14:paraId="7DAADDA1" w14:textId="161EB569" w:rsidR="00C15398" w:rsidRPr="00D263EE" w:rsidRDefault="00C15398" w:rsidP="00F05A74">
      <w:pPr>
        <w:pStyle w:val="Legenda"/>
        <w:spacing w:line="276" w:lineRule="auto"/>
      </w:pPr>
      <w:bookmarkStart w:id="67" w:name="_Toc114089156"/>
      <w:bookmarkStart w:id="68" w:name="_Toc114595400"/>
      <w:bookmarkStart w:id="69" w:name="_Toc114595567"/>
      <w:bookmarkStart w:id="70" w:name="_Toc113920038"/>
      <w:r w:rsidRPr="00AB2D92">
        <w:rPr>
          <w:b/>
        </w:rPr>
        <w:t xml:space="preserve">Figure </w:t>
      </w:r>
      <w:r w:rsidRPr="00AB2D92">
        <w:rPr>
          <w:b/>
        </w:rPr>
        <w:fldChar w:fldCharType="begin"/>
      </w:r>
      <w:r w:rsidRPr="00AB2D92">
        <w:rPr>
          <w:b/>
        </w:rPr>
        <w:instrText xml:space="preserve"> SEQ Figure \* ARABIC </w:instrText>
      </w:r>
      <w:r w:rsidRPr="00AB2D92">
        <w:rPr>
          <w:b/>
        </w:rPr>
        <w:fldChar w:fldCharType="separate"/>
      </w:r>
      <w:r w:rsidR="00184C64">
        <w:rPr>
          <w:b/>
          <w:noProof/>
        </w:rPr>
        <w:t>7</w:t>
      </w:r>
      <w:r w:rsidRPr="00AB2D92">
        <w:rPr>
          <w:b/>
        </w:rPr>
        <w:fldChar w:fldCharType="end"/>
      </w:r>
      <w:r w:rsidRPr="00AB2D92">
        <w:rPr>
          <w:b/>
        </w:rPr>
        <w:t>.</w:t>
      </w:r>
      <w:r>
        <w:t xml:space="preserve"> </w:t>
      </w:r>
      <w:r w:rsidRPr="00752DC3">
        <w:t>Percentage of CD3</w:t>
      </w:r>
      <w:r w:rsidRPr="00752DC3">
        <w:rPr>
          <w:vertAlign w:val="superscript"/>
        </w:rPr>
        <w:t>+</w:t>
      </w:r>
      <w:r w:rsidRPr="00752DC3">
        <w:t>, CD4</w:t>
      </w:r>
      <w:r w:rsidRPr="00752DC3">
        <w:rPr>
          <w:vertAlign w:val="superscript"/>
        </w:rPr>
        <w:t>+</w:t>
      </w:r>
      <w:r w:rsidRPr="00752DC3">
        <w:t xml:space="preserve"> and CD4</w:t>
      </w:r>
      <w:r w:rsidRPr="00752DC3">
        <w:rPr>
          <w:vertAlign w:val="superscript"/>
        </w:rPr>
        <w:t>-</w:t>
      </w:r>
      <w:r w:rsidRPr="00752DC3">
        <w:t xml:space="preserve"> CD8</w:t>
      </w:r>
      <w:r w:rsidRPr="00752DC3">
        <w:rPr>
          <w:vertAlign w:val="superscript"/>
        </w:rPr>
        <w:t>-</w:t>
      </w:r>
      <w:r w:rsidRPr="00752DC3">
        <w:t xml:space="preserve"> </w:t>
      </w:r>
      <w:r w:rsidR="000A40F4">
        <w:t xml:space="preserve">T cells </w:t>
      </w:r>
      <w:r w:rsidRPr="00752DC3">
        <w:t xml:space="preserve">producing </w:t>
      </w:r>
      <w:r>
        <w:t>IL-17A</w:t>
      </w:r>
      <w:r w:rsidRPr="00752DC3">
        <w:rPr>
          <w:rFonts w:cs="Arial"/>
        </w:rPr>
        <w:t xml:space="preserve">. </w:t>
      </w:r>
      <w:r>
        <w:t>IL-17A</w:t>
      </w:r>
      <w:r w:rsidRPr="00752DC3">
        <w:rPr>
          <w:rFonts w:cs="Arial"/>
        </w:rPr>
        <w:t xml:space="preserve"> </w:t>
      </w:r>
      <w:r w:rsidRPr="00752DC3">
        <w:t>producing cells in PBMCs of cattle immunized thrice with NcMP/CpG/R848 and sham-immunized with CpG/R848, as indicated previously, 1</w:t>
      </w:r>
      <w:r w:rsidR="00CB76EC">
        <w:t>5</w:t>
      </w:r>
      <w:r w:rsidRPr="00752DC3">
        <w:t xml:space="preserve"> days after infection with 2.</w:t>
      </w:r>
      <w:r w:rsidR="000A40F4">
        <w:t>5</w:t>
      </w:r>
      <w:r w:rsidRPr="00752DC3">
        <w:t xml:space="preserve"> </w:t>
      </w:r>
      <w:r w:rsidRPr="00752DC3">
        <w:rPr>
          <w:rFonts w:cs="Arial"/>
        </w:rPr>
        <w:t>×</w:t>
      </w:r>
      <w:r w:rsidRPr="00752DC3">
        <w:t xml:space="preserve"> 10</w:t>
      </w:r>
      <w:r w:rsidRPr="00752DC3">
        <w:rPr>
          <w:vertAlign w:val="superscript"/>
        </w:rPr>
        <w:t xml:space="preserve">8 </w:t>
      </w:r>
      <w:r w:rsidRPr="00752DC3">
        <w:rPr>
          <w:i/>
        </w:rPr>
        <w:t xml:space="preserve">N. caninum </w:t>
      </w:r>
      <w:r w:rsidRPr="00752DC3">
        <w:t xml:space="preserve">tachyzoites, stimulated </w:t>
      </w:r>
      <w:r w:rsidRPr="00752DC3">
        <w:rPr>
          <w:i/>
          <w:iCs w:val="0"/>
        </w:rPr>
        <w:t>ex-vivo</w:t>
      </w:r>
      <w:r w:rsidRPr="00752DC3">
        <w:t xml:space="preserve"> with concanavalin A (ConA), </w:t>
      </w:r>
      <w:r w:rsidRPr="00752DC3">
        <w:rPr>
          <w:i/>
        </w:rPr>
        <w:t xml:space="preserve">N. caninum </w:t>
      </w:r>
      <w:r w:rsidRPr="00752DC3">
        <w:t xml:space="preserve">membrane proteins (NcMP), </w:t>
      </w:r>
      <w:r w:rsidRPr="00752DC3">
        <w:rPr>
          <w:i/>
        </w:rPr>
        <w:t xml:space="preserve">N. caninum </w:t>
      </w:r>
      <w:r w:rsidRPr="00752DC3">
        <w:t xml:space="preserve">tachyzoites (NcT) or without stimulation (w/o stim). Data corresponds to one independent experiment (Experiment 1). Each dot corresponds to an individual animal. </w:t>
      </w:r>
      <w:r>
        <w:t xml:space="preserve">Each </w:t>
      </w:r>
      <w:r w:rsidR="000A40F4">
        <w:t xml:space="preserve">symbol </w:t>
      </w:r>
      <w:r>
        <w:t xml:space="preserve">colour represents one animal throughout the measurements. </w:t>
      </w:r>
      <w:r w:rsidRPr="00752DC3">
        <w:t xml:space="preserve">Each bar represents the mean of the group. Data </w:t>
      </w:r>
      <w:r w:rsidR="000A40F4">
        <w:t>are</w:t>
      </w:r>
      <w:r w:rsidRPr="00752DC3">
        <w:t xml:space="preserve"> presented as percentage of </w:t>
      </w:r>
      <w:r w:rsidR="000A40F4">
        <w:t xml:space="preserve">the corresponding gated </w:t>
      </w:r>
      <w:r w:rsidRPr="00752DC3">
        <w:t>cell populations</w:t>
      </w:r>
      <w:r w:rsidR="000A40F4">
        <w:t xml:space="preserve"> producing IL-17A</w:t>
      </w:r>
      <w:r w:rsidRPr="00752DC3">
        <w:t>.</w:t>
      </w:r>
      <w:bookmarkEnd w:id="67"/>
      <w:bookmarkEnd w:id="68"/>
      <w:bookmarkEnd w:id="69"/>
      <w:r w:rsidRPr="00752DC3">
        <w:t xml:space="preserve"> </w:t>
      </w:r>
      <w:bookmarkEnd w:id="70"/>
    </w:p>
    <w:p w14:paraId="7E2C2519" w14:textId="2DDCE979" w:rsidR="00FD57BD" w:rsidRPr="000C71A6" w:rsidRDefault="00E90F8F" w:rsidP="00A078BC">
      <w:pPr>
        <w:pStyle w:val="Estilo1"/>
      </w:pPr>
      <w:bookmarkStart w:id="71" w:name="_Toc115037828"/>
      <w:r>
        <w:t xml:space="preserve">3.5. </w:t>
      </w:r>
      <w:r w:rsidR="00800832">
        <w:t xml:space="preserve">Evaluation of </w:t>
      </w:r>
      <w:r w:rsidR="00800832" w:rsidRPr="00C5068C">
        <w:rPr>
          <w:i/>
          <w:iCs/>
        </w:rPr>
        <w:t>TBX21</w:t>
      </w:r>
      <w:r w:rsidR="00800832">
        <w:t xml:space="preserve"> and </w:t>
      </w:r>
      <w:r w:rsidR="00800832" w:rsidRPr="00C5068C">
        <w:rPr>
          <w:i/>
          <w:iCs/>
        </w:rPr>
        <w:t>RORC</w:t>
      </w:r>
      <w:r w:rsidR="00800832">
        <w:t xml:space="preserve"> gene expression</w:t>
      </w:r>
      <w:bookmarkEnd w:id="71"/>
      <w:r w:rsidR="00FD57BD" w:rsidRPr="000C71A6">
        <w:t xml:space="preserve"> </w:t>
      </w:r>
    </w:p>
    <w:p w14:paraId="1D4614B1" w14:textId="42D3B326" w:rsidR="00552C1B" w:rsidRDefault="007479C8" w:rsidP="00F35C1D">
      <w:r w:rsidRPr="00752DC3">
        <w:rPr>
          <w:iCs/>
        </w:rPr>
        <w:t>T-bet</w:t>
      </w:r>
      <w:r>
        <w:t xml:space="preserve"> and </w:t>
      </w:r>
      <w:r w:rsidRPr="00752DC3">
        <w:rPr>
          <w:iCs/>
        </w:rPr>
        <w:t>ROR</w:t>
      </w:r>
      <w:r w:rsidRPr="00752DC3">
        <w:rPr>
          <w:rFonts w:cs="Arial"/>
          <w:iCs/>
        </w:rPr>
        <w:t>γ</w:t>
      </w:r>
      <w:r w:rsidRPr="00752DC3">
        <w:rPr>
          <w:iCs/>
        </w:rPr>
        <w:t>t</w:t>
      </w:r>
      <w:r w:rsidRPr="009D5DCF">
        <w:rPr>
          <w:iCs/>
        </w:rPr>
        <w:t xml:space="preserve"> </w:t>
      </w:r>
      <w:r>
        <w:t xml:space="preserve">are </w:t>
      </w:r>
      <w:r w:rsidR="00534845">
        <w:t xml:space="preserve">transcription factors that are </w:t>
      </w:r>
      <w:r>
        <w:t xml:space="preserve">essential for </w:t>
      </w:r>
      <w:r w:rsidR="00534845">
        <w:t>stable</w:t>
      </w:r>
      <w:r>
        <w:t xml:space="preserve"> Th1 and Th17-type responses</w:t>
      </w:r>
      <w:r w:rsidR="00EA4081" w:rsidRPr="00EA4081">
        <w:t xml:space="preserve"> </w:t>
      </w:r>
      <w:r w:rsidR="00EA4081">
        <w:t xml:space="preserve">and are  characteristically expressed </w:t>
      </w:r>
      <w:r w:rsidR="00225CDC">
        <w:t xml:space="preserve">by </w:t>
      </w:r>
      <w:r w:rsidR="00EA4081">
        <w:t>IFN-</w:t>
      </w:r>
      <w:r w:rsidR="00EA4081">
        <w:rPr>
          <w:rFonts w:cs="Arial"/>
        </w:rPr>
        <w:t>γ-</w:t>
      </w:r>
      <w:r w:rsidR="00EA4081">
        <w:t xml:space="preserve"> and IL-17A-producing cells,</w:t>
      </w:r>
      <w:r>
        <w:t xml:space="preserve"> respectively </w:t>
      </w:r>
      <w:r>
        <w:fldChar w:fldCharType="begin" w:fldLock="1"/>
      </w:r>
      <w:r w:rsidR="003D7092">
        <w:instrText>ADDIN CSL_CITATION {"citationItems":[{"id":"ITEM-1","itemData":{"DOI":"10.3390/VACCINES10060925","ISSN":"2076-393X","PMID":"35746533","abstract":"Neospora caninum is an obligate intracellular protozoan responsible for abortion and stillbirths in cattle. We previously developed a mucosal vaccination approach using N. caninum membrane proteins and CpG adjuvant that conferred long-term protection against neosporosis in mice. Here, we have extended this approach by alternatively using the carbomer-based adjuvant Carbigen™ in the immunizing preparation. Immunized mice presented higher proportions and numbers of memory CD4+ and CD8+ T cells. Stimulation of spleen, lungs and liver leukocytes with parasite antigens induced a marked production of IFN-γ and IL-17A and, less markedly, IL-4. This balanced response was also evident in that both parasite-specific IgG1 and IgG2c were raised by immunization, together with specific intestinal IgA. Upon intraperitoneal infection with N. caninum, immunized mice presented lower parasitic burdens than sham-immunized controls. In the infected immunized mice, memory CD4+ T cells predominantly expressed T-bet and RORγt, and CD8+ T cells expressing T-bet were found increased. While spleen, lungs and liver leukocytes of both immunized and sham-immunized infected animals produced high amounts of IFN-γ, only the cells from immunized mice responded with high IL-17A production. Since in cattle both IFN-γ and IL-17A have been associated with protective mechanisms against N. caninum infection, the elicited cytokine profile obtained using CarbigenTM as adjuvant indicates that it could be worth exploring for bovine neosporosis vaccination.","author":[{"dropping-particle":"","family":"Correia","given":"Alexandra","non-dropping-particle":"","parse-names":false,"suffix":""},{"dropping-particle":"","family":"Alves","given":"Pedro","non-dropping-particle":"","parse-names":false,"suffix":""},{"dropping-particle":"","family":"Fróis-Martins","given":"Ricardo","non-dropping-particle":"","parse-names":false,"suffix":""},{"dropping-particle":"","family":"Teixeira","given":"Luzia","non-dropping-particle":"","parse-names":false,"suffix":""},{"dropping-particle":"","family":"Vilanova","given":"Manuel","non-dropping-particle":"","parse-names":false,"suffix":""}],"container-title":"Vaccines","id":"ITEM-1","issue":"6","issued":{"date-parts":[["2022","6","10"]]},"note":"T-bet and RORgt associated with Th1 and Th17 cell populations responses, respectively.\n\nIL-17A is generally associated with bacterial and fungal infections, however it has been detected to establish a protective role in protozoan infections such as toxoplasmosis.","page":"925","publisher":"Vaccines (Basel)","title":"Protective Effect against Neosporosis Induced by Intranasal Immunization with Neospora caninum Membrane Antigens Plus Carbomer-Based Adjuvant","type":"article-journal","volume":"10"},"uris":["http://www.mendeley.com/documents/?uuid=55936595-3a35-3056-b6ba-7a00f7805700"]},{"id":"ITEM-2","itemData":{"ISBN":"978-1-4557-0362-3","abstract":"The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Sciences","edition":"9th","id":"ITEM-2","issued":{"date-parts":[["2012"]]},"publisher":"W.B. Saunders Company","title":"Veterinary Immunology","type":"chapter"},"uris":["http://www.mendeley.com/documents/?uuid=5b612fa0-4782-467b-a937-4cc8cbeba109"]}],"mendeley":{"formattedCitation":"[19], [24]","manualFormatting":"[19, 21]","plainTextFormattedCitation":"[19], [24]","previouslyFormattedCitation":"[19], [24]"},"properties":{"noteIndex":0},"schema":"https://github.com/citation-style-language/schema/raw/master/csl-citation.json"}</w:instrText>
      </w:r>
      <w:r>
        <w:fldChar w:fldCharType="separate"/>
      </w:r>
      <w:r w:rsidR="002600A2">
        <w:rPr>
          <w:noProof/>
        </w:rPr>
        <w:t xml:space="preserve">[19, </w:t>
      </w:r>
      <w:r w:rsidR="00F00084" w:rsidRPr="00F00084">
        <w:rPr>
          <w:noProof/>
        </w:rPr>
        <w:t>21]</w:t>
      </w:r>
      <w:r>
        <w:fldChar w:fldCharType="end"/>
      </w:r>
      <w:r>
        <w:t>.</w:t>
      </w:r>
      <w:r w:rsidR="00A078BC" w:rsidRPr="00A078BC">
        <w:rPr>
          <w:rFonts w:cs="Arial"/>
          <w:iCs/>
        </w:rPr>
        <w:t xml:space="preserve"> </w:t>
      </w:r>
      <w:r w:rsidR="00A078BC" w:rsidRPr="00752DC3">
        <w:rPr>
          <w:rFonts w:cs="Arial"/>
          <w:iCs/>
        </w:rPr>
        <w:t>β</w:t>
      </w:r>
      <w:r w:rsidR="00A078BC" w:rsidRPr="00752DC3">
        <w:rPr>
          <w:iCs/>
        </w:rPr>
        <w:t>2 microglobulin</w:t>
      </w:r>
      <w:r w:rsidR="00A078BC">
        <w:t xml:space="preserve"> is a component of major histocompatibility (MHC) class I </w:t>
      </w:r>
      <w:r w:rsidR="00A078BC">
        <w:fldChar w:fldCharType="begin" w:fldLock="1"/>
      </w:r>
      <w:r w:rsidR="0023236C">
        <w:instrText>ADDIN CSL_CITATION {"citationItems":[{"id":"ITEM-1","itemData":{"DOI":"10.1073/PNAS.82.12.4225","ISSN":"00278424","PMID":"3889925","abstract":"The three-dimensional structure of β2-microglobulin, the light chain of the major histocompatibility complex class I antigens, has been determined by x-ray crystallography. An electron density map of the bovine protein was calculated at a nominal resolution of 2.9 Å by using the methods of multiple isomorphous replacement and electron density modification refinement. The molecule is approximately 45 x 25 x 20 Å in size. Almost half of the amino acid residues participate in two large β structures, one of four strands and the other of three, linked by a central disulfide bond. The molecule thus strongly resembles Ig constant domains in polypeptide chain folding and overall tertiary structure. Amino acid residues that are the same in the sequences of β2-microglobulin and Ig constant domains are predominantly in the interior of the molecule, whereas residues conserved among β2-microglobulins from different species are both in the interior and on the molecular surface. In the crystals studied, the molecule is clearly monomeric, consistent with the observation that β2-microglobulin, unlike Ig constant domains, apparently does not form dimers in vivo but associates with the heavy chains of major histocompatibility complex antigens. Our results demonstrate that, at the level of detailed three-dimensional structure, the light chain of the major histocompatibility class I antigens belongs to a superfamily of structures related to the Ig constant domains.","author":[{"dropping-particle":"","family":"Becker","given":"J. W.","non-dropping-particle":"","parse-names":false,"suffix":""},{"dropping-particle":"","family":"Reeke","given":"G. N.","non-dropping-particle":"","parse-names":false,"suffix":""}],"container-title":"Proceedings of the National Academy of Sciences of the United States of America","id":"ITEM-1","issue":"12","issued":{"date-parts":[["1985"]]},"page":"4225-4229","title":"Three-dimensional structure of β2-microglobulin","type":"article-journal","volume":"82"},"uris":["http://www.mendeley.com/documents/?uuid=ec3c6b4f-cb7a-33f4-8cf4-207a8b573cb1"]}],"mendeley":{"formattedCitation":"[59]","plainTextFormattedCitation":"[59]","previouslyFormattedCitation":"[59]"},"properties":{"noteIndex":0},"schema":"https://github.com/citation-style-language/schema/raw/master/csl-citation.json"}</w:instrText>
      </w:r>
      <w:r w:rsidR="00A078BC">
        <w:fldChar w:fldCharType="separate"/>
      </w:r>
      <w:r w:rsidR="0023236C" w:rsidRPr="0023236C">
        <w:rPr>
          <w:noProof/>
        </w:rPr>
        <w:t>[59]</w:t>
      </w:r>
      <w:r w:rsidR="00A078BC">
        <w:fldChar w:fldCharType="end"/>
      </w:r>
      <w:r w:rsidR="00A078BC">
        <w:t xml:space="preserve"> and was used here as a reference gene to evaluate the relative expression of </w:t>
      </w:r>
      <w:r w:rsidR="00A078BC" w:rsidRPr="00D822C6">
        <w:rPr>
          <w:i/>
        </w:rPr>
        <w:t>T</w:t>
      </w:r>
      <w:r w:rsidR="00A078BC">
        <w:rPr>
          <w:i/>
        </w:rPr>
        <w:t>BX21</w:t>
      </w:r>
      <w:r w:rsidR="00A078BC">
        <w:t xml:space="preserve"> and </w:t>
      </w:r>
      <w:r w:rsidR="00A078BC" w:rsidRPr="00D822C6">
        <w:rPr>
          <w:i/>
        </w:rPr>
        <w:t>ROR</w:t>
      </w:r>
      <w:r w:rsidR="00A078BC">
        <w:rPr>
          <w:i/>
        </w:rPr>
        <w:t>C</w:t>
      </w:r>
      <w:r w:rsidR="001D7BD1">
        <w:rPr>
          <w:iCs/>
        </w:rPr>
        <w:t xml:space="preserve">, the genes encoding </w:t>
      </w:r>
      <w:r w:rsidR="001D7BD1" w:rsidRPr="00752DC3">
        <w:rPr>
          <w:iCs/>
        </w:rPr>
        <w:t>T-bet</w:t>
      </w:r>
      <w:r w:rsidR="001D7BD1">
        <w:t xml:space="preserve"> and </w:t>
      </w:r>
      <w:r w:rsidR="001D7BD1" w:rsidRPr="00752DC3">
        <w:rPr>
          <w:iCs/>
        </w:rPr>
        <w:t>ROR</w:t>
      </w:r>
      <w:r w:rsidR="001D7BD1" w:rsidRPr="00752DC3">
        <w:rPr>
          <w:rFonts w:cs="Arial"/>
          <w:iCs/>
        </w:rPr>
        <w:t>γ</w:t>
      </w:r>
      <w:r w:rsidR="001D7BD1" w:rsidRPr="00752DC3">
        <w:rPr>
          <w:iCs/>
        </w:rPr>
        <w:t>t</w:t>
      </w:r>
      <w:r w:rsidR="001D7BD1">
        <w:rPr>
          <w:iCs/>
        </w:rPr>
        <w:t>, respectively</w:t>
      </w:r>
      <w:r w:rsidR="00A078BC">
        <w:t>.</w:t>
      </w:r>
      <w:r w:rsidR="00AB6E57">
        <w:t xml:space="preserve"> </w:t>
      </w:r>
    </w:p>
    <w:p w14:paraId="4DA18737" w14:textId="229F0DD4" w:rsidR="00AB6E57" w:rsidRDefault="00C240DE" w:rsidP="00C46FA2">
      <w:r>
        <w:t xml:space="preserve">Relative expression of </w:t>
      </w:r>
      <w:r>
        <w:rPr>
          <w:i/>
        </w:rPr>
        <w:t xml:space="preserve">TBX21 </w:t>
      </w:r>
      <w:r>
        <w:t>was higher in the lung</w:t>
      </w:r>
      <w:r w:rsidRPr="00FA4D00">
        <w:t xml:space="preserve"> </w:t>
      </w:r>
      <w:r>
        <w:t xml:space="preserve">samples of animals from the </w:t>
      </w:r>
      <w:r w:rsidR="00830910">
        <w:t>control</w:t>
      </w:r>
      <w:r w:rsidR="00E755BA">
        <w:t xml:space="preserve"> group, while </w:t>
      </w:r>
      <w:r>
        <w:t xml:space="preserve">in brain, samples from </w:t>
      </w:r>
      <w:r w:rsidR="00E755BA">
        <w:t xml:space="preserve">the </w:t>
      </w:r>
      <w:r w:rsidR="00830910">
        <w:t>immunized group</w:t>
      </w:r>
      <w:r w:rsidR="00E755BA">
        <w:t xml:space="preserve"> presented higher relative </w:t>
      </w:r>
      <w:r w:rsidRPr="00C5068C">
        <w:rPr>
          <w:i/>
          <w:iCs/>
        </w:rPr>
        <w:t>TBX21</w:t>
      </w:r>
      <w:r>
        <w:t xml:space="preserve"> </w:t>
      </w:r>
      <w:r w:rsidR="00E755BA">
        <w:t xml:space="preserve">expression. </w:t>
      </w:r>
      <w:r w:rsidR="00E755BA">
        <w:rPr>
          <w:i/>
        </w:rPr>
        <w:t>ROR</w:t>
      </w:r>
      <w:r w:rsidR="00830910">
        <w:rPr>
          <w:rFonts w:cs="Arial"/>
          <w:i/>
        </w:rPr>
        <w:t>C</w:t>
      </w:r>
      <w:r w:rsidR="00E755BA">
        <w:rPr>
          <w:i/>
        </w:rPr>
        <w:t xml:space="preserve"> </w:t>
      </w:r>
      <w:r w:rsidR="00AB6E57" w:rsidRPr="00C5068C">
        <w:rPr>
          <w:iCs/>
        </w:rPr>
        <w:t xml:space="preserve">relative </w:t>
      </w:r>
      <w:r w:rsidR="00AB6E57">
        <w:t xml:space="preserve">expression was </w:t>
      </w:r>
      <w:r w:rsidR="006D724D">
        <w:t xml:space="preserve">slightly </w:t>
      </w:r>
      <w:r w:rsidR="00E755BA">
        <w:t>higher in the liver</w:t>
      </w:r>
      <w:r w:rsidR="00830910">
        <w:t xml:space="preserve"> and</w:t>
      </w:r>
      <w:r w:rsidR="00E755BA">
        <w:t xml:space="preserve"> lung </w:t>
      </w:r>
      <w:r w:rsidR="00830910">
        <w:t>samples</w:t>
      </w:r>
      <w:r w:rsidR="00E755BA">
        <w:t xml:space="preserve"> of the </w:t>
      </w:r>
      <w:r w:rsidR="00830910">
        <w:t>control</w:t>
      </w:r>
      <w:r w:rsidR="00E755BA">
        <w:t xml:space="preserve"> group, while the relative expression in the spleen was higher in the </w:t>
      </w:r>
      <w:r w:rsidR="00830910">
        <w:t>immunized</w:t>
      </w:r>
      <w:r w:rsidR="00E755BA">
        <w:t xml:space="preserve"> group</w:t>
      </w:r>
      <w:r w:rsidR="00830910">
        <w:t xml:space="preserve"> samples</w:t>
      </w:r>
      <w:r w:rsidR="00757A64">
        <w:t xml:space="preserve"> (Fig.</w:t>
      </w:r>
      <w:r w:rsidR="00752DC3">
        <w:t xml:space="preserve"> </w:t>
      </w:r>
      <w:r w:rsidR="006C2768">
        <w:t>8</w:t>
      </w:r>
      <w:r w:rsidR="00757A64">
        <w:t>)</w:t>
      </w:r>
      <w:r w:rsidR="00E755BA">
        <w:t>. No statistical significan</w:t>
      </w:r>
      <w:r w:rsidR="00D6427E">
        <w:t xml:space="preserve">t differences </w:t>
      </w:r>
      <w:r w:rsidR="00E755BA">
        <w:t>w</w:t>
      </w:r>
      <w:r w:rsidR="00D6427E">
        <w:t>ere</w:t>
      </w:r>
      <w:r w:rsidR="00E755BA">
        <w:t xml:space="preserve"> found between groups.</w:t>
      </w:r>
      <w:r w:rsidR="00D922E5">
        <w:t xml:space="preserve"> </w:t>
      </w:r>
      <w:r w:rsidR="00D74D1E" w:rsidRPr="00D822C6">
        <w:rPr>
          <w:i/>
        </w:rPr>
        <w:t>T</w:t>
      </w:r>
      <w:r w:rsidR="009D5DCF">
        <w:rPr>
          <w:i/>
        </w:rPr>
        <w:t>BX21</w:t>
      </w:r>
      <w:r w:rsidR="00D74D1E">
        <w:t xml:space="preserve"> </w:t>
      </w:r>
      <w:r w:rsidR="00232725">
        <w:t xml:space="preserve">mRNA transcripts were </w:t>
      </w:r>
      <w:r w:rsidR="00D74D1E">
        <w:t xml:space="preserve">not detected in </w:t>
      </w:r>
      <w:r w:rsidR="009F7DD8">
        <w:t>the liver sample</w:t>
      </w:r>
      <w:r w:rsidR="00232725">
        <w:t>s</w:t>
      </w:r>
      <w:r w:rsidR="009F7DD8">
        <w:t xml:space="preserve"> from </w:t>
      </w:r>
      <w:r w:rsidR="00D74D1E">
        <w:t xml:space="preserve">one animal of the </w:t>
      </w:r>
      <w:r w:rsidR="009F7DD8">
        <w:t>control</w:t>
      </w:r>
      <w:r w:rsidR="00D74D1E">
        <w:t xml:space="preserve"> group and </w:t>
      </w:r>
      <w:r w:rsidR="00232725">
        <w:t>from</w:t>
      </w:r>
      <w:r w:rsidR="007A09C9">
        <w:t xml:space="preserve"> </w:t>
      </w:r>
      <w:r w:rsidR="00232725">
        <w:t>another</w:t>
      </w:r>
      <w:r w:rsidR="00D74D1E">
        <w:t xml:space="preserve"> </w:t>
      </w:r>
      <w:r w:rsidR="00232725">
        <w:t>of</w:t>
      </w:r>
      <w:r w:rsidR="007A09C9">
        <w:t xml:space="preserve"> </w:t>
      </w:r>
      <w:r w:rsidR="00D74D1E">
        <w:t xml:space="preserve">the </w:t>
      </w:r>
      <w:r w:rsidR="009F7DD8">
        <w:t>immunized</w:t>
      </w:r>
      <w:r w:rsidR="00D74D1E">
        <w:t xml:space="preserve"> group, </w:t>
      </w:r>
      <w:r w:rsidR="00232725">
        <w:t xml:space="preserve">or </w:t>
      </w:r>
      <w:r w:rsidR="009F7DD8">
        <w:t>in the brain samples from</w:t>
      </w:r>
      <w:r w:rsidR="00B9001C">
        <w:t xml:space="preserve"> </w:t>
      </w:r>
      <w:r w:rsidR="00D74D1E">
        <w:t xml:space="preserve">two animals </w:t>
      </w:r>
      <w:r w:rsidR="00232725">
        <w:t xml:space="preserve">of </w:t>
      </w:r>
      <w:r w:rsidR="00D74D1E">
        <w:t xml:space="preserve">the </w:t>
      </w:r>
      <w:r w:rsidR="009F7DD8">
        <w:t>control</w:t>
      </w:r>
      <w:r w:rsidR="00D74D1E">
        <w:t xml:space="preserve"> group and one animal </w:t>
      </w:r>
      <w:r w:rsidR="00232725">
        <w:t xml:space="preserve">of </w:t>
      </w:r>
      <w:r w:rsidR="00D74D1E">
        <w:t xml:space="preserve">the </w:t>
      </w:r>
      <w:r w:rsidR="009F7DD8">
        <w:t>immunized</w:t>
      </w:r>
      <w:r w:rsidR="00D74D1E">
        <w:t xml:space="preserve"> group. </w:t>
      </w:r>
      <w:r w:rsidR="009F7DD8" w:rsidRPr="00D822C6">
        <w:rPr>
          <w:i/>
        </w:rPr>
        <w:t>ROR</w:t>
      </w:r>
      <w:r w:rsidR="009F7DD8">
        <w:rPr>
          <w:rFonts w:cs="Arial"/>
          <w:i/>
        </w:rPr>
        <w:t>C</w:t>
      </w:r>
      <w:r w:rsidR="009F7DD8">
        <w:t xml:space="preserve"> </w:t>
      </w:r>
      <w:r w:rsidR="00232725">
        <w:t xml:space="preserve">expression </w:t>
      </w:r>
      <w:r w:rsidR="00D74D1E">
        <w:t xml:space="preserve">was not detected in one animal </w:t>
      </w:r>
      <w:r w:rsidR="00D3673C">
        <w:t xml:space="preserve">of </w:t>
      </w:r>
      <w:r w:rsidR="00D74D1E">
        <w:t xml:space="preserve">the </w:t>
      </w:r>
      <w:r w:rsidR="003D32F7">
        <w:t>immunized</w:t>
      </w:r>
      <w:r w:rsidR="00D74D1E">
        <w:t xml:space="preserve"> group in the brain.</w:t>
      </w:r>
      <w:r w:rsidR="00B97469">
        <w:t xml:space="preserve"> </w:t>
      </w:r>
      <w:r w:rsidR="006D724D">
        <w:t xml:space="preserve">Curiously, </w:t>
      </w:r>
      <w:r w:rsidR="006D724D" w:rsidRPr="00D822C6">
        <w:rPr>
          <w:i/>
        </w:rPr>
        <w:t>ROR</w:t>
      </w:r>
      <w:r w:rsidR="006D724D">
        <w:rPr>
          <w:rFonts w:cs="Arial"/>
          <w:i/>
        </w:rPr>
        <w:t>C</w:t>
      </w:r>
      <w:r w:rsidR="006D724D">
        <w:t xml:space="preserve"> is expressed at higher levels in the liver and lung samples than in brain or spleen. </w:t>
      </w:r>
      <w:r w:rsidR="00AB6E57">
        <w:t>Only samples from Experiment 2 were analysed.</w:t>
      </w:r>
    </w:p>
    <w:p w14:paraId="31266337" w14:textId="77777777" w:rsidR="00F566BA" w:rsidRDefault="008408BF" w:rsidP="00F05A7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bookmarkStart w:id="72" w:name="_Toc113566220"/>
      <w:bookmarkStart w:id="73" w:name="_Toc113920039"/>
      <w:r w:rsidRPr="008408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408BF">
        <w:rPr>
          <w:noProof/>
          <w:lang w:val="pt-PT" w:eastAsia="pt-PT"/>
        </w:rPr>
        <w:drawing>
          <wp:inline distT="0" distB="0" distL="0" distR="0" wp14:anchorId="44BD1AA7" wp14:editId="06A74033">
            <wp:extent cx="5400000" cy="2263367"/>
            <wp:effectExtent l="0" t="0" r="0" b="3810"/>
            <wp:docPr id="11" name="Imagem 11" descr="C:\Users\Utilizador\Desktop\enviar\layouts\mRNA sem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zador\Desktop\enviar\layouts\mRNA sem lo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2263367"/>
                    </a:xfrm>
                    <a:prstGeom prst="rect">
                      <a:avLst/>
                    </a:prstGeom>
                    <a:noFill/>
                    <a:ln>
                      <a:noFill/>
                    </a:ln>
                  </pic:spPr>
                </pic:pic>
              </a:graphicData>
            </a:graphic>
          </wp:inline>
        </w:drawing>
      </w:r>
    </w:p>
    <w:p w14:paraId="167B4A23" w14:textId="249E6C6F" w:rsidR="00752DC3" w:rsidRDefault="009C502B" w:rsidP="00F05A74">
      <w:pPr>
        <w:pStyle w:val="Legenda"/>
      </w:pPr>
      <w:bookmarkStart w:id="74" w:name="_Toc114089157"/>
      <w:bookmarkStart w:id="75" w:name="_Toc114595401"/>
      <w:bookmarkStart w:id="76" w:name="_Toc114595568"/>
      <w:r w:rsidRPr="00752DC3">
        <w:rPr>
          <w:b/>
        </w:rPr>
        <w:t xml:space="preserve">Figure </w:t>
      </w:r>
      <w:r w:rsidRPr="00752DC3">
        <w:rPr>
          <w:b/>
        </w:rPr>
        <w:fldChar w:fldCharType="begin"/>
      </w:r>
      <w:r w:rsidRPr="00752DC3">
        <w:rPr>
          <w:b/>
        </w:rPr>
        <w:instrText xml:space="preserve"> SEQ Figure \* ARABIC </w:instrText>
      </w:r>
      <w:r w:rsidRPr="00752DC3">
        <w:rPr>
          <w:b/>
        </w:rPr>
        <w:fldChar w:fldCharType="separate"/>
      </w:r>
      <w:r w:rsidR="00184C64">
        <w:rPr>
          <w:b/>
          <w:noProof/>
        </w:rPr>
        <w:t>8</w:t>
      </w:r>
      <w:r w:rsidRPr="00752DC3">
        <w:rPr>
          <w:b/>
        </w:rPr>
        <w:fldChar w:fldCharType="end"/>
      </w:r>
      <w:r w:rsidRPr="00752DC3">
        <w:rPr>
          <w:b/>
        </w:rPr>
        <w:t>.</w:t>
      </w:r>
      <w:r w:rsidRPr="009A68DC">
        <w:t xml:space="preserve"> </w:t>
      </w:r>
      <w:r w:rsidRPr="00752DC3">
        <w:t xml:space="preserve">mRNA relative expression levels for </w:t>
      </w:r>
      <w:r w:rsidRPr="00752DC3">
        <w:rPr>
          <w:i/>
        </w:rPr>
        <w:t>T</w:t>
      </w:r>
      <w:r w:rsidR="009D5DCF" w:rsidRPr="00752DC3">
        <w:rPr>
          <w:i/>
        </w:rPr>
        <w:t>BX21</w:t>
      </w:r>
      <w:r w:rsidRPr="00752DC3">
        <w:t xml:space="preserve"> and </w:t>
      </w:r>
      <w:r w:rsidRPr="00752DC3">
        <w:rPr>
          <w:i/>
        </w:rPr>
        <w:t>ROR</w:t>
      </w:r>
      <w:r w:rsidR="009D5DCF" w:rsidRPr="00752DC3">
        <w:rPr>
          <w:i/>
        </w:rPr>
        <w:t>C</w:t>
      </w:r>
      <w:r w:rsidRPr="00752DC3">
        <w:t xml:space="preserve"> in comparison </w:t>
      </w:r>
      <w:r w:rsidR="008B1069" w:rsidRPr="00752DC3">
        <w:t>to</w:t>
      </w:r>
      <w:r w:rsidRPr="00752DC3">
        <w:t xml:space="preserve"> </w:t>
      </w:r>
      <w:r w:rsidRPr="00752DC3">
        <w:rPr>
          <w:rFonts w:cs="Arial"/>
          <w:i/>
        </w:rPr>
        <w:t>β</w:t>
      </w:r>
      <w:r w:rsidRPr="00752DC3">
        <w:rPr>
          <w:i/>
        </w:rPr>
        <w:t>2 microglobulin</w:t>
      </w:r>
      <w:r w:rsidR="00D822C6" w:rsidRPr="00752DC3">
        <w:t xml:space="preserve"> </w:t>
      </w:r>
      <w:r w:rsidR="005E1357" w:rsidRPr="00752DC3">
        <w:t xml:space="preserve">mRNA expression </w:t>
      </w:r>
      <w:r w:rsidR="00D822C6" w:rsidRPr="00752DC3">
        <w:t>in representative samples of the liver, lung, spleen and a cerebellar region of the brain of cattle immunized thrice with NcMP/CpG/R848 or sham-immunized with CpG/R848, as indicated previously, 4 weeks after the infection with</w:t>
      </w:r>
      <w:r w:rsidR="00822150">
        <w:t xml:space="preserve"> </w:t>
      </w:r>
      <w:r w:rsidR="00822150" w:rsidRPr="00752DC3">
        <w:t>7.0</w:t>
      </w:r>
      <w:r w:rsidR="00822150">
        <w:t xml:space="preserve"> </w:t>
      </w:r>
      <w:r w:rsidR="00822150" w:rsidRPr="00752DC3">
        <w:rPr>
          <w:rFonts w:cs="Arial"/>
        </w:rPr>
        <w:t>×</w:t>
      </w:r>
      <w:r w:rsidR="00822150">
        <w:rPr>
          <w:rFonts w:cs="Arial"/>
        </w:rPr>
        <w:t xml:space="preserve"> </w:t>
      </w:r>
      <w:r w:rsidR="00822150" w:rsidRPr="00752DC3">
        <w:t>10</w:t>
      </w:r>
      <w:r w:rsidR="00822150" w:rsidRPr="00752DC3">
        <w:rPr>
          <w:vertAlign w:val="superscript"/>
        </w:rPr>
        <w:t>8</w:t>
      </w:r>
      <w:r w:rsidR="00D822C6" w:rsidRPr="00752DC3">
        <w:t xml:space="preserve"> </w:t>
      </w:r>
      <w:r w:rsidR="00FD75A1" w:rsidRPr="00752DC3">
        <w:rPr>
          <w:i/>
          <w:iCs w:val="0"/>
        </w:rPr>
        <w:t xml:space="preserve">N. </w:t>
      </w:r>
      <w:r w:rsidR="00D822C6" w:rsidRPr="00752DC3">
        <w:rPr>
          <w:i/>
          <w:iCs w:val="0"/>
        </w:rPr>
        <w:t>caninum</w:t>
      </w:r>
      <w:r w:rsidR="00D822C6" w:rsidRPr="00752DC3">
        <w:t xml:space="preserve">. Data corresponds to one independent experiment (Experiment 2). Each dot represents an individual animal. </w:t>
      </w:r>
      <w:r w:rsidR="00FF1779">
        <w:t xml:space="preserve">Each colour represents one animal throughout the measurements. </w:t>
      </w:r>
      <w:r w:rsidR="00D822C6" w:rsidRPr="00752DC3">
        <w:t xml:space="preserve">Each bar represents the mean of the group. Data </w:t>
      </w:r>
      <w:r w:rsidR="00784F24">
        <w:t>are</w:t>
      </w:r>
      <w:r w:rsidR="00D822C6" w:rsidRPr="00752DC3">
        <w:t xml:space="preserve"> presented </w:t>
      </w:r>
      <w:r w:rsidR="00D35B9F" w:rsidRPr="00752DC3">
        <w:t xml:space="preserve">as </w:t>
      </w:r>
      <w:r w:rsidR="00D822C6" w:rsidRPr="00752DC3">
        <w:t>Log</w:t>
      </w:r>
      <w:r w:rsidR="00D822C6" w:rsidRPr="00822150">
        <w:rPr>
          <w:vertAlign w:val="subscript"/>
        </w:rPr>
        <w:t>10</w:t>
      </w:r>
      <w:r w:rsidR="00D35B9F" w:rsidRPr="00752DC3">
        <w:t xml:space="preserve"> relative gene expression</w:t>
      </w:r>
      <w:r w:rsidR="00D822C6" w:rsidRPr="00752DC3">
        <w:t>.</w:t>
      </w:r>
      <w:bookmarkEnd w:id="74"/>
      <w:bookmarkEnd w:id="75"/>
      <w:bookmarkEnd w:id="76"/>
      <w:r w:rsidR="00E755BA" w:rsidRPr="00752DC3">
        <w:t xml:space="preserve"> </w:t>
      </w:r>
      <w:bookmarkEnd w:id="72"/>
      <w:bookmarkEnd w:id="73"/>
    </w:p>
    <w:p w14:paraId="6C022C13" w14:textId="72F71A00" w:rsidR="00F35C1D" w:rsidRPr="00C715C7" w:rsidRDefault="00F35C1D" w:rsidP="00F05A74">
      <w:pPr>
        <w:spacing w:before="240"/>
      </w:pPr>
      <w:r>
        <w:t xml:space="preserve">Although </w:t>
      </w:r>
      <w:r w:rsidRPr="00752DC3">
        <w:rPr>
          <w:i/>
          <w:iCs/>
        </w:rPr>
        <w:t>TXB21</w:t>
      </w:r>
      <w:r>
        <w:t xml:space="preserve"> and </w:t>
      </w:r>
      <w:r w:rsidRPr="00752DC3">
        <w:rPr>
          <w:i/>
          <w:iCs/>
        </w:rPr>
        <w:t>RORC</w:t>
      </w:r>
      <w:r>
        <w:t xml:space="preserve"> mRNA expression was normalized against </w:t>
      </w:r>
      <w:r w:rsidRPr="00752DC3">
        <w:rPr>
          <w:i/>
          <w:iCs/>
        </w:rPr>
        <w:t>B2M</w:t>
      </w:r>
      <w:r>
        <w:t xml:space="preserve"> mRNA expression, we later attempted the assessment of the best reference gene or combination of genes using </w:t>
      </w:r>
      <w:r w:rsidRPr="000C71A6">
        <w:t xml:space="preserve">NormFinder </w:t>
      </w:r>
      <w:r w:rsidRPr="000C71A6">
        <w:fldChar w:fldCharType="begin" w:fldLock="1"/>
      </w:r>
      <w:r w:rsidR="0023236C">
        <w:instrText>ADDIN CSL_CITATION {"citationItems":[{"id":"ITEM-1","itemData":{"DOI":"10.1158/0008-5472.CAN-04-0496","ISSN":"0008-5472","PMID":"15289330","abstract":"Accurate normalization is an absolute prerequisite for correct measurement of gene expression. For quantitative real-time reverse transcription-PCR (RT-PCR), the most commonly used normalization strategy involves standardization to a single constitutively expressed control gene. However, in recent years, it has become clear that no single gene is constitutively expressed in all cell types and under all experimental conditions, implying that the expression stability of the intended control gene has to be verified before each experiment. We outline a novel, innovative, and robust strategy to identify stably expressed genes among a set of candidate normalization genes. The strategy is rooted in a mathematical model of gene expression that enables estimation not only of the overall variation of the candidate normalization genes but also of the variation between sample subgroups of the sample set. Notably, the strategy provides a direct measure for the estimated expression variation, enabling the user to evaluate the systematic error introduced when using the gene. In a side-by-side comparison with a previously published strategy, our model-based approach performed in a more robust manner and showed less sensitivity toward coregulation of the candidate normalization genes. We used the model-based strategy to identify genes suited to normalize quantitative RT-PCR data from colon cancer and bladder cancer. These genes are UBC, GAPD, and TPT1 for the colon and HSPCB, TEGT, and ATP5B for the bladder. The presented strategy can be applied to evaluate the suitability of any normalization gene candidate in any kind of experimental design and should allow more reliable normalization of RT-PCR data.","author":[{"dropping-particle":"","family":"Andersen","given":"Claus Lindbjerg","non-dropping-particle":"","parse-names":false,"suffix":""},{"dropping-particle":"","family":"Jensen","given":"Jens Ledet","non-dropping-particle":"","parse-names":false,"suffix":""},{"dropping-particle":"","family":"Ørntoft","given":"Torben Falck","non-dropping-particle":"","parse-names":false,"suffix":""}],"container-title":"Cancer research","id":"ITEM-1","issue":"15","issued":{"date-parts":[["2004","8","1"]]},"page":"5245-5250","publisher":"Cancer Res","title":"Normalization of real-time quantitative reverse transcription-PCR data: a model-based variance estimation approach to identify genes suited for normalization, applied to bladder and colon cancer data sets","type":"article-journal","volume":"64"},"uris":["http://www.mendeley.com/documents/?uuid=9277aeae-8b05-3a85-af34-9efc2ee83794"]}],"mendeley":{"formattedCitation":"[52]","plainTextFormattedCitation":"[52]","previouslyFormattedCitation":"[52]"},"properties":{"noteIndex":0},"schema":"https://github.com/citation-style-language/schema/raw/master/csl-citation.json"}</w:instrText>
      </w:r>
      <w:r w:rsidRPr="000C71A6">
        <w:fldChar w:fldCharType="separate"/>
      </w:r>
      <w:r w:rsidR="0023236C" w:rsidRPr="0023236C">
        <w:rPr>
          <w:noProof/>
        </w:rPr>
        <w:t>[52]</w:t>
      </w:r>
      <w:r w:rsidRPr="000C71A6">
        <w:fldChar w:fldCharType="end"/>
      </w:r>
      <w:r>
        <w:t>. This determined that the single</w:t>
      </w:r>
      <w:r w:rsidRPr="00552C1B">
        <w:t xml:space="preserve"> </w:t>
      </w:r>
      <w:r w:rsidRPr="000C71A6">
        <w:t xml:space="preserve">gene with the best stability was </w:t>
      </w:r>
      <w:r w:rsidRPr="00D822C6">
        <w:rPr>
          <w:i/>
        </w:rPr>
        <w:t>PPIA</w:t>
      </w:r>
      <w:r w:rsidRPr="000C71A6">
        <w:t xml:space="preserve"> (stability</w:t>
      </w:r>
      <w:r w:rsidR="00FE37BB">
        <w:t xml:space="preserve"> </w:t>
      </w:r>
      <w:r w:rsidRPr="000C71A6">
        <w:t>=</w:t>
      </w:r>
      <w:r w:rsidR="00FE37BB">
        <w:t xml:space="preserve"> </w:t>
      </w:r>
      <w:r w:rsidRPr="000C71A6">
        <w:t xml:space="preserve">0.635) and the best combination of two genes was </w:t>
      </w:r>
      <w:r w:rsidRPr="00D822C6">
        <w:rPr>
          <w:i/>
        </w:rPr>
        <w:t>PPIA</w:t>
      </w:r>
      <w:r w:rsidRPr="000C71A6">
        <w:t xml:space="preserve"> and </w:t>
      </w:r>
      <w:r w:rsidRPr="00D822C6">
        <w:rPr>
          <w:i/>
        </w:rPr>
        <w:t>UXT</w:t>
      </w:r>
      <w:r w:rsidRPr="000C71A6">
        <w:t xml:space="preserve"> (stability</w:t>
      </w:r>
      <w:r w:rsidR="00FE37BB">
        <w:t xml:space="preserve"> </w:t>
      </w:r>
      <w:r w:rsidRPr="000C71A6">
        <w:t>=</w:t>
      </w:r>
      <w:r w:rsidR="00FE37BB">
        <w:t xml:space="preserve"> </w:t>
      </w:r>
      <w:r w:rsidRPr="000C71A6">
        <w:t>0.298).</w:t>
      </w:r>
      <w:r>
        <w:t xml:space="preserve"> It will be important to normalise </w:t>
      </w:r>
      <w:r w:rsidR="00E458F4">
        <w:t xml:space="preserve">further </w:t>
      </w:r>
      <w:r>
        <w:t>our results against these reference genes</w:t>
      </w:r>
      <w:r w:rsidR="00FE37BB">
        <w:t xml:space="preserve"> to confirm the relative expression of </w:t>
      </w:r>
      <w:r w:rsidR="00FE37BB" w:rsidRPr="00C5068C">
        <w:rPr>
          <w:i/>
          <w:iCs/>
        </w:rPr>
        <w:t>TBX21</w:t>
      </w:r>
      <w:r w:rsidR="00FE37BB">
        <w:t xml:space="preserve"> and </w:t>
      </w:r>
      <w:r w:rsidR="00FE37BB" w:rsidRPr="00C5068C">
        <w:rPr>
          <w:i/>
          <w:iCs/>
        </w:rPr>
        <w:t>RORC</w:t>
      </w:r>
      <w:r w:rsidR="00F05A74">
        <w:t>.</w:t>
      </w:r>
    </w:p>
    <w:p w14:paraId="62311553" w14:textId="73670582" w:rsidR="001719CF" w:rsidRDefault="00E90F8F" w:rsidP="00A078BC">
      <w:pPr>
        <w:pStyle w:val="Estilo1"/>
      </w:pPr>
      <w:bookmarkStart w:id="77" w:name="_Toc115037829"/>
      <w:r>
        <w:t xml:space="preserve">3.6. </w:t>
      </w:r>
      <w:r w:rsidR="0022506D" w:rsidRPr="000C71A6">
        <w:rPr>
          <w:i/>
        </w:rPr>
        <w:t xml:space="preserve">Neospora caninum DNA </w:t>
      </w:r>
      <w:r w:rsidR="0022506D" w:rsidRPr="000C71A6">
        <w:t xml:space="preserve">detection in infected </w:t>
      </w:r>
      <w:r w:rsidR="009B1423">
        <w:t xml:space="preserve">control </w:t>
      </w:r>
      <w:r w:rsidR="005A24A3">
        <w:t xml:space="preserve">and immunized </w:t>
      </w:r>
      <w:r w:rsidR="0022506D" w:rsidRPr="000C71A6">
        <w:t>animals</w:t>
      </w:r>
      <w:bookmarkEnd w:id="77"/>
    </w:p>
    <w:p w14:paraId="44C436E4" w14:textId="6311043E" w:rsidR="004701F3" w:rsidRDefault="005A24A3">
      <w:r>
        <w:t xml:space="preserve">Parasite burden was determined in different tissue samples from infected control and immunized animals by qPCR. </w:t>
      </w:r>
      <w:r w:rsidR="00C10484">
        <w:t>Very few samples resulted in DNA amplification using the established qPCR protocol and s</w:t>
      </w:r>
      <w:r w:rsidR="004701F3">
        <w:t>everal discrepancies were found. Th</w:t>
      </w:r>
      <w:r w:rsidR="00C10484">
        <w:t>us, to improve the chance of detecting parasitic DNA, th</w:t>
      </w:r>
      <w:r w:rsidR="004701F3">
        <w:t xml:space="preserve">e same sample was investigated </w:t>
      </w:r>
      <w:r w:rsidR="003D6676">
        <w:t xml:space="preserve">using </w:t>
      </w:r>
      <w:r w:rsidR="004701F3">
        <w:t xml:space="preserve">three different </w:t>
      </w:r>
      <w:r w:rsidR="003D6676">
        <w:t>conditions</w:t>
      </w:r>
      <w:r w:rsidR="004701F3">
        <w:t xml:space="preserve">: </w:t>
      </w:r>
      <w:r w:rsidR="003D6676">
        <w:t xml:space="preserve">using directly </w:t>
      </w:r>
      <w:r w:rsidR="004701F3">
        <w:t xml:space="preserve">1 </w:t>
      </w:r>
      <w:r w:rsidR="00327BF0">
        <w:rPr>
          <w:rFonts w:cs="Arial"/>
        </w:rPr>
        <w:t>μL</w:t>
      </w:r>
      <w:r w:rsidR="004701F3">
        <w:t xml:space="preserve"> and 2 </w:t>
      </w:r>
      <w:r w:rsidR="00327BF0">
        <w:rPr>
          <w:rFonts w:cs="Arial"/>
        </w:rPr>
        <w:t>μL</w:t>
      </w:r>
      <w:r w:rsidR="004701F3">
        <w:t xml:space="preserve"> </w:t>
      </w:r>
      <w:r w:rsidR="003D6676">
        <w:t>as t</w:t>
      </w:r>
      <w:r w:rsidR="00C307FD">
        <w:t>emplate</w:t>
      </w:r>
      <w:r w:rsidR="003D6676">
        <w:t xml:space="preserve"> </w:t>
      </w:r>
      <w:r w:rsidR="00AB2D92">
        <w:t xml:space="preserve">DNA </w:t>
      </w:r>
      <w:r w:rsidR="003D6676">
        <w:t xml:space="preserve">or </w:t>
      </w:r>
      <w:r w:rsidR="000F322D">
        <w:t>1</w:t>
      </w:r>
      <w:r w:rsidR="000F322D" w:rsidRPr="000F322D">
        <w:rPr>
          <w:rFonts w:cs="Arial"/>
        </w:rPr>
        <w:t xml:space="preserve"> </w:t>
      </w:r>
      <w:r w:rsidR="00327BF0">
        <w:rPr>
          <w:rFonts w:cs="Arial"/>
        </w:rPr>
        <w:t>μL</w:t>
      </w:r>
      <w:r w:rsidR="000F322D">
        <w:t xml:space="preserve"> of</w:t>
      </w:r>
      <w:r w:rsidR="004701F3">
        <w:t xml:space="preserve"> previously amplified </w:t>
      </w:r>
      <w:r w:rsidR="000F322D">
        <w:t xml:space="preserve">samples </w:t>
      </w:r>
      <w:r w:rsidR="004701F3">
        <w:t>(nested</w:t>
      </w:r>
      <w:r w:rsidR="003D6676">
        <w:t xml:space="preserve"> PCR</w:t>
      </w:r>
      <w:r w:rsidR="004701F3">
        <w:t xml:space="preserve">) </w:t>
      </w:r>
      <w:r w:rsidR="00AB2D92">
        <w:t xml:space="preserve">as a </w:t>
      </w:r>
      <w:r w:rsidR="003D6676">
        <w:t>template for parasite concentration determination by qPCR</w:t>
      </w:r>
      <w:r w:rsidR="004701F3">
        <w:t>. Results varied greatly within the same sample</w:t>
      </w:r>
      <w:r w:rsidR="003D6676">
        <w:t xml:space="preserve"> depending on the condition used</w:t>
      </w:r>
      <w:r w:rsidR="00D56CC8">
        <w:t xml:space="preserve"> (Fig.</w:t>
      </w:r>
      <w:r w:rsidR="007532FB">
        <w:t xml:space="preserve"> </w:t>
      </w:r>
      <w:r w:rsidR="006C2768">
        <w:t>9</w:t>
      </w:r>
      <w:r w:rsidR="00D56CC8">
        <w:t>)</w:t>
      </w:r>
      <w:r w:rsidR="004701F3">
        <w:t>.</w:t>
      </w:r>
    </w:p>
    <w:p w14:paraId="492360E4" w14:textId="77777777" w:rsidR="00F566BA" w:rsidRDefault="008408BF" w:rsidP="00F566B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408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408BF">
        <w:rPr>
          <w:noProof/>
          <w:lang w:val="pt-PT" w:eastAsia="pt-PT"/>
        </w:rPr>
        <w:drawing>
          <wp:inline distT="0" distB="0" distL="0" distR="0" wp14:anchorId="2B644CDE" wp14:editId="248F36B9">
            <wp:extent cx="5162550" cy="2787657"/>
            <wp:effectExtent l="0" t="0" r="0" b="0"/>
            <wp:docPr id="12" name="Imagem 12" descr="C:\Users\Utilizador\Desktop\enviar\layouts\NcDNA PCR sem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zador\Desktop\enviar\layouts\NcDNA PCR sem lo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69113" cy="2791201"/>
                    </a:xfrm>
                    <a:prstGeom prst="rect">
                      <a:avLst/>
                    </a:prstGeom>
                    <a:noFill/>
                    <a:ln>
                      <a:noFill/>
                    </a:ln>
                  </pic:spPr>
                </pic:pic>
              </a:graphicData>
            </a:graphic>
          </wp:inline>
        </w:drawing>
      </w:r>
    </w:p>
    <w:p w14:paraId="7C98A841" w14:textId="540752F5" w:rsidR="00DC196B" w:rsidRDefault="002E3C63" w:rsidP="00DC196B">
      <w:pPr>
        <w:pStyle w:val="Legenda"/>
        <w:spacing w:line="276" w:lineRule="auto"/>
      </w:pPr>
      <w:bookmarkStart w:id="78" w:name="_Toc114089158"/>
      <w:bookmarkStart w:id="79" w:name="_Toc114595402"/>
      <w:bookmarkStart w:id="80" w:name="_Toc114595569"/>
      <w:r w:rsidRPr="00752DC3">
        <w:rPr>
          <w:b/>
        </w:rPr>
        <w:t xml:space="preserve">Figure </w:t>
      </w:r>
      <w:r w:rsidRPr="00752DC3">
        <w:rPr>
          <w:b/>
        </w:rPr>
        <w:fldChar w:fldCharType="begin"/>
      </w:r>
      <w:r w:rsidRPr="00752DC3">
        <w:rPr>
          <w:b/>
        </w:rPr>
        <w:instrText xml:space="preserve"> SEQ Figure \* ARABIC </w:instrText>
      </w:r>
      <w:r w:rsidRPr="00752DC3">
        <w:rPr>
          <w:b/>
        </w:rPr>
        <w:fldChar w:fldCharType="separate"/>
      </w:r>
      <w:r w:rsidR="00184C64">
        <w:rPr>
          <w:b/>
          <w:noProof/>
        </w:rPr>
        <w:t>9</w:t>
      </w:r>
      <w:r w:rsidRPr="00752DC3">
        <w:rPr>
          <w:b/>
        </w:rPr>
        <w:fldChar w:fldCharType="end"/>
      </w:r>
      <w:r w:rsidRPr="00752DC3">
        <w:rPr>
          <w:b/>
        </w:rPr>
        <w:t>.</w:t>
      </w:r>
      <w:r w:rsidRPr="009A68DC">
        <w:t xml:space="preserve"> </w:t>
      </w:r>
      <w:r w:rsidR="00D61A47" w:rsidRPr="00752DC3">
        <w:t xml:space="preserve">Detection of </w:t>
      </w:r>
      <w:r w:rsidR="00D61A47" w:rsidRPr="00752DC3">
        <w:rPr>
          <w:i/>
        </w:rPr>
        <w:t xml:space="preserve">Neospora caninum </w:t>
      </w:r>
      <w:r w:rsidR="00D61A47" w:rsidRPr="00752DC3">
        <w:t xml:space="preserve">DNA in liver, lung, spleen, and </w:t>
      </w:r>
      <w:r w:rsidR="00727B60" w:rsidRPr="00752DC3">
        <w:t xml:space="preserve">in </w:t>
      </w:r>
      <w:r w:rsidR="00D61A47" w:rsidRPr="00752DC3">
        <w:t xml:space="preserve">two </w:t>
      </w:r>
      <w:r w:rsidR="000F322D" w:rsidRPr="00752DC3">
        <w:t>regions</w:t>
      </w:r>
      <w:r w:rsidR="00D61A47" w:rsidRPr="00752DC3">
        <w:t xml:space="preserve"> of the brain</w:t>
      </w:r>
      <w:r w:rsidR="00AD056F">
        <w:t xml:space="preserve"> (cerebellum and frontal cortex)</w:t>
      </w:r>
      <w:r w:rsidR="009C19B3">
        <w:t xml:space="preserve"> samples</w:t>
      </w:r>
      <w:r w:rsidR="00043B24">
        <w:t xml:space="preserve"> using qPCR</w:t>
      </w:r>
      <w:r w:rsidR="00D61A47" w:rsidRPr="00752DC3">
        <w:t>. (A) Comparison of qPCR results of liver, lung</w:t>
      </w:r>
      <w:r w:rsidR="009C19B3">
        <w:t>s</w:t>
      </w:r>
      <w:r w:rsidR="00D61A47" w:rsidRPr="00752DC3">
        <w:t xml:space="preserve"> and spleen </w:t>
      </w:r>
      <w:r w:rsidR="00043B24">
        <w:t xml:space="preserve">samples and </w:t>
      </w:r>
      <w:r w:rsidR="00043B24" w:rsidRPr="00752DC3">
        <w:t xml:space="preserve">(B) </w:t>
      </w:r>
      <w:r w:rsidR="00043B24">
        <w:t>grouped samples from two areas of the cerebellum and two areas of the frontal cortex</w:t>
      </w:r>
      <w:r w:rsidR="00043B24" w:rsidRPr="00752DC3" w:rsidDel="00043B24">
        <w:t xml:space="preserve"> </w:t>
      </w:r>
      <w:r w:rsidR="00D61A47" w:rsidRPr="00752DC3">
        <w:t>f</w:t>
      </w:r>
      <w:r w:rsidR="00043B24">
        <w:t>rom</w:t>
      </w:r>
      <w:r w:rsidR="00D61A47" w:rsidRPr="00752DC3">
        <w:t xml:space="preserve"> cattle immunized thrice with NcMP/CpG/R848 or sham-immunized with CpG/R848, as described previously, 4 weeks after infection with 7</w:t>
      </w:r>
      <w:r w:rsidR="009F6DDD" w:rsidRPr="00752DC3">
        <w:t>.</w:t>
      </w:r>
      <w:r w:rsidR="00D61A47" w:rsidRPr="00752DC3">
        <w:t>0</w:t>
      </w:r>
      <w:r w:rsidR="00FD75A1" w:rsidRPr="00752DC3">
        <w:t xml:space="preserve"> </w:t>
      </w:r>
      <w:r w:rsidR="00FD75A1" w:rsidRPr="00752DC3">
        <w:rPr>
          <w:rFonts w:cs="Arial"/>
        </w:rPr>
        <w:t>×</w:t>
      </w:r>
      <w:r w:rsidR="00FD75A1" w:rsidRPr="00752DC3">
        <w:t xml:space="preserve"> </w:t>
      </w:r>
      <w:r w:rsidR="00D61A47" w:rsidRPr="00752DC3">
        <w:t>10</w:t>
      </w:r>
      <w:r w:rsidR="00D61A47" w:rsidRPr="00752DC3">
        <w:rPr>
          <w:vertAlign w:val="superscript"/>
        </w:rPr>
        <w:t>8</w:t>
      </w:r>
      <w:r w:rsidR="00D61A47" w:rsidRPr="00752DC3">
        <w:t xml:space="preserve"> </w:t>
      </w:r>
      <w:r w:rsidR="00FD75A1" w:rsidRPr="00752DC3">
        <w:rPr>
          <w:i/>
        </w:rPr>
        <w:t xml:space="preserve">N. </w:t>
      </w:r>
      <w:r w:rsidR="00D61A47" w:rsidRPr="00752DC3">
        <w:rPr>
          <w:i/>
        </w:rPr>
        <w:t>caninum</w:t>
      </w:r>
      <w:r w:rsidR="00D61A47" w:rsidRPr="00752DC3">
        <w:t xml:space="preserve"> tachyzoites</w:t>
      </w:r>
      <w:r w:rsidR="00860A36" w:rsidRPr="00752DC3">
        <w:t xml:space="preserve">, </w:t>
      </w:r>
      <w:r w:rsidR="00AD056F">
        <w:t>using</w:t>
      </w:r>
      <w:r w:rsidR="00860A36" w:rsidRPr="00752DC3">
        <w:t xml:space="preserve"> 1 </w:t>
      </w:r>
      <w:r w:rsidR="00327BF0" w:rsidRPr="00752DC3">
        <w:t>μL</w:t>
      </w:r>
      <w:r w:rsidR="00860A36" w:rsidRPr="00752DC3">
        <w:t xml:space="preserve"> and 2 </w:t>
      </w:r>
      <w:r w:rsidR="00327BF0" w:rsidRPr="00752DC3">
        <w:t>μL</w:t>
      </w:r>
      <w:r w:rsidR="00AD056F">
        <w:t xml:space="preserve"> of template DNA</w:t>
      </w:r>
      <w:r w:rsidR="00D61A47" w:rsidRPr="00752DC3">
        <w:t>. Data corresponds to one independent experiment (Experiment 2). Each dot represents one individual animal.</w:t>
      </w:r>
      <w:r w:rsidR="008576A2">
        <w:t xml:space="preserve"> Each </w:t>
      </w:r>
      <w:r w:rsidR="009C19B3">
        <w:t xml:space="preserve">symbol </w:t>
      </w:r>
      <w:r w:rsidR="008576A2">
        <w:t xml:space="preserve">colour represents one animal throughout the measurements. </w:t>
      </w:r>
      <w:r w:rsidR="00D61A47" w:rsidRPr="00752DC3">
        <w:t xml:space="preserve">Each bar represents the mean of each group. Data </w:t>
      </w:r>
      <w:r w:rsidR="00043B24">
        <w:t>are</w:t>
      </w:r>
      <w:r w:rsidR="00043B24" w:rsidRPr="00752DC3">
        <w:t xml:space="preserve"> </w:t>
      </w:r>
      <w:r w:rsidR="00D61A47" w:rsidRPr="00752DC3">
        <w:t xml:space="preserve">presented </w:t>
      </w:r>
      <w:r w:rsidR="00043B24">
        <w:t>as</w:t>
      </w:r>
      <w:r w:rsidR="00D61A47" w:rsidRPr="00752DC3">
        <w:t xml:space="preserve"> Log</w:t>
      </w:r>
      <w:r w:rsidR="00D61A47" w:rsidRPr="00822150">
        <w:rPr>
          <w:vertAlign w:val="subscript"/>
        </w:rPr>
        <w:t>10</w:t>
      </w:r>
      <w:r w:rsidR="009C19B3">
        <w:t xml:space="preserve"> parasitic DNA</w:t>
      </w:r>
      <w:r w:rsidR="00043B24">
        <w:t xml:space="preserve"> within total DNA</w:t>
      </w:r>
      <w:r w:rsidR="00D61A47" w:rsidRPr="00752DC3">
        <w:t>.</w:t>
      </w:r>
      <w:bookmarkEnd w:id="78"/>
      <w:bookmarkEnd w:id="79"/>
      <w:bookmarkEnd w:id="80"/>
      <w:r w:rsidR="00DC196B">
        <w:t xml:space="preserve"> </w:t>
      </w:r>
    </w:p>
    <w:p w14:paraId="045AB15F" w14:textId="4B52F08F" w:rsidR="00DC196B" w:rsidRDefault="00D56CC8" w:rsidP="00DC196B">
      <w:pPr>
        <w:spacing w:before="240"/>
      </w:pPr>
      <w:r>
        <w:t>It was possible to detect</w:t>
      </w:r>
      <w:r w:rsidR="00FB6DF6">
        <w:t xml:space="preserve"> parasitic DNA in </w:t>
      </w:r>
      <w:r>
        <w:t xml:space="preserve">almost </w:t>
      </w:r>
      <w:r w:rsidR="00FB6DF6">
        <w:t>all tissues (lung, spleen and two different regions of the brain: cerebellum and frontal cortex)</w:t>
      </w:r>
      <w:r>
        <w:t>, but not in all samples</w:t>
      </w:r>
      <w:r w:rsidR="00FB6DF6">
        <w:t xml:space="preserve">. </w:t>
      </w:r>
      <w:r>
        <w:t>Moreover, in some samples, amplification was found using 1</w:t>
      </w:r>
      <w:r>
        <w:rPr>
          <w:rFonts w:cs="Arial"/>
        </w:rPr>
        <w:t>μL</w:t>
      </w:r>
      <w:r>
        <w:t xml:space="preserve"> but not 2 </w:t>
      </w:r>
      <w:r>
        <w:rPr>
          <w:rFonts w:cs="Arial"/>
        </w:rPr>
        <w:t xml:space="preserve">μL </w:t>
      </w:r>
      <w:r w:rsidR="00B12F8D">
        <w:rPr>
          <w:rFonts w:cs="Arial"/>
        </w:rPr>
        <w:t xml:space="preserve">DNA </w:t>
      </w:r>
      <w:r>
        <w:rPr>
          <w:rFonts w:cs="Arial"/>
        </w:rPr>
        <w:t xml:space="preserve">and </w:t>
      </w:r>
      <w:r w:rsidRPr="00752DC3">
        <w:rPr>
          <w:rFonts w:cs="Arial"/>
          <w:i/>
          <w:iCs/>
        </w:rPr>
        <w:t>vice-versa</w:t>
      </w:r>
      <w:r>
        <w:rPr>
          <w:rFonts w:cs="Arial"/>
        </w:rPr>
        <w:t>.</w:t>
      </w:r>
      <w:r>
        <w:t xml:space="preserve"> Since this could be due to extremely low DNA parasitic levels, a nested </w:t>
      </w:r>
      <w:r w:rsidR="00FB6DF6">
        <w:t xml:space="preserve">PCR </w:t>
      </w:r>
      <w:r>
        <w:t>approach was attempted</w:t>
      </w:r>
      <w:r w:rsidR="00930196">
        <w:t xml:space="preserve"> (Table 1)</w:t>
      </w:r>
      <w:r>
        <w:t xml:space="preserve">. Using this approach, </w:t>
      </w:r>
      <w:r w:rsidR="00FB6DF6">
        <w:t xml:space="preserve">the presence of the parasite </w:t>
      </w:r>
      <w:r>
        <w:t xml:space="preserve">was detected </w:t>
      </w:r>
      <w:r w:rsidR="00FB6DF6">
        <w:t>in the liver</w:t>
      </w:r>
      <w:r>
        <w:t>, for which no amplification was seen using the direct approach,</w:t>
      </w:r>
      <w:r w:rsidR="00FB6DF6">
        <w:t xml:space="preserve"> </w:t>
      </w:r>
      <w:r w:rsidR="00207072">
        <w:t xml:space="preserve">and </w:t>
      </w:r>
      <w:r w:rsidR="00CC7D2D">
        <w:t xml:space="preserve">in the </w:t>
      </w:r>
      <w:r w:rsidR="00FB6DF6">
        <w:t>spleen of all animals</w:t>
      </w:r>
      <w:r w:rsidR="00CC7D2D">
        <w:t>.</w:t>
      </w:r>
      <w:r w:rsidR="00FB6DF6">
        <w:t xml:space="preserve"> </w:t>
      </w:r>
      <w:r w:rsidR="00AD056F">
        <w:t>Four animals</w:t>
      </w:r>
      <w:r w:rsidR="00FB6DF6">
        <w:t xml:space="preserve"> (two from the </w:t>
      </w:r>
      <w:r>
        <w:t>control</w:t>
      </w:r>
      <w:r w:rsidR="00FB6DF6">
        <w:t xml:space="preserve"> group and two from the </w:t>
      </w:r>
      <w:r>
        <w:t>immunized</w:t>
      </w:r>
      <w:r w:rsidR="00FB6DF6">
        <w:t xml:space="preserve"> group) </w:t>
      </w:r>
      <w:r w:rsidR="00AD056F">
        <w:t xml:space="preserve">presented </w:t>
      </w:r>
      <w:r w:rsidR="00CC7D2D">
        <w:t xml:space="preserve">parasitic DNA </w:t>
      </w:r>
      <w:r w:rsidR="00FB6DF6">
        <w:t>in the lung</w:t>
      </w:r>
      <w:r w:rsidR="00CC7D2D">
        <w:t>s</w:t>
      </w:r>
      <w:r w:rsidR="00AD056F">
        <w:t xml:space="preserve"> using the nested PCR approach</w:t>
      </w:r>
      <w:r w:rsidR="00825E59">
        <w:t>.</w:t>
      </w:r>
      <w:r w:rsidR="00AD056F">
        <w:t xml:space="preserve"> </w:t>
      </w:r>
      <w:r w:rsidR="00825E59">
        <w:t>H</w:t>
      </w:r>
      <w:r w:rsidR="00AD056F">
        <w:t>owever</w:t>
      </w:r>
      <w:r w:rsidR="00930196">
        <w:t>,</w:t>
      </w:r>
      <w:r w:rsidR="00AD056F">
        <w:t xml:space="preserve"> the other four animals (two from each group) were not identified as positive, despite having shown amplification using the direct approach.</w:t>
      </w:r>
      <w:r w:rsidR="00FB6DF6">
        <w:t xml:space="preserve"> In the brain, discrepancies were more evident. </w:t>
      </w:r>
      <w:r w:rsidR="003761ED">
        <w:t>Nested PCR identified the presence o</w:t>
      </w:r>
      <w:r w:rsidR="00941235">
        <w:t>f parasitic DNA in all animals i</w:t>
      </w:r>
      <w:r w:rsidR="003761ED">
        <w:t xml:space="preserve">n one area of the frontal cortex </w:t>
      </w:r>
      <w:r w:rsidR="00930196">
        <w:t xml:space="preserve">(frontal cortex 2) </w:t>
      </w:r>
      <w:r w:rsidR="003761ED">
        <w:t xml:space="preserve">and </w:t>
      </w:r>
      <w:r w:rsidR="00825E59">
        <w:t>indicated</w:t>
      </w:r>
      <w:r w:rsidR="003761ED">
        <w:t xml:space="preserve"> the other area of the frontal cortex</w:t>
      </w:r>
      <w:r w:rsidR="00930196">
        <w:t xml:space="preserve"> (frontal cortex </w:t>
      </w:r>
      <w:r w:rsidR="00F566BA">
        <w:t>1</w:t>
      </w:r>
      <w:r w:rsidR="00930196">
        <w:t>)</w:t>
      </w:r>
      <w:r w:rsidR="003761ED">
        <w:t xml:space="preserve"> free from parasitic DNA, despite some animals having shown amplification using the direct approach</w:t>
      </w:r>
      <w:r w:rsidR="00941235">
        <w:t xml:space="preserve"> i</w:t>
      </w:r>
      <w:r w:rsidR="003761ED">
        <w:t xml:space="preserve">n </w:t>
      </w:r>
      <w:r w:rsidR="0070620E">
        <w:t>DNA</w:t>
      </w:r>
      <w:r w:rsidR="00941B51">
        <w:t xml:space="preserve"> from </w:t>
      </w:r>
      <w:r w:rsidR="003761ED">
        <w:t xml:space="preserve">this area. </w:t>
      </w:r>
      <w:r w:rsidR="004F4A21">
        <w:t>Using the direct approach</w:t>
      </w:r>
      <w:r w:rsidR="00F566BA">
        <w:t xml:space="preserve">, </w:t>
      </w:r>
      <w:r w:rsidR="0070620E">
        <w:t>DNA</w:t>
      </w:r>
      <w:r w:rsidR="00224700">
        <w:t xml:space="preserve"> from </w:t>
      </w:r>
      <w:r w:rsidR="00F566BA">
        <w:t>the frontal cortex 1</w:t>
      </w:r>
      <w:r w:rsidR="004F4A21">
        <w:t xml:space="preserve"> </w:t>
      </w:r>
      <w:r w:rsidR="0070620E">
        <w:t xml:space="preserve">was </w:t>
      </w:r>
      <w:r w:rsidR="004F4A21">
        <w:t>amplif</w:t>
      </w:r>
      <w:r w:rsidR="0070620E">
        <w:t>ied</w:t>
      </w:r>
      <w:r w:rsidR="004F4A21">
        <w:t xml:space="preserve"> in </w:t>
      </w:r>
      <w:r w:rsidR="0070620E">
        <w:t xml:space="preserve">samples from </w:t>
      </w:r>
      <w:r w:rsidR="004F4A21">
        <w:t xml:space="preserve">two animals of the control group. </w:t>
      </w:r>
      <w:r w:rsidR="00FB6DF6">
        <w:t xml:space="preserve">Similarly, </w:t>
      </w:r>
      <w:r w:rsidR="003761ED">
        <w:t xml:space="preserve">nested PCR </w:t>
      </w:r>
      <w:r w:rsidR="00941235">
        <w:t xml:space="preserve">detected the presence of parasitic DNA in </w:t>
      </w:r>
      <w:r w:rsidR="00FB6DF6">
        <w:t xml:space="preserve">all but one animal (from the </w:t>
      </w:r>
      <w:r w:rsidR="005F0F9C">
        <w:t>control</w:t>
      </w:r>
      <w:r w:rsidR="00FB6DF6">
        <w:t xml:space="preserve"> group)</w:t>
      </w:r>
      <w:r w:rsidR="00941235">
        <w:t xml:space="preserve"> in one area of the cerebellum</w:t>
      </w:r>
      <w:r w:rsidR="000E07DA">
        <w:t xml:space="preserve"> (cerebellum 2)</w:t>
      </w:r>
      <w:r w:rsidR="00941235">
        <w:t xml:space="preserve"> and </w:t>
      </w:r>
      <w:r w:rsidR="00825E59">
        <w:t>indicated</w:t>
      </w:r>
      <w:r w:rsidR="00941235">
        <w:t xml:space="preserve"> all but two animals free </w:t>
      </w:r>
      <w:r w:rsidR="00825E59">
        <w:t>of</w:t>
      </w:r>
      <w:r w:rsidR="00941235">
        <w:t xml:space="preserve"> parasitic DNA</w:t>
      </w:r>
      <w:r w:rsidR="000E07DA">
        <w:t xml:space="preserve"> in the other area (cerebellum 1)</w:t>
      </w:r>
      <w:r w:rsidR="00941235">
        <w:t xml:space="preserve">, despite other animals having shown amplification using the direct approach. </w:t>
      </w:r>
      <w:r w:rsidR="000E07DA">
        <w:t>In cerebellum 1</w:t>
      </w:r>
      <w:r w:rsidR="00E33733">
        <w:t xml:space="preserve"> samples</w:t>
      </w:r>
      <w:r w:rsidR="00941235">
        <w:t>, two animals from the immunized group and two animals from the control group showed no parasitic DNA amplification either by the direct or the nested approach</w:t>
      </w:r>
      <w:r w:rsidR="003C0B25">
        <w:t>es</w:t>
      </w:r>
      <w:r w:rsidR="00941235">
        <w:t xml:space="preserve">. </w:t>
      </w:r>
      <w:r w:rsidR="000E07DA">
        <w:t>Cerebellum 2</w:t>
      </w:r>
      <w:r w:rsidR="00941235">
        <w:t xml:space="preserve"> was the same </w:t>
      </w:r>
      <w:r w:rsidR="000E07DA">
        <w:t xml:space="preserve">area </w:t>
      </w:r>
      <w:r w:rsidR="00941235">
        <w:t xml:space="preserve">used to measure the </w:t>
      </w:r>
      <w:r w:rsidR="00132DE2">
        <w:t xml:space="preserve">mRNA expression of </w:t>
      </w:r>
      <w:r w:rsidR="00132DE2">
        <w:rPr>
          <w:i/>
        </w:rPr>
        <w:t xml:space="preserve">TBX21 </w:t>
      </w:r>
      <w:r w:rsidR="00132DE2">
        <w:t xml:space="preserve">and </w:t>
      </w:r>
      <w:r w:rsidR="00132DE2">
        <w:rPr>
          <w:i/>
        </w:rPr>
        <w:t>RORC</w:t>
      </w:r>
      <w:r w:rsidR="00132DE2">
        <w:t>. Here, only one animal (control group) was declared free from parasitic DNA.</w:t>
      </w:r>
      <w:r w:rsidR="001C68CB" w:rsidRPr="001C68CB">
        <w:t xml:space="preserve"> </w:t>
      </w:r>
      <w:r w:rsidR="001C68CB">
        <w:t xml:space="preserve">A reassessment of all samples </w:t>
      </w:r>
      <w:r w:rsidR="00FD6DF3">
        <w:t xml:space="preserve">and sequencing of PCR products </w:t>
      </w:r>
      <w:r w:rsidR="001C68CB">
        <w:t>is needed to verify their amplification accurately.</w:t>
      </w:r>
    </w:p>
    <w:p w14:paraId="23CDE822" w14:textId="4B383B19" w:rsidR="00930196" w:rsidRPr="00FB6DF6" w:rsidDel="00132DE2" w:rsidRDefault="00930196" w:rsidP="003946C3">
      <w:pPr>
        <w:pStyle w:val="Legenda"/>
        <w:keepNext/>
        <w:spacing w:before="240"/>
        <w:jc w:val="left"/>
      </w:pPr>
      <w:bookmarkStart w:id="81" w:name="_Toc114089029"/>
      <w:bookmarkStart w:id="82" w:name="_Toc114595403"/>
      <w:bookmarkStart w:id="83" w:name="_Toc114595570"/>
      <w:r w:rsidRPr="007056C3">
        <w:rPr>
          <w:b/>
        </w:rPr>
        <w:t xml:space="preserve">Table </w:t>
      </w:r>
      <w:r w:rsidRPr="007056C3">
        <w:rPr>
          <w:b/>
        </w:rPr>
        <w:fldChar w:fldCharType="begin"/>
      </w:r>
      <w:r w:rsidRPr="007056C3">
        <w:rPr>
          <w:b/>
        </w:rPr>
        <w:instrText xml:space="preserve"> SEQ Table \* ARABIC </w:instrText>
      </w:r>
      <w:r w:rsidRPr="007056C3">
        <w:rPr>
          <w:b/>
        </w:rPr>
        <w:fldChar w:fldCharType="separate"/>
      </w:r>
      <w:r w:rsidR="00184C64">
        <w:rPr>
          <w:b/>
          <w:noProof/>
        </w:rPr>
        <w:t>1</w:t>
      </w:r>
      <w:r w:rsidRPr="007056C3">
        <w:rPr>
          <w:b/>
        </w:rPr>
        <w:fldChar w:fldCharType="end"/>
      </w:r>
      <w:r w:rsidRPr="007056C3">
        <w:rPr>
          <w:b/>
        </w:rPr>
        <w:t>.</w:t>
      </w:r>
      <w:r>
        <w:t xml:space="preserve"> </w:t>
      </w:r>
      <w:r w:rsidR="0097537A">
        <w:t>qPCR results</w:t>
      </w:r>
      <w:r>
        <w:t xml:space="preserve"> </w:t>
      </w:r>
      <w:r w:rsidR="0097537A">
        <w:t>using</w:t>
      </w:r>
      <w:r>
        <w:t xml:space="preserve"> nested PCR</w:t>
      </w:r>
      <w:bookmarkEnd w:id="81"/>
      <w:r w:rsidR="0097537A">
        <w:t xml:space="preserve"> amplification products as template DNA</w:t>
      </w:r>
      <w:bookmarkEnd w:id="82"/>
      <w:bookmarkEnd w:id="83"/>
    </w:p>
    <w:tbl>
      <w:tblPr>
        <w:tblStyle w:val="TabelaSimples2"/>
        <w:tblW w:w="5000" w:type="pct"/>
        <w:jc w:val="center"/>
        <w:tblLook w:val="04A0" w:firstRow="1" w:lastRow="0" w:firstColumn="1" w:lastColumn="0" w:noHBand="0" w:noVBand="1"/>
      </w:tblPr>
      <w:tblGrid>
        <w:gridCol w:w="2029"/>
        <w:gridCol w:w="3379"/>
        <w:gridCol w:w="3379"/>
      </w:tblGrid>
      <w:tr w:rsidR="00BF027C" w:rsidRPr="00BF027C" w14:paraId="5AC576B9" w14:textId="77777777" w:rsidTr="00DE41FB">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2D4F2E6E" w14:textId="77777777" w:rsidR="00930196" w:rsidRPr="00432B00" w:rsidRDefault="00930196" w:rsidP="000E07DA">
            <w:pPr>
              <w:ind w:firstLine="0"/>
              <w:jc w:val="center"/>
              <w:rPr>
                <w:color w:val="000000" w:themeColor="text1"/>
                <w:sz w:val="18"/>
              </w:rPr>
            </w:pPr>
            <w:r w:rsidRPr="00432B00">
              <w:rPr>
                <w:color w:val="000000" w:themeColor="text1"/>
                <w:sz w:val="18"/>
              </w:rPr>
              <w:t>Sample</w:t>
            </w:r>
          </w:p>
        </w:tc>
        <w:tc>
          <w:tcPr>
            <w:tcW w:w="1923" w:type="pct"/>
            <w:vAlign w:val="center"/>
          </w:tcPr>
          <w:p w14:paraId="51B4EFC7" w14:textId="27649477" w:rsidR="00930196" w:rsidRPr="00432B00" w:rsidRDefault="00930196" w:rsidP="000E07DA">
            <w:pPr>
              <w:ind w:firstLine="0"/>
              <w:jc w:val="center"/>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432B00">
              <w:rPr>
                <w:color w:val="000000" w:themeColor="text1"/>
                <w:sz w:val="18"/>
              </w:rPr>
              <w:t>Control</w:t>
            </w:r>
            <w:r w:rsidR="008413F4">
              <w:rPr>
                <w:color w:val="000000" w:themeColor="text1"/>
                <w:sz w:val="18"/>
                <w:szCs w:val="18"/>
              </w:rPr>
              <w:t xml:space="preserve"> group</w:t>
            </w:r>
            <w:r w:rsidR="008413F4" w:rsidRPr="00C5068C">
              <w:rPr>
                <w:color w:val="000000" w:themeColor="text1"/>
                <w:sz w:val="18"/>
                <w:szCs w:val="18"/>
                <w:vertAlign w:val="superscript"/>
              </w:rPr>
              <w:t>a</w:t>
            </w:r>
          </w:p>
        </w:tc>
        <w:tc>
          <w:tcPr>
            <w:tcW w:w="1923" w:type="pct"/>
            <w:vAlign w:val="center"/>
          </w:tcPr>
          <w:p w14:paraId="255F7984" w14:textId="463200F3" w:rsidR="00930196" w:rsidRPr="00432B00" w:rsidRDefault="00930196" w:rsidP="000E07DA">
            <w:pPr>
              <w:ind w:firstLine="0"/>
              <w:jc w:val="center"/>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432B00">
              <w:rPr>
                <w:color w:val="000000" w:themeColor="text1"/>
                <w:sz w:val="18"/>
              </w:rPr>
              <w:t>Immunized</w:t>
            </w:r>
            <w:r w:rsidR="008413F4">
              <w:rPr>
                <w:color w:val="000000" w:themeColor="text1"/>
                <w:sz w:val="18"/>
                <w:szCs w:val="18"/>
              </w:rPr>
              <w:t xml:space="preserve"> group</w:t>
            </w:r>
            <w:r w:rsidR="008413F4" w:rsidRPr="00C5068C">
              <w:rPr>
                <w:color w:val="000000" w:themeColor="text1"/>
                <w:sz w:val="18"/>
                <w:szCs w:val="18"/>
                <w:vertAlign w:val="superscript"/>
              </w:rPr>
              <w:t>a</w:t>
            </w:r>
          </w:p>
        </w:tc>
      </w:tr>
      <w:tr w:rsidR="00BF027C" w:rsidRPr="00BF027C" w14:paraId="6D48057F" w14:textId="77777777" w:rsidTr="00DE41F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646872C4" w14:textId="77777777" w:rsidR="00930196" w:rsidRPr="00432B00" w:rsidRDefault="00930196" w:rsidP="000E07DA">
            <w:pPr>
              <w:ind w:firstLine="0"/>
              <w:jc w:val="center"/>
              <w:rPr>
                <w:b w:val="0"/>
                <w:color w:val="000000" w:themeColor="text1"/>
                <w:sz w:val="18"/>
              </w:rPr>
            </w:pPr>
            <w:r w:rsidRPr="00432B00">
              <w:rPr>
                <w:color w:val="000000" w:themeColor="text1"/>
                <w:sz w:val="18"/>
              </w:rPr>
              <w:t>Liver</w:t>
            </w:r>
          </w:p>
        </w:tc>
        <w:tc>
          <w:tcPr>
            <w:tcW w:w="1923" w:type="pct"/>
            <w:vAlign w:val="center"/>
          </w:tcPr>
          <w:p w14:paraId="1607C80F" w14:textId="77777777" w:rsidR="00930196" w:rsidRPr="00432B00" w:rsidRDefault="00930196" w:rsidP="000E07DA">
            <w:pPr>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432B00">
              <w:rPr>
                <w:color w:val="000000" w:themeColor="text1"/>
                <w:sz w:val="18"/>
              </w:rPr>
              <w:t>4/4</w:t>
            </w:r>
          </w:p>
        </w:tc>
        <w:tc>
          <w:tcPr>
            <w:tcW w:w="1923" w:type="pct"/>
            <w:vAlign w:val="center"/>
          </w:tcPr>
          <w:p w14:paraId="4392AEC8" w14:textId="77777777" w:rsidR="00930196" w:rsidRPr="00432B00" w:rsidRDefault="00930196" w:rsidP="000E07DA">
            <w:pPr>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432B00">
              <w:rPr>
                <w:color w:val="000000" w:themeColor="text1"/>
                <w:sz w:val="18"/>
              </w:rPr>
              <w:t>4/4</w:t>
            </w:r>
          </w:p>
        </w:tc>
      </w:tr>
      <w:tr w:rsidR="00BF027C" w:rsidRPr="00BF027C" w14:paraId="5E5C6446" w14:textId="77777777" w:rsidTr="00DE41FB">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7F07C6FA" w14:textId="13C82AFF" w:rsidR="00930196" w:rsidRPr="00432B00" w:rsidRDefault="00930196" w:rsidP="000E07DA">
            <w:pPr>
              <w:ind w:firstLine="0"/>
              <w:jc w:val="center"/>
              <w:rPr>
                <w:color w:val="000000" w:themeColor="text1"/>
                <w:sz w:val="18"/>
              </w:rPr>
            </w:pPr>
            <w:r w:rsidRPr="00432B00">
              <w:rPr>
                <w:bCs w:val="0"/>
                <w:color w:val="000000" w:themeColor="text1"/>
                <w:sz w:val="18"/>
                <w:szCs w:val="18"/>
              </w:rPr>
              <w:t>Lung</w:t>
            </w:r>
            <w:r w:rsidR="00BF027C" w:rsidRPr="00432B00">
              <w:rPr>
                <w:bCs w:val="0"/>
                <w:color w:val="000000" w:themeColor="text1"/>
                <w:sz w:val="18"/>
                <w:szCs w:val="18"/>
              </w:rPr>
              <w:t>s</w:t>
            </w:r>
          </w:p>
        </w:tc>
        <w:tc>
          <w:tcPr>
            <w:tcW w:w="1923" w:type="pct"/>
            <w:vAlign w:val="center"/>
          </w:tcPr>
          <w:p w14:paraId="6869701C" w14:textId="77777777" w:rsidR="00930196" w:rsidRPr="00432B00" w:rsidRDefault="00930196" w:rsidP="000E07DA">
            <w:pPr>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432B00">
              <w:rPr>
                <w:color w:val="000000" w:themeColor="text1"/>
                <w:sz w:val="18"/>
              </w:rPr>
              <w:t>2/4</w:t>
            </w:r>
          </w:p>
        </w:tc>
        <w:tc>
          <w:tcPr>
            <w:tcW w:w="1923" w:type="pct"/>
            <w:vAlign w:val="center"/>
          </w:tcPr>
          <w:p w14:paraId="2FFED5CA" w14:textId="77777777" w:rsidR="00930196" w:rsidRPr="00432B00" w:rsidRDefault="00930196" w:rsidP="000E07DA">
            <w:pPr>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432B00">
              <w:rPr>
                <w:color w:val="000000" w:themeColor="text1"/>
                <w:sz w:val="18"/>
              </w:rPr>
              <w:t>2/4</w:t>
            </w:r>
          </w:p>
        </w:tc>
      </w:tr>
      <w:tr w:rsidR="00BF027C" w:rsidRPr="00BF027C" w14:paraId="34B61F99" w14:textId="77777777" w:rsidTr="00DE41F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197FAC9F" w14:textId="77777777" w:rsidR="00930196" w:rsidRPr="00432B00" w:rsidRDefault="00930196" w:rsidP="000E07DA">
            <w:pPr>
              <w:ind w:firstLine="0"/>
              <w:jc w:val="center"/>
              <w:rPr>
                <w:b w:val="0"/>
                <w:color w:val="000000" w:themeColor="text1"/>
                <w:sz w:val="18"/>
              </w:rPr>
            </w:pPr>
            <w:r w:rsidRPr="00432B00">
              <w:rPr>
                <w:color w:val="000000" w:themeColor="text1"/>
                <w:sz w:val="18"/>
              </w:rPr>
              <w:t>Spleen</w:t>
            </w:r>
          </w:p>
        </w:tc>
        <w:tc>
          <w:tcPr>
            <w:tcW w:w="1923" w:type="pct"/>
            <w:vAlign w:val="center"/>
          </w:tcPr>
          <w:p w14:paraId="520E0569" w14:textId="77777777" w:rsidR="00930196" w:rsidRPr="00432B00" w:rsidRDefault="00930196" w:rsidP="000E07DA">
            <w:pPr>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432B00">
              <w:rPr>
                <w:color w:val="000000" w:themeColor="text1"/>
                <w:sz w:val="18"/>
              </w:rPr>
              <w:t>4/4</w:t>
            </w:r>
          </w:p>
        </w:tc>
        <w:tc>
          <w:tcPr>
            <w:tcW w:w="1923" w:type="pct"/>
            <w:vAlign w:val="center"/>
          </w:tcPr>
          <w:p w14:paraId="7EF26914" w14:textId="77777777" w:rsidR="00930196" w:rsidRPr="00432B00" w:rsidRDefault="00930196" w:rsidP="000E07DA">
            <w:pPr>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432B00">
              <w:rPr>
                <w:color w:val="000000" w:themeColor="text1"/>
                <w:sz w:val="18"/>
              </w:rPr>
              <w:t>4/4</w:t>
            </w:r>
          </w:p>
        </w:tc>
      </w:tr>
      <w:tr w:rsidR="00BF027C" w:rsidRPr="00BF027C" w14:paraId="54764E16" w14:textId="77777777" w:rsidTr="00DE41FB">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49E709D2" w14:textId="77777777" w:rsidR="00930196" w:rsidRPr="00432B00" w:rsidRDefault="00930196" w:rsidP="000E07DA">
            <w:pPr>
              <w:ind w:firstLine="0"/>
              <w:jc w:val="center"/>
              <w:rPr>
                <w:b w:val="0"/>
                <w:color w:val="000000" w:themeColor="text1"/>
                <w:sz w:val="18"/>
              </w:rPr>
            </w:pPr>
            <w:r w:rsidRPr="00432B00">
              <w:rPr>
                <w:color w:val="000000" w:themeColor="text1"/>
                <w:sz w:val="18"/>
              </w:rPr>
              <w:t>Cerebellum 1</w:t>
            </w:r>
          </w:p>
        </w:tc>
        <w:tc>
          <w:tcPr>
            <w:tcW w:w="1923" w:type="pct"/>
            <w:vAlign w:val="center"/>
          </w:tcPr>
          <w:p w14:paraId="3F70A3F1" w14:textId="77777777" w:rsidR="00930196" w:rsidRPr="00432B00" w:rsidRDefault="00930196" w:rsidP="000E07DA">
            <w:pPr>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432B00">
              <w:rPr>
                <w:color w:val="000000" w:themeColor="text1"/>
                <w:sz w:val="18"/>
              </w:rPr>
              <w:t>1/4</w:t>
            </w:r>
          </w:p>
        </w:tc>
        <w:tc>
          <w:tcPr>
            <w:tcW w:w="1923" w:type="pct"/>
            <w:vAlign w:val="center"/>
          </w:tcPr>
          <w:p w14:paraId="5F4E288B" w14:textId="77777777" w:rsidR="00930196" w:rsidRPr="00432B00" w:rsidRDefault="00930196" w:rsidP="000E07DA">
            <w:pPr>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432B00">
              <w:rPr>
                <w:color w:val="000000" w:themeColor="text1"/>
                <w:sz w:val="18"/>
              </w:rPr>
              <w:t>1/4</w:t>
            </w:r>
          </w:p>
        </w:tc>
      </w:tr>
      <w:tr w:rsidR="00BF027C" w:rsidRPr="00BF027C" w14:paraId="5F9DF4E1" w14:textId="77777777" w:rsidTr="00DE41F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599E89EB" w14:textId="77777777" w:rsidR="00930196" w:rsidRPr="00432B00" w:rsidRDefault="00930196" w:rsidP="000E07DA">
            <w:pPr>
              <w:ind w:firstLine="0"/>
              <w:jc w:val="center"/>
              <w:rPr>
                <w:b w:val="0"/>
                <w:color w:val="000000" w:themeColor="text1"/>
                <w:sz w:val="18"/>
              </w:rPr>
            </w:pPr>
            <w:r w:rsidRPr="00432B00">
              <w:rPr>
                <w:color w:val="000000" w:themeColor="text1"/>
                <w:sz w:val="18"/>
              </w:rPr>
              <w:t>Cerebellum 2</w:t>
            </w:r>
          </w:p>
        </w:tc>
        <w:tc>
          <w:tcPr>
            <w:tcW w:w="1923" w:type="pct"/>
            <w:vAlign w:val="center"/>
          </w:tcPr>
          <w:p w14:paraId="321DD3BD" w14:textId="77777777" w:rsidR="00930196" w:rsidRPr="00432B00" w:rsidRDefault="00930196" w:rsidP="000E07DA">
            <w:pPr>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432B00">
              <w:rPr>
                <w:color w:val="000000" w:themeColor="text1"/>
                <w:sz w:val="18"/>
              </w:rPr>
              <w:t>3/4</w:t>
            </w:r>
          </w:p>
        </w:tc>
        <w:tc>
          <w:tcPr>
            <w:tcW w:w="1923" w:type="pct"/>
            <w:vAlign w:val="center"/>
          </w:tcPr>
          <w:p w14:paraId="3D50CB8F" w14:textId="77777777" w:rsidR="00930196" w:rsidRPr="00432B00" w:rsidRDefault="00930196" w:rsidP="000E07DA">
            <w:pPr>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432B00">
              <w:rPr>
                <w:color w:val="000000" w:themeColor="text1"/>
                <w:sz w:val="18"/>
              </w:rPr>
              <w:t>4/4</w:t>
            </w:r>
          </w:p>
        </w:tc>
      </w:tr>
      <w:tr w:rsidR="00BF027C" w:rsidRPr="00BF027C" w14:paraId="432A0E6C" w14:textId="77777777" w:rsidTr="00DE41FB">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49C843F7" w14:textId="77777777" w:rsidR="00930196" w:rsidRPr="00432B00" w:rsidRDefault="00930196" w:rsidP="000E07DA">
            <w:pPr>
              <w:ind w:firstLine="0"/>
              <w:jc w:val="center"/>
              <w:rPr>
                <w:b w:val="0"/>
                <w:color w:val="000000" w:themeColor="text1"/>
                <w:sz w:val="18"/>
              </w:rPr>
            </w:pPr>
            <w:r w:rsidRPr="00432B00">
              <w:rPr>
                <w:color w:val="000000" w:themeColor="text1"/>
                <w:sz w:val="18"/>
              </w:rPr>
              <w:t>Frontal cortex 1</w:t>
            </w:r>
          </w:p>
        </w:tc>
        <w:tc>
          <w:tcPr>
            <w:tcW w:w="1923" w:type="pct"/>
            <w:vAlign w:val="center"/>
          </w:tcPr>
          <w:p w14:paraId="22E4279C" w14:textId="77777777" w:rsidR="00930196" w:rsidRPr="00432B00" w:rsidRDefault="00930196" w:rsidP="000E07DA">
            <w:pPr>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432B00">
              <w:rPr>
                <w:color w:val="000000" w:themeColor="text1"/>
                <w:sz w:val="18"/>
              </w:rPr>
              <w:t>0/4</w:t>
            </w:r>
          </w:p>
        </w:tc>
        <w:tc>
          <w:tcPr>
            <w:tcW w:w="1923" w:type="pct"/>
            <w:vAlign w:val="center"/>
          </w:tcPr>
          <w:p w14:paraId="25D04D16" w14:textId="77777777" w:rsidR="00930196" w:rsidRPr="00432B00" w:rsidRDefault="00930196" w:rsidP="000E07DA">
            <w:pPr>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432B00">
              <w:rPr>
                <w:color w:val="000000" w:themeColor="text1"/>
                <w:sz w:val="18"/>
              </w:rPr>
              <w:t>0/4</w:t>
            </w:r>
          </w:p>
        </w:tc>
      </w:tr>
      <w:tr w:rsidR="00BF027C" w:rsidRPr="00BF027C" w14:paraId="79A6EFDB" w14:textId="77777777" w:rsidTr="00DE41F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3F781F60" w14:textId="77777777" w:rsidR="00930196" w:rsidRPr="00432B00" w:rsidRDefault="00930196" w:rsidP="000E07DA">
            <w:pPr>
              <w:ind w:firstLine="0"/>
              <w:jc w:val="center"/>
              <w:rPr>
                <w:b w:val="0"/>
                <w:color w:val="000000" w:themeColor="text1"/>
                <w:sz w:val="18"/>
              </w:rPr>
            </w:pPr>
            <w:r w:rsidRPr="00432B00">
              <w:rPr>
                <w:color w:val="000000" w:themeColor="text1"/>
                <w:sz w:val="18"/>
              </w:rPr>
              <w:t>Frontal cortex 2</w:t>
            </w:r>
          </w:p>
        </w:tc>
        <w:tc>
          <w:tcPr>
            <w:tcW w:w="1923" w:type="pct"/>
            <w:vAlign w:val="center"/>
          </w:tcPr>
          <w:p w14:paraId="7E586D0E" w14:textId="77777777" w:rsidR="00930196" w:rsidRPr="00432B00" w:rsidRDefault="00930196" w:rsidP="000E07DA">
            <w:pPr>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432B00">
              <w:rPr>
                <w:color w:val="000000" w:themeColor="text1"/>
                <w:sz w:val="18"/>
              </w:rPr>
              <w:t>4/4</w:t>
            </w:r>
          </w:p>
        </w:tc>
        <w:tc>
          <w:tcPr>
            <w:tcW w:w="1923" w:type="pct"/>
            <w:vAlign w:val="center"/>
          </w:tcPr>
          <w:p w14:paraId="215CA15B" w14:textId="77777777" w:rsidR="00930196" w:rsidRPr="00432B00" w:rsidRDefault="00930196" w:rsidP="000E07DA">
            <w:pPr>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432B00">
              <w:rPr>
                <w:color w:val="000000" w:themeColor="text1"/>
                <w:sz w:val="18"/>
              </w:rPr>
              <w:t>4/4</w:t>
            </w:r>
          </w:p>
        </w:tc>
      </w:tr>
    </w:tbl>
    <w:p w14:paraId="48B96971" w14:textId="4B297769" w:rsidR="00FB2ADE" w:rsidRPr="00A44B9A" w:rsidRDefault="008413F4" w:rsidP="00A44B9A">
      <w:pPr>
        <w:rPr>
          <w:sz w:val="18"/>
        </w:rPr>
      </w:pPr>
      <w:bookmarkStart w:id="84" w:name="_Toc114595404"/>
      <w:bookmarkStart w:id="85" w:name="_Toc114595571"/>
      <w:r w:rsidRPr="00A44B9A">
        <w:rPr>
          <w:sz w:val="18"/>
          <w:vertAlign w:val="superscript"/>
        </w:rPr>
        <w:t>a</w:t>
      </w:r>
      <w:r w:rsidRPr="00A44B9A">
        <w:rPr>
          <w:sz w:val="18"/>
        </w:rPr>
        <w:t xml:space="preserve">Number of positive </w:t>
      </w:r>
      <w:r w:rsidR="0054029F" w:rsidRPr="00A44B9A">
        <w:rPr>
          <w:sz w:val="18"/>
        </w:rPr>
        <w:t xml:space="preserve">samples </w:t>
      </w:r>
      <w:r w:rsidRPr="00A44B9A">
        <w:rPr>
          <w:sz w:val="18"/>
        </w:rPr>
        <w:t>in total analysed samples</w:t>
      </w:r>
      <w:bookmarkEnd w:id="84"/>
      <w:bookmarkEnd w:id="85"/>
    </w:p>
    <w:p w14:paraId="48B96972" w14:textId="543AF5C3" w:rsidR="00FB2ADE" w:rsidRPr="000C71A6" w:rsidRDefault="00E90F8F" w:rsidP="00FB2ADE">
      <w:pPr>
        <w:pStyle w:val="tesettulos"/>
      </w:pPr>
      <w:bookmarkStart w:id="86" w:name="_Toc111229792"/>
      <w:bookmarkStart w:id="87" w:name="_Toc111229830"/>
      <w:bookmarkStart w:id="88" w:name="_Toc115037830"/>
      <w:r>
        <w:t xml:space="preserve">4. </w:t>
      </w:r>
      <w:r w:rsidR="00FB2ADE" w:rsidRPr="000C71A6">
        <w:t>Discussion</w:t>
      </w:r>
      <w:bookmarkEnd w:id="86"/>
      <w:bookmarkEnd w:id="87"/>
      <w:bookmarkEnd w:id="88"/>
    </w:p>
    <w:p w14:paraId="63014309" w14:textId="003E7963" w:rsidR="008F4DA2" w:rsidRDefault="00D202A8" w:rsidP="008F4DA2">
      <w:pPr>
        <w:rPr>
          <w:rFonts w:cs="Arial"/>
          <w:color w:val="000000" w:themeColor="text1"/>
        </w:rPr>
      </w:pPr>
      <w:r>
        <w:rPr>
          <w:rFonts w:cs="Arial"/>
          <w:i/>
        </w:rPr>
        <w:t xml:space="preserve">Neospora caninum </w:t>
      </w:r>
      <w:r>
        <w:rPr>
          <w:rFonts w:cs="Arial"/>
        </w:rPr>
        <w:t xml:space="preserve">is an obligate intracellular parasite </w:t>
      </w:r>
      <w:r>
        <w:rPr>
          <w:rFonts w:cs="Arial"/>
        </w:rPr>
        <w:fldChar w:fldCharType="begin" w:fldLock="1"/>
      </w:r>
      <w:r w:rsidR="002600A2">
        <w:rPr>
          <w:rFonts w:cs="Arial"/>
        </w:rPr>
        <w:instrText>ADDIN CSL_CITATION {"citationItems":[{"id":"ITEM-1","itemData":{"DOI":"10.1128/CMR.00031-06","ISSN":"0893-8512","PMID":"17428888","abstract":"Neospora caninum is a protozoan parasite of animals. Until 1988, it was misidentified as Toxoplasma gondii. Since its first recognition in dogs in 1984 and the description of the new genus and species Neospora caninum in 1988, neosporosis has emerged as a serious disease of cattle and dogs worldwide. Abortions and neonatal mortality are a major problem in livestock operations, and neosporosis is a major cause of abortion in cattle. Although antibodies to N. caninum have been reported, the parasite has not been detected in human tissues. Thus, the zoonotic potential is uncertain. This review is focused mainly on the epidemiology and control of neosporosis in cattle, but worldwide seroprevalences of N. caninum in animals and humans are tabulated. The role of wildlife in the life cycle of N. caninum and strategies for the control of neosporosis in cattle are discussed. Copyright © 2007, American Society for Microbiology. All Rights Reserved.","author":[{"dropping-particle":"","family":"Dubey","given":"J. P.","non-dropping-particle":"","parse-names":false,"suffix":""},{"dropping-particle":"","family":"Schares","given":"G.","non-dropping-particle":"","parse-names":false,"suffix":""},{"dropping-particle":"","family":"Ortega-Mora","given":"L. M.","non-dropping-particle":"","parse-names":false,"suffix":""}],"container-title":"Clinical Microbiology Reviews","id":"ITEM-1","issue":"2","issued":{"date-parts":[["2007","4"]]},"page":"323-367","publisher":"American Society for Microbiology (ASM)","title":"Epidemiology and Control of Neosporosis and Neospora caninum","type":"article-journal","volume":"20"},"uris":["http://www.mendeley.com/documents/?uuid=70fcd63a-553e-3413-ab2d-6114b98716c2"]},{"id":"ITEM-2","itemData":{"DOI":"10.1016/J.IJPPAW.2015.04.002","ISSN":"2213-2244","abstract":"Neospora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Wildlife","id":"ITEM-2","issue":"2","issued":{"date-parts":[["2015","8","1"]]},"page":"216-238","publisher":"Elsevier","title":"A review of neosporosis and pathologic findings of Neospora caninum infection in wildlife","type":"article-journal","volume":"4"},"uris":["http://www.mendeley.com/documents/?uuid=0eb21b67-0b11-310b-bb97-5e8fd960f5bc"]},{"id":"ITEM-3","itemData":{"DOI":"10.1016/J.MEEGID.2012.08.012","ISSN":"1567-1348","PMID":"22985682","abstract":"This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B.V.","author":[{"dropping-particle":"","family":"Goodswen","given":"Stephen J.","non-dropping-particle":"","parse-names":false,"suffix":""},{"dropping-particle":"","family":"Kennedy","given":"Paul J.","non-dropping-particle":"","parse-names":false,"suffix":""},{"dropping-particle":"","family":"Ellis","given":"John T.","non-dropping-particle":"","parse-names":false,"suffix":""}],"container-title":"Infection, Genetics and Evolution","id":"ITEM-3","issue":"1","issued":{"date-parts":[["2013","1","1"]]},"page":"133-150","publisher":"Elsevier","title":"A review of the infection, genetics, and evolution of Neospora caninum: From the past to the present","type":"article-journal","volume":"13"},"uris":["http://www.mendeley.com/documents/?uuid=ec998491-25c0-3ac3-a2aa-a141fbdeeff9"]}],"mendeley":{"formattedCitation":"[9]–[11]","manualFormatting":"[9–11]","plainTextFormattedCitation":"[9]–[11]","previouslyFormattedCitation":"[9]–[11]"},"properties":{"noteIndex":0},"schema":"https://github.com/citation-style-language/schema/raw/master/csl-citation.json"}</w:instrText>
      </w:r>
      <w:r>
        <w:rPr>
          <w:rFonts w:cs="Arial"/>
        </w:rPr>
        <w:fldChar w:fldCharType="separate"/>
      </w:r>
      <w:r w:rsidR="002600A2">
        <w:rPr>
          <w:rFonts w:cs="Arial"/>
          <w:noProof/>
        </w:rPr>
        <w:t>[9–</w:t>
      </w:r>
      <w:r w:rsidR="00F00084" w:rsidRPr="00F00084">
        <w:rPr>
          <w:rFonts w:cs="Arial"/>
          <w:noProof/>
        </w:rPr>
        <w:t>11]</w:t>
      </w:r>
      <w:r>
        <w:rPr>
          <w:rFonts w:cs="Arial"/>
        </w:rPr>
        <w:fldChar w:fldCharType="end"/>
      </w:r>
      <w:r>
        <w:rPr>
          <w:rFonts w:cs="Arial"/>
        </w:rPr>
        <w:t xml:space="preserve">. </w:t>
      </w:r>
      <w:r w:rsidR="00CD55EE">
        <w:rPr>
          <w:rFonts w:cs="Arial"/>
        </w:rPr>
        <w:t xml:space="preserve">For this reason, </w:t>
      </w:r>
      <w:r w:rsidR="005067FE">
        <w:rPr>
          <w:rFonts w:cs="Arial"/>
        </w:rPr>
        <w:t xml:space="preserve">the </w:t>
      </w:r>
      <w:r w:rsidR="00EA41B2">
        <w:rPr>
          <w:rFonts w:cs="Arial"/>
        </w:rPr>
        <w:t xml:space="preserve">protective </w:t>
      </w:r>
      <w:r w:rsidR="00CD55EE">
        <w:rPr>
          <w:rFonts w:cs="Arial"/>
        </w:rPr>
        <w:t xml:space="preserve">immune response </w:t>
      </w:r>
      <w:r w:rsidR="005067FE">
        <w:rPr>
          <w:rFonts w:cs="Arial"/>
        </w:rPr>
        <w:t>is</w:t>
      </w:r>
      <w:r w:rsidR="00CD55EE">
        <w:rPr>
          <w:rFonts w:cs="Arial"/>
        </w:rPr>
        <w:t xml:space="preserve"> </w:t>
      </w:r>
      <w:r w:rsidR="000223D4">
        <w:rPr>
          <w:rFonts w:cs="Arial"/>
        </w:rPr>
        <w:t xml:space="preserve">mainly </w:t>
      </w:r>
      <w:r w:rsidR="00CD55EE">
        <w:rPr>
          <w:rFonts w:cs="Arial"/>
        </w:rPr>
        <w:t>cell</w:t>
      </w:r>
      <w:r w:rsidR="00915A23">
        <w:rPr>
          <w:rFonts w:cs="Arial"/>
        </w:rPr>
        <w:t>-</w:t>
      </w:r>
      <w:r w:rsidR="00CD55EE">
        <w:rPr>
          <w:rFonts w:cs="Arial"/>
        </w:rPr>
        <w:t xml:space="preserve">mediated </w:t>
      </w:r>
      <w:r w:rsidR="00CD55EE" w:rsidRPr="00653243">
        <w:rPr>
          <w:rFonts w:cs="Arial"/>
          <w:color w:val="000000" w:themeColor="text1"/>
        </w:rPr>
        <w:fldChar w:fldCharType="begin" w:fldLock="1"/>
      </w:r>
      <w:r w:rsidR="002600A2" w:rsidRPr="00653243">
        <w:rPr>
          <w:rFonts w:cs="Arial"/>
          <w:color w:val="000000" w:themeColor="text1"/>
        </w:rPr>
        <w:instrText>ADDIN CSL_CITATION {"citationItems":[{"id":"ITEM-1","itemData":{"DOI":"10.1016/J.MEEGID.2012.08.012","ISSN":"1567-1348","PMID":"22985682","abstract":"This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B.V.","author":[{"dropping-particle":"","family":"Goodswen","given":"Stephen J.","non-dropping-particle":"","parse-names":false,"suffix":""},{"dropping-particle":"","family":"Kennedy","given":"Paul J.","non-dropping-particle":"","parse-names":false,"suffix":""},{"dropping-particle":"","family":"Ellis","given":"John T.","non-dropping-particle":"","parse-names":false,"suffix":""}],"container-title":"Infection, Genetics and Evolution","id":"ITEM-1","issue":"1","issued":{"date-parts":[["2013","1","1"]]},"page":"133-150","publisher":"Elsevier","title":"A review of the infection, genetics, and evolution of Neospora caninum: From the past to the present","type":"article-journal","volume":"13"},"uris":["http://www.mendeley.com/documents/?uuid=ec998491-25c0-3ac3-a2aa-a141fbdeeff9"]},{"id":"ITEM-2","itemData":{"DOI":"10.1016/J.IJPPAW.2015.04.002","ISSN":"2213-2244","abstract":"Neospora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infection.","author":[{"dropping-particle":"","family":"Donahoe","given":"Shannon L.","non-dropping-particle":"","parse-names":false,"suffix":""},{"dropping-particle":"","family":"Lindsay","given":"Scott A.","non-dropping-particle":"","parse-names":false,"suffix":""},{"dropping-particle":"","family":"Krockenberger","given":"Mark","non-dropping-particle":"","parse-names":false,"suffix":""},{"dropping-particle":"","family":"Phalen","given":"David","non-dropping-particle":"","parse-names":false,"suffix":""},{"dropping-particle":"","family":"Šlapeta","given":"Jan","non-dropping-particle":"","parse-names":false,"suffix":""}],"container-title":"International Journal for Parasitology: Parasites and Wildlife","id":"ITEM-2","issue":"2","issued":{"date-parts":[["2015","8","1"]]},"page":"216-238","publisher":"Elsevier","title":"A review of neosporosis and pathologic findings of Neospora caninum infection in wildlife","type":"article-journal","volume":"4"},"uris":["http://www.mendeley.com/documents/?uuid=0eb21b67-0b11-310b-bb97-5e8fd960f5bc"]}],"mendeley":{"formattedCitation":"[10], [11]","manualFormatting":"[10, 11]","plainTextFormattedCitation":"[10], [11]","previouslyFormattedCitation":"[10], [11]"},"properties":{"noteIndex":0},"schema":"https://github.com/citation-style-language/schema/raw/master/csl-citation.json"}</w:instrText>
      </w:r>
      <w:r w:rsidR="00CD55EE" w:rsidRPr="00653243">
        <w:rPr>
          <w:rFonts w:cs="Arial"/>
          <w:color w:val="000000" w:themeColor="text1"/>
        </w:rPr>
        <w:fldChar w:fldCharType="separate"/>
      </w:r>
      <w:r w:rsidR="002600A2" w:rsidRPr="00653243">
        <w:rPr>
          <w:rFonts w:cs="Arial"/>
          <w:noProof/>
          <w:color w:val="000000" w:themeColor="text1"/>
        </w:rPr>
        <w:t xml:space="preserve">[10, </w:t>
      </w:r>
      <w:r w:rsidR="00F00084" w:rsidRPr="00653243">
        <w:rPr>
          <w:rFonts w:cs="Arial"/>
          <w:noProof/>
          <w:color w:val="000000" w:themeColor="text1"/>
        </w:rPr>
        <w:t>11]</w:t>
      </w:r>
      <w:r w:rsidR="00CD55EE" w:rsidRPr="00653243">
        <w:rPr>
          <w:rFonts w:cs="Arial"/>
          <w:color w:val="000000" w:themeColor="text1"/>
        </w:rPr>
        <w:fldChar w:fldCharType="end"/>
      </w:r>
      <w:r w:rsidR="000223D4">
        <w:rPr>
          <w:rFonts w:cs="Arial"/>
          <w:color w:val="000000" w:themeColor="text1"/>
        </w:rPr>
        <w:t xml:space="preserve"> and the</w:t>
      </w:r>
      <w:r w:rsidR="00CD55EE" w:rsidRPr="00653243">
        <w:rPr>
          <w:rFonts w:cs="Arial"/>
          <w:color w:val="000000" w:themeColor="text1"/>
        </w:rPr>
        <w:t xml:space="preserve"> </w:t>
      </w:r>
      <w:r w:rsidR="00915A23" w:rsidRPr="00653243">
        <w:rPr>
          <w:rFonts w:cs="Arial"/>
          <w:color w:val="000000" w:themeColor="text1"/>
        </w:rPr>
        <w:t xml:space="preserve">protective </w:t>
      </w:r>
      <w:r w:rsidR="00CD55EE" w:rsidRPr="00653243">
        <w:rPr>
          <w:rFonts w:cs="Arial"/>
          <w:color w:val="000000" w:themeColor="text1"/>
        </w:rPr>
        <w:t xml:space="preserve">mechanism </w:t>
      </w:r>
      <w:r w:rsidR="00915A23" w:rsidRPr="00653243">
        <w:rPr>
          <w:rFonts w:cs="Arial"/>
          <w:color w:val="000000" w:themeColor="text1"/>
        </w:rPr>
        <w:t>includes</w:t>
      </w:r>
      <w:r w:rsidR="00CD55EE" w:rsidRPr="00653243">
        <w:rPr>
          <w:rFonts w:cs="Arial"/>
          <w:color w:val="000000" w:themeColor="text1"/>
        </w:rPr>
        <w:t xml:space="preserve"> the </w:t>
      </w:r>
      <w:r w:rsidR="00915A23" w:rsidRPr="00653243">
        <w:rPr>
          <w:rFonts w:cs="Arial"/>
          <w:color w:val="000000" w:themeColor="text1"/>
        </w:rPr>
        <w:t xml:space="preserve">production of the </w:t>
      </w:r>
      <w:r w:rsidR="00CD55EE" w:rsidRPr="00653243">
        <w:rPr>
          <w:rFonts w:cs="Arial"/>
          <w:color w:val="000000" w:themeColor="text1"/>
        </w:rPr>
        <w:t>pro-inflammatory cytokines IL-12</w:t>
      </w:r>
      <w:r w:rsidR="00B8462A">
        <w:rPr>
          <w:rFonts w:cs="Arial"/>
          <w:color w:val="000000" w:themeColor="text1"/>
        </w:rPr>
        <w:t xml:space="preserve"> and</w:t>
      </w:r>
      <w:r w:rsidR="00CD55EE" w:rsidRPr="00653243">
        <w:rPr>
          <w:rFonts w:cs="Arial"/>
          <w:color w:val="000000" w:themeColor="text1"/>
        </w:rPr>
        <w:t xml:space="preserve"> IFN-γ, </w:t>
      </w:r>
      <w:r w:rsidR="00915A23" w:rsidRPr="00653243">
        <w:rPr>
          <w:rFonts w:cs="Arial"/>
          <w:color w:val="000000" w:themeColor="text1"/>
        </w:rPr>
        <w:t>and is</w:t>
      </w:r>
      <w:r w:rsidR="00CD55EE" w:rsidRPr="00653243">
        <w:rPr>
          <w:rFonts w:cs="Arial"/>
          <w:color w:val="000000" w:themeColor="text1"/>
        </w:rPr>
        <w:t xml:space="preserve"> also </w:t>
      </w:r>
      <w:r w:rsidR="00915A23" w:rsidRPr="00653243">
        <w:rPr>
          <w:rFonts w:cs="Arial"/>
          <w:color w:val="000000" w:themeColor="text1"/>
        </w:rPr>
        <w:t xml:space="preserve">associated with generation of parasite-specific antibodies of the IgG2 </w:t>
      </w:r>
      <w:r w:rsidR="00CD55EE" w:rsidRPr="00653243">
        <w:rPr>
          <w:rFonts w:cs="Arial"/>
          <w:color w:val="000000" w:themeColor="text1"/>
        </w:rPr>
        <w:t xml:space="preserve">isotype </w:t>
      </w:r>
      <w:r w:rsidR="00CD55EE" w:rsidRPr="00653243">
        <w:rPr>
          <w:rFonts w:cs="Arial"/>
          <w:color w:val="000000" w:themeColor="text1"/>
        </w:rPr>
        <w:fldChar w:fldCharType="begin" w:fldLock="1"/>
      </w:r>
      <w:r w:rsidR="0023236C">
        <w:rPr>
          <w:rFonts w:cs="Arial"/>
          <w:color w:val="000000" w:themeColor="text1"/>
        </w:rPr>
        <w:instrText>ADDIN CSL_CITATION {"citationItems":[{"id":"ITEM-1","itemData":{"DOI":"10.1016/S0020-7519(99)00141-1","ISSN":"00207519","PMID":"10608450","abstract":"The type of immune response required to protect mice against clinical disease during acute Neospora caninum challenge was investigated in BALB/c mice. Groups of female BALB/c mice were infected i.p. with N. caninum tachyzoites concomitant with either: (1) antibody to interferon-γ; (2) recombinant murine interleukin-12; or (3) recombinant murine interleukin-12 plus antibody to interferon-γ. Mice treated with anti-interferon-γ alone had increased morbidity/mortality, decreased body weight, increased foci of liver necrosis and increased numbers of N. caninum tachyzoites in the lung by 7 days p.i. compared with controls. Increased disease and parasite load in the anti-interferon-γ-treated mice was associated with antigen-specific antibody IgG1 &gt; IgG2a and a three-fold decreased ratio of antigen-specific interferon-γ:interleukin-4. Mice treated with recombinant murine interleukin-12 had decreased encephalitis and brain parasite load at 3 weeks p.i. compared with control mice treated with PBS. In recombinant murine interleukin-12-treated mice, decreased brain lesions and parasite load were associated with antigen-specific antibody IgG2a &gt; IgG1 and a three-fold increased ratio of antigen-specific interferon-γ:interleukin-4 from splenocytes; the interleukin-12 effect was dependent upon interferon-γ, as indicated by concomitant in vivo interferon-γ neutralisation. By 6 weeks p.i. with N. caninum, there were no differences in brain lesions and parasite load between interleukin-12- and PBS-treated groups, indicating that the effects of interleukin-12 on driving a protective type 1 response were transient. These data indicate a role for interferon-γ, interleukin-12 and type 1 immune responses in control of acute neosporosis in mice.","author":[{"dropping-particle":"V.","family":"Baszler","given":"Timothy","non-dropping-particle":"","parse-names":false,"suffix":""},{"dropping-particle":"","family":"Long","given":"Maureen T.","non-dropping-particle":"","parse-names":false,"suffix":""},{"dropping-particle":"","family":"McElwain","given":"Terry F.","non-dropping-particle":"","parse-names":false,"suffix":""},{"dropping-particle":"","family":"Mathison","given":"Bruce A.","non-dropping-particle":"","parse-names":false,"suffix":""}],"container-title":"International Journal for Parasitology","id":"ITEM-1","issue":"10","issued":{"date-parts":[["1999"]]},"page":"1635-1646","publisher":"Elsevier Ltd","title":"Interferon-γ and interleukin-12 mediate protection to acute Neospora caninum infection in BALB/c mice","type":"article-journal","volume":"29"},"uris":["http://www.mendeley.com/documents/?uuid=c01e2452-6513-3b8b-a67d-9127f55db327"]},{"id":"ITEM-2","itemData":{"ISBN":"978-1-4557-0362-3","abstract":"The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Sciences","edition":"9th","id":"ITEM-2","issued":{"date-parts":[["2012"]]},"publisher":"W.B. Saunders Company","title":"Veterinary Immunology","type":"chapter"},"uris":["http://www.mendeley.com/documents/?uuid=5b612fa0-4782-467b-a937-4cc8cbeba109"]},{"id":"ITEM-3","itemData":{"DOI":"10.1006/EXPR.1996.4110","ISSN":"0014-4894","PMID":"9024199","abstract":"Neospora caninum is a coccidial protozoan parasite that infects a large range of mammals including dogs, cats, mice, and cattle. Morphologically, N. caninum appears indistinguishable from Toxoplasma gondii, although they are genetically distinct. To date there have been no reported cases of this infection in humans, although nonhuman primates may be susceptible to infection. Inbred A/J mice develop no clinical and little histologic evidence of infection in spite of a high-dose inoculum of N. caninum. Splenocytes obtained from infected mice proliferate in vitro in response to both N. caninum and T. gondii-soluble antigen. A transient state of T cell hyporesponsiveness to parasite antigen and mitogen was observed at Day 7 p.i. This downregulatory response could be partially reversed by the addition of the nitric oxide antagonist LNMMA, but not antibody to IL-10. Mice infected with N. caninum produce significant quantities of IL-12 and IFNγ, most evident shortly after infection. In vivo, antibody to IF-12 is able to neutralize immune resistance to the parasite. Moreover, in vivo depletion of IFNγ with antibody renders the mice susceptible to infection. These observations suggest that N. caninum induces a T cell immune response in the infected host that is at least partially mediated by IL-12 and IFNγ.","author":[{"dropping-particle":"","family":"Khan","given":"Imtiaz A.","non-dropping-particle":"","parse-names":false,"suffix":""},{"dropping-particle":"","family":"Schwartzman","given":"Joseph D.","non-dropping-particle":"","parse-names":false,"suffix":""},{"dropping-particle":"","family":"Fonseka","given":"Sujeewa","non-dropping-particle":"","parse-names":false,"suffix":""},{"dropping-particle":"","family":"Kasper","given":"Lloyd H.","non-dropping-particle":"","parse-names":false,"suffix":""}],"container-title":"Experimental Parasitology","id":"ITEM-3","issue":"1","issued":{"date-parts":[["1997","1","1"]]},"page":"24-34","publisher":"Academic Press","title":"Neospora caninum:Role for Immune Cytokines in Host Immunity","type":"article-journal","volume":"85"},"uris":["http://www.mendeley.com/documents/?uuid=8e39aac4-5956-308a-b5fe-3f9113cce14a"]}],"mendeley":{"formattedCitation":"[18], [19], [60]","manualFormatting":"[17, 19, 50]","plainTextFormattedCitation":"[18], [19], [60]","previouslyFormattedCitation":"[18], [19], [60]"},"properties":{"noteIndex":0},"schema":"https://github.com/citation-style-language/schema/raw/master/csl-citation.json"}</w:instrText>
      </w:r>
      <w:r w:rsidR="00CD55EE" w:rsidRPr="00653243">
        <w:rPr>
          <w:rFonts w:cs="Arial"/>
          <w:color w:val="000000" w:themeColor="text1"/>
        </w:rPr>
        <w:fldChar w:fldCharType="separate"/>
      </w:r>
      <w:r w:rsidR="002600A2" w:rsidRPr="00653243">
        <w:rPr>
          <w:rFonts w:cs="Arial"/>
          <w:noProof/>
          <w:color w:val="000000" w:themeColor="text1"/>
        </w:rPr>
        <w:t xml:space="preserve">[17, 19, </w:t>
      </w:r>
      <w:r w:rsidR="00F00084" w:rsidRPr="00653243">
        <w:rPr>
          <w:rFonts w:cs="Arial"/>
          <w:noProof/>
          <w:color w:val="000000" w:themeColor="text1"/>
        </w:rPr>
        <w:t>50]</w:t>
      </w:r>
      <w:r w:rsidR="00CD55EE" w:rsidRPr="00653243">
        <w:rPr>
          <w:rFonts w:cs="Arial"/>
          <w:color w:val="000000" w:themeColor="text1"/>
        </w:rPr>
        <w:fldChar w:fldCharType="end"/>
      </w:r>
      <w:r w:rsidR="00CD55EE" w:rsidRPr="00653243">
        <w:rPr>
          <w:rFonts w:cs="Arial"/>
          <w:color w:val="000000" w:themeColor="text1"/>
        </w:rPr>
        <w:t xml:space="preserve">. </w:t>
      </w:r>
    </w:p>
    <w:p w14:paraId="2D9EC998" w14:textId="5A02C0AC" w:rsidR="00E0072B" w:rsidRPr="00A85040" w:rsidRDefault="00837897" w:rsidP="00A85040">
      <w:pPr>
        <w:rPr>
          <w:rFonts w:cs="Arial"/>
          <w:color w:val="000000" w:themeColor="text1"/>
        </w:rPr>
      </w:pPr>
      <w:r>
        <w:rPr>
          <w:rFonts w:cs="Arial"/>
          <w:color w:val="000000" w:themeColor="text1"/>
        </w:rPr>
        <w:t xml:space="preserve">The combined immunization approach used here led to the production of parasite specific IgG. Parasite-specific IgG1 titres were elevated in the serum of immunized calves, but since IgG2 titres were not measured, the IgG1/igG2 ratio could not be determined. </w:t>
      </w:r>
      <w:r w:rsidR="00501763">
        <w:rPr>
          <w:rFonts w:cs="Arial"/>
        </w:rPr>
        <w:t>Measuring the IgG2 levels in the serum should be further investigated since this immunoglobulin subclass is indicative of a Th1-type-biased immune response</w:t>
      </w:r>
      <w:r w:rsidR="0023236C">
        <w:rPr>
          <w:rFonts w:cs="Arial"/>
        </w:rPr>
        <w:t xml:space="preserve"> </w:t>
      </w:r>
      <w:r w:rsidR="0023236C">
        <w:rPr>
          <w:rFonts w:cs="Arial"/>
        </w:rPr>
        <w:fldChar w:fldCharType="begin" w:fldLock="1"/>
      </w:r>
      <w:r w:rsidR="002E7EF9">
        <w:rPr>
          <w:rFonts w:cs="Arial"/>
        </w:rPr>
        <w:instrText>ADDIN CSL_CITATION {"citationItems":[{"id":"ITEM-1","itemData":{"DOI":"10.1016/S0165-2427(02)00201-5","ISSN":"0165-2427","PMID":"12406650","abstract":"Regulation of humoral immune responses is multifactorial involving appropriate activation, costimulation and the presence of specific soluble factors. Polarized type 1 or type 2 humoral responses in the laboratory mouse have been linked to expression of specific cytokines and thus can be used to provide insight into the type of response generated by infection. For example, IFN-gamma has been linked to IgG2a and IgG3 production, IL-4 to IgG1 and IgE production and TGF-beta to IgA production. Unlike the laboratory mouse, generally housed under defined conditions, highly skewed isotype expression patterns generally occur in cattle in chronic infections. A few examples of polarized responses have been noted in chronic experimental or naturally occurring infections including F. hepatica, M. paratuberculosis, C. parvum and B. abortus. In vitro studies using purified bovine B cells and various forms of costimulation and cytokines have demonstrated that isotype responses can be polarized under certain experimental conditions in vitro. That is, IgG1 expression is positively regulated by IL-4 and IgG2 expression is positively regulated by IFN-gamma. Other as yet unidentified factors may play pivotal roles in regulating humoral immune responses in large ruminant species in vivo. This possibility is best exemplified by recent studies using DNA vaccines in cattle that have been demonstrated in the mouse to be generally polarizing to a type 1 response. Surprisingly, studies in cattle using plasmid DNA as vaccination material show an almost exclusive IgG1 response. Based on a number of studies using T cell clones and various biological assays, it is clear that the classical roles of many cytokines in the laboratory mouse do not extrapolate entirely or at all to cattle. Thus, the design of adjuvants and immune modulators should be based on studies done in cattle or using bovine cells. Based on studies to date, several \"holes\" in the cytokine repertoire exist and these roles may be assumed by unique factors or activities of other known cytokines. © 2002 Elsevier Science B.V. All rights reserved.","author":[{"dropping-particle":"","family":"Estes","given":"D. Mark","non-dropping-particle":"","parse-names":false,"suffix":""},{"dropping-particle":"","family":"Brown","given":"Wendy C.","non-dropping-particle":"","parse-names":false,"suffix":""}],"container-title":"Veterinary Immunology and Immunopathology","id":"ITEM-1","issue":"1-2","issued":{"date-parts":[["2002","11","1"]]},"page":"1-10","publisher":"Elsevier","title":"Type 1 and type 2 responses in regulation of Ig isotype expression in cattle","type":"article-journal","volume":"90"},"uris":["http://www.mendeley.com/documents/?uuid=084f473c-6584-33e2-b60a-ae66945625bb"]}],"mendeley":{"formattedCitation":"[61]","plainTextFormattedCitation":"[61]","previouslyFormattedCitation":"[61]"},"properties":{"noteIndex":0},"schema":"https://github.com/citation-style-language/schema/raw/master/csl-citation.json"}</w:instrText>
      </w:r>
      <w:r w:rsidR="0023236C">
        <w:rPr>
          <w:rFonts w:cs="Arial"/>
        </w:rPr>
        <w:fldChar w:fldCharType="separate"/>
      </w:r>
      <w:r w:rsidR="0023236C" w:rsidRPr="0023236C">
        <w:rPr>
          <w:rFonts w:cs="Arial"/>
          <w:noProof/>
        </w:rPr>
        <w:t>[61]</w:t>
      </w:r>
      <w:r w:rsidR="0023236C">
        <w:rPr>
          <w:rFonts w:cs="Arial"/>
        </w:rPr>
        <w:fldChar w:fldCharType="end"/>
      </w:r>
      <w:r w:rsidR="00501763">
        <w:rPr>
          <w:rFonts w:cs="Arial"/>
        </w:rPr>
        <w:t xml:space="preserve">. </w:t>
      </w:r>
      <w:r w:rsidR="00AA1A2D">
        <w:rPr>
          <w:rFonts w:cs="Arial"/>
        </w:rPr>
        <w:t xml:space="preserve">Although predominance of IgG2 antibodies could be anticipated because of the </w:t>
      </w:r>
      <w:r w:rsidR="00AA1A2D">
        <w:rPr>
          <w:rFonts w:cs="Arial"/>
          <w:color w:val="000000" w:themeColor="text1"/>
        </w:rPr>
        <w:t xml:space="preserve">adjuvants used here, </w:t>
      </w:r>
      <w:r w:rsidR="00AA1A2D" w:rsidRPr="00653243">
        <w:rPr>
          <w:rFonts w:cs="Arial"/>
          <w:color w:val="000000" w:themeColor="text1"/>
        </w:rPr>
        <w:t>CpG and resiquimod (R848)</w:t>
      </w:r>
      <w:r w:rsidR="00AA1A2D">
        <w:rPr>
          <w:rFonts w:cs="Arial"/>
          <w:color w:val="000000" w:themeColor="text1"/>
        </w:rPr>
        <w:t>,</w:t>
      </w:r>
      <w:r w:rsidR="00AA1A2D" w:rsidRPr="00653243">
        <w:rPr>
          <w:rFonts w:cs="Arial"/>
          <w:color w:val="000000" w:themeColor="text1"/>
        </w:rPr>
        <w:t xml:space="preserve"> </w:t>
      </w:r>
      <w:r w:rsidR="00AA1A2D">
        <w:rPr>
          <w:rFonts w:cs="Arial"/>
          <w:color w:val="000000" w:themeColor="text1"/>
        </w:rPr>
        <w:t xml:space="preserve">that </w:t>
      </w:r>
      <w:r w:rsidR="00AA1A2D" w:rsidRPr="00653243">
        <w:rPr>
          <w:rFonts w:cs="Arial"/>
          <w:color w:val="000000" w:themeColor="text1"/>
        </w:rPr>
        <w:t xml:space="preserve">are </w:t>
      </w:r>
      <w:r w:rsidR="00AA1A2D">
        <w:rPr>
          <w:rFonts w:cs="Arial"/>
          <w:color w:val="000000" w:themeColor="text1"/>
        </w:rPr>
        <w:t xml:space="preserve">known to </w:t>
      </w:r>
      <w:r w:rsidR="00AA1A2D" w:rsidRPr="00653243">
        <w:rPr>
          <w:rFonts w:cs="Arial"/>
          <w:color w:val="000000" w:themeColor="text1"/>
        </w:rPr>
        <w:t xml:space="preserve">skew the immune response towards a Th1-type response </w:t>
      </w:r>
      <w:r w:rsidR="00AA1A2D" w:rsidRPr="00653243">
        <w:rPr>
          <w:rFonts w:cs="Arial"/>
          <w:color w:val="000000" w:themeColor="text1"/>
        </w:rPr>
        <w:fldChar w:fldCharType="begin" w:fldLock="1"/>
      </w:r>
      <w:r w:rsidR="0023236C">
        <w:rPr>
          <w:rFonts w:cs="Arial"/>
          <w:color w:val="000000" w:themeColor="text1"/>
        </w:rPr>
        <w:instrText>ADDIN CSL_CITATION {"citationItems":[{"id":"ITEM-1","itemData":{"DOI":"10.1586/14760584.6.5.835","ISSN":"14760584","PMID":"17931162","abstract":"Synthetic immune response modifiers, such as resiquimod, are Toll-like receptor 7 and 8 agonists that act as vaccine adjuvants, enhancing antigen-specific antibody production and skewing immunity t...","author":[{"dropping-particle":"","family":"Tomai","given":"Mark A.","non-dropping-particle":"","parse-names":false,"suffix":""},{"dropping-particle":"","family":"Miller","given":"Richard L.","non-dropping-particle":"","parse-names":false,"suffix":""},{"dropping-particle":"","family":"Lipson","given":"Kenneth E.","non-dropping-particle":"","parse-names":false,"suffix":""},{"dropping-particle":"","family":"Kieper","given":"William C.","non-dropping-particle":"","parse-names":false,"suffix":""},{"dropping-particle":"","family":"Zarraga","given":"Isidro E.","non-dropping-particle":"","parse-names":false,"suffix":""},{"dropping-particle":"","family":"Vasilakos","given":"John P.","non-dropping-particle":"","parse-names":false,"suffix":""}],"container-title":"https://doi.org/10.1586/14760584.6.5.835","id":"ITEM-1","issue":"5","issued":{"date-parts":[["2014","10"]]},"page":"835-847","publisher":"Taylor &amp; Francis","title":"Resiquimod and other immune response modifiers as vaccine adjuvants","type":"article-journal","volume":"6"},"uris":["http://www.mendeley.com/documents/?uuid=1a4a0670-9cbb-32c0-a1eb-c6cc9edc9e02"]},{"id":"ITEM-2","itemData":{"DOI":"10.1586/erv.10.174","ISSN":"1476-0584","abstract":"Synthetic oligodeoxynucleotides (ODNs) containing unmethylated CpG motifs trigger cells that express Toll-like receptor 9 (including human plasmacytoid dendritic cells and B cells) to mount an innate immune response characterized by the production of Th1 and proinflammatory cytokines. When used as vaccine adjuvants, CpG ODNs improve the function of professional antigen-presenting cells and boost the generation of humoral and cellular vaccine-specific immune responses. These effects are optimized by maintaining ODNs and vaccine in close proximity. The adjuvant properties of CpG ODNs are observed when administered either systemically or mucosally, and persist in immunocompromised hosts. Preclinical studies indicate that CpG ODNs improve the activity of vaccines targeting infectious diseases and cancer. Clinical trials demonstrate that CpG ODNs have a good safety profile and increase the immunogenicity of coadministered vaccines.","author":[{"dropping-particle":"","family":"Bode","given":"Christian","non-dropping-particle":"","parse-names":false,"suffix":""},{"dropping-particle":"","family":"Zhao","given":"Gan","non-dropping-particle":"","parse-names":false,"suffix":""},{"dropping-particle":"","family":"Steinhagen","given":"Folkert","non-dropping-particle":"","parse-names":false,"suffix":""},{"dropping-particle":"","family":"Kinjo","given":"Takeshi","non-dropping-particle":"","parse-names":false,"suffix":""},{"dropping-particle":"","family":"Klinman","given":"Dennis M","non-dropping-particle":"","parse-names":false,"suffix":""}],"container-title":"Expert Review of Vaccines","id":"ITEM-2","issue":"4","issued":{"date-parts":[["2011","4","9"]]},"page":"499-511","title":"CpG DNA as a vaccine adjuvant","type":"article-journal","volume":"10"},"uris":["http://www.mendeley.com/documents/?uuid=34966ed3-f5df-372d-8da0-142cc26c2cb7"]}],"mendeley":{"formattedCitation":"[46], [47]","manualFormatting":"[37, 38]","plainTextFormattedCitation":"[46], [47]","previouslyFormattedCitation":"[46], [47]"},"properties":{"noteIndex":0},"schema":"https://github.com/citation-style-language/schema/raw/master/csl-citation.json"}</w:instrText>
      </w:r>
      <w:r w:rsidR="00AA1A2D" w:rsidRPr="00653243">
        <w:rPr>
          <w:rFonts w:cs="Arial"/>
          <w:color w:val="000000" w:themeColor="text1"/>
        </w:rPr>
        <w:fldChar w:fldCharType="separate"/>
      </w:r>
      <w:r w:rsidR="00AA1A2D" w:rsidRPr="00653243">
        <w:rPr>
          <w:rFonts w:cs="Arial"/>
          <w:noProof/>
          <w:color w:val="000000" w:themeColor="text1"/>
        </w:rPr>
        <w:t>[37, 38]</w:t>
      </w:r>
      <w:r w:rsidR="00AA1A2D" w:rsidRPr="00653243">
        <w:rPr>
          <w:rFonts w:cs="Arial"/>
          <w:color w:val="000000" w:themeColor="text1"/>
        </w:rPr>
        <w:fldChar w:fldCharType="end"/>
      </w:r>
      <w:r w:rsidR="005B27CA">
        <w:rPr>
          <w:rFonts w:cs="Arial"/>
          <w:color w:val="000000" w:themeColor="text1"/>
        </w:rPr>
        <w:t>, t</w:t>
      </w:r>
      <w:r w:rsidR="00AA1A2D">
        <w:rPr>
          <w:rFonts w:cs="Arial"/>
        </w:rPr>
        <w:t>he combination of intranasal immunization with the Carbigen</w:t>
      </w:r>
      <w:r w:rsidR="00AA1A2D">
        <w:rPr>
          <w:rFonts w:cs="Arial"/>
          <w:vertAlign w:val="superscript"/>
        </w:rPr>
        <w:t>TM</w:t>
      </w:r>
      <w:r w:rsidR="00AA1A2D">
        <w:rPr>
          <w:rFonts w:cs="Arial"/>
        </w:rPr>
        <w:t xml:space="preserve"> adjuvant </w:t>
      </w:r>
      <w:r w:rsidR="005B27CA">
        <w:rPr>
          <w:rFonts w:cs="Arial"/>
        </w:rPr>
        <w:t xml:space="preserve">could have promoted a </w:t>
      </w:r>
      <w:r w:rsidR="0039518F">
        <w:rPr>
          <w:rFonts w:cs="Arial"/>
        </w:rPr>
        <w:t>mixed</w:t>
      </w:r>
      <w:r w:rsidR="005B27CA">
        <w:rPr>
          <w:rFonts w:cs="Arial"/>
        </w:rPr>
        <w:t xml:space="preserve"> response</w:t>
      </w:r>
      <w:r w:rsidR="00AA1A2D">
        <w:rPr>
          <w:rFonts w:cs="Arial"/>
        </w:rPr>
        <w:t xml:space="preserve"> </w:t>
      </w:r>
      <w:r w:rsidR="00AA1A2D">
        <w:rPr>
          <w:rFonts w:cs="Arial"/>
        </w:rPr>
        <w:fldChar w:fldCharType="begin" w:fldLock="1"/>
      </w:r>
      <w:r w:rsidR="002E7EF9">
        <w:rPr>
          <w:rFonts w:cs="Arial"/>
        </w:rPr>
        <w:instrText>ADDIN CSL_CITATION {"citationItems":[{"id":"ITEM-1","itemData":{"DOI":"10.29155/VET.57.216.4","ISSN":"1688-4809","abstract":"Resumen La Queratoconjuntivitis Infecciosa Bovina (QIB) es una en-fermedad ocular grave que afecta frecuentemente al ganado y que tiene un impacto económico significativo mundialmente. Los agentes etiológicos asociados a la QIB son principalmente Moraxella bovis y Moraxella bovoculi. El problema sanitario originado por la QIB ha llevado a procurar desarrollar vacunas efectivas para prevenir la enfermedad. La proteína de membrana externa CD (Omp-CD), ha exhibido potencial como antígeno protector en especies relacionadas como Moraxella catharralis. El objetivo de este estudio fue producir una proteína recombi-nante OmpCD de M. bovis y evaluar su inmunogenicidad en ratones CD-1. El gen ompCD se amplificó en todas las cepas de M. bovis y M. bovoculi estudiadas, y el alineamiento de se-cuencias reveló regiones altamente conservadas. La reactividad de OmpCD recombinante de M. bovis se observó cuando se utilizaron sueros y lágrimas de bovinos enfermos por Western blot. Se inmunizaron ratones CD-1 y se analizó la respuesta de anticuerpos en suero y líquido de lavado broncoalveolar (BAL). También se determinaron los niveles de citoquinas en el líquido del BAL. Los ensayos en ratones permitieron demostrar que la OmpCD administrada sistémicamente inducía un aumento sig-nificativo de anticuerpos específicos IgG en suero mientras que la inmunización intranasal inducía un aumento significativo de los niveles de IgA e IL-4 en el BAL. Además, la combinación de OmpCD y un adyuvante de mucosas aumentaron significativa-mente la respuesta de IgA en BAL. Estos resultados estimulan la realización de estudios adicionales para evaluar el papel de OmpCD como posible candidato a vacuna contra QIB, utilizan-do modelos de desafío en bovinos. Palabras clave: Queratoconjuntivitis infecciosa bovina, Moraxella bovis, Proteína de Membrana Externa CD, Vacuna. Outer membrane protein CD of Moraxella bovis as a potential immunogen against infectious bovine keratoconjunctivitis Recibido:08/02/2021 Aceptado: 30/07/2021 Proteína de membrana externa CD de Moraxella bovis como antígeno potencial contra la queratoconjuntivitis infecciosa bovina Abstract Infectious bovine keratoconjunctivitis (IBK) is a severe ocular disease that affects cattle and has a significant economic impact worldwide. The principal etiological agent of IBK is Moraxella bovis. Another species, Moraxella bovoculi, has also been reported as a possible etiological agent. Due to the health problems caused by IBK, it is necessa…","author":[{"dropping-particle":"","family":"Acquistapace","given":"Sofía","non-dropping-particle":"","parse-names":false,"suffix":""},{"dropping-particle":"","family":"Umpiérrez","given":"Ana","non-dropping-particle":"","parse-names":false,"suffix":""},{"dropping-particle":"","family":"Fernández-Ciganda","given":"Sofía","non-dropping-particle":"","parse-names":false,"suffix":""},{"dropping-particle":"","family":"Sotelo-Silveira","given":"José","non-dropping-particle":"","parse-names":false,"suffix":""},{"dropping-particle":"","family":"Zunino","given":"Pablo","non-dropping-particle":"","parse-names":false,"suffix":""},{"dropping-particle":"","family":"Acquistapace","given":"Sofía","non-dropping-particle":"","parse-names":false,"suffix":""},{"dropping-particle":"","family":"Umpiérrez","given":"Ana","non-dropping-particle":"","parse-names":false,"suffix":""},{"dropping-particle":"","family":"Fernández-Ciganda","given":"Sofía","non-dropping-particle":"","parse-names":false,"suffix":""},{"dropping-particle":"","family":"Sotelo-Silveira","given":"José","non-dropping-particle":"","parse-names":false,"suffix":""},{"dropping-particle":"","family":"Zunino","given":"Pablo","non-dropping-particle":"","parse-names":false,"suffix":""}],"container-title":"Veterinaria (Montevideo)","id":"ITEM-1","issue":"216","issued":{"date-parts":[["2021","10","1"]]},"publisher":"Sociedad de Medicina Veterinaria del Uruguay","title":"Outer membrane protein CD of Moraxella bovis as a potential immunogen against infectious bovine keratoconjunctivitis","type":"article-journal","volume":"57"},"uris":["http://www.mendeley.com/documents/?uuid=02326aa6-e180-3ca1-b270-9c55c76722d6"]},{"id":"ITEM-2","itemData":{"DOI":"10.1016/J.VACCINE.2012.08.028","ISSN":"1873-2518","PMID":"22975025","abstract":"Periodontal disease, gingival inflammation (gingivitis) and periodontal attachment loss (periodontitis), causes tooth loss and susceptibility to chronic inflammation. Professionally scaling and cleaning the teeth regularly controls the disease, but is expensive in companion animals. Eikenella corrodens is common in canine oral cavities where it is a source of lysine decarboxylase (LDC). In human dental biofilms (plaques), LDC converts lysine to cadaverine and impairs the gingival epithelial barrier to bacteria. LDC vaccination may therefore retard gingivitis development. Year-old beagle dogs provided blood samples, and had weight and clinical measurements (biofilm and gingivitis) recorded. After scaling and cleaning, two dogs were immunized subcutaneously with 0.2mg native LDC from E. corrodens and 2 sets of four dogs with 0.2mg recombinant LDC purified from Escherichia coli. A third set of 4 dogs was immunized intranasally. Rehydragel®, Emulsigen®, Polygen™ or Carbigen™ were used as adjuvant. Four additional pairs of dogs were sham-immunized with each adjuvant alone (controls). Immunizations were repeated twice, 3 weeks apart, and clinical measurements were obtained after another 2 weeks, when the teeth were scaled and cleaned again. Tooth brushing was then stopped and the diet was changed from hard to soft chow. Clinical measurements were repeated after 1, 2, 3, 4, 6 and 8 weeks. Compared with sham-immunized dogs, gingivitis was reduced over all 8 weeks of soft diet after subcutaneous immunization with native LDC, or after intranasal immunization with recombinant LDC in Carbigen™, but for only 6 of the 8 weeks after subcutaneous immunization with recombinant LDC in Emulsigen® (repeated measures ANOVA). Subcutaneous vaccination induced a strong serum IgG antibody response that decreased during the soft diet period, whereas intranasal immunization induced a weak serum IgA antibody response that did not decrease. Immunization with recombinant LDC may provide protection from gingivitis if procedures are optimized. © 2012 Elsevier Ltd.","author":[{"dropping-particle":"","family":"Peters","given":"Jennifer L.","non-dropping-particle":"","parse-names":false,"suffix":""},{"dropping-particle":"","family":"DeMars","given":"Paul L.","non-dropping-particle":"","parse-names":false,"suffix":""},{"dropping-particle":"","family":"Collins","given":"Lindsay M.","non-dropping-particle":"","parse-names":false,"suffix":""},{"dropping-particle":"","family":"Stoner","given":"Julie A.","non-dropping-particle":"","parse-names":false,"suffix":""},{"dropping-particle":"","family":"Matsumoto","given":"Hiroyuki","non-dropping-particle":"","parse-names":false,"suffix":""},{"dropping-particle":"","family":"Komori","given":"Naoka","non-dropping-particle":"","parse-names":false,"suffix":""},{"dropping-particle":"","family":"Singh","given":"Anil","non-dropping-particle":"","parse-names":false,"suffix":""},{"dropping-particle":"","family":"Feasley","given":"Christa L.","non-dropping-particle":"","parse-names":false,"suffix":""},{"dropping-particle":"","family":"Haddock","given":"James A.","non-dropping-particle":"","parse-names":false,"suffix":""},{"dropping-particle":"","family":"Levine","given":"Martin","non-dropping-particle":"","parse-names":false,"suffix":""}],"container-title":"Vaccine","id":"ITEM-2","issue":"47","issued":{"date-parts":[["2012","10","19"]]},"page":"6706-6712","publisher":"Vaccine","title":"Effects of immunization with natural and recombinant lysine decarboxylase on canine gingivitis development","type":"article-journal","volume":"30"},"uris":["http://www.mendeley.com/documents/?uuid=ca7ab2f6-ff92-3938-9868-8ec66acc205c"]}],"mendeley":{"formattedCitation":"[49], [62]","manualFormatting":"[12, 40, 54]","plainTextFormattedCitation":"[49], [62]","previouslyFormattedCitation":"[49], [62]"},"properties":{"noteIndex":0},"schema":"https://github.com/citation-style-language/schema/raw/master/csl-citation.json"}</w:instrText>
      </w:r>
      <w:r w:rsidR="00AA1A2D">
        <w:rPr>
          <w:rFonts w:cs="Arial"/>
        </w:rPr>
        <w:fldChar w:fldCharType="separate"/>
      </w:r>
      <w:r w:rsidR="00AA1A2D">
        <w:rPr>
          <w:rFonts w:cs="Arial"/>
          <w:noProof/>
        </w:rPr>
        <w:t>[</w:t>
      </w:r>
      <w:r w:rsidR="005B27CA" w:rsidRPr="000C71A6">
        <w:rPr>
          <w:rFonts w:cs="Arial"/>
          <w:noProof/>
        </w:rPr>
        <w:fldChar w:fldCharType="begin" w:fldLock="1"/>
      </w:r>
      <w:r w:rsidR="004A4DFA">
        <w:rPr>
          <w:rFonts w:cs="Arial"/>
          <w:noProof/>
        </w:rPr>
        <w:instrText>ADDIN CSL_CITATION {"citationItems":[{"id":"ITEM-1","itemData":{"DOI":"10.1371/journal.pone.0268903","ISSN":"1932-6203","PMID":"35604902","abstract":"Background","author":[{"dropping-particle":"","family":"Nayeri","given":"Tooran","non-dropping-particle":"","parse-names":false,"suffix":""},{"dropping-particle":"","family":"Moosazadeh","given":"Mahmood","non-dropping-particle":"","parse-names":false,"suffix":""},{"dropping-particle":"","family":"Sarvi","given":"Shahabeddin","non-dropping-particle":"","parse-names":false,"suffix":""},{"dropping-particle":"","family":"Daryani","given":"Ahmad","non-dropping-particle":"","parse-names":false,"suffix":""}],"container-title":"PLOS ONE","editor":[{"dropping-particle":"","family":"Rosenthal","given":"Benjamin M.","non-dropping-particle":"","parse-names":false,"suffix":""}],"id":"ITEM-1","issue":"5","issued":{"date-parts":[["2022","5","23"]]},"page":"e0268903","publisher":"PLoS One","title":"Neospora caninum infection in aborting bovines and lost fetuses: A systematic review and meta-analysis","type":"article-journal","volume":"17"},"uris":["http://www.mendeley.com/documents/?uuid=213fcfe5-2cf2-3ed1-986b-a5773735de14"]},{"id":"ITEM-2","itemData":{"DOI":"10.1186/1297-9716-44-69","ISSN":"1297-9716","abstract":"The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Research","id":"ITEM-2","issue":"1","issued":{"date-parts":[["2013","12","10"]]},"page":"69","title":"Mucosal and systemic T cell response in mice intragastrically infected with Neospora caninum tachyzoites","type":"article-journal","volume":"44"},"uris":["http://www.mendeley.com/documents/?uuid=19882f4e-bdad-3bfb-8938-a1dba45db020"]}],"mendeley":{"formattedCitation":"[1], [13]","manualFormatting":"12,","plainTextFormattedCitation":"[1], [13]","previouslyFormattedCitation":"[1], [13]"},"properties":{"noteIndex":0},"schema":"https://github.com/citation-style-language/schema/raw/master/csl-citation.json"}</w:instrText>
      </w:r>
      <w:r w:rsidR="005B27CA" w:rsidRPr="000C71A6">
        <w:rPr>
          <w:rFonts w:cs="Arial"/>
          <w:noProof/>
        </w:rPr>
        <w:fldChar w:fldCharType="separate"/>
      </w:r>
      <w:r w:rsidR="005B27CA" w:rsidRPr="00F00084">
        <w:rPr>
          <w:rFonts w:cs="Arial"/>
          <w:noProof/>
        </w:rPr>
        <w:t>12</w:t>
      </w:r>
      <w:r w:rsidR="005B27CA">
        <w:rPr>
          <w:rFonts w:cs="Arial"/>
          <w:noProof/>
        </w:rPr>
        <w:t>,</w:t>
      </w:r>
      <w:r w:rsidR="005B27CA" w:rsidRPr="000C71A6">
        <w:rPr>
          <w:rFonts w:cs="Arial"/>
          <w:noProof/>
        </w:rPr>
        <w:fldChar w:fldCharType="end"/>
      </w:r>
      <w:r w:rsidR="005B27CA">
        <w:rPr>
          <w:rFonts w:cs="Arial"/>
          <w:noProof/>
        </w:rPr>
        <w:t xml:space="preserve"> </w:t>
      </w:r>
      <w:r w:rsidR="00AA1A2D">
        <w:rPr>
          <w:rFonts w:cs="Arial"/>
          <w:noProof/>
        </w:rPr>
        <w:t xml:space="preserve">40, </w:t>
      </w:r>
      <w:r w:rsidR="00AA1A2D" w:rsidRPr="00F00084">
        <w:rPr>
          <w:rFonts w:cs="Arial"/>
          <w:noProof/>
        </w:rPr>
        <w:t>54]</w:t>
      </w:r>
      <w:r w:rsidR="00AA1A2D">
        <w:rPr>
          <w:rFonts w:cs="Arial"/>
        </w:rPr>
        <w:fldChar w:fldCharType="end"/>
      </w:r>
      <w:r w:rsidR="00AA1A2D">
        <w:rPr>
          <w:rFonts w:cs="Arial"/>
        </w:rPr>
        <w:t>.</w:t>
      </w:r>
      <w:r w:rsidR="005B27CA">
        <w:rPr>
          <w:rFonts w:cs="Arial"/>
        </w:rPr>
        <w:t xml:space="preserve"> </w:t>
      </w:r>
      <w:r w:rsidR="0039518F">
        <w:rPr>
          <w:rFonts w:cs="Arial"/>
          <w:color w:val="000000" w:themeColor="text1"/>
        </w:rPr>
        <w:t>Nevertheless, i</w:t>
      </w:r>
      <w:r w:rsidR="00F40015">
        <w:rPr>
          <w:rFonts w:cs="Arial"/>
          <w:color w:val="000000" w:themeColor="text1"/>
        </w:rPr>
        <w:t xml:space="preserve">n response to vaccination, </w:t>
      </w:r>
      <w:r>
        <w:rPr>
          <w:rFonts w:cs="Arial"/>
          <w:color w:val="000000" w:themeColor="text1"/>
        </w:rPr>
        <w:t xml:space="preserve">IgG1 </w:t>
      </w:r>
      <w:r w:rsidR="00501763">
        <w:rPr>
          <w:rFonts w:cs="Arial"/>
          <w:color w:val="000000" w:themeColor="text1"/>
        </w:rPr>
        <w:t>wa</w:t>
      </w:r>
      <w:r>
        <w:rPr>
          <w:rFonts w:cs="Arial"/>
          <w:color w:val="000000" w:themeColor="text1"/>
        </w:rPr>
        <w:t xml:space="preserve">s commonly </w:t>
      </w:r>
      <w:r w:rsidR="00F40015">
        <w:rPr>
          <w:rFonts w:cs="Arial"/>
          <w:color w:val="000000" w:themeColor="text1"/>
        </w:rPr>
        <w:t xml:space="preserve">produced </w:t>
      </w:r>
      <w:r w:rsidR="00501763">
        <w:rPr>
          <w:rFonts w:cs="Arial"/>
          <w:color w:val="000000" w:themeColor="text1"/>
        </w:rPr>
        <w:t xml:space="preserve">at high levels </w:t>
      </w:r>
      <w:r w:rsidR="00F40015">
        <w:rPr>
          <w:rFonts w:cs="Arial"/>
          <w:color w:val="000000" w:themeColor="text1"/>
        </w:rPr>
        <w:t>in cattle, even when a Th1-type adjuvant, such as Complete Freund’s adjuvant was used</w:t>
      </w:r>
      <w:r w:rsidR="002E7EF9">
        <w:rPr>
          <w:rFonts w:cs="Arial"/>
          <w:color w:val="000000" w:themeColor="text1"/>
        </w:rPr>
        <w:t xml:space="preserve"> </w:t>
      </w:r>
      <w:r w:rsidR="002E7EF9">
        <w:rPr>
          <w:rFonts w:cs="Arial"/>
          <w:color w:val="000000" w:themeColor="text1"/>
        </w:rPr>
        <w:fldChar w:fldCharType="begin" w:fldLock="1"/>
      </w:r>
      <w:r w:rsidR="002E7EF9">
        <w:rPr>
          <w:rFonts w:cs="Arial"/>
          <w:color w:val="000000" w:themeColor="text1"/>
        </w:rPr>
        <w:instrText>ADDIN CSL_CITATION {"citationItems":[{"id":"ITEM-1","itemData":{"DOI":"10.1128/CVI.00436-07/ASSET/9E86F924-2941-40C5-B67A-5FD800D61308/ASSETS/GRAPHIC/ZCD0040832300004.JPEG","ISSN":"15566811","PMID":"18305105","abstract":"Infection of cattle with Neospora caninum protozoa, the causative agent of bovine protozoal abortion, results in robust cellular and humoral immune responses, particularly CD4+ T-lymphocyte activation and gamma interferon (IFN-γ) secretion. In the present study, N. caninum SRS2 (NcSRS2) T-lymphocyte-epitope-bearing subunits were incorporated into DNA and peptide preparations to assess CD4+ cell proliferation and IFN-γ T-lymphocyte-secretion immune responses in cattle with predetermined major histocompatibility complex (MHC) genotypes. In order to optimize dendritic-cell processing, NcSRS2 DNA vaccine was delivered with granulocyte macrophage-colony-stimulating factor and Flt3 ligand adjuvant. The synthesized NcSRS2 peptides were coupled with a palmitic acid molecule (lipopeptide) and delivered with Freund's adjuvant. Cattle vaccinated with NcSRS2 DNA vaccine alone did not induce T-lymphocyte activation or IFN-γ secretion, whereas subsequent booster inoculation with NcSRS2-lipopeptides induced robust NcSRS2-specific immune responses. Compared to the response in control animals, NcSRS2-lipopeptide-immunized cattle had significantly increased NcSRS2-specific T-lymphocyte proliferation, numbers of IFN-γ-secreting peripheral blood mononuclear cells, and immunoglobulin G1 (IgG1) and IgG2a antibody levels. The findings show that N. caninum NcSRS2 subunits bearing T-lymphocyte epitopes induced cell-mediated immune responses similar to the protective immune responses previously described against live parasite infection, namely T-lymphocyte activation and IFN-γ secretion. The findings support the investigation of NcSRS2 immunogens for protection against N. caninum-induced fetal infection and abortion in cattle. Copyright © 2008, American Society for Microbiology. All Rights Reserved.","author":[{"dropping-particle":"V.","family":"Baszler","given":"Timothy","non-dropping-particle":"","parse-names":false,"suffix":""},{"dropping-particle":"","family":"Shkap","given":"Varda","non-dropping-particle":"","parse-names":false,"suffix":""},{"dropping-particle":"","family":"Mwangi","given":"Waithaka","non-dropping-particle":"","parse-names":false,"suffix":""},{"dropping-particle":"","family":"Davies","given":"Christopher J.","non-dropping-particle":"","parse-names":false,"suffix":""},{"dropping-particle":"","family":"Mathison","given":"Bruce A.","non-dropping-particle":"","parse-names":false,"suffix":""},{"dropping-particle":"","family":"Mazuz","given":"Monica","non-dropping-particle":"","parse-names":false,"suffix":""},{"dropping-particle":"","family":"Resnikov","given":"Dror","non-dropping-particle":"","parse-names":false,"suffix":""},{"dropping-particle":"","family":"Fish","given":"Lea","non-dropping-particle":"","parse-names":false,"suffix":""},{"dropping-particle":"","family":"Leibovitch","given":"Benjamin","non-dropping-particle":"","parse-names":false,"suffix":""},{"dropping-particle":"","family":"Staska","given":"Lauren M.","non-dropping-particle":"","parse-names":false,"suffix":""},{"dropping-particle":"","family":"Savitsky","given":"Igor","non-dropping-particle":"","parse-names":false,"suffix":""}],"container-title":"Clinical and Vaccine Immunology","id":"ITEM-1","issue":"4","issued":{"date-parts":[["2008","4"]]},"page":"659-667","publisher":"\nAmerican Society for Microbiology\n","title":"Bovine immune response to inoculation with Neospora caninum surface antigen SRS2 lipopeptides mimics immune response to infection with live parasites","type":"article-journal","volume":"15"},"uris":["http://www.mendeley.com/documents/?uuid=d1f690fb-3d9f-334b-aa2a-4b5ce51f641e"]}],"mendeley":{"formattedCitation":"[63]","plainTextFormattedCitation":"[63]","previouslyFormattedCitation":"[63]"},"properties":{"noteIndex":0},"schema":"https://github.com/citation-style-language/schema/raw/master/csl-citation.json"}</w:instrText>
      </w:r>
      <w:r w:rsidR="002E7EF9">
        <w:rPr>
          <w:rFonts w:cs="Arial"/>
          <w:color w:val="000000" w:themeColor="text1"/>
        </w:rPr>
        <w:fldChar w:fldCharType="separate"/>
      </w:r>
      <w:r w:rsidR="002E7EF9" w:rsidRPr="002E7EF9">
        <w:rPr>
          <w:rFonts w:cs="Arial"/>
          <w:noProof/>
          <w:color w:val="000000" w:themeColor="text1"/>
        </w:rPr>
        <w:t>[63]</w:t>
      </w:r>
      <w:r w:rsidR="002E7EF9">
        <w:rPr>
          <w:rFonts w:cs="Arial"/>
          <w:color w:val="000000" w:themeColor="text1"/>
        </w:rPr>
        <w:fldChar w:fldCharType="end"/>
      </w:r>
      <w:r w:rsidR="00F40015">
        <w:rPr>
          <w:rFonts w:cs="Arial"/>
          <w:color w:val="000000" w:themeColor="text1"/>
        </w:rPr>
        <w:t xml:space="preserve">. </w:t>
      </w:r>
      <w:r w:rsidR="00E0072B">
        <w:rPr>
          <w:rFonts w:cs="Arial"/>
        </w:rPr>
        <w:t>Since infection was not performed orally, but subcutaneous and intravenously with tachyzoites</w:t>
      </w:r>
      <w:r w:rsidR="000552B6">
        <w:rPr>
          <w:rFonts w:cs="Arial"/>
        </w:rPr>
        <w:t>,</w:t>
      </w:r>
      <w:r w:rsidR="00E0072B">
        <w:rPr>
          <w:rFonts w:cs="Arial"/>
        </w:rPr>
        <w:t xml:space="preserve"> due to the difficulty in obtaining oocysts, the mucosal response is not relevant here. </w:t>
      </w:r>
      <w:r w:rsidR="00A85040">
        <w:rPr>
          <w:rFonts w:cs="Arial"/>
        </w:rPr>
        <w:t>S</w:t>
      </w:r>
      <w:r w:rsidR="00E0072B">
        <w:rPr>
          <w:rFonts w:cs="Arial"/>
        </w:rPr>
        <w:t xml:space="preserve">aliva was collected from immunized and control animals, </w:t>
      </w:r>
      <w:r w:rsidR="00A85040">
        <w:rPr>
          <w:rFonts w:cs="Arial"/>
        </w:rPr>
        <w:t xml:space="preserve">but </w:t>
      </w:r>
      <w:r w:rsidR="00E0072B">
        <w:rPr>
          <w:rFonts w:cs="Arial"/>
        </w:rPr>
        <w:t xml:space="preserve">mucosal antibodies were not evaluated. </w:t>
      </w:r>
      <w:r w:rsidR="00A85040">
        <w:rPr>
          <w:rFonts w:cs="Arial"/>
        </w:rPr>
        <w:t>M</w:t>
      </w:r>
      <w:r w:rsidR="00E0072B">
        <w:rPr>
          <w:rFonts w:cs="Arial"/>
        </w:rPr>
        <w:t xml:space="preserve">easurement of IgA antibodies would be interesting to determine if this immunization strategy </w:t>
      </w:r>
      <w:r w:rsidR="00943A30">
        <w:rPr>
          <w:rFonts w:cs="Arial"/>
        </w:rPr>
        <w:t xml:space="preserve">also </w:t>
      </w:r>
      <w:r w:rsidR="00E0072B">
        <w:rPr>
          <w:rFonts w:cs="Arial"/>
        </w:rPr>
        <w:t xml:space="preserve">induced </w:t>
      </w:r>
      <w:r w:rsidR="00943A30">
        <w:rPr>
          <w:rFonts w:cs="Arial"/>
        </w:rPr>
        <w:t xml:space="preserve">a </w:t>
      </w:r>
      <w:r w:rsidR="00E0072B">
        <w:rPr>
          <w:rFonts w:cs="Arial"/>
        </w:rPr>
        <w:t xml:space="preserve">mucosal </w:t>
      </w:r>
      <w:r w:rsidR="00943A30">
        <w:rPr>
          <w:rFonts w:cs="Arial"/>
        </w:rPr>
        <w:t xml:space="preserve">specific humoral response. It would also be interesting to incubate </w:t>
      </w:r>
      <w:r w:rsidR="00943A30" w:rsidRPr="00943A30">
        <w:rPr>
          <w:rFonts w:cs="Arial"/>
          <w:i/>
          <w:iCs/>
        </w:rPr>
        <w:t>N. caninum</w:t>
      </w:r>
      <w:r w:rsidR="00943A30">
        <w:rPr>
          <w:rFonts w:cs="Arial"/>
        </w:rPr>
        <w:t xml:space="preserve"> tachyzoites with IgA from immunized and control cattle and evaluate parasite agglutination and parasite entry into enterocytes upon IgA treatment, as done in mice</w:t>
      </w:r>
      <w:r w:rsidR="00E0072B">
        <w:rPr>
          <w:rFonts w:cs="Arial"/>
        </w:rPr>
        <w:t xml:space="preserve"> </w:t>
      </w:r>
      <w:r w:rsidR="00E0072B">
        <w:rPr>
          <w:rFonts w:cs="Arial"/>
        </w:rPr>
        <w:fldChar w:fldCharType="begin" w:fldLock="1"/>
      </w:r>
      <w:r w:rsidR="00207072">
        <w:rPr>
          <w:rFonts w:cs="Arial"/>
        </w:rPr>
        <w:instrText>ADDIN CSL_CITATION {"citationItems":[{"id":"ITEM-1","itemData":{"DOI":"10.1016/j.vaccine.2016.10.056","ISSN":"0264410X","PMID":"27814932","abstract":"Neospora caninum is an obligate intracellular protozoan parasite responsible for heavy economic losses in dairy and beef cattle farms worldwide. Although vaccination is widely regarded as the preferable strategy to prevent neosporosis no commercial vaccine is currently available. We have previously shown that intranasal immunization with an N. caninum antigen extract enriched in hydrophobic proteins plus CpG adjuvant protected mice against intragastrically established neosporosis. Nevertheless, the antigen specificity as well as the long-term protective effect of this immunization strategy were not determined. Here, we show that the protective effect of this intranasal immunization procedure lasted for at least 20 weeks. Protection was accompanied by long-lasting elevated levels of parasite-specific serum IgG and intestinal IgA. Moreover, spleen and mesenteric lymph node cells obtained from non-infected long-term immunized mice responded by producing interferon-γ following in vitro parasite-antigen recall. Analysis of serum IgG and intestinal IgA antibody reactivity in immunized mice identified dense granule antigen 7 (NcGRA7) and microneme associated protein 1 (NcMIC1) as immunodominant antigens respectively recognized by those antibody fractions. In summary, this work shows that a previously reported mucosal immunization strategy against N. caninum infection established through the gastrointestinal tract is effective in the long term.","author":[{"dropping-particle":"","family":"Ferreirinha","given":"Pedro","non-dropping-particle":"","parse-names":false,"suffix":""},{"dropping-particle":"","family":"Correia","given":"Alexandra","non-dropping-particle":"","parse-names":false,"suffix":""},{"dropping-particle":"","family":"Teixeira-Coelho","given":"Maria","non-dropping-particle":"","parse-names":false,"suffix":""},{"dropping-particle":"","family":"Osório","given":"Hug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accine","id":"ITEM-1","issue":"50","issued":{"date-parts":[["2016","12","7"]]},"page":"6250-6258","publisher":"Elsevier","title":"Mucosal immunization confers long-term protection against intragastrically established Neospora caninum infection","type":"article-journal","volume":"34"},"uris":["http://www.mendeley.com/documents/?uuid=347fba2f-7f3f-3597-90ed-94381d92a6e5"]},{"id":"ITEM-2","itemData":{"DOI":"10.1111/imm.12191","ISSN":"00192805","PMID":"24128071","abstract":"Neospora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-2","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tract","type":"article-journal","volume":"141"},"uris":["http://www.mendeley.com/documents/?uuid=fbd4020b-89bd-3c5d-8320-1ddc6afb78c0"]},{"id":"ITEM-3","itemData":{"DOI":"10.29155/VET.57.216.4","ISSN":"1688-4809","abstract":"Resumen La Queratoconjuntivitis Infecciosa Bovina (QIB) es una en-fermedad ocular grave que afecta frecuentemente al ganado y que tiene un impacto económico significativo mundialmente. Los agentes etiológicos asociados a la QIB son principalmente Moraxella bovis y Moraxella bovoculi. El problema sanitario originado por la QIB ha llevado a procurar desarrollar vacunas efectivas para prevenir la enfermedad. La proteína de membrana externa CD (Omp-CD), ha exhibido potencial como antígeno protector en especies relacionadas como Moraxella catharralis. El objetivo de este estudio fue producir una proteína recombi-nante OmpCD de M. bovis y evaluar su inmunogenicidad en ratones CD-1. El gen ompCD se amplificó en todas las cepas de M. bovis y M. bovoculi estudiadas, y el alineamiento de se-cuencias reveló regiones altamente conservadas. La reactividad de OmpCD recombinante de M. bovis se observó cuando se utilizaron sueros y lágrimas de bovinos enfermos por Western blot. Se inmunizaron ratones CD-1 y se analizó la respuesta de anticuerpos en suero y líquido de lavado broncoalveolar (BAL). También se determinaron los niveles de citoquinas en el líquido del BAL. Los ensayos en ratones permitieron demostrar que la OmpCD administrada sistémicamente inducía un aumento sig-nificativo de anticuerpos específicos IgG en suero mientras que la inmunización intranasal inducía un aumento significativo de los niveles de IgA e IL-4 en el BAL. Además, la combinación de OmpCD y un adyuvante de mucosas aumentaron significativa-mente la respuesta de IgA en BAL. Estos resultados estimulan la realización de estudios adicionales para evaluar el papel de OmpCD como posible candidato a vacuna contra QIB, utilizan-do modelos de desafío en bovinos. Palabras clave: Queratoconjuntivitis infecciosa bovina, Moraxella bovis, Proteína de Membrana Externa CD, Vacuna. Outer membrane protein CD of Moraxella bovis as a potential immunogen against infectious bovine keratoconjunctivitis Recibido:08/02/2021 Aceptado: 30/07/2021 Proteína de membrana externa CD de Moraxella bovis como antígeno potencial contra la queratoconjuntivitis infecciosa bovina Abstract Infectious bovine keratoconjunctivitis (IBK) is a severe ocular disease that affects cattle and has a significant economic impact worldwide. The principal etiological agent of IBK is Moraxella bovis. Another species, Moraxella bovoculi, has also been reported as a possible etiological agent. Due to the health problems caused by IBK, it is necessa…","author":[{"dropping-particle":"","family":"Acquistapace","given":"Sofía","non-dropping-particle":"","parse-names":false,"suffix":""},{"dropping-particle":"","family":"Umpiérrez","given":"Ana","non-dropping-particle":"","parse-names":false,"suffix":""},{"dropping-particle":"","family":"Fernández-Ciganda","given":"Sofía","non-dropping-particle":"","parse-names":false,"suffix":""},{"dropping-particle":"","family":"Sotelo-Silveira","given":"José","non-dropping-particle":"","parse-names":false,"suffix":""},{"dropping-particle":"","family":"Zunino","given":"Pablo","non-dropping-particle":"","parse-names":false,"suffix":""},{"dropping-particle":"","family":"Acquistapace","given":"Sofía","non-dropping-particle":"","parse-names":false,"suffix":""},{"dropping-particle":"","family":"Umpiérrez","given":"Ana","non-dropping-particle":"","parse-names":false,"suffix":""},{"dropping-particle":"","family":"Fernández-Ciganda","given":"Sofía","non-dropping-particle":"","parse-names":false,"suffix":""},{"dropping-particle":"","family":"Sotelo-Silveira","given":"José","non-dropping-particle":"","parse-names":false,"suffix":""},{"dropping-particle":"","family":"Zunino","given":"Pablo","non-dropping-particle":"","parse-names":false,"suffix":""}],"container-title":"Veterinaria (Montevideo)","id":"ITEM-3","issue":"216","issued":{"date-parts":[["2021","10","1"]]},"publisher":"Sociedad de Medicina Veterinaria del Uruguay","title":"Outer membrane protein CD of Moraxella bovis as a potential immunogen against infectious bovine keratoconjunctivitis","type":"article-journal","volume":"57"},"uris":["http://www.mendeley.com/documents/?uuid=02326aa6-e180-3ca1-b270-9c55c76722d6"]},{"id":"ITEM-4","itemData":{"DOI":"10.1016/J.VACCINE.2012.08.028","ISSN":"1873-2518","PMID":"22975025","abstract":"Periodontal disease, gingival inflammation (gingivitis) and periodontal attachment loss (periodontitis), causes tooth loss and susceptibility to chronic inflammation. Professionally scaling and cleaning the teeth regularly controls the disease, but is expensive in companion animals. Eikenella corrodens is common in canine oral cavities where it is a source of lysine decarboxylase (LDC). In human dental biofilms (plaques), LDC converts lysine to cadaverine and impairs the gingival epithelial barrier to bacteria. LDC vaccination may therefore retard gingivitis development. Year-old beagle dogs provided blood samples, and had weight and clinical measurements (biofilm and gingivitis) recorded. After scaling and cleaning, two dogs were immunized subcutaneously with 0.2mg native LDC from E. corrodens and 2 sets of four dogs with 0.2mg recombinant LDC purified from Escherichia coli. A third set of 4 dogs was immunized intranasally. Rehydragel®, Emulsigen®, Polygen™ or Carbigen™ were used as adjuvant. Four additional pairs of dogs were sham-immunized with each adjuvant alone (controls). Immunizations were repeated twice, 3 weeks apart, and clinical measurements were obtained after another 2 weeks, when the teeth were scaled and cleaned again. Tooth brushing was then stopped and the diet was changed from hard to soft chow. Clinical measurements were repeated after 1, 2, 3, 4, 6 and 8 weeks. Compared with sham-immunized dogs, gingivitis was reduced over all 8 weeks of soft diet after subcutaneous immunization with native LDC, or after intranasal immunization with recombinant LDC in Carbigen™, but for only 6 of the 8 weeks after subcutaneous immunization with recombinant LDC in Emulsigen® (repeated measures ANOVA). Subcutaneous vaccination induced a strong serum IgG antibody response that decreased during the soft diet period, whereas intranasal immunization induced a weak serum IgA antibody response that did not decrease. Immunization with recombinant LDC may provide protection from gingivitis if procedures are optimized. © 2012 Elsevier Ltd.","author":[{"dropping-particle":"","family":"Peters","given":"Jennifer L.","non-dropping-particle":"","parse-names":false,"suffix":""},{"dropping-particle":"","family":"DeMars","given":"Paul L.","non-dropping-particle":"","parse-names":false,"suffix":""},{"dropping-particle":"","family":"Collins","given":"Lindsay M.","non-dropping-particle":"","parse-names":false,"suffix":""},{"dropping-particle":"","family":"Stoner","given":"Julie A.","non-dropping-particle":"","parse-names":false,"suffix":""},{"dropping-particle":"","family":"Matsumoto","given":"Hiroyuki","non-dropping-particle":"","parse-names":false,"suffix":""},{"dropping-particle":"","family":"Komori","given":"Naoka","non-dropping-particle":"","parse-names":false,"suffix":""},{"dropping-particle":"","family":"Singh","given":"Anil","non-dropping-particle":"","parse-names":false,"suffix":""},{"dropping-particle":"","family":"Feasley","given":"Christa L.","non-dropping-particle":"","parse-names":false,"suffix":""},{"dropping-particle":"","family":"Haddock","given":"James A.","non-dropping-particle":"","parse-names":false,"suffix":""},{"dropping-particle":"","family":"Levine","given":"Martin","non-dropping-particle":"","parse-names":false,"suffix":""}],"container-title":"Vaccine","id":"ITEM-4","issue":"47","issued":{"date-parts":[["2012","10","19"]]},"page":"6706-6712","publisher":"Vaccine","title":"Effects of immunization with natural and recombinant lysine decarboxylase on canine gingivitis development","type":"article-journal","volume":"30"},"uris":["http://www.mendeley.com/documents/?uuid=ca7ab2f6-ff92-3938-9868-8ec66acc205c"]}],"mendeley":{"formattedCitation":"[43], [44], [49], [62]","manualFormatting":"[31]","plainTextFormattedCitation":"[43], [44], [49], [62]","previouslyFormattedCitation":"[43], [44], [49], [62]"},"properties":{"noteIndex":0},"schema":"https://github.com/citation-style-language/schema/raw/master/csl-citation.json"}</w:instrText>
      </w:r>
      <w:r w:rsidR="00E0072B">
        <w:rPr>
          <w:rFonts w:cs="Arial"/>
        </w:rPr>
        <w:fldChar w:fldCharType="separate"/>
      </w:r>
      <w:r w:rsidR="00E0072B">
        <w:rPr>
          <w:rFonts w:cs="Arial"/>
          <w:noProof/>
        </w:rPr>
        <w:t>[31</w:t>
      </w:r>
      <w:r w:rsidR="00E0072B" w:rsidRPr="00F00084">
        <w:rPr>
          <w:rFonts w:cs="Arial"/>
          <w:noProof/>
        </w:rPr>
        <w:t>]</w:t>
      </w:r>
      <w:r w:rsidR="00E0072B">
        <w:rPr>
          <w:rFonts w:cs="Arial"/>
        </w:rPr>
        <w:fldChar w:fldCharType="end"/>
      </w:r>
      <w:r w:rsidR="00E0072B">
        <w:rPr>
          <w:rFonts w:cs="Arial"/>
        </w:rPr>
        <w:t>.</w:t>
      </w:r>
    </w:p>
    <w:p w14:paraId="7C76E7A9" w14:textId="38175469" w:rsidR="00AA1A2D" w:rsidRDefault="00704B76" w:rsidP="00AA1A2D">
      <w:pPr>
        <w:rPr>
          <w:rFonts w:cs="Arial"/>
        </w:rPr>
      </w:pPr>
      <w:r>
        <w:rPr>
          <w:rFonts w:cs="Arial"/>
          <w:color w:val="000000" w:themeColor="text1"/>
        </w:rPr>
        <w:t>No</w:t>
      </w:r>
      <w:r w:rsidR="00F40015">
        <w:rPr>
          <w:rFonts w:cs="Arial"/>
          <w:color w:val="000000" w:themeColor="text1"/>
        </w:rPr>
        <w:t xml:space="preserve"> differences were found in </w:t>
      </w:r>
      <w:r w:rsidR="00FB5553" w:rsidRPr="00653243">
        <w:rPr>
          <w:rFonts w:cs="Arial"/>
          <w:color w:val="000000" w:themeColor="text1"/>
        </w:rPr>
        <w:t>the levels of IFN-γ</w:t>
      </w:r>
      <w:r w:rsidR="00EF771B">
        <w:rPr>
          <w:rFonts w:cs="Arial"/>
          <w:color w:val="000000" w:themeColor="text1"/>
        </w:rPr>
        <w:t>,</w:t>
      </w:r>
      <w:r w:rsidR="00FB5553" w:rsidRPr="00653243">
        <w:rPr>
          <w:rFonts w:cs="Arial"/>
          <w:color w:val="000000" w:themeColor="text1"/>
        </w:rPr>
        <w:t xml:space="preserve"> IL-2</w:t>
      </w:r>
      <w:r w:rsidR="00EF771B">
        <w:rPr>
          <w:rFonts w:cs="Arial"/>
          <w:color w:val="000000" w:themeColor="text1"/>
        </w:rPr>
        <w:t>, IL-17 and IL-4</w:t>
      </w:r>
      <w:r w:rsidR="00FB5553" w:rsidRPr="00653243">
        <w:rPr>
          <w:rFonts w:cs="Arial"/>
          <w:color w:val="000000" w:themeColor="text1"/>
        </w:rPr>
        <w:t xml:space="preserve"> </w:t>
      </w:r>
      <w:r w:rsidR="003B12AB" w:rsidRPr="00653243">
        <w:rPr>
          <w:rFonts w:cs="Arial"/>
          <w:color w:val="000000" w:themeColor="text1"/>
        </w:rPr>
        <w:t>in the serum</w:t>
      </w:r>
      <w:r w:rsidR="00F40015">
        <w:rPr>
          <w:rFonts w:cs="Arial"/>
          <w:color w:val="000000" w:themeColor="text1"/>
        </w:rPr>
        <w:t xml:space="preserve"> of immunized animals</w:t>
      </w:r>
      <w:r>
        <w:rPr>
          <w:rFonts w:cs="Arial"/>
          <w:color w:val="000000" w:themeColor="text1"/>
        </w:rPr>
        <w:t>.</w:t>
      </w:r>
      <w:r w:rsidR="00F40015">
        <w:rPr>
          <w:rFonts w:cs="Arial"/>
          <w:color w:val="000000" w:themeColor="text1"/>
        </w:rPr>
        <w:t xml:space="preserve"> </w:t>
      </w:r>
      <w:r w:rsidR="00EF771B">
        <w:rPr>
          <w:rFonts w:cs="Arial"/>
          <w:color w:val="000000" w:themeColor="text1"/>
        </w:rPr>
        <w:t>Cytokine</w:t>
      </w:r>
      <w:r w:rsidRPr="00653243">
        <w:rPr>
          <w:rFonts w:cs="Arial"/>
          <w:color w:val="000000" w:themeColor="text1"/>
        </w:rPr>
        <w:t xml:space="preserve"> levels were very low </w:t>
      </w:r>
      <w:r>
        <w:rPr>
          <w:rFonts w:cs="Arial"/>
          <w:color w:val="000000" w:themeColor="text1"/>
        </w:rPr>
        <w:t xml:space="preserve">in the serum of both immunized and control calves, before and </w:t>
      </w:r>
      <w:r w:rsidRPr="00653243">
        <w:rPr>
          <w:rFonts w:cs="Arial"/>
          <w:color w:val="000000" w:themeColor="text1"/>
        </w:rPr>
        <w:t>after infection</w:t>
      </w:r>
      <w:r>
        <w:rPr>
          <w:rFonts w:cs="Arial"/>
          <w:color w:val="000000" w:themeColor="text1"/>
        </w:rPr>
        <w:t xml:space="preserve">. </w:t>
      </w:r>
      <w:r w:rsidR="00F56E3A">
        <w:rPr>
          <w:rFonts w:cs="Arial"/>
          <w:color w:val="000000" w:themeColor="text1"/>
        </w:rPr>
        <w:t xml:space="preserve">Infection was </w:t>
      </w:r>
      <w:r w:rsidR="00A85040">
        <w:rPr>
          <w:rFonts w:cs="Arial"/>
          <w:color w:val="000000" w:themeColor="text1"/>
        </w:rPr>
        <w:t>done</w:t>
      </w:r>
      <w:r w:rsidR="00F56E3A">
        <w:rPr>
          <w:rFonts w:cs="Arial"/>
          <w:color w:val="000000" w:themeColor="text1"/>
        </w:rPr>
        <w:t xml:space="preserve"> with a relatively low number of tachyzoites which could have contributed to the modest cytokine levels measured in serum. </w:t>
      </w:r>
      <w:r>
        <w:rPr>
          <w:rFonts w:cs="Arial"/>
          <w:color w:val="000000" w:themeColor="text1"/>
        </w:rPr>
        <w:t>I</w:t>
      </w:r>
      <w:r w:rsidR="00F40015">
        <w:rPr>
          <w:rFonts w:cs="Arial"/>
          <w:color w:val="000000" w:themeColor="text1"/>
        </w:rPr>
        <w:t xml:space="preserve">t is </w:t>
      </w:r>
      <w:r w:rsidR="00A85040">
        <w:rPr>
          <w:rFonts w:cs="Arial"/>
          <w:color w:val="000000" w:themeColor="text1"/>
        </w:rPr>
        <w:t xml:space="preserve">also </w:t>
      </w:r>
      <w:r w:rsidR="00F40015">
        <w:rPr>
          <w:rFonts w:cs="Arial"/>
          <w:color w:val="000000" w:themeColor="text1"/>
        </w:rPr>
        <w:t xml:space="preserve">possible that </w:t>
      </w:r>
      <w:r w:rsidRPr="00653243">
        <w:rPr>
          <w:rFonts w:cs="Arial"/>
          <w:color w:val="000000" w:themeColor="text1"/>
        </w:rPr>
        <w:t>IFN-γ</w:t>
      </w:r>
      <w:r>
        <w:rPr>
          <w:rFonts w:cs="Arial"/>
          <w:color w:val="000000" w:themeColor="text1"/>
        </w:rPr>
        <w:t xml:space="preserve"> could have been produced at a higher amount earlier upon infection and that we could have missed the production peak</w:t>
      </w:r>
      <w:r w:rsidR="003B12AB" w:rsidRPr="00653243">
        <w:rPr>
          <w:rFonts w:cs="Arial"/>
          <w:color w:val="000000" w:themeColor="text1"/>
        </w:rPr>
        <w:t xml:space="preserve">. </w:t>
      </w:r>
    </w:p>
    <w:p w14:paraId="336CF945" w14:textId="368DF55E" w:rsidR="003B011F" w:rsidRDefault="001F42E4" w:rsidP="00C7705E">
      <w:pPr>
        <w:rPr>
          <w:rFonts w:cs="Arial"/>
        </w:rPr>
      </w:pPr>
      <w:r>
        <w:rPr>
          <w:rFonts w:cs="Arial"/>
        </w:rPr>
        <w:t xml:space="preserve">Proliferation of circulating T cell populations in response </w:t>
      </w:r>
      <w:r w:rsidRPr="001F42E4">
        <w:rPr>
          <w:rFonts w:cs="Arial"/>
          <w:i/>
          <w:iCs/>
        </w:rPr>
        <w:t>N. caninum</w:t>
      </w:r>
      <w:r>
        <w:rPr>
          <w:rFonts w:cs="Arial"/>
        </w:rPr>
        <w:t xml:space="preserve"> antigens was measured before and after infection. </w:t>
      </w:r>
      <w:r w:rsidR="00662657">
        <w:rPr>
          <w:rFonts w:cs="Arial"/>
        </w:rPr>
        <w:t>Before infection, an increase of cell division was seen in CD4</w:t>
      </w:r>
      <w:r w:rsidR="00662657" w:rsidRPr="00662657">
        <w:rPr>
          <w:rFonts w:cs="Arial"/>
          <w:vertAlign w:val="superscript"/>
        </w:rPr>
        <w:t>+</w:t>
      </w:r>
      <w:r w:rsidR="00662657">
        <w:rPr>
          <w:rFonts w:cs="Arial"/>
        </w:rPr>
        <w:t>, CD8</w:t>
      </w:r>
      <w:r w:rsidR="00662657" w:rsidRPr="00662657">
        <w:rPr>
          <w:rFonts w:cs="Arial"/>
          <w:vertAlign w:val="superscript"/>
        </w:rPr>
        <w:t>+</w:t>
      </w:r>
      <w:r w:rsidR="00662657">
        <w:rPr>
          <w:rFonts w:cs="Arial"/>
        </w:rPr>
        <w:t xml:space="preserve"> and</w:t>
      </w:r>
      <w:r>
        <w:rPr>
          <w:rFonts w:cs="Arial"/>
        </w:rPr>
        <w:t xml:space="preserve"> </w:t>
      </w:r>
      <w:r w:rsidR="00662657">
        <w:rPr>
          <w:rFonts w:cs="Arial"/>
        </w:rPr>
        <w:t>CD4</w:t>
      </w:r>
      <w:r w:rsidR="00662657" w:rsidRPr="00662657">
        <w:rPr>
          <w:rFonts w:cs="Arial"/>
          <w:vertAlign w:val="superscript"/>
        </w:rPr>
        <w:t>-</w:t>
      </w:r>
      <w:r w:rsidR="00A17632">
        <w:rPr>
          <w:rFonts w:cs="Arial"/>
          <w:vertAlign w:val="superscript"/>
        </w:rPr>
        <w:t xml:space="preserve"> </w:t>
      </w:r>
      <w:r w:rsidR="00662657">
        <w:rPr>
          <w:rFonts w:cs="Arial"/>
        </w:rPr>
        <w:t>CD8</w:t>
      </w:r>
      <w:r w:rsidR="00662657" w:rsidRPr="00662657">
        <w:rPr>
          <w:rFonts w:cs="Arial"/>
          <w:vertAlign w:val="superscript"/>
        </w:rPr>
        <w:t>-</w:t>
      </w:r>
      <w:r w:rsidR="00662657">
        <w:rPr>
          <w:rFonts w:cs="Arial"/>
        </w:rPr>
        <w:t xml:space="preserve"> (presumably TCR</w:t>
      </w:r>
      <w:r w:rsidR="00C53489">
        <w:rPr>
          <w:rFonts w:cs="Arial"/>
        </w:rPr>
        <w:t xml:space="preserve"> </w:t>
      </w:r>
      <w:r w:rsidR="00662657" w:rsidRPr="00662657">
        <w:rPr>
          <w:rFonts w:cs="Arial"/>
        </w:rPr>
        <w:t>γδ</w:t>
      </w:r>
      <w:r w:rsidR="00C53489" w:rsidRPr="00C53489">
        <w:rPr>
          <w:rFonts w:cs="Arial"/>
          <w:vertAlign w:val="superscript"/>
        </w:rPr>
        <w:t>+</w:t>
      </w:r>
      <w:r w:rsidR="00662657">
        <w:rPr>
          <w:rFonts w:cs="Arial"/>
        </w:rPr>
        <w:t xml:space="preserve">) T cells from immunized animals in response to antigenic recall. This result indicate that all T cell populations analysed responded to vaccination and might intervene in the response to </w:t>
      </w:r>
      <w:r w:rsidR="00662657" w:rsidRPr="00662657">
        <w:rPr>
          <w:rFonts w:cs="Arial"/>
          <w:i/>
          <w:iCs/>
        </w:rPr>
        <w:t>N. caninum</w:t>
      </w:r>
      <w:r w:rsidR="00662657">
        <w:rPr>
          <w:rFonts w:cs="Arial"/>
        </w:rPr>
        <w:t xml:space="preserve"> infection.</w:t>
      </w:r>
      <w:r w:rsidR="000D6CE7">
        <w:rPr>
          <w:rFonts w:cs="Arial"/>
        </w:rPr>
        <w:t xml:space="preserve"> </w:t>
      </w:r>
      <w:r w:rsidR="005D1EA2">
        <w:rPr>
          <w:rFonts w:cs="Arial"/>
        </w:rPr>
        <w:t xml:space="preserve">We have not evaluated the cytokines produced by those cells and released into culture supernatants by ELISA yet, but previous results from the group indicate that they could be producing </w:t>
      </w:r>
      <w:r w:rsidR="005D1EA2" w:rsidRPr="00481B5B">
        <w:rPr>
          <w:rFonts w:cs="Arial"/>
        </w:rPr>
        <w:t>IFN-γ</w:t>
      </w:r>
      <w:r w:rsidR="005D1EA2">
        <w:rPr>
          <w:rFonts w:cs="Arial"/>
        </w:rPr>
        <w:t>,</w:t>
      </w:r>
      <w:r w:rsidR="005D1EA2" w:rsidRPr="00481B5B">
        <w:rPr>
          <w:rFonts w:cs="Arial"/>
        </w:rPr>
        <w:t xml:space="preserve"> </w:t>
      </w:r>
      <w:r w:rsidR="005D1EA2">
        <w:rPr>
          <w:rFonts w:cs="Arial"/>
        </w:rPr>
        <w:t xml:space="preserve">IL-2, IL-17A, but not IL-4. </w:t>
      </w:r>
      <w:r w:rsidR="000D6CE7">
        <w:rPr>
          <w:rFonts w:cs="Arial"/>
        </w:rPr>
        <w:t xml:space="preserve">No differences could </w:t>
      </w:r>
      <w:r w:rsidR="00481B5B">
        <w:rPr>
          <w:rFonts w:cs="Arial"/>
        </w:rPr>
        <w:t xml:space="preserve">however </w:t>
      </w:r>
      <w:r w:rsidR="000D6CE7">
        <w:rPr>
          <w:rFonts w:cs="Arial"/>
        </w:rPr>
        <w:t>be found after infection</w:t>
      </w:r>
      <w:r w:rsidR="00481B5B">
        <w:rPr>
          <w:rFonts w:cs="Arial"/>
        </w:rPr>
        <w:t xml:space="preserve">, even though cells from control animals were in general proliferating at a higher extent. This result is in line with results found in another vaccination study in cattle, in which one-week after infection </w:t>
      </w:r>
      <w:r w:rsidR="00481B5B" w:rsidRPr="00481B5B">
        <w:rPr>
          <w:rFonts w:cs="Arial"/>
        </w:rPr>
        <w:t>no significant difference</w:t>
      </w:r>
      <w:r w:rsidR="00A56A25">
        <w:rPr>
          <w:rFonts w:cs="Arial"/>
        </w:rPr>
        <w:t>s</w:t>
      </w:r>
      <w:r w:rsidR="00481B5B" w:rsidRPr="00481B5B">
        <w:rPr>
          <w:rFonts w:cs="Arial"/>
        </w:rPr>
        <w:t xml:space="preserve"> between </w:t>
      </w:r>
      <w:r w:rsidR="00481B5B">
        <w:rPr>
          <w:rFonts w:cs="Arial"/>
        </w:rPr>
        <w:t>immunized and control</w:t>
      </w:r>
      <w:r w:rsidR="00481B5B" w:rsidRPr="00481B5B">
        <w:rPr>
          <w:rFonts w:cs="Arial"/>
        </w:rPr>
        <w:t xml:space="preserve"> groups </w:t>
      </w:r>
      <w:r w:rsidR="00481B5B">
        <w:rPr>
          <w:rFonts w:cs="Arial"/>
        </w:rPr>
        <w:t xml:space="preserve">were observed regarding </w:t>
      </w:r>
      <w:r w:rsidR="00481B5B" w:rsidRPr="00481B5B">
        <w:rPr>
          <w:rFonts w:cs="Arial"/>
        </w:rPr>
        <w:t xml:space="preserve">IFN-γ </w:t>
      </w:r>
      <w:r w:rsidR="00A56A25">
        <w:rPr>
          <w:rFonts w:cs="Arial"/>
        </w:rPr>
        <w:t xml:space="preserve">production </w:t>
      </w:r>
      <w:r w:rsidR="00481B5B" w:rsidRPr="00481B5B">
        <w:rPr>
          <w:rFonts w:cs="Arial"/>
        </w:rPr>
        <w:t xml:space="preserve">and antigen-specific proliferation responses, </w:t>
      </w:r>
      <w:r w:rsidR="00C51CB5">
        <w:rPr>
          <w:rFonts w:cs="Arial"/>
        </w:rPr>
        <w:t>despite protection induced by immunization</w:t>
      </w:r>
      <w:r w:rsidR="002E7EF9">
        <w:rPr>
          <w:rFonts w:cs="Arial"/>
        </w:rPr>
        <w:t xml:space="preserve"> </w:t>
      </w:r>
      <w:r w:rsidR="002E7EF9">
        <w:rPr>
          <w:rFonts w:cs="Arial"/>
        </w:rPr>
        <w:fldChar w:fldCharType="begin" w:fldLock="1"/>
      </w:r>
      <w:r w:rsidR="002E7EF9">
        <w:rPr>
          <w:rFonts w:cs="Arial"/>
        </w:rPr>
        <w:instrText>ADDIN CSL_CITATION {"citationItems":[{"id":"ITEM-1","itemData":{"DOI":"10.1128/IAI.00777-06/ASSET/ED899FA1-3BE1-4B50-BA9B-658C52D50EE4/ASSETS/GRAPHIC/ZII0030765000002.JPEG","ISSN":"00199567","PMID":"17145943","abstract":"Neospora caninum is an obligate intracellular protozoan parasite that causes abortion in cattle. It is normally found as a latent infection controlled by a T-helper-cell type 1 response involving CD4+ cytotoxic T cells and gamma interferon. Cattle may be infected by two different routes: transplacentally as a result of activation of the latent infection in the mother causing congenital infection or abortion and by ingestion of oocysts, which, if it occurs during gestation, can also result in abortion. Here, for the first time, we establish proof that live vaccination protects against fetal death, whereas immunization using whole-tachyzoite lysate in different adjuvants fails to protect against fetal death. Strong antibody responses were induced in all the vaccinated groups, and the quality and magnitude of these responses were similar in the live- and the lysate-vaccinated groups. In contrast, only the group immunized with live tachyzoites had strong cellular and gamma interferon responses prior to challenge, and these responses correlated with protection against fetopathy. These results suggest that a cellular immune response may be important in the mechanisms involved in protection against N. caninum-associated abortions. Copyright © 2007, American Society for Microbiology. All Rights Reserved.","author":[{"dropping-particle":"","family":"Williams","given":"D. J.L.","non-dropping-particle":"","parse-names":false,"suffix":""},{"dropping-particle":"","family":"Guy","given":"C. S.","non-dropping-particle":"","parse-names":false,"suffix":""},{"dropping-particle":"","family":"Smith","given":"R. F.","non-dropping-particle":"","parse-names":false,"suffix":""},{"dropping-particle":"","family":"Ellis","given":"J.","non-dropping-particle":"","parse-names":false,"suffix":""},{"dropping-particle":"","family":"Björkman","given":"C.","non-dropping-particle":"","parse-names":false,"suffix":""},{"dropping-particle":"","family":"Reichel","given":"M. P.","non-dropping-particle":"","parse-names":false,"suffix":""},{"dropping-particle":"","family":"Trees","given":"A. J.","non-dropping-particle":"","parse-names":false,"suffix":""}],"container-title":"Infection and Immunity","id":"ITEM-1","issue":"3","issued":{"date-parts":[["2007","3"]]},"page":"1343-1348","publisher":"\nAmerican Society for Microbiology\n","title":"Immunization of cattle with live tachyzoites of Neospora caninum confers protection against fetal death","type":"article-journal","volume":"75"},"uris":["http://www.mendeley.com/documents/?uuid=239b310c-4eba-3517-9580-ac882155de49"]}],"mendeley":{"formattedCitation":"[64]","plainTextFormattedCitation":"[64]","previouslyFormattedCitation":"[64]"},"properties":{"noteIndex":0},"schema":"https://github.com/citation-style-language/schema/raw/master/csl-citation.json"}</w:instrText>
      </w:r>
      <w:r w:rsidR="002E7EF9">
        <w:rPr>
          <w:rFonts w:cs="Arial"/>
        </w:rPr>
        <w:fldChar w:fldCharType="separate"/>
      </w:r>
      <w:r w:rsidR="002E7EF9" w:rsidRPr="002E7EF9">
        <w:rPr>
          <w:rFonts w:cs="Arial"/>
          <w:noProof/>
        </w:rPr>
        <w:t>[64]</w:t>
      </w:r>
      <w:r w:rsidR="002E7EF9">
        <w:rPr>
          <w:rFonts w:cs="Arial"/>
        </w:rPr>
        <w:fldChar w:fldCharType="end"/>
      </w:r>
      <w:r w:rsidR="00C51CB5">
        <w:rPr>
          <w:rFonts w:cs="Arial"/>
        </w:rPr>
        <w:t>.</w:t>
      </w:r>
      <w:r w:rsidR="00481B5B" w:rsidRPr="00481B5B">
        <w:rPr>
          <w:rFonts w:cs="Arial"/>
        </w:rPr>
        <w:t xml:space="preserve"> </w:t>
      </w:r>
    </w:p>
    <w:p w14:paraId="6EEDB90A" w14:textId="52727441" w:rsidR="002D2B42" w:rsidRDefault="002716AD" w:rsidP="005D1EA2">
      <w:pPr>
        <w:rPr>
          <w:rFonts w:cs="Arial"/>
        </w:rPr>
      </w:pPr>
      <w:r>
        <w:rPr>
          <w:rFonts w:cs="Arial"/>
        </w:rPr>
        <w:t>CD4</w:t>
      </w:r>
      <w:r w:rsidRPr="00AE5A28">
        <w:rPr>
          <w:rFonts w:cs="Arial"/>
          <w:vertAlign w:val="superscript"/>
        </w:rPr>
        <w:t>+</w:t>
      </w:r>
      <w:r>
        <w:rPr>
          <w:rFonts w:cs="Arial"/>
        </w:rPr>
        <w:t xml:space="preserve"> Th1, CD8</w:t>
      </w:r>
      <w:r w:rsidRPr="00AE5A28">
        <w:rPr>
          <w:rFonts w:cs="Arial"/>
          <w:vertAlign w:val="superscript"/>
        </w:rPr>
        <w:t>+</w:t>
      </w:r>
      <w:r>
        <w:rPr>
          <w:rFonts w:cs="Arial"/>
        </w:rPr>
        <w:t xml:space="preserve"> T cytotoxic and </w:t>
      </w:r>
      <w:r>
        <w:t xml:space="preserve">TCR </w:t>
      </w:r>
      <w:r>
        <w:rPr>
          <w:rFonts w:cs="Arial"/>
        </w:rPr>
        <w:t>γδ</w:t>
      </w:r>
      <w:r w:rsidRPr="00AE5A28">
        <w:rPr>
          <w:vertAlign w:val="superscript"/>
        </w:rPr>
        <w:t>+</w:t>
      </w:r>
      <w:r>
        <w:t xml:space="preserve"> </w:t>
      </w:r>
      <w:r>
        <w:rPr>
          <w:rFonts w:cs="Arial"/>
        </w:rPr>
        <w:t xml:space="preserve">cells are the main producers of </w:t>
      </w:r>
      <w:r>
        <w:t>IFN-</w:t>
      </w:r>
      <w:r>
        <w:rPr>
          <w:rFonts w:cs="Arial"/>
        </w:rPr>
        <w:t xml:space="preserve">γ, along with NK cells </w:t>
      </w:r>
      <w:r>
        <w:fldChar w:fldCharType="begin" w:fldLock="1"/>
      </w:r>
      <w:r w:rsidR="0023236C">
        <w:instrText>ADDIN CSL_CITATION {"citationItems":[{"id":"ITEM-1","itemData":{"DOI":"10.1186/1297-9716-44-69","ISSN":"1297-9716","abstract":"The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Research","id":"ITEM-1","issue":"1","issued":{"date-parts":[["2013","12","10"]]},"page":"69","title":"Mucosal and systemic T cell response in mice intragastrically infected with Neospora caninum tachyzoites","type":"article-journal","volume":"44"},"uris":["http://www.mendeley.com/documents/?uuid=19882f4e-bdad-3bfb-8938-a1dba45db020"]},{"id":"ITEM-2","itemData":{"ISBN":"978-1-4557-0362-3","abstract":"The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Sciences","edition":"9th","id":"ITEM-2","issued":{"date-parts":[["2012"]]},"publisher":"W.B. Saunders Company","title":"Veterinary Immunology","type":"chapter"},"uris":["http://www.mendeley.com/documents/?uuid=5b612fa0-4782-467b-a937-4cc8cbeba109"]},{"id":"ITEM-3","itemData":{"DOI":"10.1038/srep23475","abstract":"Here we report that lean mice infected with the intracellular parasite Neospora caninum show a fast but sustained increase in the frequency of IFN-γ-producing cells noticeable in distinct adipose tissue depots. Moreover, IFN-γ-mediated immune memory could be evoked in vitro in parasite antigen-stimulated adipose tissue stromal vascular fraction cells collected from mice infected one year before. Innate or innate-like cells such as NK, NK T and TCRγδ + cells, but also CD4 + and CD8 + TCRβ + lymphocytes contributed to the IFN-γ production observed since day one of infection. This early cytokine production was largely abrogated in IL-12/IL23 p40-deficient mice. Moreover, production of IFN-γ by stromal vascular fraction cells isolated from these mice was markedly lower than that of wild-type counterparts upon stimulation with parasite antigen. In wild-type mice the increased IFN-γ production was concomitant with up-regulated expression of genes encoding interferon-inducible GTPases and nitric oxide synthase, which are important effector molecules in controlling intracellular parasite growth. This increased gene expression was markedly impaired in the p40-deficient mice. Overall, these results show that NK cells but also diverse T cell populations mediate a prompt and widespread production of IFN-γ in the adipose tissue of N. caninum infected mice.","author":[{"dropping-particle":"","family":"Teixeira","given":"Luzia","non-dropping-particle":"","parse-names":false,"suffix":""},{"dropping-particle":"","family":"Marques","given":"Raquel M","non-dropping-particle":"","parse-names":false,"suffix":""},{"dropping-particle":"","family":"Ferreirinha","given":"Pedro","non-dropping-particle":"","parse-names":false,"suffix":""},{"dropping-particle":"","family":"Bezerra","given":"Filipa","non-dropping-particle":"","parse-names":false,"suffix":""},{"dropping-particle":"","family":"Melo","given":"Joana","non-dropping-particle":"","parse-names":false,"suffix":""},{"dropping-particle":"","family":"Moreira","given":"João","non-dropping-particle":"","parse-names":false,"suffix":""},{"dropping-particle":"","family":"Pinto","given":"Ana","non-dropping-particle":"","parse-names":false,"suffix":""},{"dropping-particle":"","family":"Correia","given":"Alexandra","non-dropping-particle":"","parse-names":false,"suffix":""},{"dropping-particle":"","family":"Ferreira","given":"Paula G","non-dropping-particle":"","parse-names":false,"suffix":""},{"dropping-particle":"","family":"Vilanova","given":"Manuel","non-dropping-particle":"","parse-names":false,"suffix":""}],"container-title":"Nature Publishing Group","id":"ITEM-3","issued":{"date-parts":[["2016"]]},"title":"Enrichment of IFN-γ producing cells in different murine adipose tissue depots upon infection with an apicomplexan parasite","type":"article-journal"},"uris":["http://www.mendeley.com/documents/?uuid=b9d70f49-e3fa-3e01-a02c-3c6cf123fe0d"]},{"id":"ITEM-4","itemData":{"DOI":"10.1016/S0165-2427(01)00334-8","ISSN":"01652427","PMID":"11498249","abstract":"The synthesis of IFNγ and IL-4 by CD4, CD8 and WC1 γδ TCR+ T cell sub-populations, and T cells stained with activation/memory-sub-set markers has been examined by flow cytometric analysis. Cells from blood, prescapular, bronchial and mesenteric lymph nodes and Peyer's patches were incubated with phorbol 12-myristate 13-acetate (PMA), ionomycin and brefeldin-A before staining. Lymphocytes that stained for cytoplasmic IFNγ were evident within the CD4 and CD8 populations from all tissues and also in the WC1 population from lymph nodes. IL-4 producing cells were primarily evident within the CD4 population. IFNγ synthesis was evident within both CD45RO+ and CD45RB+ populations, but IL-4 synthesis was predominantly by cells that were CD45RO+/CD45RB-. Expression of CD62L is not related to functional memory in CD4+ T cells from cattle and CD62L+ cells, particularly from the lymph nodes draining the skin and the lungs, stained with mAb to IFNγ and IL-4. The findings indicate that at least for CD4+ T cells, where CD45 isoform expression is related to functional memory, these two cytokines are produced predominantly by cells with a memory phenotype. The observation that some WC1+ cells produce IFNγ implies the presence of distinct sub-sets of this γδ TCR+ population cattle and suggests a functional role. Copyright © 2001 Elsevier Science B.V.","author":[{"dropping-particle":"","family":"Sopp","given":"P.","non-dropping-particle":"","parse-names":false,"suffix":""}],"container-title":"Veterinary Immunology and Immunopathology","id":"ITEM-4","issue":"1-2","issued":{"date-parts":[["2001","8","30"]]},"page":"85-96","publisher":"Elsevier","title":"IFNγ and IL-4 production by CD4, CD8 and WC1 γδ TCR+ T cells from cattle lymph nodes and blood","type":"article-journal","volume":"81"},"uris":["http://www.mendeley.com/documents/?uuid=ed6744f7-a5a5-3209-9ca7-f1a80cfa03fd"]}],"mendeley":{"formattedCitation":"[13], [19], [30], [58]","manualFormatting":"[12, 18, 19, 48]","plainTextFormattedCitation":"[13], [19], [30], [58]","previouslyFormattedCitation":"[13], [19], [30], [58]"},"properties":{"noteIndex":0},"schema":"https://github.com/citation-style-language/schema/raw/master/csl-citation.json"}</w:instrText>
      </w:r>
      <w:r>
        <w:fldChar w:fldCharType="separate"/>
      </w:r>
      <w:r w:rsidR="002600A2">
        <w:rPr>
          <w:noProof/>
        </w:rPr>
        <w:t xml:space="preserve">[12, 18, 19, </w:t>
      </w:r>
      <w:r w:rsidR="00F00084" w:rsidRPr="00F00084">
        <w:rPr>
          <w:noProof/>
        </w:rPr>
        <w:t>48]</w:t>
      </w:r>
      <w:r>
        <w:fldChar w:fldCharType="end"/>
      </w:r>
      <w:r>
        <w:t>. CD4</w:t>
      </w:r>
      <w:r w:rsidRPr="00C95E95">
        <w:rPr>
          <w:vertAlign w:val="superscript"/>
        </w:rPr>
        <w:t>+</w:t>
      </w:r>
      <w:r>
        <w:t xml:space="preserve"> </w:t>
      </w:r>
      <w:r w:rsidR="00670D8F">
        <w:t xml:space="preserve">T cells </w:t>
      </w:r>
      <w:r w:rsidR="00CF5989">
        <w:t>have been previously identified as important IFN-</w:t>
      </w:r>
      <w:r w:rsidR="00CF5989">
        <w:rPr>
          <w:rFonts w:cs="Arial"/>
        </w:rPr>
        <w:t>γ</w:t>
      </w:r>
      <w:r w:rsidR="00CF5989">
        <w:t xml:space="preserve"> production cells during </w:t>
      </w:r>
      <w:r w:rsidR="00CF5989">
        <w:rPr>
          <w:i/>
        </w:rPr>
        <w:t xml:space="preserve">N. caninum </w:t>
      </w:r>
      <w:r w:rsidR="00CF5989">
        <w:t xml:space="preserve">infection </w:t>
      </w:r>
      <w:r w:rsidR="00CF5989">
        <w:rPr>
          <w:i/>
        </w:rPr>
        <w:fldChar w:fldCharType="begin" w:fldLock="1"/>
      </w:r>
      <w:r w:rsidR="002E7EF9">
        <w:rPr>
          <w:i/>
        </w:rPr>
        <w:instrText>ADDIN CSL_CITATION {"citationItems":[{"id":"ITEM-1","itemData":{"DOI":"10.1046/J.1365-3024.1998.00145.X","ISSN":"1365-3024","PMID":"9717191","abstract":"Neospora caninum is recognized as a major cause of infectious abortion in cattle. Very little is known about immunity to Neospora. Cell mediated responses have previously been shown to be important in the development of protective immunity to the closely related parasite Toxoplasma gondii, and may therefore be an important component in the immune response to Neospora. In this paper we report that a group of low molecular weight NC1 strain tachyzoite antigens (≤ 30kDa) separated by SDS PAGE and bound to nitrocellulose membrane stimulated proliferation in vitro of CD4+ T cells from calves experimentally infected with N. caninum. Proliferation was accompanied by production of high concentrations of IFNγ. Several of these antigens were also recognized by antibody produced in these animals. As the most effective vaccines require the stimulation of both humoral and cell mediated immune responses, these antigens may be important in the development of a vaccine against neosporosis.","author":[{"dropping-particle":"","family":"Marks","given":"Joanne","non-dropping-particle":"","parse-names":false,"suffix":""},{"dropping-particle":"","family":"Lundén","given":"Anna","non-dropping-particle":"","parse-names":false,"suffix":""},{"dropping-particle":"","family":"Harkins","given":"David","non-dropping-particle":"","parse-names":false,"suffix":""},{"dropping-particle":"","family":"Innes","given":"Elisabeth","non-dropping-particle":"","parse-names":false,"suffix":""}],"container-title":"Parasite Immunology","id":"ITEM-1","issue":"7","issued":{"date-parts":[["1998","7","1"]]},"page":"303-309","publisher":"John Wiley &amp; Sons, Ltd","title":"Identification of Neospora antigens recognized by CD4+ T cells and immune sera from experimentally infected cattle","type":"article-journal","volume":"20"},"uris":["http://www.mendeley.com/documents/?uuid=cae166e9-e1e2-3487-bfe4-d71253484376"]}],"mendeley":{"formattedCitation":"[65]","plainTextFormattedCitation":"[65]","previouslyFormattedCitation":"[65]"},"properties":{"noteIndex":0},"schema":"https://github.com/citation-style-language/schema/raw/master/csl-citation.json"}</w:instrText>
      </w:r>
      <w:r w:rsidR="00CF5989">
        <w:rPr>
          <w:i/>
        </w:rPr>
        <w:fldChar w:fldCharType="separate"/>
      </w:r>
      <w:r w:rsidR="002E7EF9" w:rsidRPr="002E7EF9">
        <w:rPr>
          <w:noProof/>
        </w:rPr>
        <w:t>[65]</w:t>
      </w:r>
      <w:r w:rsidR="00CF5989">
        <w:rPr>
          <w:i/>
        </w:rPr>
        <w:fldChar w:fldCharType="end"/>
      </w:r>
      <w:r w:rsidR="00670D8F">
        <w:t xml:space="preserve">. </w:t>
      </w:r>
      <w:r w:rsidR="001D050B">
        <w:t>In the mouse model, the importance of CD4</w:t>
      </w:r>
      <w:r w:rsidR="001D050B">
        <w:rPr>
          <w:vertAlign w:val="superscript"/>
        </w:rPr>
        <w:t>+</w:t>
      </w:r>
      <w:r w:rsidR="001D050B">
        <w:t xml:space="preserve"> </w:t>
      </w:r>
      <w:r w:rsidR="0008798F">
        <w:t>greatly surpassed that of CD8</w:t>
      </w:r>
      <w:r w:rsidR="0008798F">
        <w:rPr>
          <w:vertAlign w:val="superscript"/>
        </w:rPr>
        <w:t>+</w:t>
      </w:r>
      <w:r w:rsidR="0008798F">
        <w:t xml:space="preserve"> cells </w:t>
      </w:r>
      <w:r w:rsidR="0008798F">
        <w:fldChar w:fldCharType="begin" w:fldLock="1"/>
      </w:r>
      <w:r w:rsidR="002E7EF9">
        <w:instrText>ADDIN CSL_CITATION {"citationItems":[{"id":"ITEM-1","itemData":{"DOI":"10.1016/S0304-4017(00)00238-7","ISSN":"0304-4017","PMID":"10841998","abstract":"The role of CD4+ or CD8+ T cells in the immune response of BALB/c mice against Neospora caninum infection was examined by using anti-CD4 and/or anti-CD8 monoclonal antibodies (mAbs). Mice were intraperitoneally inoculated with anti-CD4 and/or anti-CD8 mAbs before and after infection with N. caninum and observed for 30 days after infection. Most of the anti-CD4 mAb-treated mice and all of the anti-CD4 and anti-CD8 mAbs-treated mice died within 30 days post-infection (p.i.). In contrast, 100% of PBS-treated mice and 70% of anti-CD8 mAb-treated mice survived more than 30 days. When compared with phosphate-buffered saline (PBS)-treated mice, the weight of mice treated with mAbs tended to decrease. From these results CD4+ T cells, but not CD8+ T cells, have an important role for protection of mice against N. caninum infection. Serum antibody levels to N. caninum in infected-mice treated with anti-CD4 mAb or a mixture of anti-CD4 and anti-CD8 mAbs were lower than those in the infected mice treated with anti-CD8 mAb or PBS. The mice treated with anti-interferon-γ (IFN-γ) mAb produced high antibody levels to N. caninum, but all mice died within 18 days p.i. These results indicated that IFN-γ is an important cytokine for protection against N. caninum infection at the early stage of infection. However, since CD4+ T cells against N. caninum were essential to the production of specific antibody, these antibodies might have important roles in host protection at the later stage of infection. (C) 2000 Elsevier Science B.V.","author":[{"dropping-particle":"","family":"Tanaka","given":"Tetsuya","non-dropping-particle":"","parse-names":false,"suffix":""},{"dropping-particle":"","family":"Hamada","given":"Taketo","non-dropping-particle":"","parse-names":false,"suffix":""},{"dropping-particle":"","family":"Inoue","given":"Noboru","non-dropping-particle":"","parse-names":false,"suffix":""},{"dropping-particle":"","family":"Nagasawa","given":"Hideyuki","non-dropping-particle":"","parse-names":false,"suffix":""},{"dropping-particle":"","family":"Fujisaki","given":"Kozo","non-dropping-particle":"","parse-names":false,"suffix":""},{"dropping-particle":"","family":"Suzuki","given":"Naoyoshi","non-dropping-particle":"","parse-names":false,"suffix":""},{"dropping-particle":"","family":"Mikami","given":"Takeshi","non-dropping-particle":"","parse-names":false,"suffix":""}],"container-title":"Veterinary Parasitology","id":"ITEM-1","issue":"3","issued":{"date-parts":[["2000","6","27"]]},"page":"183-191","publisher":"Elsevier","title":"The role of CD4+ or CD8+ T cells in the protective immune response of BALB/c mice to Neospora caninum infection","type":"article-journal","volume":"90"},"uris":["http://www.mendeley.com/documents/?uuid=50850a72-6c53-3881-bbd5-6ddc2b070a66"]}],"mendeley":{"formattedCitation":"[66]","plainTextFormattedCitation":"[66]","previouslyFormattedCitation":"[66]"},"properties":{"noteIndex":0},"schema":"https://github.com/citation-style-language/schema/raw/master/csl-citation.json"}</w:instrText>
      </w:r>
      <w:r w:rsidR="0008798F">
        <w:fldChar w:fldCharType="separate"/>
      </w:r>
      <w:r w:rsidR="002E7EF9" w:rsidRPr="002E7EF9">
        <w:rPr>
          <w:noProof/>
        </w:rPr>
        <w:t>[66]</w:t>
      </w:r>
      <w:r w:rsidR="0008798F">
        <w:fldChar w:fldCharType="end"/>
      </w:r>
      <w:r w:rsidR="0008798F">
        <w:t>, however p</w:t>
      </w:r>
      <w:r w:rsidR="00670D8F">
        <w:t>revious results from the group identified CD8</w:t>
      </w:r>
      <w:r w:rsidR="00670D8F">
        <w:rPr>
          <w:vertAlign w:val="superscript"/>
        </w:rPr>
        <w:t>+</w:t>
      </w:r>
      <w:r w:rsidR="00670D8F">
        <w:t xml:space="preserve"> T cells as earlier sources of IFN-</w:t>
      </w:r>
      <w:r w:rsidR="00670D8F">
        <w:rPr>
          <w:rFonts w:cs="Arial"/>
        </w:rPr>
        <w:t>γ</w:t>
      </w:r>
      <w:r w:rsidR="00083651">
        <w:rPr>
          <w:rFonts w:cs="Arial"/>
        </w:rPr>
        <w:t xml:space="preserve"> </w:t>
      </w:r>
      <w:r w:rsidR="00670D8F">
        <w:t xml:space="preserve">in the mouse model </w:t>
      </w:r>
      <w:r w:rsidR="00670D8F">
        <w:fldChar w:fldCharType="begin" w:fldLock="1"/>
      </w:r>
      <w:r w:rsidR="004A4DFA">
        <w:instrText>ADDIN CSL_CITATION {"citationItems":[{"id":"ITEM-1","itemData":{"DOI":"10.1186/1297-9716-44-69","ISSN":"1297-9716","abstract":"The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Research","id":"ITEM-1","issue":"1","issued":{"date-parts":[["2013","12","10"]]},"page":"69","title":"Mucosal and systemic T cell response in mice intragastrically infected with Neospora caninum tachyzoites","type":"article-journal","volume":"44"},"uris":["http://www.mendeley.com/documents/?uuid=19882f4e-bdad-3bfb-8938-a1dba45db020"]}],"mendeley":{"formattedCitation":"[13]","plainTextFormattedCitation":"[13]","previouslyFormattedCitation":"[13]"},"properties":{"noteIndex":0},"schema":"https://github.com/citation-style-language/schema/raw/master/csl-citation.json"}</w:instrText>
      </w:r>
      <w:r w:rsidR="00670D8F">
        <w:fldChar w:fldCharType="separate"/>
      </w:r>
      <w:r w:rsidR="004A4DFA" w:rsidRPr="004A4DFA">
        <w:rPr>
          <w:noProof/>
        </w:rPr>
        <w:t>[13]</w:t>
      </w:r>
      <w:r w:rsidR="00670D8F">
        <w:fldChar w:fldCharType="end"/>
      </w:r>
      <w:r w:rsidR="0008798F">
        <w:t>. Here</w:t>
      </w:r>
      <w:r w:rsidR="00C37564">
        <w:t>,</w:t>
      </w:r>
      <w:r w:rsidR="0008798F">
        <w:t xml:space="preserve"> </w:t>
      </w:r>
      <w:r w:rsidR="00986203">
        <w:t xml:space="preserve">when analysing </w:t>
      </w:r>
      <w:r w:rsidR="00986203" w:rsidRPr="00986203">
        <w:rPr>
          <w:i/>
          <w:iCs/>
        </w:rPr>
        <w:t>N. caninum</w:t>
      </w:r>
      <w:r w:rsidR="00986203">
        <w:t xml:space="preserve"> specific circulating T cells, </w:t>
      </w:r>
      <w:r w:rsidR="0008798F">
        <w:t>CD8</w:t>
      </w:r>
      <w:r w:rsidR="0008798F">
        <w:rPr>
          <w:vertAlign w:val="superscript"/>
        </w:rPr>
        <w:t xml:space="preserve">+ </w:t>
      </w:r>
      <w:r w:rsidR="0008798F">
        <w:t>IFN-</w:t>
      </w:r>
      <w:r w:rsidR="0008798F">
        <w:rPr>
          <w:rFonts w:cs="Arial"/>
        </w:rPr>
        <w:t>γ</w:t>
      </w:r>
      <w:r w:rsidR="0008798F">
        <w:t xml:space="preserve"> producing cells were less frequent </w:t>
      </w:r>
      <w:r w:rsidR="00C53489">
        <w:t>than CD4</w:t>
      </w:r>
      <w:r w:rsidR="00C53489" w:rsidRPr="00C53489">
        <w:rPr>
          <w:vertAlign w:val="superscript"/>
        </w:rPr>
        <w:t>+</w:t>
      </w:r>
      <w:r w:rsidR="00C53489">
        <w:t xml:space="preserve"> T cells</w:t>
      </w:r>
      <w:r w:rsidR="00083651">
        <w:t>,</w:t>
      </w:r>
      <w:r w:rsidR="00C53489">
        <w:t xml:space="preserve"> two weeks after infection</w:t>
      </w:r>
      <w:r w:rsidR="0008798F">
        <w:t xml:space="preserve">. </w:t>
      </w:r>
      <w:r w:rsidR="00C53489">
        <w:t xml:space="preserve">The later were found slightly increased in </w:t>
      </w:r>
      <w:r w:rsidR="00986203">
        <w:t xml:space="preserve">the blood of control animals. </w:t>
      </w:r>
      <w:r w:rsidR="00F60616">
        <w:rPr>
          <w:rFonts w:cs="Arial"/>
        </w:rPr>
        <w:t xml:space="preserve">It would be interesting to investigate the </w:t>
      </w:r>
      <w:r w:rsidR="00986203">
        <w:rPr>
          <w:rFonts w:cs="Arial"/>
        </w:rPr>
        <w:t xml:space="preserve">T cell </w:t>
      </w:r>
      <w:r w:rsidR="00F60616">
        <w:rPr>
          <w:rFonts w:cs="Arial"/>
        </w:rPr>
        <w:t xml:space="preserve">response earlier </w:t>
      </w:r>
      <w:r w:rsidR="00986203">
        <w:rPr>
          <w:rFonts w:cs="Arial"/>
        </w:rPr>
        <w:t>upon</w:t>
      </w:r>
      <w:r w:rsidR="00F60616">
        <w:rPr>
          <w:rFonts w:cs="Arial"/>
        </w:rPr>
        <w:t xml:space="preserve"> infection to assess</w:t>
      </w:r>
      <w:r w:rsidR="0008798F">
        <w:rPr>
          <w:rFonts w:cs="Arial"/>
        </w:rPr>
        <w:t xml:space="preserve"> if </w:t>
      </w:r>
      <w:r w:rsidR="00083651">
        <w:rPr>
          <w:rFonts w:cs="Arial"/>
        </w:rPr>
        <w:t xml:space="preserve">parasite-specific </w:t>
      </w:r>
      <w:r w:rsidR="00986203">
        <w:rPr>
          <w:rFonts w:cs="Arial"/>
        </w:rPr>
        <w:t xml:space="preserve">memory T cells induced by immunization could be </w:t>
      </w:r>
      <w:r w:rsidR="0008798F">
        <w:rPr>
          <w:rFonts w:cs="Arial"/>
        </w:rPr>
        <w:t>early sources of IFN-γ.</w:t>
      </w:r>
      <w:r w:rsidR="00A85040" w:rsidRPr="00A85040">
        <w:rPr>
          <w:rFonts w:cs="Arial"/>
        </w:rPr>
        <w:t xml:space="preserve"> </w:t>
      </w:r>
      <w:r w:rsidR="005D1EA2">
        <w:rPr>
          <w:rFonts w:cs="Arial"/>
        </w:rPr>
        <w:t>C</w:t>
      </w:r>
      <w:r w:rsidR="00A85040">
        <w:rPr>
          <w:rFonts w:cs="Arial"/>
        </w:rPr>
        <w:t>ytokine production kinetics could explain the absence of differential IFN-γ production between immunized and control animals when analysis is done at least one week after infection</w:t>
      </w:r>
      <w:r w:rsidR="00042F12">
        <w:rPr>
          <w:rFonts w:cs="Arial"/>
        </w:rPr>
        <w:t>,</w:t>
      </w:r>
      <w:r w:rsidR="00A85040">
        <w:rPr>
          <w:rFonts w:cs="Arial"/>
          <w:color w:val="000000" w:themeColor="text1"/>
        </w:rPr>
        <w:t xml:space="preserve"> </w:t>
      </w:r>
      <w:r w:rsidR="005D1EA2">
        <w:rPr>
          <w:rFonts w:cs="Arial"/>
        </w:rPr>
        <w:t xml:space="preserve">despite high </w:t>
      </w:r>
      <w:r w:rsidR="005D1EA2" w:rsidRPr="00653243">
        <w:rPr>
          <w:rFonts w:cs="Arial"/>
          <w:color w:val="000000" w:themeColor="text1"/>
        </w:rPr>
        <w:t>IFN-γ</w:t>
      </w:r>
      <w:r w:rsidR="005D1EA2">
        <w:rPr>
          <w:rFonts w:cs="Arial"/>
          <w:color w:val="000000" w:themeColor="text1"/>
        </w:rPr>
        <w:t xml:space="preserve"> production upon antigenic recall before infection</w:t>
      </w:r>
      <w:r w:rsidR="005D1EA2">
        <w:rPr>
          <w:rFonts w:cs="Arial"/>
        </w:rPr>
        <w:t xml:space="preserve"> </w:t>
      </w:r>
      <w:r w:rsidR="00A85040">
        <w:rPr>
          <w:rFonts w:cs="Arial"/>
        </w:rPr>
        <w:fldChar w:fldCharType="begin" w:fldLock="1"/>
      </w:r>
      <w:r w:rsidR="00207072">
        <w:rPr>
          <w:rFonts w:cs="Arial"/>
        </w:rPr>
        <w:instrText>ADDIN CSL_CITATION {"citationItems":[{"id":"ITEM-1","itemData":{"DOI":"10.1016/j.vaccine.2016.10.056","ISSN":"0264410X","PMID":"27814932","abstract":"Neospora caninum is an obligate intracellular protozoan parasite responsible for heavy economic losses in dairy and beef cattle farms worldwide. Although vaccination is widely regarded as the preferable strategy to prevent neosporosis no commercial vaccine is currently available. We have previously shown that intranasal immunization with an N. caninum antigen extract enriched in hydrophobic proteins plus CpG adjuvant protected mice against intragastrically established neosporosis. Nevertheless, the antigen specificity as well as the long-term protective effect of this immunization strategy were not determined. Here, we show that the protective effect of this intranasal immunization procedure lasted for at least 20 weeks. Protection was accompanied by long-lasting elevated levels of parasite-specific serum IgG and intestinal IgA. Moreover, spleen and mesenteric lymph node cells obtained from non-infected long-term immunized mice responded by producing interferon-γ following in vitro parasite-antigen recall. Analysis of serum IgG and intestinal IgA antibody reactivity in immunized mice identified dense granule antigen 7 (NcGRA7) and microneme associated protein 1 (NcMIC1) as immunodominant antigens respectively recognized by those antibody fractions. In summary, this work shows that a previously reported mucosal immunization strategy against N. caninum infection established through the gastrointestinal tract is effective in the long term.","author":[{"dropping-particle":"","family":"Ferreirinha","given":"Pedro","non-dropping-particle":"","parse-names":false,"suffix":""},{"dropping-particle":"","family":"Correia","given":"Alexandra","non-dropping-particle":"","parse-names":false,"suffix":""},{"dropping-particle":"","family":"Teixeira-Coelho","given":"Maria","non-dropping-particle":"","parse-names":false,"suffix":""},{"dropping-particle":"","family":"Osório","given":"Hug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accine","id":"ITEM-1","issue":"50","issued":{"date-parts":[["2016","12","7"]]},"page":"6250-6258","publisher":"Elsevier","title":"Mucosal immunization confers long-term protection against intragastrically established Neospora caninum infection","type":"article-journal","volume":"34"},"uris":["http://www.mendeley.com/documents/?uuid=347fba2f-7f3f-3597-90ed-94381d92a6e5"]},{"id":"ITEM-2","itemData":{"DOI":"10.1111/imm.12191","ISSN":"00192805","PMID":"24128071","abstract":"Neospora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author":[{"dropping-particle":"","family":"Ferreirinha","given":"Pedro","non-dropping-particle":"","parse-names":false,"suffix":""},{"dropping-particle":"","family":"Dias","given":"Joana","non-dropping-particle":"","parse-names":false,"suffix":""},{"dropping-particle":"","family":"Correia","given":"Alexandra","non-dropping-particle":"","parse-names":false,"suffix":""},{"dropping-particle":"","family":"Pérez-Cabezas","given":"Begoña","non-dropping-particle":"","parse-names":false,"suffix":""},{"dropping-particle":"","family":"Santos","given":"Carlos","non-dropping-particle":"","parse-names":false,"suffix":""},{"dropping-particle":"","family":"Teixeira","given":"Luzia","non-dropping-particle":"","parse-names":false,"suffix":""},{"dropping-particle":"","family":"Ribeiro","given":"Adília","non-dropping-particle":"","parse-names":false,"suffix":""},{"dropping-particle":"","family":"Rocha","given":"António","non-dropping-particle":"","parse-names":false,"suffix":""},{"dropping-particle":"","family":"Vilanova","given":"Manuel","non-dropping-particle":"","parse-names":false,"suffix":""}],"container-title":"Immunology","id":"ITEM-2","issue":"2","issued":{"date-parts":[["2014","2"]]},"page":"256-267","title":"Protective effect of intranasal immunization with Neospora caninum membrane antigens against murine neosporosis established through the gastrointestinal tract","type":"article-journal","volume":"141"},"uris":["http://www.mendeley.com/documents/?uuid=fbd4020b-89bd-3c5d-8320-1ddc6afb78c0"]}],"mendeley":{"formattedCitation":"[43], [44]","manualFormatting":"[12, 30, 31]","plainTextFormattedCitation":"[43], [44]","previouslyFormattedCitation":"[43], [44]"},"properties":{"noteIndex":0},"schema":"https://github.com/citation-style-language/schema/raw/master/csl-citation.json"}</w:instrText>
      </w:r>
      <w:r w:rsidR="00A85040">
        <w:rPr>
          <w:rFonts w:cs="Arial"/>
        </w:rPr>
        <w:fldChar w:fldCharType="separate"/>
      </w:r>
      <w:r w:rsidR="00A85040">
        <w:rPr>
          <w:rFonts w:cs="Arial"/>
          <w:noProof/>
        </w:rPr>
        <w:t>[</w:t>
      </w:r>
      <w:r w:rsidR="00A85040" w:rsidRPr="000C71A6">
        <w:rPr>
          <w:rFonts w:cs="Arial"/>
          <w:noProof/>
        </w:rPr>
        <w:fldChar w:fldCharType="begin" w:fldLock="1"/>
      </w:r>
      <w:r w:rsidR="004A4DFA">
        <w:rPr>
          <w:rFonts w:cs="Arial"/>
          <w:noProof/>
        </w:rPr>
        <w:instrText>ADDIN CSL_CITATION {"citationItems":[{"id":"ITEM-1","itemData":{"DOI":"10.1371/journal.pone.0268903","ISSN":"1932-6203","PMID":"35604902","abstract":"Background","author":[{"dropping-particle":"","family":"Nayeri","given":"Tooran","non-dropping-particle":"","parse-names":false,"suffix":""},{"dropping-particle":"","family":"Moosazadeh","given":"Mahmood","non-dropping-particle":"","parse-names":false,"suffix":""},{"dropping-particle":"","family":"Sarvi","given":"Shahabeddin","non-dropping-particle":"","parse-names":false,"suffix":""},{"dropping-particle":"","family":"Daryani","given":"Ahmad","non-dropping-particle":"","parse-names":false,"suffix":""}],"container-title":"PLOS ONE","editor":[{"dropping-particle":"","family":"Rosenthal","given":"Benjamin M.","non-dropping-particle":"","parse-names":false,"suffix":""}],"id":"ITEM-1","issue":"5","issued":{"date-parts":[["2022","5","23"]]},"page":"e0268903","publisher":"PLoS One","title":"Neospora caninum infection in aborting bovines and lost fetuses: A systematic review and meta-analysis","type":"article-journal","volume":"17"},"uris":["http://www.mendeley.com/documents/?uuid=213fcfe5-2cf2-3ed1-986b-a5773735de14"]},{"id":"ITEM-2","itemData":{"DOI":"10.1186/1297-9716-44-69","ISSN":"1297-9716","abstract":"The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author":[{"dropping-particle":"","family":"Correia","given":"Alexandra","non-dropping-particle":"","parse-names":false,"suffix":""},{"dropping-particle":"","family":"Ferreirinha","given":"Pedro","non-dropping-particle":"","parse-names":false,"suffix":""},{"dropping-particle":"","family":"Costa","given":"Amanda A","non-dropping-particle":"","parse-names":false,"suffix":""},{"dropping-particle":"","family":"Dias","given":"Joana","non-dropping-particle":"","parse-names":false,"suffix":""},{"dropping-particle":"","family":"Melo","given":"Joana","non-dropping-particle":"","parse-names":false,"suffix":""},{"dropping-particle":"","family":"Costa","given":"Rita","non-dropping-particle":"","parse-names":false,"suffix":""},{"dropping-particle":"","family":"Ribeiro","given":"Adília","non-dropping-particle":"","parse-names":false,"suffix":""},{"dropping-particle":"","family":"Faustino","given":"Augusto","non-dropping-particle":"","parse-names":false,"suffix":""},{"dropping-particle":"","family":"Teixeira","given":"Luzia","non-dropping-particle":"","parse-names":false,"suffix":""},{"dropping-particle":"","family":"Rocha","given":"António","non-dropping-particle":"","parse-names":false,"suffix":""},{"dropping-particle":"","family":"Vilanova","given":"Manuel","non-dropping-particle":"","parse-names":false,"suffix":""}],"container-title":"Veterinary Research","id":"ITEM-2","issue":"1","issued":{"date-parts":[["2013","12","10"]]},"page":"69","title":"Mucosal and systemic T cell response in mice intragastrically infected with Neospora caninum tachyzoites","type":"article-journal","volume":"44"},"uris":["http://www.mendeley.com/documents/?uuid=19882f4e-bdad-3bfb-8938-a1dba45db020"]}],"mendeley":{"formattedCitation":"[1], [13]","manualFormatting":"12,","plainTextFormattedCitation":"[1], [13]","previouslyFormattedCitation":"[1], [13]"},"properties":{"noteIndex":0},"schema":"https://github.com/citation-style-language/schema/raw/master/csl-citation.json"}</w:instrText>
      </w:r>
      <w:r w:rsidR="00A85040" w:rsidRPr="000C71A6">
        <w:rPr>
          <w:rFonts w:cs="Arial"/>
          <w:noProof/>
        </w:rPr>
        <w:fldChar w:fldCharType="separate"/>
      </w:r>
      <w:r w:rsidR="00A85040" w:rsidRPr="00F00084">
        <w:rPr>
          <w:rFonts w:cs="Arial"/>
          <w:noProof/>
        </w:rPr>
        <w:t>12</w:t>
      </w:r>
      <w:r w:rsidR="00A85040">
        <w:rPr>
          <w:rFonts w:cs="Arial"/>
          <w:noProof/>
        </w:rPr>
        <w:t>,</w:t>
      </w:r>
      <w:r w:rsidR="00A85040" w:rsidRPr="000C71A6">
        <w:rPr>
          <w:rFonts w:cs="Arial"/>
          <w:noProof/>
        </w:rPr>
        <w:fldChar w:fldCharType="end"/>
      </w:r>
      <w:r w:rsidR="00A85040">
        <w:rPr>
          <w:rFonts w:cs="Arial"/>
          <w:noProof/>
        </w:rPr>
        <w:t xml:space="preserve"> 30, </w:t>
      </w:r>
      <w:r w:rsidR="00A85040" w:rsidRPr="00F00084">
        <w:rPr>
          <w:rFonts w:cs="Arial"/>
          <w:noProof/>
        </w:rPr>
        <w:t>31]</w:t>
      </w:r>
      <w:r w:rsidR="00A85040">
        <w:rPr>
          <w:rFonts w:cs="Arial"/>
        </w:rPr>
        <w:fldChar w:fldCharType="end"/>
      </w:r>
      <w:r w:rsidR="00A85040">
        <w:rPr>
          <w:rFonts w:cs="Arial"/>
        </w:rPr>
        <w:t xml:space="preserve">. </w:t>
      </w:r>
      <w:r w:rsidR="005D1EA2">
        <w:rPr>
          <w:rFonts w:cs="Arial"/>
        </w:rPr>
        <w:t>Moreover</w:t>
      </w:r>
      <w:r w:rsidR="00A85040">
        <w:rPr>
          <w:rFonts w:cs="Arial"/>
        </w:rPr>
        <w:t>, in a vaccination study against bovine neosporosis, the peak of IFN-</w:t>
      </w:r>
      <w:r w:rsidR="00A85040" w:rsidRPr="00653243">
        <w:rPr>
          <w:rFonts w:cs="Arial"/>
          <w:color w:val="000000" w:themeColor="text1"/>
        </w:rPr>
        <w:t>γ</w:t>
      </w:r>
      <w:r w:rsidR="00A85040">
        <w:rPr>
          <w:rFonts w:cs="Arial"/>
        </w:rPr>
        <w:t xml:space="preserve"> production by PBMC collected after challenge occurred 1-2 days post-infection and no significant IFN-</w:t>
      </w:r>
      <w:r w:rsidR="00A85040" w:rsidRPr="00653243">
        <w:rPr>
          <w:rFonts w:cs="Arial"/>
          <w:color w:val="000000" w:themeColor="text1"/>
        </w:rPr>
        <w:t>γ</w:t>
      </w:r>
      <w:r w:rsidR="00A85040">
        <w:rPr>
          <w:rFonts w:cs="Arial"/>
        </w:rPr>
        <w:t xml:space="preserve"> response was seen one week after challenge</w:t>
      </w:r>
      <w:r w:rsidR="002E7EF9">
        <w:rPr>
          <w:rFonts w:cs="Arial"/>
        </w:rPr>
        <w:t xml:space="preserve"> </w:t>
      </w:r>
      <w:r w:rsidR="002E7EF9">
        <w:rPr>
          <w:rFonts w:cs="Arial"/>
        </w:rPr>
        <w:fldChar w:fldCharType="begin" w:fldLock="1"/>
      </w:r>
      <w:r w:rsidR="002E7EF9">
        <w:rPr>
          <w:rFonts w:cs="Arial"/>
        </w:rPr>
        <w:instrText>ADDIN CSL_CITATION {"citationItems":[{"id":"ITEM-1","itemData":{"DOI":"10.1128/IAI.00777-06/ASSET/ED899FA1-3BE1-4B50-BA9B-658C52D50EE4/ASSETS/GRAPHIC/ZII0030765000002.JPEG","ISSN":"00199567","PMID":"17145943","abstract":"Neospora caninum is an obligate intracellular protozoan parasite that causes abortion in cattle. It is normally found as a latent infection controlled by a T-helper-cell type 1 response involving CD4+ cytotoxic T cells and gamma interferon. Cattle may be infected by two different routes: transplacentally as a result of activation of the latent infection in the mother causing congenital infection or abortion and by ingestion of oocysts, which, if it occurs during gestation, can also result in abortion. Here, for the first time, we establish proof that live vaccination protects against fetal death, whereas immunization using whole-tachyzoite lysate in different adjuvants fails to protect against fetal death. Strong antibody responses were induced in all the vaccinated groups, and the quality and magnitude of these responses were similar in the live- and the lysate-vaccinated groups. In contrast, only the group immunized with live tachyzoites had strong cellular and gamma interferon responses prior to challenge, and these responses correlated with protection against fetopathy. These results suggest that a cellular immune response may be important in the mechanisms involved in protection against N. caninum-associated abortions. Copyright © 2007, American Society for Microbiology. All Rights Reserved.","author":[{"dropping-particle":"","family":"Williams","given":"D. J.L.","non-dropping-particle":"","parse-names":false,"suffix":""},{"dropping-particle":"","family":"Guy","given":"C. S.","non-dropping-particle":"","parse-names":false,"suffix":""},{"dropping-particle":"","family":"Smith","given":"R. F.","non-dropping-particle":"","parse-names":false,"suffix":""},{"dropping-particle":"","family":"Ellis","given":"J.","non-dropping-particle":"","parse-names":false,"suffix":""},{"dropping-particle":"","family":"Björkman","given":"C.","non-dropping-particle":"","parse-names":false,"suffix":""},{"dropping-particle":"","family":"Reichel","given":"M. P.","non-dropping-particle":"","parse-names":false,"suffix":""},{"dropping-particle":"","family":"Trees","given":"A. J.","non-dropping-particle":"","parse-names":false,"suffix":""}],"container-title":"Infection and Immunity","id":"ITEM-1","issue":"3","issued":{"date-parts":[["2007","3"]]},"page":"1343-1348","publisher":"\nAmerican Society for Microbiology\n","title":"Immunization of cattle with live tachyzoites of Neospora caninum confers protection against fetal death","type":"article-journal","volume":"75"},"uris":["http://www.mendeley.com/documents/?uuid=239b310c-4eba-3517-9580-ac882155de49"]}],"mendeley":{"formattedCitation":"[64]","plainTextFormattedCitation":"[64]","previouslyFormattedCitation":"[64]"},"properties":{"noteIndex":0},"schema":"https://github.com/citation-style-language/schema/raw/master/csl-citation.json"}</w:instrText>
      </w:r>
      <w:r w:rsidR="002E7EF9">
        <w:rPr>
          <w:rFonts w:cs="Arial"/>
        </w:rPr>
        <w:fldChar w:fldCharType="separate"/>
      </w:r>
      <w:r w:rsidR="002E7EF9" w:rsidRPr="002E7EF9">
        <w:rPr>
          <w:rFonts w:cs="Arial"/>
          <w:noProof/>
        </w:rPr>
        <w:t>[64]</w:t>
      </w:r>
      <w:r w:rsidR="002E7EF9">
        <w:rPr>
          <w:rFonts w:cs="Arial"/>
        </w:rPr>
        <w:fldChar w:fldCharType="end"/>
      </w:r>
      <w:r w:rsidR="00A85040">
        <w:rPr>
          <w:rFonts w:cs="Arial"/>
        </w:rPr>
        <w:t xml:space="preserve">. </w:t>
      </w:r>
      <w:r w:rsidR="005D1EA2">
        <w:rPr>
          <w:rFonts w:cs="Arial"/>
        </w:rPr>
        <w:t xml:space="preserve"> </w:t>
      </w:r>
    </w:p>
    <w:p w14:paraId="1EB6AD92" w14:textId="5594B1A1" w:rsidR="000F70A1" w:rsidRPr="00746879" w:rsidRDefault="00D63727" w:rsidP="00746879">
      <w:r>
        <w:rPr>
          <w:rFonts w:cs="Arial"/>
        </w:rPr>
        <w:t xml:space="preserve">IL-17 cytokine family </w:t>
      </w:r>
      <w:r w:rsidR="00042F12">
        <w:rPr>
          <w:rFonts w:cs="Arial"/>
        </w:rPr>
        <w:t>is</w:t>
      </w:r>
      <w:r>
        <w:rPr>
          <w:rFonts w:cs="Arial"/>
        </w:rPr>
        <w:t xml:space="preserve"> known to mediate the inflammation that is usually linked to extracellular bacterial and fungal infections </w:t>
      </w:r>
      <w:r>
        <w:rPr>
          <w:rFonts w:cs="Arial"/>
        </w:rPr>
        <w:fldChar w:fldCharType="begin" w:fldLock="1"/>
      </w:r>
      <w:r w:rsidR="004A4DFA">
        <w:rPr>
          <w:rFonts w:cs="Arial"/>
        </w:rPr>
        <w:instrText>ADDIN CSL_CITATION {"citationItems":[{"id":"ITEM-1","itemData":{"ISBN":"978-1-4557-0362-3","abstract":"The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Sciences","edition":"9th","id":"ITEM-1","issued":{"date-parts":[["2012"]]},"publisher":"W.B. Saunders Company","title":"Veterinary Immunology","type":"chapter"},"uris":["http://www.mendeley.com/documents/?uuid=5b612fa0-4782-467b-a937-4cc8cbeba109"]}],"mendeley":{"formattedCitation":"[19]","plainTextFormattedCitation":"[19]","previouslyFormattedCitation":"[19]"},"properties":{"noteIndex":0},"schema":"https://github.com/citation-style-language/schema/raw/master/csl-citation.json"}</w:instrText>
      </w:r>
      <w:r>
        <w:rPr>
          <w:rFonts w:cs="Arial"/>
        </w:rPr>
        <w:fldChar w:fldCharType="separate"/>
      </w:r>
      <w:r w:rsidR="004A4DFA" w:rsidRPr="004A4DFA">
        <w:rPr>
          <w:rFonts w:cs="Arial"/>
          <w:noProof/>
        </w:rPr>
        <w:t>[19]</w:t>
      </w:r>
      <w:r>
        <w:rPr>
          <w:rFonts w:cs="Arial"/>
        </w:rPr>
        <w:fldChar w:fldCharType="end"/>
      </w:r>
      <w:r>
        <w:rPr>
          <w:rFonts w:cs="Arial"/>
        </w:rPr>
        <w:t xml:space="preserve">, but their action has been extended </w:t>
      </w:r>
      <w:r w:rsidR="008D03F6">
        <w:rPr>
          <w:rFonts w:cs="Arial"/>
        </w:rPr>
        <w:t>t</w:t>
      </w:r>
      <w:r w:rsidR="00042F12">
        <w:rPr>
          <w:rFonts w:cs="Arial"/>
        </w:rPr>
        <w:t>o</w:t>
      </w:r>
      <w:r w:rsidR="008D03F6">
        <w:rPr>
          <w:rFonts w:cs="Arial"/>
        </w:rPr>
        <w:t xml:space="preserve"> several protozoan infections</w:t>
      </w:r>
      <w:r w:rsidR="00856FFC">
        <w:t>,</w:t>
      </w:r>
      <w:r>
        <w:t xml:space="preserve"> </w:t>
      </w:r>
      <w:r w:rsidR="000F70A1">
        <w:t xml:space="preserve">such as </w:t>
      </w:r>
      <w:r w:rsidR="000F70A1">
        <w:rPr>
          <w:i/>
        </w:rPr>
        <w:t>T</w:t>
      </w:r>
      <w:r w:rsidR="00042F12">
        <w:rPr>
          <w:i/>
        </w:rPr>
        <w:t>.</w:t>
      </w:r>
      <w:r w:rsidR="000F70A1">
        <w:rPr>
          <w:i/>
        </w:rPr>
        <w:t xml:space="preserve"> gondii</w:t>
      </w:r>
      <w:r w:rsidR="000F70A1">
        <w:t xml:space="preserve">, </w:t>
      </w:r>
      <w:r w:rsidR="000F70A1">
        <w:rPr>
          <w:i/>
        </w:rPr>
        <w:t>N. caninum</w:t>
      </w:r>
      <w:r w:rsidR="000F70A1">
        <w:t xml:space="preserve"> and </w:t>
      </w:r>
      <w:r w:rsidR="000F70A1">
        <w:rPr>
          <w:i/>
        </w:rPr>
        <w:t xml:space="preserve">Cryptosporidium parvum </w:t>
      </w:r>
      <w:r w:rsidR="000F70A1">
        <w:rPr>
          <w:i/>
        </w:rPr>
        <w:fldChar w:fldCharType="begin" w:fldLock="1"/>
      </w:r>
      <w:r w:rsidR="002E7EF9">
        <w:rPr>
          <w:i/>
        </w:rPr>
        <w:instrText>ADDIN CSL_CITATION {"citationItems":[{"id":"ITEM-1","itemData":{"DOI":"10.1016/J.VETIMM.2011.09.008","ISSN":"01652427","PMID":"22005586","abstract":"Neospora caninum infects bovine hosts giving rise to pro-inflammatory immune responses that can result in foetal death or spontaneous abortion, this appears to be mediated by the actions of IFN-γ on cell activation and migration/trafficking. Yet successful vaccination or natural immunity is also strongly correlated with IFN-γ production. We utilised in vitro infection of bovine macrophages to prime naive T-cell responses. Naive T-cells in contact with infected macrophages produce both IFN-γ and IL-17 in a pattern that is dependent on whether the priming macrophage was protected or non-protected. Our results may explain the apparent dual role of IFN-γ during infection if a second major pro-inflammatory cytokine, IL-17, is produced simultaneously. © 2011 Elsevier B.V.","author":[{"dropping-particle":"","family":"Flynn","given":"Robin J.","non-dropping-particle":"","parse-names":false,"suffix":""},{"dropping-particle":"","family":"Marshall","given":"Edward S.","non-dropping-particle":"","parse-names":false,"suffix":""}],"container-title":"Veterinary Immunology and Immunopathology","id":"ITEM-1","issue":"3-4","issued":{"date-parts":[["2011","12","15"]]},"page":"423-429","title":"Parasite limiting macrophages promote IL-17 secretion in naive bovine CD4 + T-cells during Neospora caninum infection","type":"article-journal","volume":"144"},"uris":["http://www.mendeley.com/documents/?uuid=e3548d0f-f19d-310b-b7b7-1b1253bd0274"]},{"id":"ITEM-2","itemData":{"DOI":"10.1016/J.VETIMM.2017.07.009","ISSN":"0165-2427","PMID":"28895860","abstract":"Cryptosporidium parvum causes diarrhoea, due to villi damage, in livestock and humans globally. Immunity develops after repeated infections but initial infections can be severe, highlighting the importance of early infection dynamics. We have modelled early C. parvum infection in bovine jejunum biopsies. IL-17A accumulated over time peaking at 9 h post-infection, with no effect of infection on IL-1β; antibiotics positively influenced IL-17A as higher levels were found in cultures with antibiotics. Infection of primary fibroblasts resulted in lower plaque formation when fibroblasts were primed with IL-17A. Our results indicate a role for IL-17A in reducing C. parvum-dependent host cell damage.","author":[{"dropping-particle":"","family":"Drinkall","given":"Emma","non-dropping-particle":"","parse-names":false,"suffix":""},{"dropping-particle":"","family":"Wass","given":"Matthew J.","non-dropping-particle":"","parse-names":false,"suffix":""},{"dropping-particle":"","family":"Coffey","given":"Tracey J.","non-dropping-particle":"","parse-names":false,"suffix":""},{"dropping-particle":"","family":"Flynn","given":"Robin J.","non-dropping-particle":"","parse-names":false,"suffix":""}],"container-title":"Veterinary Immunology and Immunopathology","id":"ITEM-2","issued":{"date-parts":[["2017","9","1"]]},"page":"1-4","publisher":"Elsevier","title":"A rapid IL-17 response to Cryptosporidium parvum in the bovine intestine","type":"article-journal","volume":"191"},"uris":["http://www.mendeley.com/documents/?uuid=5dcbfaa7-43f7-39df-b98f-a6c819213371"]},{"id":"ITEM-3","itemData":{"DOI":"10.1155/2014/573825","abstract":"This study aimed to measure the synthesis of Th1 and Th2 cytokines by mononuclear cells after culture with live T. gondii and identified Th17 (CD4 +) and Tc17 (CD8 +) cells in toxoplasma-seronegative and toxoplasma-seropositive parturient and nonpregnant women. Cytometric bead arrays were used to measure cytokine levels (IL-2, TNF-í µí»¼, IFN-í µí»¾, IL-4, IL-5, and IL-10); immunophenotyping was used to characterize Th17 and Tc17 cells, and the cells were stained with antibodies against CD4 + and CD8 + T cells expressing IL-17. The addition of tachyzoites to cell cultures induced the synthesis of IL-5, IL-10, and TNF-í µí»¼ by cells from seronegative parturient women and of IL-5 and IL-10 by cells from seropositive, nonpregnant women. We observed a lower level of IL-17-expressing CD4 + and CD8 + T lymphocytes in cultures of cells from seronegative and seropositive parturient and nonpregnant women that were stimulated with tachyzoites, whereas analysis of the CD4 + and CD8 + T cell populations showed a higher level of CD4 + T cells compared with CD8 + T cells. These results suggest that the cytokine pattern and IL-17-expressing CD4 + and CD8 + T lymphocytes may have important roles in the inflammatory response to T. gondii, thus contributing to the maintenance of pregnancy and control of parasite invasion and replication.","author":[{"dropping-particle":"","family":"Líver Alves Silva","given":"Jéssica","non-dropping-particle":"","parse-names":false,"suffix":""},{"dropping-particle":"","family":"Rezende-Oliveira","given":"Karine","non-dropping-particle":"","parse-names":false,"suffix":""},{"dropping-particle":"","family":"Vinicius da Silva","given":"Marcos","non-dropping-particle":"","parse-names":false,"suffix":""},{"dropping-particle":"","family":"Gómez-Hernández","given":"César","non-dropping-particle":"","parse-names":false,"suffix":""},{"dropping-particle":"","family":"Crema Peghini","given":"Bethânea","non-dropping-particle":"","parse-names":false,"suffix":""},{"dropping-particle":"","family":"Maria Silva","given":"Neide","non-dropping-particle":"","parse-names":false,"suffix":""},{"dropping-particle":"","family":"Roberto Mineo","given":"José","non-dropping-particle":"","parse-names":false,"suffix":""},{"dropping-particle":"","family":"Rodrigues Júnior","given":"Virmondes","non-dropping-particle":"","parse-names":false,"suffix":""}],"id":"ITEM-3","issued":{"date-parts":[["2014"]]},"title":"IL-17-Expressing CD4 + and CD8 + T Lymphocytes in Human Toxoplasmosis","type":"article-journal"},"uris":["http://www.mendeley.com/documents/?uuid=7774e89d-d5c4-3d88-82c9-4a1df049a0bb"]}],"mendeley":{"formattedCitation":"[54], [67], [68]","manualFormatting":"[12, 44, 57, 58]","plainTextFormattedCitation":"[54], [67], [68]","previouslyFormattedCitation":"[54], [67], [68]"},"properties":{"noteIndex":0},"schema":"https://github.com/citation-style-language/schema/raw/master/csl-citation.json"}</w:instrText>
      </w:r>
      <w:r w:rsidR="000F70A1">
        <w:rPr>
          <w:i/>
        </w:rPr>
        <w:fldChar w:fldCharType="separate"/>
      </w:r>
      <w:r w:rsidR="002600A2">
        <w:rPr>
          <w:noProof/>
        </w:rPr>
        <w:t>[</w:t>
      </w:r>
      <w:r w:rsidR="003A4EC4">
        <w:rPr>
          <w:noProof/>
        </w:rPr>
        <w:t xml:space="preserve">12, </w:t>
      </w:r>
      <w:r w:rsidR="002600A2">
        <w:rPr>
          <w:noProof/>
        </w:rPr>
        <w:t xml:space="preserve">44, 57, </w:t>
      </w:r>
      <w:r w:rsidR="00F00084" w:rsidRPr="00F00084">
        <w:rPr>
          <w:noProof/>
        </w:rPr>
        <w:t>58]</w:t>
      </w:r>
      <w:r w:rsidR="000F70A1">
        <w:rPr>
          <w:i/>
        </w:rPr>
        <w:fldChar w:fldCharType="end"/>
      </w:r>
      <w:r w:rsidR="000F70A1">
        <w:t xml:space="preserve">. </w:t>
      </w:r>
      <w:r w:rsidR="009249D4">
        <w:t xml:space="preserve">IL-17 has shown a greater importance in enhancing epithelial protection, and is mainly </w:t>
      </w:r>
      <w:r w:rsidR="00F20F55">
        <w:t xml:space="preserve">produced by Th17 and TCR </w:t>
      </w:r>
      <w:r w:rsidR="00F20F55">
        <w:rPr>
          <w:rFonts w:cs="Arial"/>
        </w:rPr>
        <w:t>γδ</w:t>
      </w:r>
      <w:r w:rsidR="00F20F55" w:rsidRPr="00AE5A28">
        <w:rPr>
          <w:vertAlign w:val="superscript"/>
        </w:rPr>
        <w:t>+</w:t>
      </w:r>
      <w:r w:rsidR="00F20F55">
        <w:t xml:space="preserve"> cells</w:t>
      </w:r>
      <w:r w:rsidR="009249D4">
        <w:t xml:space="preserve"> </w:t>
      </w:r>
      <w:r w:rsidR="009249D4">
        <w:fldChar w:fldCharType="begin" w:fldLock="1"/>
      </w:r>
      <w:r w:rsidR="002E7EF9">
        <w:instrText>ADDIN CSL_CITATION {"citationItems":[{"id":"ITEM-1","itemData":{"DOI":"10.1038/srep05431","ISSN":"2045-2322","PMID":"24961164","abstract":"IL-17 has emerged as a key player in the immune system, exhibiting roles in protection from infectious diseases and promoting inflammation in autoimmunity. Initially thought to be CD4 T-cell-derived, the sources of IL-17 are now known to be varied and belong to both the innate and adaptive arms of the immune system. Mechanisms for inducing IL-17 production in lymphoid cells are thought to rely on appropriate antigenic stimulation in the context of TGF-β1, IL-6 and/or IL-1β. Using culture protocols adapted from human studies, we have effectively induced both bovine CD4+ and WC1+ γδ T-cells to produce IL-17 termed Th17 and γδ17 cells, respectively. The negative regulatory effect of IFN-γ on mouse and human IL-17 production can be extended to the bovine model, as addition of IFN-γ decreases IL-17 production in both cell types. Furthermore we show that infection with the protozoan Neospora caninum will induce fibroblasts to secrete pro-IL-17 factors thereby inducing a γδ17 phenotype that preferentially kills infected target cells. Our study identifies two T-cell sources of IL-17 and is the first to demonstrate a protective effect of IL-17+ T-cells in ruminants. Our findings offer further opportunities for future adjuvants or vaccines which could benefit from inducing these responses.","author":[{"dropping-particle":"","family":"Peckham","given":"R. K.","non-dropping-particle":"","parse-names":false,"suffix":""},{"dropping-particle":"","family":"Brill","given":"R.","non-dropping-particle":"","parse-names":false,"suffix":""},{"dropping-particle":"","family":"Foster","given":"D. S.","non-dropping-particle":"","parse-names":false,"suffix":""},{"dropping-particle":"","family":"Bowen","given":"A. L.","non-dropping-particle":"","parse-names":false,"suffix":""},{"dropping-particle":"","family":"Leigh","given":"J. A.","non-dropping-particle":"","parse-names":false,"suffix":""},{"dropping-particle":"","family":"Coffey","given":"T. J.","non-dropping-particle":"","parse-names":false,"suffix":""},{"dropping-particle":"","family":"Flynn","given":"R. J.","non-dropping-particle":"","parse-names":false,"suffix":""}],"container-title":"Scientific Reports 2014 4:1","id":"ITEM-1","issue":"1","issued":{"date-parts":[["2014","6","25"]]},"page":"1-5","publisher":"Nature Publishing Group","title":"Two distinct populations of Bovine IL-17+ T-cells can be induced and WC1+IL-17+γδ T-cells are effective killers of protozoan parasites","type":"article-journal","volume":"4"},"uris":["http://www.mendeley.com/documents/?uuid=c6606cc8-8a57-336b-8051-fdc52aeaafe2"]},{"id":"ITEM-2","itemData":{"DOI":"10.1038/ni.3742","ISSN":"1529-2916","PMID":"28518156","abstract":"Although interleukin 17 (IL-17) has modest activity on its own, it has a substantial impact in immunity through its synergistic action with other factors and its self-sustaining feedback loop. Veldhoen discusses the role of IL-17 during infections. Increased understanding of the biology of interleukin 17 (IL-17) has revealed that this cytokine is a central player in immunity at the sites most exposed to microorganisms. Although it has been strongly associated with immunopathology, IL-17 also has an important role in host defense. The regulation of IL-17 secretion seems to be shared among various cell types, each of which can concomitantly secrete additional products. IL-17 has only modest activity on its own; its impact in immunity arises from its synergistic action with other factors, its self-sustaining feedback loop and, in some cases, its role as a counterpart of interferon-γ (IFN-γ). Together these attributes provide a robust response against microorganisms, but they can equally contribute to immune pathology. Here we focus on a discussion of the role of IL-17 during infection.","author":[{"dropping-particle":"","family":"Veldhoen","given":"Marc","non-dropping-particle":"","parse-names":false,"suffix":""}],"container-title":"Nature Immunology 2017 18:6","id":"ITEM-2","issue":"6","issued":{"date-parts":[["2017","5","18"]]},"page":"612-621","publisher":"Nature Publishing Group","title":"Interleukin 17 is a chief orchestrator of immunity","type":"article-journal","volume":"18"},"uris":["http://www.mendeley.com/documents/?uuid=881ab191-4db1-3572-95a8-513ba54ca851"]}],"mendeley":{"formattedCitation":"[55], [69]","manualFormatting":"[45, 59]","plainTextFormattedCitation":"[55], [69]","previouslyFormattedCitation":"[55], [69]"},"properties":{"noteIndex":0},"schema":"https://github.com/citation-style-language/schema/raw/master/csl-citation.json"}</w:instrText>
      </w:r>
      <w:r w:rsidR="009249D4">
        <w:fldChar w:fldCharType="separate"/>
      </w:r>
      <w:r w:rsidR="002600A2">
        <w:rPr>
          <w:noProof/>
        </w:rPr>
        <w:t xml:space="preserve">[45, </w:t>
      </w:r>
      <w:r w:rsidR="00F00084" w:rsidRPr="00F00084">
        <w:rPr>
          <w:noProof/>
        </w:rPr>
        <w:t>59]</w:t>
      </w:r>
      <w:r w:rsidR="009249D4">
        <w:fldChar w:fldCharType="end"/>
      </w:r>
      <w:r w:rsidR="009249D4">
        <w:t xml:space="preserve">. </w:t>
      </w:r>
      <w:r w:rsidR="00F90E62">
        <w:t xml:space="preserve">Studies indicate that TCR </w:t>
      </w:r>
      <w:r w:rsidR="00F90E62">
        <w:rPr>
          <w:rFonts w:cs="Arial"/>
        </w:rPr>
        <w:t>γδ</w:t>
      </w:r>
      <w:r w:rsidR="00F90E62" w:rsidRPr="00AE5A28">
        <w:rPr>
          <w:vertAlign w:val="superscript"/>
        </w:rPr>
        <w:t>+</w:t>
      </w:r>
      <w:r w:rsidR="00F90E62">
        <w:t xml:space="preserve"> seemingly act </w:t>
      </w:r>
      <w:r w:rsidR="00042F12">
        <w:t>in</w:t>
      </w:r>
      <w:r w:rsidR="00F90E62">
        <w:t xml:space="preserve"> short-term and that Th17 may be associated with a long-term IL-17A production </w:t>
      </w:r>
      <w:r w:rsidR="00F90E62">
        <w:fldChar w:fldCharType="begin" w:fldLock="1"/>
      </w:r>
      <w:r w:rsidR="002E7EF9">
        <w:instrText>ADDIN CSL_CITATION {"citationItems":[{"id":"ITEM-1","itemData":{"DOI":"10.1016/j.gene.2017.01.016","ISSN":"03781119","abstract":"The discovery of the key roles of interleukin-17A (IL-17A) and IL-17A producing cells in inflammation, autoimmune diseases and host defense has led to the experimental targeting of the IL-17A pathway in animal models of diseases as well as in clinical trials in humans. These therapeutic agents include biological products that target IL-17A and IL-23, an upstream regulator of IL-17A production. IL-17A producing T helper cells (Th17 cells) are a distinct lineage from the Th1 and Th2 CD4+ lineages and have been suggested to represent a good drug target in certain inflammatory conditions. Targeting IL-17A has been proven to be a good approach as anti-IL-17A is FDA approved for the treatment of psoriasis in 2015. In host defense, IL-17A has been shown to be mostly beneficial against infection caused by extracellular bacteria and fungi. This review will overview the discovery of IL-17A, the receptors used by this cytokine and its role in mucosal immunity and inflammation.","author":[{"dropping-particle":"","family":"Chen","given":"Kong","non-dropping-particle":"","parse-names":false,"suffix":""},{"dropping-particle":"","family":"Kolls","given":"Jay K","non-dropping-particle":"","parse-names":false,"suffix":""}],"container-title":"Gene","id":"ITEM-1","issued":{"date-parts":[["2017","5"]]},"page":"8-14","title":"Interluekin-17A (IL17A)","type":"article-journal","volume":"614"},"uris":["http://www.mendeley.com/documents/?uuid=326131a7-0482-3ed2-9ca2-b4a3a38be460"]},{"id":"ITEM-2","itemData":{"DOI":"10.1038/srep05431","ISSN":"2045-2322","PMID":"24961164","abstract":"IL-17 has emerged as a key player in the immune system, exhibiting roles in protection from infectious diseases and promoting inflammation in autoimmunity. Initially thought to be CD4 T-cell-derived, the sources of IL-17 are now known to be varied and belong to both the innate and adaptive arms of the immune system. Mechanisms for inducing IL-17 production in lymphoid cells are thought to rely on appropriate antigenic stimulation in the context of TGF-β1, IL-6 and/or IL-1β. Using culture protocols adapted from human studies, we have effectively induced both bovine CD4+ and WC1+ γδ T-cells to produce IL-17 termed Th17 and γδ17 cells, respectively. The negative regulatory effect of IFN-γ on mouse and human IL-17 production can be extended to the bovine model, as addition of IFN-γ decreases IL-17 production in both cell types. Furthermore we show that infection with the protozoan Neospora caninum will induce fibroblasts to secrete pro-IL-17 factors thereby inducing a γδ17 phenotype that preferentially kills infected target cells. Our study identifies two T-cell sources of IL-17 and is the first to demonstrate a protective effect of IL-17+ T-cells in ruminants. Our findings offer further opportunities for future adjuvants or vaccines which could benefit from inducing these responses.","author":[{"dropping-particle":"","family":"Peckham","given":"R. K.","non-dropping-particle":"","parse-names":false,"suffix":""},{"dropping-particle":"","family":"Brill","given":"R.","non-dropping-particle":"","parse-names":false,"suffix":""},{"dropping-particle":"","family":"Foster","given":"D. S.","non-dropping-particle":"","parse-names":false,"suffix":""},{"dropping-particle":"","family":"Bowen","given":"A. L.","non-dropping-particle":"","parse-names":false,"suffix":""},{"dropping-particle":"","family":"Leigh","given":"J. A.","non-dropping-particle":"","parse-names":false,"suffix":""},{"dropping-particle":"","family":"Coffey","given":"T. J.","non-dropping-particle":"","parse-names":false,"suffix":""},{"dropping-particle":"","family":"Flynn","given":"R. J.","non-dropping-particle":"","parse-names":false,"suffix":""}],"container-title":"Scientific Reports 2014 4:1","id":"ITEM-2","issue":"1","issued":{"date-parts":[["2014","6","25"]]},"page":"1-5","publisher":"Nature Publishing Group","title":"Two distinct populations of Bovine IL-17+ T-cells can be induced and WC1+IL-17+γδ T-cells are effective killers of protozoan parasites","type":"article-journal","volume":"4"},"uris":["http://www.mendeley.com/documents/?uuid=c6606cc8-8a57-336b-8051-fdc52aeaafe2"]}],"mendeley":{"formattedCitation":"[55], [70]","manualFormatting":"[45, 61]","plainTextFormattedCitation":"[55], [70]","previouslyFormattedCitation":"[55], [70]"},"properties":{"noteIndex":0},"schema":"https://github.com/citation-style-language/schema/raw/master/csl-citation.json"}</w:instrText>
      </w:r>
      <w:r w:rsidR="00F90E62">
        <w:fldChar w:fldCharType="separate"/>
      </w:r>
      <w:r w:rsidR="00F90E62">
        <w:rPr>
          <w:noProof/>
        </w:rPr>
        <w:t xml:space="preserve">[45, </w:t>
      </w:r>
      <w:r w:rsidR="00F90E62" w:rsidRPr="00F00084">
        <w:rPr>
          <w:noProof/>
        </w:rPr>
        <w:t>61]</w:t>
      </w:r>
      <w:r w:rsidR="00F90E62">
        <w:fldChar w:fldCharType="end"/>
      </w:r>
      <w:r w:rsidR="00F90E62">
        <w:t xml:space="preserve">. </w:t>
      </w:r>
      <w:r w:rsidR="009249D4">
        <w:t xml:space="preserve">Th17 cells </w:t>
      </w:r>
      <w:r w:rsidR="00C15AF1">
        <w:t xml:space="preserve">also </w:t>
      </w:r>
      <w:r w:rsidR="009249D4">
        <w:t xml:space="preserve">have been shown to induce IgA production in intestinal Peyer’s patches </w:t>
      </w:r>
      <w:r w:rsidR="009249D4">
        <w:fldChar w:fldCharType="begin" w:fldLock="1"/>
      </w:r>
      <w:r w:rsidR="002E7EF9">
        <w:instrText>ADDIN CSL_CITATION {"citationItems":[{"id":"ITEM-1","itemData":{"DOI":"10.1038/ni.3742","ISSN":"1529-2916","PMID":"28518156","abstract":"Although interleukin 17 (IL-17) has modest activity on its own, it has a substantial impact in immunity through its synergistic action with other factors and its self-sustaining feedback loop. Veldhoen discusses the role of IL-17 during infections. Increased understanding of the biology of interleukin 17 (IL-17) has revealed that this cytokine is a central player in immunity at the sites most exposed to microorganisms. Although it has been strongly associated with immunopathology, IL-17 also has an important role in host defense. The regulation of IL-17 secretion seems to be shared among various cell types, each of which can concomitantly secrete additional products. IL-17 has only modest activity on its own; its impact in immunity arises from its synergistic action with other factors, its self-sustaining feedback loop and, in some cases, its role as a counterpart of interferon-γ (IFN-γ). Together these attributes provide a robust response against microorganisms, but they can equally contribute to immune pathology. Here we focus on a discussion of the role of IL-17 during infection.","author":[{"dropping-particle":"","family":"Veldhoen","given":"Marc","non-dropping-particle":"","parse-names":false,"suffix":""}],"container-title":"Nature Immunology 2017 18:6","id":"ITEM-1","issue":"6","issued":{"date-parts":[["2017","5","18"]]},"page":"612-621","publisher":"Nature Publishing Group","title":"Interleukin 17 is a chief orchestrator of immunity","type":"article-journal","volume":"18"},"uris":["http://www.mendeley.com/documents/?uuid=881ab191-4db1-3572-95a8-513ba54ca851"]},{"id":"ITEM-2","itemData":{"DOI":"10.1038/NI.2552","ISSN":"1529-2916","PMID":"23475182","abstract":"Intestinal Peyer's patches are essential lymphoid organs for the generation of T cell-dependent immunoglobulin A (IgA) for guTHomeostasis. Through the use of interleukin 17 (IL-17) fate-reporter mice, we found here that endogenous cells of the TH 17 subset of helper T cells in lymphoid organs of naive mice 'preferentially' homed to the intestines and were maintained independently of IL-23. In Peyer's patches, such TH 17 cells acquired a follicular helper T cell (T FH cell) phenotype and induced the development of IgA-producing germinal center B cells. Mice deficient in T H 17 cells failed to generate antigen-specific IgA responses, which provides evidence that TH 17 cells are the crucial subset required for the production of high-affinity T cell-dependent IgA. © 2013 Nature America, Inc. All rights reserved.","author":[{"dropping-particle":"","family":"Hirota","given":"Keiji","non-dropping-particle":"","parse-names":false,"suffix":""},{"dropping-particle":"","family":"Turner","given":"Jan Eric","non-dropping-particle":"","parse-names":false,"suffix":""},{"dropping-particle":"","family":"Villa","given":"Matteo","non-dropping-particle":"","parse-names":false,"suffix":""},{"dropping-particle":"","family":"Duarte","given":"João H.","non-dropping-particle":"","parse-names":false,"suffix":""},{"dropping-particle":"","family":"Demengeot","given":"Jocelyne","non-dropping-particle":"","parse-names":false,"suffix":""},{"dropping-particle":"","family":"Steinmetz","given":"Oliver M.","non-dropping-particle":"","parse-names":false,"suffix":""},{"dropping-particle":"","family":"Stockinger","given":"Brigitta","non-dropping-particle":"","parse-names":false,"suffix":""}],"container-title":"Nature immunology","id":"ITEM-2","issue":"4","issued":{"date-parts":[["2013","4"]]},"page":"372-379","publisher":"Nat Immunol","title":"Plasticity of Th17 cells in Peyer's patches is responsible for the induction of T cell-dependent IgA responses","type":"article-journal","volume":"14"},"uris":["http://www.mendeley.com/documents/?uuid=b4e264c3-a61c-336b-8ac8-e985c523e461"]}],"mendeley":{"formattedCitation":"[69], [71]","manualFormatting":"[59, 60]","plainTextFormattedCitation":"[69], [71]","previouslyFormattedCitation":"[69], [71]"},"properties":{"noteIndex":0},"schema":"https://github.com/citation-style-language/schema/raw/master/csl-citation.json"}</w:instrText>
      </w:r>
      <w:r w:rsidR="009249D4">
        <w:fldChar w:fldCharType="separate"/>
      </w:r>
      <w:r w:rsidR="002600A2">
        <w:rPr>
          <w:noProof/>
        </w:rPr>
        <w:t xml:space="preserve">[59, </w:t>
      </w:r>
      <w:r w:rsidR="00F00084" w:rsidRPr="00F00084">
        <w:rPr>
          <w:noProof/>
        </w:rPr>
        <w:t>60]</w:t>
      </w:r>
      <w:r w:rsidR="009249D4">
        <w:fldChar w:fldCharType="end"/>
      </w:r>
      <w:r w:rsidR="009249D4">
        <w:t xml:space="preserve">. </w:t>
      </w:r>
      <w:r w:rsidR="003A4EC4">
        <w:t xml:space="preserve">A </w:t>
      </w:r>
      <w:r w:rsidR="009249D4">
        <w:t xml:space="preserve">TCR </w:t>
      </w:r>
      <w:r w:rsidR="009249D4">
        <w:rPr>
          <w:rFonts w:cs="Arial"/>
        </w:rPr>
        <w:t>γδ</w:t>
      </w:r>
      <w:r w:rsidR="009249D4" w:rsidRPr="00AE5A28">
        <w:rPr>
          <w:vertAlign w:val="superscript"/>
        </w:rPr>
        <w:t>+</w:t>
      </w:r>
      <w:r w:rsidR="009249D4">
        <w:t xml:space="preserve"> IL-17A producing cell</w:t>
      </w:r>
      <w:r w:rsidR="003A4EC4">
        <w:t xml:space="preserve"> population</w:t>
      </w:r>
      <w:r w:rsidR="009249D4">
        <w:t xml:space="preserve"> w</w:t>
      </w:r>
      <w:r w:rsidR="003A4EC4">
        <w:t>as</w:t>
      </w:r>
      <w:r w:rsidR="009249D4">
        <w:t xml:space="preserve"> </w:t>
      </w:r>
      <w:r w:rsidR="00A17632">
        <w:t xml:space="preserve">already </w:t>
      </w:r>
      <w:r w:rsidR="003A4EC4">
        <w:t>shown to be an efficient</w:t>
      </w:r>
      <w:r w:rsidR="00A17632">
        <w:t xml:space="preserve"> </w:t>
      </w:r>
      <w:r w:rsidR="00A17632" w:rsidRPr="00A17632">
        <w:rPr>
          <w:i/>
          <w:iCs/>
        </w:rPr>
        <w:t>N. caninum</w:t>
      </w:r>
      <w:r w:rsidR="003A4EC4">
        <w:rPr>
          <w:i/>
          <w:iCs/>
        </w:rPr>
        <w:t xml:space="preserve"> </w:t>
      </w:r>
      <w:r w:rsidR="003A4EC4" w:rsidRPr="003A4EC4">
        <w:t>killer</w:t>
      </w:r>
      <w:r w:rsidR="002E7EF9">
        <w:t xml:space="preserve"> </w:t>
      </w:r>
      <w:r w:rsidR="002E7EF9">
        <w:fldChar w:fldCharType="begin" w:fldLock="1"/>
      </w:r>
      <w:r w:rsidR="00207072">
        <w:instrText>ADDIN CSL_CITATION {"citationItems":[{"id":"ITEM-1","itemData":{"DOI":"10.1038/srep05431","ISSN":"2045-2322","PMID":"24961164","abstract":"IL-17 has emerged as a key player in the immune system, exhibiting roles in protection from infectious diseases and promoting inflammation in autoimmunity. Initially thought to be CD4 T-cell-derived, the sources of IL-17 are now known to be varied and belong to both the innate and adaptive arms of the immune system. Mechanisms for inducing IL-17 production in lymphoid cells are thought to rely on appropriate antigenic stimulation in the context of TGF-β1, IL-6 and/or IL-1β. Using culture protocols adapted from human studies, we have effectively induced both bovine CD4+ and WC1+ γδ T-cells to produce IL-17 termed Th17 and γδ17 cells, respectively. The negative regulatory effect of IFN-γ on mouse and human IL-17 production can be extended to the bovine model, as addition of IFN-γ decreases IL-17 production in both cell types. Furthermore we show that infection with the protozoan Neospora caninum will induce fibroblasts to secrete pro-IL-17 factors thereby inducing a γδ17 phenotype that preferentially kills infected target cells. Our study identifies two T-cell sources of IL-17 and is the first to demonstrate a protective effect of IL-17+ T-cells in ruminants. Our findings offer further opportunities for future adjuvants or vaccines which could benefit from inducing these responses.","author":[{"dropping-particle":"","family":"Peckham","given":"R. K.","non-dropping-particle":"","parse-names":false,"suffix":""},{"dropping-particle":"","family":"Brill","given":"R.","non-dropping-particle":"","parse-names":false,"suffix":""},{"dropping-particle":"","family":"Foster","given":"D. S.","non-dropping-particle":"","parse-names":false,"suffix":""},{"dropping-particle":"","family":"Bowen","given":"A. L.","non-dropping-particle":"","parse-names":false,"suffix":""},{"dropping-particle":"","family":"Leigh","given":"J. A.","non-dropping-particle":"","parse-names":false,"suffix":""},{"dropping-particle":"","family":"Coffey","given":"T. J.","non-dropping-particle":"","parse-names":false,"suffix":""},{"dropping-particle":"","family":"Flynn","given":"R. J.","non-dropping-particle":"","parse-names":false,"suffix":""}],"container-title":"Scientific Reports 2014 4:1","id":"ITEM-1","issue":"1","issued":{"date-parts":[["2014","6","25"]]},"page":"1-5","publisher":"Nature Publishing Group","title":"Two distinct populations of Bovine IL-17+ T-cells can be induced and WC1+IL-17+γδ T-cells are effective killers of protozoan parasites","type":"article-journal","volume":"4"},"uris":["http://www.mendeley.com/documents/?uuid=c6606cc8-8a57-336b-8051-fdc52aeaafe2"]}],"mendeley":{"formattedCitation":"[55]","plainTextFormattedCitation":"[55]","previouslyFormattedCitation":"[55]"},"properties":{"noteIndex":0},"schema":"https://github.com/citation-style-language/schema/raw/master/csl-citation.json"}</w:instrText>
      </w:r>
      <w:r w:rsidR="002E7EF9">
        <w:fldChar w:fldCharType="separate"/>
      </w:r>
      <w:r w:rsidR="002E7EF9" w:rsidRPr="002E7EF9">
        <w:rPr>
          <w:noProof/>
        </w:rPr>
        <w:t>[55]</w:t>
      </w:r>
      <w:r w:rsidR="002E7EF9">
        <w:fldChar w:fldCharType="end"/>
      </w:r>
      <w:r w:rsidR="00A17632">
        <w:t xml:space="preserve">. </w:t>
      </w:r>
      <w:r w:rsidR="00D331DA">
        <w:t>Here, IL-17A serum levels were very low and mostly below detection levels. Also, n</w:t>
      </w:r>
      <w:r w:rsidR="00670164">
        <w:t xml:space="preserve">o </w:t>
      </w:r>
      <w:r w:rsidR="00042F12">
        <w:t xml:space="preserve">significant </w:t>
      </w:r>
      <w:r w:rsidR="00670164">
        <w:t>differences were found in</w:t>
      </w:r>
      <w:r w:rsidR="00BB42DC">
        <w:t xml:space="preserve"> IL-17A production </w:t>
      </w:r>
      <w:r w:rsidR="00042F12">
        <w:t xml:space="preserve">by </w:t>
      </w:r>
      <w:r w:rsidR="00F90E62">
        <w:t>any of the</w:t>
      </w:r>
      <w:r w:rsidR="00D4795D">
        <w:t xml:space="preserve"> T cell</w:t>
      </w:r>
      <w:r w:rsidR="00BB42DC">
        <w:t xml:space="preserve"> populations</w:t>
      </w:r>
      <w:r w:rsidR="00D4795D">
        <w:t xml:space="preserve"> </w:t>
      </w:r>
      <w:r w:rsidR="00F90E62">
        <w:t>analysed two weeks after infection</w:t>
      </w:r>
      <w:r w:rsidR="00D331DA">
        <w:t xml:space="preserve">. </w:t>
      </w:r>
    </w:p>
    <w:p w14:paraId="145FEDC4" w14:textId="78801DA1" w:rsidR="004231AA" w:rsidRDefault="00C73401" w:rsidP="00056257">
      <w:pPr>
        <w:rPr>
          <w:rFonts w:cs="Arial"/>
        </w:rPr>
      </w:pPr>
      <w:r>
        <w:rPr>
          <w:rFonts w:cs="Arial"/>
        </w:rPr>
        <w:t>We also</w:t>
      </w:r>
      <w:r w:rsidR="00915770">
        <w:rPr>
          <w:rFonts w:cs="Arial"/>
        </w:rPr>
        <w:t xml:space="preserve"> evaluated the expression of </w:t>
      </w:r>
      <w:r w:rsidR="00915770" w:rsidRPr="00915770">
        <w:rPr>
          <w:rFonts w:cs="Arial"/>
          <w:i/>
        </w:rPr>
        <w:t>TBX21</w:t>
      </w:r>
      <w:r w:rsidR="00915770">
        <w:rPr>
          <w:rFonts w:cs="Arial"/>
          <w:iCs/>
        </w:rPr>
        <w:t xml:space="preserve"> and </w:t>
      </w:r>
      <w:r w:rsidR="00056257" w:rsidRPr="00056257">
        <w:rPr>
          <w:rFonts w:cs="Arial"/>
          <w:i/>
        </w:rPr>
        <w:t>RORC</w:t>
      </w:r>
      <w:r w:rsidR="00056257">
        <w:rPr>
          <w:rFonts w:cs="Arial"/>
          <w:iCs/>
        </w:rPr>
        <w:t xml:space="preserve">, in the organs of immunized and control animals one month after infection. </w:t>
      </w:r>
      <w:r w:rsidR="00A80A62" w:rsidRPr="00915770">
        <w:rPr>
          <w:rFonts w:cs="Arial"/>
          <w:iCs/>
        </w:rPr>
        <w:t>T</w:t>
      </w:r>
      <w:r w:rsidR="00A80A62">
        <w:rPr>
          <w:rFonts w:cs="Arial"/>
        </w:rPr>
        <w:t xml:space="preserve">-bet, </w:t>
      </w:r>
      <w:r w:rsidR="00915770">
        <w:rPr>
          <w:rFonts w:cs="Arial"/>
        </w:rPr>
        <w:t>encoded by</w:t>
      </w:r>
      <w:r w:rsidR="00A80A62">
        <w:rPr>
          <w:rFonts w:cs="Arial"/>
        </w:rPr>
        <w:t xml:space="preserve"> </w:t>
      </w:r>
      <w:r w:rsidR="00A80A62">
        <w:rPr>
          <w:rFonts w:cs="Arial"/>
          <w:i/>
        </w:rPr>
        <w:t>TBX21</w:t>
      </w:r>
      <w:r w:rsidR="00A80A62">
        <w:rPr>
          <w:rFonts w:cs="Arial"/>
        </w:rPr>
        <w:t xml:space="preserve"> gene, and </w:t>
      </w:r>
      <w:r w:rsidR="00A80A62" w:rsidRPr="00752DC3">
        <w:rPr>
          <w:iCs/>
        </w:rPr>
        <w:t>ROR</w:t>
      </w:r>
      <w:r w:rsidR="00A80A62" w:rsidRPr="00752DC3">
        <w:rPr>
          <w:rFonts w:cs="Arial"/>
          <w:iCs/>
        </w:rPr>
        <w:t>γ</w:t>
      </w:r>
      <w:r w:rsidR="00A80A62" w:rsidRPr="00752DC3">
        <w:rPr>
          <w:iCs/>
        </w:rPr>
        <w:t>t</w:t>
      </w:r>
      <w:r w:rsidR="00A80A62">
        <w:rPr>
          <w:iCs/>
        </w:rPr>
        <w:t xml:space="preserve">, </w:t>
      </w:r>
      <w:r w:rsidR="00915770">
        <w:rPr>
          <w:iCs/>
        </w:rPr>
        <w:t>encoded by</w:t>
      </w:r>
      <w:r w:rsidR="00A80A62">
        <w:rPr>
          <w:iCs/>
        </w:rPr>
        <w:t xml:space="preserve"> the </w:t>
      </w:r>
      <w:r w:rsidR="00A80A62">
        <w:rPr>
          <w:i/>
          <w:iCs/>
        </w:rPr>
        <w:t>RORC</w:t>
      </w:r>
      <w:r w:rsidR="00A80A62">
        <w:rPr>
          <w:iCs/>
        </w:rPr>
        <w:t xml:space="preserve"> gene,</w:t>
      </w:r>
      <w:r w:rsidR="00A80A62" w:rsidRPr="009D5DCF">
        <w:rPr>
          <w:iCs/>
        </w:rPr>
        <w:t xml:space="preserve"> </w:t>
      </w:r>
      <w:r w:rsidR="00A80A62">
        <w:t>are key transcription factors for IFN-</w:t>
      </w:r>
      <w:r w:rsidR="00A80A62">
        <w:rPr>
          <w:rFonts w:cs="Arial"/>
        </w:rPr>
        <w:t>γ</w:t>
      </w:r>
      <w:r w:rsidR="00A80A62">
        <w:t xml:space="preserve"> and IL-17A production, respectively </w:t>
      </w:r>
      <w:r w:rsidR="00A80A62">
        <w:fldChar w:fldCharType="begin" w:fldLock="1"/>
      </w:r>
      <w:r w:rsidR="003D7092">
        <w:instrText>ADDIN CSL_CITATION {"citationItems":[{"id":"ITEM-1","itemData":{"DOI":"10.3390/VACCINES10060925","ISSN":"2076-393X","PMID":"35746533","abstract":"Neospora caninum is an obligate intracellular protozoan responsible for abortion and stillbirths in cattle. We previously developed a mucosal vaccination approach using N. caninum membrane proteins and CpG adjuvant that conferred long-term protection against neosporosis in mice. Here, we have extended this approach by alternatively using the carbomer-based adjuvant Carbigen™ in the immunizing preparation. Immunized mice presented higher proportions and numbers of memory CD4+ and CD8+ T cells. Stimulation of spleen, lungs and liver leukocytes with parasite antigens induced a marked production of IFN-γ and IL-17A and, less markedly, IL-4. This balanced response was also evident in that both parasite-specific IgG1 and IgG2c were raised by immunization, together with specific intestinal IgA. Upon intraperitoneal infection with N. caninum, immunized mice presented lower parasitic burdens than sham-immunized controls. In the infected immunized mice, memory CD4+ T cells predominantly expressed T-bet and RORγt, and CD8+ T cells expressing T-bet were found increased. While spleen, lungs and liver leukocytes of both immunized and sham-immunized infected animals produced high amounts of IFN-γ, only the cells from immunized mice responded with high IL-17A production. Since in cattle both IFN-γ and IL-17A have been associated with protective mechanisms against N. caninum infection, the elicited cytokine profile obtained using CarbigenTM as adjuvant indicates that it could be worth exploring for bovine neosporosis vaccination.","author":[{"dropping-particle":"","family":"Correia","given":"Alexandra","non-dropping-particle":"","parse-names":false,"suffix":""},{"dropping-particle":"","family":"Alves","given":"Pedro","non-dropping-particle":"","parse-names":false,"suffix":""},{"dropping-particle":"","family":"Fróis-Martins","given":"Ricardo","non-dropping-particle":"","parse-names":false,"suffix":""},{"dropping-particle":"","family":"Teixeira","given":"Luzia","non-dropping-particle":"","parse-names":false,"suffix":""},{"dropping-particle":"","family":"Vilanova","given":"Manuel","non-dropping-particle":"","parse-names":false,"suffix":""}],"container-title":"Vaccines","id":"ITEM-1","issue":"6","issued":{"date-parts":[["2022","6","10"]]},"note":"T-bet and RORgt associated with Th1 and Th17 cell populations responses, respectively.\n\nIL-17A is generally associated with bacterial and fungal infections, however it has been detected to establish a protective role in protozoan infections such as toxoplasmosis.","page":"925","publisher":"Vaccines (Basel)","title":"Protective Effect against Neosporosis Induced by Intranasal Immunization with Neospora caninum Membrane Antigens Plus Carbomer-Based Adjuvant","type":"article-journal","volume":"10"},"uris":["http://www.mendeley.com/documents/?uuid=55936595-3a35-3056-b6ba-7a00f7805700"]},{"id":"ITEM-2","itemData":{"ISBN":"978-1-4557-0362-3","abstract":"The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concepts.","author":[{"dropping-particle":"","family":"Tizard","given":"Ian R.","non-dropping-particle":"","parse-names":false,"suffix":""}],"chapter-number":"Appendix 2","container-title":"Elsevier Health Sciences","edition":"9th","id":"ITEM-2","issued":{"date-parts":[["2012"]]},"publisher":"W.B. Saunders Company","title":"Veterinary Immunology","type":"chapter"},"uris":["http://www.mendeley.com/documents/?uuid=5b612fa0-4782-467b-a937-4cc8cbeba109"]}],"mendeley":{"formattedCitation":"[19], [24]","manualFormatting":"[19, 21]","plainTextFormattedCitation":"[19], [24]","previouslyFormattedCitation":"[19], [24]"},"properties":{"noteIndex":0},"schema":"https://github.com/citation-style-language/schema/raw/master/csl-citation.json"}</w:instrText>
      </w:r>
      <w:r w:rsidR="00A80A62">
        <w:fldChar w:fldCharType="separate"/>
      </w:r>
      <w:r w:rsidR="002600A2">
        <w:rPr>
          <w:noProof/>
        </w:rPr>
        <w:t xml:space="preserve">[19, </w:t>
      </w:r>
      <w:r w:rsidR="00F00084" w:rsidRPr="00F00084">
        <w:rPr>
          <w:noProof/>
        </w:rPr>
        <w:t>21]</w:t>
      </w:r>
      <w:r w:rsidR="00A80A62">
        <w:fldChar w:fldCharType="end"/>
      </w:r>
      <w:r w:rsidR="00A80A62">
        <w:t>.</w:t>
      </w:r>
      <w:r w:rsidR="00A80A62" w:rsidRPr="00A078BC">
        <w:rPr>
          <w:rFonts w:cs="Arial"/>
          <w:iCs/>
        </w:rPr>
        <w:t xml:space="preserve"> </w:t>
      </w:r>
      <w:r w:rsidR="00056257">
        <w:rPr>
          <w:rFonts w:cs="Arial"/>
          <w:iCs/>
        </w:rPr>
        <w:t xml:space="preserve">Although no significant differences </w:t>
      </w:r>
      <w:r>
        <w:rPr>
          <w:rFonts w:cs="Arial"/>
          <w:iCs/>
        </w:rPr>
        <w:t>were</w:t>
      </w:r>
      <w:r w:rsidR="00056257">
        <w:rPr>
          <w:rFonts w:cs="Arial"/>
          <w:iCs/>
        </w:rPr>
        <w:t xml:space="preserve"> found, there was a slight increase in the relative expression of </w:t>
      </w:r>
      <w:r w:rsidR="00056257">
        <w:rPr>
          <w:rFonts w:cs="Arial"/>
          <w:i/>
          <w:iCs/>
        </w:rPr>
        <w:t xml:space="preserve">TBX21 </w:t>
      </w:r>
      <w:r w:rsidR="00056257">
        <w:rPr>
          <w:rFonts w:cs="Arial"/>
          <w:iCs/>
        </w:rPr>
        <w:t xml:space="preserve">and </w:t>
      </w:r>
      <w:r w:rsidR="00056257">
        <w:rPr>
          <w:rFonts w:cs="Arial"/>
          <w:i/>
          <w:iCs/>
        </w:rPr>
        <w:t>RORC</w:t>
      </w:r>
      <w:r w:rsidR="00056257">
        <w:rPr>
          <w:rFonts w:cs="Arial"/>
          <w:iCs/>
        </w:rPr>
        <w:t xml:space="preserve"> in the lungs of </w:t>
      </w:r>
      <w:r w:rsidR="00A80A62">
        <w:rPr>
          <w:rFonts w:cs="Arial"/>
          <w:iCs/>
        </w:rPr>
        <w:t>animals from the control group</w:t>
      </w:r>
      <w:r w:rsidR="0049049B">
        <w:rPr>
          <w:rFonts w:cs="Arial"/>
          <w:iCs/>
        </w:rPr>
        <w:t xml:space="preserve">, which is in accordance </w:t>
      </w:r>
      <w:r w:rsidR="00056257">
        <w:rPr>
          <w:rFonts w:cs="Arial"/>
          <w:iCs/>
        </w:rPr>
        <w:t>with</w:t>
      </w:r>
      <w:r w:rsidR="0049049B">
        <w:rPr>
          <w:rFonts w:cs="Arial"/>
          <w:iCs/>
        </w:rPr>
        <w:t xml:space="preserve"> </w:t>
      </w:r>
      <w:r w:rsidR="00056257">
        <w:rPr>
          <w:rFonts w:cs="Arial"/>
          <w:iCs/>
        </w:rPr>
        <w:t xml:space="preserve">the higher abundance of </w:t>
      </w:r>
      <w:r w:rsidR="0049049B">
        <w:rPr>
          <w:rFonts w:cs="Arial"/>
          <w:iCs/>
        </w:rPr>
        <w:t>IFN-γ</w:t>
      </w:r>
      <w:r w:rsidR="00056257">
        <w:rPr>
          <w:rFonts w:cs="Arial"/>
          <w:iCs/>
        </w:rPr>
        <w:t>-producing cells in the blood of these animals</w:t>
      </w:r>
      <w:r>
        <w:rPr>
          <w:rFonts w:cs="Arial"/>
          <w:iCs/>
        </w:rPr>
        <w:t xml:space="preserve"> </w:t>
      </w:r>
      <w:r w:rsidR="00EB22A3">
        <w:rPr>
          <w:rFonts w:cs="Arial"/>
          <w:iCs/>
        </w:rPr>
        <w:t xml:space="preserve">two weeks </w:t>
      </w:r>
      <w:r>
        <w:rPr>
          <w:rFonts w:cs="Arial"/>
          <w:iCs/>
        </w:rPr>
        <w:t>after infection</w:t>
      </w:r>
      <w:r w:rsidR="0049049B">
        <w:rPr>
          <w:rFonts w:cs="Arial"/>
          <w:iCs/>
        </w:rPr>
        <w:t xml:space="preserve">. </w:t>
      </w:r>
      <w:r w:rsidR="00B916D2">
        <w:rPr>
          <w:rFonts w:cs="Arial"/>
          <w:iCs/>
        </w:rPr>
        <w:t xml:space="preserve">The </w:t>
      </w:r>
      <w:r w:rsidR="00B916D2" w:rsidRPr="00B916D2">
        <w:rPr>
          <w:rFonts w:cs="Arial"/>
          <w:i/>
        </w:rPr>
        <w:t>TBX2</w:t>
      </w:r>
      <w:r w:rsidR="00B916D2">
        <w:rPr>
          <w:rFonts w:cs="Arial"/>
          <w:iCs/>
        </w:rPr>
        <w:t xml:space="preserve">1 relative expression tendency </w:t>
      </w:r>
      <w:r w:rsidR="00042F12">
        <w:rPr>
          <w:rFonts w:cs="Arial"/>
          <w:iCs/>
        </w:rPr>
        <w:t>wa</w:t>
      </w:r>
      <w:r w:rsidR="00B916D2">
        <w:rPr>
          <w:rFonts w:cs="Arial"/>
          <w:iCs/>
        </w:rPr>
        <w:t>s however inverted in the brain of immunized animals. Whether IFN-</w:t>
      </w:r>
      <w:r w:rsidR="00B916D2">
        <w:rPr>
          <w:rFonts w:cs="Arial"/>
        </w:rPr>
        <w:t>γ</w:t>
      </w:r>
      <w:r w:rsidR="00B916D2">
        <w:rPr>
          <w:rFonts w:cs="Arial"/>
          <w:iCs/>
        </w:rPr>
        <w:t xml:space="preserve"> is being produced at higher levels in the brain of immunized calves </w:t>
      </w:r>
      <w:r w:rsidR="00DF2043">
        <w:rPr>
          <w:rFonts w:cs="Arial"/>
          <w:iCs/>
        </w:rPr>
        <w:t>should be</w:t>
      </w:r>
      <w:r w:rsidR="00B916D2">
        <w:rPr>
          <w:rFonts w:cs="Arial"/>
          <w:iCs/>
        </w:rPr>
        <w:t xml:space="preserve"> explor</w:t>
      </w:r>
      <w:r w:rsidR="00DF2043">
        <w:rPr>
          <w:rFonts w:cs="Arial"/>
          <w:iCs/>
        </w:rPr>
        <w:t>ed</w:t>
      </w:r>
      <w:r w:rsidR="00B916D2">
        <w:rPr>
          <w:rFonts w:cs="Arial"/>
          <w:iCs/>
        </w:rPr>
        <w:t xml:space="preserve">. </w:t>
      </w:r>
      <w:r w:rsidR="00EB22A3">
        <w:rPr>
          <w:rFonts w:cs="Arial"/>
          <w:iCs/>
        </w:rPr>
        <w:t>We have also designed primers to amplify the</w:t>
      </w:r>
      <w:r w:rsidR="007F5B06">
        <w:rPr>
          <w:rFonts w:cs="Arial"/>
        </w:rPr>
        <w:t xml:space="preserve"> Th2 </w:t>
      </w:r>
      <w:r w:rsidR="00EB22A3">
        <w:rPr>
          <w:rFonts w:cs="Arial"/>
        </w:rPr>
        <w:t>associated</w:t>
      </w:r>
      <w:r w:rsidR="007F5B06">
        <w:rPr>
          <w:rFonts w:cs="Arial"/>
        </w:rPr>
        <w:t xml:space="preserve"> transcription factor, GATA</w:t>
      </w:r>
      <w:r w:rsidR="004231AA">
        <w:rPr>
          <w:rFonts w:cs="Arial"/>
        </w:rPr>
        <w:t xml:space="preserve"> binding protein </w:t>
      </w:r>
      <w:r w:rsidR="007F5B06">
        <w:rPr>
          <w:rFonts w:cs="Arial"/>
        </w:rPr>
        <w:t>3</w:t>
      </w:r>
      <w:r w:rsidR="004231AA">
        <w:rPr>
          <w:rFonts w:cs="Arial"/>
        </w:rPr>
        <w:t xml:space="preserve">, </w:t>
      </w:r>
      <w:r w:rsidR="00EB22A3">
        <w:rPr>
          <w:rFonts w:cs="Arial"/>
        </w:rPr>
        <w:t>encoded by</w:t>
      </w:r>
      <w:r w:rsidR="004231AA">
        <w:rPr>
          <w:rFonts w:cs="Arial"/>
        </w:rPr>
        <w:t xml:space="preserve"> </w:t>
      </w:r>
      <w:r w:rsidR="004231AA" w:rsidRPr="00EB22A3">
        <w:rPr>
          <w:rFonts w:cs="Arial"/>
          <w:i/>
          <w:iCs/>
        </w:rPr>
        <w:t>GATA3</w:t>
      </w:r>
      <w:r w:rsidR="007F5B06">
        <w:rPr>
          <w:rFonts w:cs="Arial"/>
        </w:rPr>
        <w:t xml:space="preserve"> </w:t>
      </w:r>
      <w:r w:rsidR="00EB22A3">
        <w:rPr>
          <w:rFonts w:cs="Arial"/>
        </w:rPr>
        <w:t xml:space="preserve">gene </w:t>
      </w:r>
      <w:r w:rsidR="007F5B06">
        <w:rPr>
          <w:rFonts w:cs="Arial"/>
        </w:rPr>
        <w:fldChar w:fldCharType="begin" w:fldLock="1"/>
      </w:r>
      <w:r w:rsidR="003D7092">
        <w:rPr>
          <w:rFonts w:cs="Arial"/>
        </w:rPr>
        <w:instrText>ADDIN CSL_CITATION {"citationItems":[{"id":"ITEM-1","itemData":{"DOI":"10.3390/VACCINES10060925","ISSN":"2076-393X","PMID":"35746533","abstract":"Neospora caninum is an obligate intracellular protozoan responsible for abortion and stillbirths in cattle. We previously developed a mucosal vaccination approach using N. caninum membrane proteins and CpG adjuvant that conferred long-term protection against neosporosis in mice. Here, we have extended this approach by alternatively using the carbomer-based adjuvant Carbigen™ in the immunizing preparation. Immunized mice presented higher proportions and numbers of memory CD4+ and CD8+ T cells. Stimulation of spleen, lungs and liver leukocytes with parasite antigens induced a marked production of IFN-γ and IL-17A and, less markedly, IL-4. This balanced response was also evident in that both parasite-specific IgG1 and IgG2c were raised by immunization, together with specific intestinal IgA. Upon intraperitoneal infection with N. caninum, immunized mice presented lower parasitic burdens than sham-immunized controls. In the infected immunized mice, memory CD4+ T cells predominantly expressed T-bet and RORγt, and CD8+ T cells expressing T-bet were found increased. While spleen, lungs and liver leukocytes of both immunized and sham-immunized infected animals produced high amounts of IFN-γ, only the cells from immunized mice responded with high IL-17A production. Since in cattle both IFN-γ and IL-17A have been associated with protective mechanisms against N. caninum infection, the elicited cytokine profile obtained using CarbigenTM as adjuvant indicates that it could be worth exploring for bovine neosporosis vaccination.","author":[{"dropping-particle":"","family":"Correia","given":"Alexandra","non-dropping-particle":"","parse-names":false,"suffix":""},{"dropping-particle":"","family":"Alves","given":"Pedro","non-dropping-particle":"","parse-names":false,"suffix":""},{"dropping-particle":"","family":"Fróis-Martins","given":"Ricardo","non-dropping-particle":"","parse-names":false,"suffix":""},{"dropping-particle":"","family":"Teixeira","given":"Luzia","non-dropping-particle":"","parse-names":false,"suffix":""},{"dropping-particle":"","family":"Vilanova","given":"Manuel","non-dropping-particle":"","parse-names":false,"suffix":""}],"container-title":"Vaccines","id":"ITEM-1","issue":"6","issued":{"date-parts":[["2022","6","10"]]},"note":"T-bet and RORgt associated with Th1 and Th17 cell populations responses, respectively.\n\nIL-17A is generally associated with bacterial and fungal infections, however it has been detected to establish a protective role in protozoan infections such as toxoplasmosis.","page":"925","publisher":"Vaccines (Basel)","title":"Protective Effect against Neosporosis Induced by Intranasal Immunization with Neospora caninum Membrane Antigens Plus Carbomer-Based Adjuvant","type":"article-journal","volume":"10"},"uris":["http://www.mendeley.com/documents/?uuid=55936595-3a35-3056-b6ba-7a00f7805700"]}],"mendeley":{"formattedCitation":"[24]","plainTextFormattedCitation":"[24]","previouslyFormattedCitation":"[24]"},"properties":{"noteIndex":0},"schema":"https://github.com/citation-style-language/schema/raw/master/csl-citation.json"}</w:instrText>
      </w:r>
      <w:r w:rsidR="007F5B06">
        <w:rPr>
          <w:rFonts w:cs="Arial"/>
        </w:rPr>
        <w:fldChar w:fldCharType="separate"/>
      </w:r>
      <w:r w:rsidR="003D7092" w:rsidRPr="003D7092">
        <w:rPr>
          <w:rFonts w:cs="Arial"/>
          <w:noProof/>
        </w:rPr>
        <w:t>[24]</w:t>
      </w:r>
      <w:r w:rsidR="007F5B06">
        <w:rPr>
          <w:rFonts w:cs="Arial"/>
        </w:rPr>
        <w:fldChar w:fldCharType="end"/>
      </w:r>
      <w:r w:rsidR="00EB22A3">
        <w:rPr>
          <w:rFonts w:cs="Arial"/>
        </w:rPr>
        <w:t xml:space="preserve"> and it would be worth evaluating its relative expression</w:t>
      </w:r>
      <w:r w:rsidR="00900F74">
        <w:rPr>
          <w:rFonts w:cs="Arial"/>
        </w:rPr>
        <w:t xml:space="preserve">. </w:t>
      </w:r>
      <w:r w:rsidR="004231AA">
        <w:rPr>
          <w:rFonts w:cs="Arial"/>
          <w:i/>
        </w:rPr>
        <w:t xml:space="preserve">TBX21 </w:t>
      </w:r>
      <w:r w:rsidR="004231AA">
        <w:rPr>
          <w:rFonts w:cs="Arial"/>
        </w:rPr>
        <w:t xml:space="preserve">and </w:t>
      </w:r>
      <w:r w:rsidR="004231AA">
        <w:rPr>
          <w:rFonts w:cs="Arial"/>
          <w:i/>
        </w:rPr>
        <w:t>RORC</w:t>
      </w:r>
      <w:r w:rsidR="004231AA">
        <w:rPr>
          <w:rFonts w:cs="Arial"/>
        </w:rPr>
        <w:t xml:space="preserve"> relative expressions </w:t>
      </w:r>
      <w:r w:rsidR="00EB22A3">
        <w:rPr>
          <w:rFonts w:cs="Arial"/>
        </w:rPr>
        <w:t>should also</w:t>
      </w:r>
      <w:r w:rsidR="004231AA">
        <w:rPr>
          <w:rFonts w:cs="Arial"/>
        </w:rPr>
        <w:t xml:space="preserve"> be reassessed and normalized against either </w:t>
      </w:r>
      <w:r w:rsidR="004231AA">
        <w:rPr>
          <w:rFonts w:cs="Arial"/>
          <w:i/>
        </w:rPr>
        <w:t xml:space="preserve">PPIA </w:t>
      </w:r>
      <w:r w:rsidR="004231AA">
        <w:rPr>
          <w:rFonts w:cs="Arial"/>
        </w:rPr>
        <w:t xml:space="preserve">or </w:t>
      </w:r>
      <w:r w:rsidR="004231AA">
        <w:rPr>
          <w:rFonts w:cs="Arial"/>
          <w:i/>
        </w:rPr>
        <w:t xml:space="preserve">PPIA </w:t>
      </w:r>
      <w:r w:rsidR="004231AA">
        <w:rPr>
          <w:rFonts w:cs="Arial"/>
        </w:rPr>
        <w:t xml:space="preserve">and </w:t>
      </w:r>
      <w:r w:rsidR="004231AA">
        <w:rPr>
          <w:rFonts w:cs="Arial"/>
          <w:i/>
        </w:rPr>
        <w:t>UXT</w:t>
      </w:r>
      <w:r w:rsidR="004231AA">
        <w:rPr>
          <w:rFonts w:cs="Arial"/>
        </w:rPr>
        <w:t xml:space="preserve">, as these were later determined </w:t>
      </w:r>
      <w:r w:rsidR="00DF2043">
        <w:rPr>
          <w:rFonts w:cs="Arial"/>
        </w:rPr>
        <w:t>to</w:t>
      </w:r>
      <w:r w:rsidR="004231AA">
        <w:rPr>
          <w:rFonts w:cs="Arial"/>
        </w:rPr>
        <w:t xml:space="preserve"> hav</w:t>
      </w:r>
      <w:r w:rsidR="00DF2043">
        <w:rPr>
          <w:rFonts w:cs="Arial"/>
        </w:rPr>
        <w:t>e</w:t>
      </w:r>
      <w:r w:rsidR="004231AA">
        <w:rPr>
          <w:rFonts w:cs="Arial"/>
        </w:rPr>
        <w:t xml:space="preserve"> </w:t>
      </w:r>
      <w:r w:rsidR="00DF2043">
        <w:rPr>
          <w:rFonts w:cs="Arial"/>
        </w:rPr>
        <w:t>higher</w:t>
      </w:r>
      <w:r w:rsidR="004231AA">
        <w:rPr>
          <w:rFonts w:cs="Arial"/>
        </w:rPr>
        <w:t xml:space="preserve"> stability than </w:t>
      </w:r>
      <w:r w:rsidR="004231AA">
        <w:rPr>
          <w:rFonts w:cs="Arial"/>
          <w:i/>
        </w:rPr>
        <w:t>B2M</w:t>
      </w:r>
      <w:r w:rsidR="004231AA">
        <w:rPr>
          <w:rFonts w:cs="Arial"/>
        </w:rPr>
        <w:t>.</w:t>
      </w:r>
      <w:r w:rsidR="00C7705E" w:rsidRPr="00C7705E">
        <w:rPr>
          <w:rFonts w:cs="Arial"/>
        </w:rPr>
        <w:t xml:space="preserve"> </w:t>
      </w:r>
    </w:p>
    <w:p w14:paraId="09E426CC" w14:textId="15224D10" w:rsidR="004A4DF0" w:rsidRPr="004A4DF0" w:rsidRDefault="00E233E2" w:rsidP="004A4DF0">
      <w:pPr>
        <w:rPr>
          <w:rFonts w:cs="Arial"/>
        </w:rPr>
      </w:pPr>
      <w:r>
        <w:rPr>
          <w:rFonts w:cs="Arial"/>
        </w:rPr>
        <w:t xml:space="preserve">Unfortunately, the efficiency of immunization in protection against neosporosis could not be accurately assessed. Parasite burden was low and quantification of </w:t>
      </w:r>
      <w:r>
        <w:rPr>
          <w:rFonts w:cs="Arial"/>
          <w:i/>
        </w:rPr>
        <w:t xml:space="preserve">N. caninum </w:t>
      </w:r>
      <w:r>
        <w:rPr>
          <w:rFonts w:cs="Arial"/>
        </w:rPr>
        <w:t xml:space="preserve">DNA </w:t>
      </w:r>
      <w:r w:rsidR="004A4DF0">
        <w:rPr>
          <w:rFonts w:cs="Arial"/>
        </w:rPr>
        <w:t xml:space="preserve">by </w:t>
      </w:r>
      <w:r w:rsidR="00DF2043">
        <w:rPr>
          <w:rFonts w:cs="Arial"/>
        </w:rPr>
        <w:t>q</w:t>
      </w:r>
      <w:r w:rsidR="004A4DF0">
        <w:rPr>
          <w:rFonts w:cs="Arial"/>
        </w:rPr>
        <w:t>PCR w</w:t>
      </w:r>
      <w:r>
        <w:rPr>
          <w:rFonts w:cs="Arial"/>
        </w:rPr>
        <w:t>as</w:t>
      </w:r>
      <w:r w:rsidR="004A4DF0">
        <w:rPr>
          <w:rFonts w:cs="Arial"/>
        </w:rPr>
        <w:t xml:space="preserve"> inconsistent using different analysis approaches for the same sample. </w:t>
      </w:r>
      <w:r w:rsidR="005D03D7">
        <w:rPr>
          <w:rFonts w:cs="Arial"/>
        </w:rPr>
        <w:t xml:space="preserve"> </w:t>
      </w:r>
      <w:r>
        <w:rPr>
          <w:rFonts w:cs="Arial"/>
        </w:rPr>
        <w:t xml:space="preserve">In samples from </w:t>
      </w:r>
      <w:r w:rsidR="00DF2043">
        <w:rPr>
          <w:rFonts w:cs="Arial"/>
        </w:rPr>
        <w:t>E</w:t>
      </w:r>
      <w:r>
        <w:rPr>
          <w:rFonts w:cs="Arial"/>
        </w:rPr>
        <w:t>xperiment</w:t>
      </w:r>
      <w:r w:rsidR="00DF2043">
        <w:rPr>
          <w:rFonts w:cs="Arial"/>
        </w:rPr>
        <w:t xml:space="preserve"> 1</w:t>
      </w:r>
      <w:r>
        <w:rPr>
          <w:rFonts w:cs="Arial"/>
        </w:rPr>
        <w:t>, already analysed in the group, determination of parasitic DNA was not possible by qPCR</w:t>
      </w:r>
      <w:r w:rsidR="002C15D6">
        <w:rPr>
          <w:rFonts w:cs="Arial"/>
        </w:rPr>
        <w:t>, but amplification of brain samples using nested PCR indicated that 4/4 animals of the control group and only 1/4 of the immunized group had detectable parasitic DNA. Here, using nested PCR</w:t>
      </w:r>
      <w:r w:rsidR="00DF2043">
        <w:rPr>
          <w:rFonts w:cs="Arial"/>
        </w:rPr>
        <w:t>,</w:t>
      </w:r>
      <w:r w:rsidR="002C15D6">
        <w:rPr>
          <w:rFonts w:cs="Arial"/>
        </w:rPr>
        <w:t xml:space="preserve"> we could detect parasitic DNA in the majority of the samples, although results </w:t>
      </w:r>
      <w:r w:rsidR="00DF2043">
        <w:rPr>
          <w:rFonts w:cs="Arial"/>
        </w:rPr>
        <w:t>we</w:t>
      </w:r>
      <w:r w:rsidR="00F33CE4">
        <w:rPr>
          <w:rFonts w:cs="Arial"/>
        </w:rPr>
        <w:t>re not convincing</w:t>
      </w:r>
      <w:r w:rsidR="002C15D6">
        <w:rPr>
          <w:rFonts w:cs="Arial"/>
        </w:rPr>
        <w:t xml:space="preserve">. </w:t>
      </w:r>
      <w:r w:rsidR="00F33CE4">
        <w:rPr>
          <w:rFonts w:cs="Arial"/>
        </w:rPr>
        <w:t xml:space="preserve">For example, no amplification was detected in frontal cortex samples from area 1, while all samples from region 2 amplified. </w:t>
      </w:r>
      <w:r w:rsidR="00C50B27">
        <w:rPr>
          <w:rFonts w:cs="Arial"/>
        </w:rPr>
        <w:t xml:space="preserve">Further </w:t>
      </w:r>
      <w:r w:rsidR="005D03D7">
        <w:rPr>
          <w:rFonts w:cs="Arial"/>
        </w:rPr>
        <w:t xml:space="preserve">optimization </w:t>
      </w:r>
      <w:r w:rsidR="00C50B27">
        <w:rPr>
          <w:rFonts w:cs="Arial"/>
        </w:rPr>
        <w:t xml:space="preserve">of this protocol is </w:t>
      </w:r>
      <w:r w:rsidR="00DF2043">
        <w:rPr>
          <w:rFonts w:cs="Arial"/>
        </w:rPr>
        <w:t xml:space="preserve">thus </w:t>
      </w:r>
      <w:r w:rsidR="00C50B27">
        <w:rPr>
          <w:rFonts w:cs="Arial"/>
        </w:rPr>
        <w:t xml:space="preserve">required for the </w:t>
      </w:r>
      <w:r w:rsidR="00DF2043">
        <w:rPr>
          <w:rFonts w:cs="Arial"/>
        </w:rPr>
        <w:t xml:space="preserve">correct assessment of </w:t>
      </w:r>
      <w:r w:rsidR="00C50B27">
        <w:rPr>
          <w:rFonts w:cs="Arial"/>
        </w:rPr>
        <w:t>parasite burden and to accurately determine the effectiveness of this immunization strategy.</w:t>
      </w:r>
      <w:bookmarkStart w:id="89" w:name="_Toc111229793"/>
      <w:bookmarkStart w:id="90" w:name="_Toc111229831"/>
    </w:p>
    <w:p w14:paraId="48B96976" w14:textId="1CF0E7C0" w:rsidR="00FB2ADE" w:rsidRPr="000C71A6" w:rsidRDefault="008B1069" w:rsidP="00D263EE">
      <w:pPr>
        <w:pStyle w:val="tesettulos"/>
      </w:pPr>
      <w:bookmarkStart w:id="91" w:name="_Toc115037831"/>
      <w:r>
        <w:t xml:space="preserve">5. </w:t>
      </w:r>
      <w:r w:rsidR="00FB2ADE" w:rsidRPr="00D263EE">
        <w:t>Conclusion</w:t>
      </w:r>
      <w:bookmarkEnd w:id="89"/>
      <w:bookmarkEnd w:id="90"/>
      <w:bookmarkEnd w:id="91"/>
    </w:p>
    <w:p w14:paraId="48B96978" w14:textId="163D27CD" w:rsidR="00FB2ADE" w:rsidRPr="000768BA" w:rsidRDefault="00644774" w:rsidP="000768BA">
      <w:r>
        <w:t>A</w:t>
      </w:r>
      <w:r w:rsidR="0060625A">
        <w:t xml:space="preserve"> </w:t>
      </w:r>
      <w:r>
        <w:t xml:space="preserve">successful </w:t>
      </w:r>
      <w:r w:rsidR="0060625A">
        <w:t xml:space="preserve">immunization strategy against </w:t>
      </w:r>
      <w:r w:rsidR="00FD75A1">
        <w:rPr>
          <w:i/>
        </w:rPr>
        <w:t xml:space="preserve">N. </w:t>
      </w:r>
      <w:r w:rsidR="0060625A">
        <w:rPr>
          <w:i/>
        </w:rPr>
        <w:t xml:space="preserve">caninum </w:t>
      </w:r>
      <w:r w:rsidR="00610362">
        <w:t>should induce</w:t>
      </w:r>
      <w:r w:rsidR="00C50B27">
        <w:t xml:space="preserve"> </w:t>
      </w:r>
      <w:r w:rsidR="00610362">
        <w:t>both</w:t>
      </w:r>
      <w:r w:rsidR="00C50B27">
        <w:t xml:space="preserve"> cell mediated and humoral immune responses</w:t>
      </w:r>
      <w:r w:rsidR="00395F18">
        <w:t>.</w:t>
      </w:r>
      <w:r w:rsidR="00D55007">
        <w:t xml:space="preserve"> </w:t>
      </w:r>
      <w:r w:rsidR="00D55007">
        <w:rPr>
          <w:rFonts w:cs="Arial"/>
        </w:rPr>
        <w:t xml:space="preserve">The management of infection in pregnancy </w:t>
      </w:r>
      <w:r w:rsidR="00DF2043">
        <w:rPr>
          <w:rFonts w:cs="Arial"/>
        </w:rPr>
        <w:t xml:space="preserve">also </w:t>
      </w:r>
      <w:r w:rsidR="00D55007">
        <w:rPr>
          <w:rFonts w:cs="Arial"/>
        </w:rPr>
        <w:t xml:space="preserve">requires a balanced Th1 and Th2-type response that </w:t>
      </w:r>
      <w:r w:rsidR="00610362">
        <w:rPr>
          <w:rFonts w:cs="Arial"/>
        </w:rPr>
        <w:t xml:space="preserve">can </w:t>
      </w:r>
      <w:r w:rsidR="00D55007">
        <w:rPr>
          <w:rFonts w:cs="Arial"/>
        </w:rPr>
        <w:t>control the parasite dissemination and avoid both the loss of the foetus due to an excessive Th1 response</w:t>
      </w:r>
      <w:r w:rsidR="00DF2043">
        <w:rPr>
          <w:rFonts w:cs="Arial"/>
        </w:rPr>
        <w:t>,</w:t>
      </w:r>
      <w:r w:rsidR="00D55007">
        <w:rPr>
          <w:rFonts w:cs="Arial"/>
        </w:rPr>
        <w:t xml:space="preserve"> and the spread of the parasite by transplacental transmission due to lack of IFN-γ </w:t>
      </w:r>
      <w:r w:rsidR="00D55007">
        <w:rPr>
          <w:rFonts w:cs="Arial"/>
        </w:rPr>
        <w:fldChar w:fldCharType="begin" w:fldLock="1"/>
      </w:r>
      <w:r w:rsidR="0023236C">
        <w:rPr>
          <w:rFonts w:cs="Arial"/>
        </w:rPr>
        <w:instrText>ADDIN CSL_CITATION {"citationItems":[{"id":"ITEM-1","itemData":{"DOI":"10.3390/VACCINES9121400","ISSN":"2076-393X","PMID":"34960146","abstract":"The apicomplexan parasite Neospora caninum is the worldwide leading cause of abortion and stillbirth in cattle. An attenuated mutant Listeria monocytogenes strain (Lm3Dx) was engineered by deleting the virulence genes actA, inlA, and inlB in order to avoid systemic infection and to target the vector to antigen-presenting cells (APCs). Insertion of sag1, coding for the major surface protein NcSAG1 of N. caninum, yielded the vaccine strain Lm3Dx_NcSAG1. The efficacy of Lm3Dx_NcSAG1 was assessed by inoculating 1 × 105, 1 × 106, or 1 × 107 CFU of Lm3Dx_NcSAG1 into female BALB/c mice by intramuscular injection three times at two-week intervals, and subsequent challenge with 1 × 105 N. caninum tachyzoites of the highly virulent NcSpain-7 strain on day 7 of pregnancy. Dose-dependent protective effects were seen, with a postnatal offspring survival rate of 67% in the group treated with 1 × 107 CFU of Lm3Dx_NcSAG1 compared to 5% survival in the non-vaccinated control group. At euthanasia (25 days post-partum), IgG antibody titers were significantly decreased in the groups receiving the two higher doses and cytokines recall responses in splenocyte culture supernatants (IFN-γ, IL-4, and IL-10) were increased in the vaccinated groups. Thus, Lm3Dx_NcSAG1 induces immune-protective effects associated with a balanced Th1/Th2 response in a pregnant neosporosis mouse model and should be further assessed in ruminant models.","author":[{"dropping-particle":"","family":"Imhof","given":"Dennis","non-dropping-particle":"","parse-names":false,"suffix":""},{"dropping-particle":"","family":"Pownall","given":"William Robert","non-dropping-particle":"","parse-names":false,"suffix":""},{"dropping-particle":"","family":"Monney","given":"Camille","non-dropping-particle":"","parse-names":false,"suffix":""},{"dropping-particle":"","family":"Oevermann","given":"Anna","non-dropping-particle":"","parse-names":false,"suffix":""},{"dropping-particle":"","family":"Hemphill","given":"Andrew","non-dropping-particle":"","parse-names":false,"suffix":""}],"container-title":"Vaccines","id":"ITEM-1","issue":"12","issued":{"date-parts":[["2021","12","1"]]},"publisher":"Vaccines (Basel)","title":"A Listeria monocytogenes-Based Vaccine Formulation Reduces Vertical Transmission and Leads to Enhanced Pup Survival in a Pregnant Neosporosis Mouse Model","type":"article-journal","volume":"9"},"uris":["http://www.mendeley.com/documents/?uuid=1fa0d236-d4bb-3599-a593-7364f39fe16c"]}],"mendeley":{"formattedCitation":"[38]","plainTextFormattedCitation":"[38]","previouslyFormattedCitation":"[38]"},"properties":{"noteIndex":0},"schema":"https://github.com/citation-style-language/schema/raw/master/csl-citation.json"}</w:instrText>
      </w:r>
      <w:r w:rsidR="00D55007">
        <w:rPr>
          <w:rFonts w:cs="Arial"/>
        </w:rPr>
        <w:fldChar w:fldCharType="separate"/>
      </w:r>
      <w:r w:rsidR="003D7092" w:rsidRPr="003D7092">
        <w:rPr>
          <w:rFonts w:cs="Arial"/>
          <w:noProof/>
        </w:rPr>
        <w:t>[38]</w:t>
      </w:r>
      <w:r w:rsidR="00D55007">
        <w:rPr>
          <w:rFonts w:cs="Arial"/>
        </w:rPr>
        <w:fldChar w:fldCharType="end"/>
      </w:r>
      <w:r w:rsidR="00D55007">
        <w:rPr>
          <w:rFonts w:cs="Arial"/>
        </w:rPr>
        <w:t>.</w:t>
      </w:r>
      <w:r w:rsidR="00F51D08">
        <w:rPr>
          <w:rFonts w:cs="Arial"/>
        </w:rPr>
        <w:t xml:space="preserve">The results reported here showed an evident </w:t>
      </w:r>
      <w:r>
        <w:rPr>
          <w:rFonts w:cs="Arial"/>
        </w:rPr>
        <w:t xml:space="preserve">parasitic-specific </w:t>
      </w:r>
      <w:r w:rsidR="004634DE">
        <w:rPr>
          <w:rFonts w:cs="Arial"/>
        </w:rPr>
        <w:t xml:space="preserve">humoral immune response </w:t>
      </w:r>
      <w:r>
        <w:rPr>
          <w:rFonts w:cs="Arial"/>
        </w:rPr>
        <w:t>in</w:t>
      </w:r>
      <w:r w:rsidR="004634DE">
        <w:rPr>
          <w:rFonts w:cs="Arial"/>
        </w:rPr>
        <w:t xml:space="preserve"> immunized calves </w:t>
      </w:r>
      <w:r w:rsidR="00610362">
        <w:rPr>
          <w:rFonts w:cs="Arial"/>
        </w:rPr>
        <w:t>and the generation of parasite-specific T memory cells</w:t>
      </w:r>
      <w:r w:rsidR="000768BA" w:rsidRPr="000768BA">
        <w:rPr>
          <w:rFonts w:cs="Arial"/>
        </w:rPr>
        <w:t xml:space="preserve"> </w:t>
      </w:r>
      <w:r w:rsidR="000768BA">
        <w:rPr>
          <w:rFonts w:cs="Arial"/>
        </w:rPr>
        <w:t>in response to vaccination</w:t>
      </w:r>
      <w:r w:rsidR="00610362">
        <w:rPr>
          <w:rFonts w:cs="Arial"/>
        </w:rPr>
        <w:t xml:space="preserve">. There is also an indication that IFN-γ and IL-17A are produced before infection in response to </w:t>
      </w:r>
      <w:r w:rsidR="00610362" w:rsidRPr="00610362">
        <w:rPr>
          <w:rFonts w:cs="Arial"/>
          <w:i/>
          <w:iCs/>
        </w:rPr>
        <w:t>N. caninum</w:t>
      </w:r>
      <w:r w:rsidR="00610362">
        <w:rPr>
          <w:rFonts w:cs="Arial"/>
        </w:rPr>
        <w:t xml:space="preserve"> antigens and, probably, soon after challenge</w:t>
      </w:r>
      <w:r>
        <w:rPr>
          <w:rFonts w:cs="Arial"/>
        </w:rPr>
        <w:t xml:space="preserve">. Although evaluation of the parasite burden in the brain of animals from </w:t>
      </w:r>
      <w:r w:rsidR="00375FD5">
        <w:rPr>
          <w:rFonts w:cs="Arial"/>
        </w:rPr>
        <w:t>E</w:t>
      </w:r>
      <w:r>
        <w:rPr>
          <w:rFonts w:cs="Arial"/>
        </w:rPr>
        <w:t xml:space="preserve">xperiment </w:t>
      </w:r>
      <w:r w:rsidR="00375FD5">
        <w:rPr>
          <w:rFonts w:cs="Arial"/>
        </w:rPr>
        <w:t xml:space="preserve">1 </w:t>
      </w:r>
      <w:r>
        <w:rPr>
          <w:rFonts w:cs="Arial"/>
        </w:rPr>
        <w:t xml:space="preserve">pointed to </w:t>
      </w:r>
      <w:r w:rsidR="00375FD5">
        <w:rPr>
          <w:rFonts w:cs="Arial"/>
        </w:rPr>
        <w:t>protection conferred by vaccination against neosporosis, no such results could be observed in Experiment 2 samples.</w:t>
      </w:r>
      <w:r>
        <w:rPr>
          <w:rFonts w:cs="Arial"/>
        </w:rPr>
        <w:t xml:space="preserve"> </w:t>
      </w:r>
      <w:r w:rsidR="00375FD5">
        <w:rPr>
          <w:rFonts w:cs="Arial"/>
        </w:rPr>
        <w:t>T</w:t>
      </w:r>
      <w:r w:rsidR="007770F0">
        <w:rPr>
          <w:rFonts w:cs="Arial"/>
        </w:rPr>
        <w:t xml:space="preserve">he </w:t>
      </w:r>
      <w:r w:rsidR="007516F2">
        <w:rPr>
          <w:rFonts w:cs="Arial"/>
        </w:rPr>
        <w:t xml:space="preserve">efficiency of this immunization strategy is </w:t>
      </w:r>
      <w:r w:rsidR="00375FD5">
        <w:rPr>
          <w:rFonts w:cs="Arial"/>
        </w:rPr>
        <w:t xml:space="preserve">thus </w:t>
      </w:r>
      <w:r w:rsidR="007516F2">
        <w:rPr>
          <w:rFonts w:cs="Arial"/>
        </w:rPr>
        <w:t>yet to be det</w:t>
      </w:r>
      <w:r w:rsidR="007770F0">
        <w:rPr>
          <w:rFonts w:cs="Arial"/>
        </w:rPr>
        <w:t xml:space="preserve">ermined, </w:t>
      </w:r>
      <w:r w:rsidR="000768BA">
        <w:rPr>
          <w:rFonts w:cs="Arial"/>
        </w:rPr>
        <w:t>and</w:t>
      </w:r>
      <w:r w:rsidR="007770F0">
        <w:rPr>
          <w:rFonts w:cs="Arial"/>
        </w:rPr>
        <w:t xml:space="preserve"> optimization of the parasite detection protocol is required before drawing more </w:t>
      </w:r>
      <w:r w:rsidR="001778C8">
        <w:rPr>
          <w:rFonts w:cs="Arial"/>
        </w:rPr>
        <w:t xml:space="preserve">definite </w:t>
      </w:r>
      <w:r w:rsidR="007770F0">
        <w:rPr>
          <w:rFonts w:cs="Arial"/>
        </w:rPr>
        <w:t>conclusions.</w:t>
      </w:r>
      <w:r w:rsidR="00FB2ADE" w:rsidRPr="000C71A6">
        <w:rPr>
          <w:rFonts w:cs="Arial"/>
        </w:rPr>
        <w:br w:type="page"/>
      </w:r>
    </w:p>
    <w:p w14:paraId="48B96979" w14:textId="77777777" w:rsidR="00FB2ADE" w:rsidRPr="000C71A6" w:rsidRDefault="00FB2ADE" w:rsidP="00FB2ADE">
      <w:pPr>
        <w:pStyle w:val="tesettulos"/>
      </w:pPr>
      <w:bookmarkStart w:id="92" w:name="_Toc111229794"/>
      <w:bookmarkStart w:id="93" w:name="_Toc111229832"/>
      <w:bookmarkStart w:id="94" w:name="_Toc115037832"/>
      <w:r w:rsidRPr="000C71A6">
        <w:t>References</w:t>
      </w:r>
      <w:bookmarkEnd w:id="92"/>
      <w:bookmarkEnd w:id="93"/>
      <w:bookmarkEnd w:id="94"/>
    </w:p>
    <w:p w14:paraId="4CBAFA6C" w14:textId="1DC752F2" w:rsidR="00F373F9" w:rsidRPr="00F373F9" w:rsidRDefault="00484669" w:rsidP="00F373F9">
      <w:pPr>
        <w:widowControl w:val="0"/>
        <w:autoSpaceDE w:val="0"/>
        <w:autoSpaceDN w:val="0"/>
        <w:adjustRightInd w:val="0"/>
        <w:spacing w:before="120" w:after="0" w:line="240" w:lineRule="auto"/>
        <w:ind w:left="640" w:hanging="640"/>
        <w:rPr>
          <w:rFonts w:cs="Arial"/>
          <w:noProof/>
          <w:szCs w:val="24"/>
        </w:rPr>
      </w:pPr>
      <w:r w:rsidRPr="00DC196B">
        <w:rPr>
          <w:rFonts w:cs="Arial"/>
          <w:color w:val="000000"/>
        </w:rPr>
        <w:fldChar w:fldCharType="begin" w:fldLock="1"/>
      </w:r>
      <w:r w:rsidRPr="00DC196B">
        <w:rPr>
          <w:rFonts w:cs="Arial"/>
          <w:color w:val="000000"/>
        </w:rPr>
        <w:instrText xml:space="preserve">ADDIN Mendeley Bibliography CSL_BIBLIOGRAPHY </w:instrText>
      </w:r>
      <w:r w:rsidRPr="00DC196B">
        <w:rPr>
          <w:rFonts w:cs="Arial"/>
          <w:color w:val="000000"/>
        </w:rPr>
        <w:fldChar w:fldCharType="separate"/>
      </w:r>
      <w:r w:rsidR="00F373F9" w:rsidRPr="00F373F9">
        <w:rPr>
          <w:rFonts w:cs="Arial"/>
          <w:noProof/>
          <w:szCs w:val="24"/>
        </w:rPr>
        <w:t>[1]</w:t>
      </w:r>
      <w:r w:rsidR="00F373F9" w:rsidRPr="00F373F9">
        <w:rPr>
          <w:rFonts w:cs="Arial"/>
          <w:noProof/>
          <w:szCs w:val="24"/>
        </w:rPr>
        <w:tab/>
        <w:t>T. Nayeri, M. Moosazadeh, S. Sarvi, and A. Daryani, “</w:t>
      </w:r>
      <w:r w:rsidR="00F373F9" w:rsidRPr="00F373F9">
        <w:rPr>
          <w:rFonts w:cs="Arial"/>
          <w:i/>
          <w:noProof/>
          <w:szCs w:val="24"/>
        </w:rPr>
        <w:t xml:space="preserve">Neospora caninum </w:t>
      </w:r>
      <w:r w:rsidR="00F373F9" w:rsidRPr="00F373F9">
        <w:rPr>
          <w:rFonts w:cs="Arial"/>
          <w:noProof/>
          <w:szCs w:val="24"/>
        </w:rPr>
        <w:t xml:space="preserve">infection in aborting bovines and lost fetuses: A systematic review and meta-analysis,” </w:t>
      </w:r>
      <w:r w:rsidR="00F373F9" w:rsidRPr="00F373F9">
        <w:rPr>
          <w:rFonts w:cs="Arial"/>
          <w:i/>
          <w:iCs/>
          <w:noProof/>
          <w:szCs w:val="24"/>
        </w:rPr>
        <w:t>PLoS One</w:t>
      </w:r>
      <w:r w:rsidR="00F373F9" w:rsidRPr="00F373F9">
        <w:rPr>
          <w:rFonts w:cs="Arial"/>
          <w:noProof/>
          <w:szCs w:val="24"/>
        </w:rPr>
        <w:t>, vol. 17, no. 5, p. e0268903, May 2022.</w:t>
      </w:r>
    </w:p>
    <w:p w14:paraId="3C25E484"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[2]</w:t>
      </w:r>
      <w:r w:rsidRPr="00F373F9">
        <w:rPr>
          <w:rFonts w:cs="Arial"/>
          <w:noProof/>
          <w:szCs w:val="24"/>
        </w:rPr>
        <w:tab/>
        <w:t xml:space="preserve">I. Bjerkås, S. F. Mohn, and J. Presthus, “Unidentified cyst-forming Sporozoon causing encephalomyelitis and myositis in dogs,” </w:t>
      </w:r>
      <w:r w:rsidRPr="00F373F9">
        <w:rPr>
          <w:rFonts w:cs="Arial"/>
          <w:i/>
          <w:iCs/>
          <w:noProof/>
          <w:szCs w:val="24"/>
        </w:rPr>
        <w:t>Z. Parasitenkd.</w:t>
      </w:r>
      <w:r w:rsidRPr="00F373F9">
        <w:rPr>
          <w:rFonts w:cs="Arial"/>
          <w:noProof/>
          <w:szCs w:val="24"/>
        </w:rPr>
        <w:t>, vol. 70, no. 2, pp. 271–274, 1984.</w:t>
      </w:r>
    </w:p>
    <w:p w14:paraId="14BC6948"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[3]</w:t>
      </w:r>
      <w:r w:rsidRPr="00F373F9">
        <w:rPr>
          <w:rFonts w:cs="Arial"/>
          <w:noProof/>
          <w:szCs w:val="24"/>
        </w:rPr>
        <w:tab/>
        <w:t xml:space="preserve">J. P. Dubey, J. L. Carpenter, C. A. Speer, M. J. Topper, and A. Uggla, “Newly recognized fatal protozoan disease of dogs.,” </w:t>
      </w:r>
      <w:r w:rsidRPr="00F373F9">
        <w:rPr>
          <w:rFonts w:cs="Arial"/>
          <w:i/>
          <w:iCs/>
          <w:noProof/>
          <w:szCs w:val="24"/>
        </w:rPr>
        <w:t>J. Am. Vet. Med. Assoc.</w:t>
      </w:r>
      <w:r w:rsidRPr="00F373F9">
        <w:rPr>
          <w:rFonts w:cs="Arial"/>
          <w:noProof/>
          <w:szCs w:val="24"/>
        </w:rPr>
        <w:t>, vol. 192, no. 9, pp. 1269–85, May 1988.</w:t>
      </w:r>
    </w:p>
    <w:p w14:paraId="1B1FB405"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[4]</w:t>
      </w:r>
      <w:r w:rsidRPr="00F373F9">
        <w:rPr>
          <w:rFonts w:cs="Arial"/>
          <w:noProof/>
          <w:szCs w:val="24"/>
        </w:rPr>
        <w:tab/>
        <w:t xml:space="preserve">J. P. Dubey and G. Schares, “Neosporosis in animals—The last five years,” </w:t>
      </w:r>
      <w:r w:rsidRPr="00F373F9">
        <w:rPr>
          <w:rFonts w:cs="Arial"/>
          <w:i/>
          <w:iCs/>
          <w:noProof/>
          <w:szCs w:val="24"/>
        </w:rPr>
        <w:t>Vet. Parasitol.</w:t>
      </w:r>
      <w:r w:rsidRPr="00F373F9">
        <w:rPr>
          <w:rFonts w:cs="Arial"/>
          <w:noProof/>
          <w:szCs w:val="24"/>
        </w:rPr>
        <w:t>, vol. 180, no. 1–2, pp. 90–108, Aug. 2011.</w:t>
      </w:r>
    </w:p>
    <w:p w14:paraId="2A49D485"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[5]</w:t>
      </w:r>
      <w:r w:rsidRPr="00F373F9">
        <w:rPr>
          <w:rFonts w:cs="Arial"/>
          <w:noProof/>
          <w:szCs w:val="24"/>
        </w:rPr>
        <w:tab/>
        <w:t xml:space="preserve">J. P. Dubey </w:t>
      </w:r>
      <w:r w:rsidRPr="00F373F9">
        <w:rPr>
          <w:rFonts w:cs="Arial"/>
          <w:i/>
          <w:iCs/>
          <w:noProof/>
          <w:szCs w:val="24"/>
        </w:rPr>
        <w:t>et al.</w:t>
      </w:r>
      <w:r w:rsidRPr="00F373F9">
        <w:rPr>
          <w:rFonts w:cs="Arial"/>
          <w:noProof/>
          <w:szCs w:val="24"/>
        </w:rPr>
        <w:t xml:space="preserve">, “Gray wolf (Canis lupus) is a natural definitive host for </w:t>
      </w:r>
      <w:r w:rsidRPr="00F373F9">
        <w:rPr>
          <w:rFonts w:cs="Arial"/>
          <w:i/>
          <w:noProof/>
          <w:szCs w:val="24"/>
        </w:rPr>
        <w:t>Neospora caninum</w:t>
      </w:r>
      <w:r w:rsidRPr="00F373F9">
        <w:rPr>
          <w:rFonts w:cs="Arial"/>
          <w:noProof/>
          <w:szCs w:val="24"/>
        </w:rPr>
        <w:t xml:space="preserve">,” </w:t>
      </w:r>
      <w:r w:rsidRPr="00F373F9">
        <w:rPr>
          <w:rFonts w:cs="Arial"/>
          <w:i/>
          <w:iCs/>
          <w:noProof/>
          <w:szCs w:val="24"/>
        </w:rPr>
        <w:t>Vet. Parasitol.</w:t>
      </w:r>
      <w:r w:rsidRPr="00F373F9">
        <w:rPr>
          <w:rFonts w:cs="Arial"/>
          <w:noProof/>
          <w:szCs w:val="24"/>
        </w:rPr>
        <w:t>, vol. 181, no. 2–4, pp. 382–387, Sep. 2011.</w:t>
      </w:r>
    </w:p>
    <w:p w14:paraId="6D6ACEB3"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[6]</w:t>
      </w:r>
      <w:r w:rsidRPr="00F373F9">
        <w:rPr>
          <w:rFonts w:cs="Arial"/>
          <w:noProof/>
          <w:szCs w:val="24"/>
        </w:rPr>
        <w:tab/>
        <w:t xml:space="preserve">J. S. King, J. Šlapeta, D. J. Jenkins, S. E. Al-Qassab, J. T. Ellis, and P. A. Windsor, “Australian dingoes are definitive hosts of </w:t>
      </w:r>
      <w:r w:rsidRPr="00F373F9">
        <w:rPr>
          <w:rFonts w:cs="Arial"/>
          <w:i/>
          <w:noProof/>
          <w:szCs w:val="24"/>
        </w:rPr>
        <w:t>Neospora caninum</w:t>
      </w:r>
      <w:r w:rsidRPr="00F373F9">
        <w:rPr>
          <w:rFonts w:cs="Arial"/>
          <w:noProof/>
          <w:szCs w:val="24"/>
        </w:rPr>
        <w:t xml:space="preserve">,” </w:t>
      </w:r>
      <w:r w:rsidRPr="00F373F9">
        <w:rPr>
          <w:rFonts w:cs="Arial"/>
          <w:i/>
          <w:iCs/>
          <w:noProof/>
          <w:szCs w:val="24"/>
        </w:rPr>
        <w:t>Int. J. Parasitol.</w:t>
      </w:r>
      <w:r w:rsidRPr="00F373F9">
        <w:rPr>
          <w:rFonts w:cs="Arial"/>
          <w:noProof/>
          <w:szCs w:val="24"/>
        </w:rPr>
        <w:t>, vol. 40, no. 8, pp. 945–950, Jul. 2010.</w:t>
      </w:r>
    </w:p>
    <w:p w14:paraId="3588A7CF"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[7]</w:t>
      </w:r>
      <w:r w:rsidRPr="00F373F9">
        <w:rPr>
          <w:rFonts w:cs="Arial"/>
          <w:noProof/>
          <w:szCs w:val="24"/>
        </w:rPr>
        <w:tab/>
        <w:t xml:space="preserve">L. F. P. Gondim, M. M. McAllister, W. C. Pitt, and D. E. Zemlicka, “Coyotes (Canis latrans) are definitive hosts of </w:t>
      </w:r>
      <w:r w:rsidRPr="00F373F9">
        <w:rPr>
          <w:rFonts w:cs="Arial"/>
          <w:i/>
          <w:noProof/>
          <w:szCs w:val="24"/>
        </w:rPr>
        <w:t>Neospora caninum</w:t>
      </w:r>
      <w:r w:rsidRPr="00F373F9">
        <w:rPr>
          <w:rFonts w:cs="Arial"/>
          <w:noProof/>
          <w:szCs w:val="24"/>
        </w:rPr>
        <w:t xml:space="preserve">,” </w:t>
      </w:r>
      <w:r w:rsidRPr="00F373F9">
        <w:rPr>
          <w:rFonts w:cs="Arial"/>
          <w:i/>
          <w:iCs/>
          <w:noProof/>
          <w:szCs w:val="24"/>
        </w:rPr>
        <w:t>Int. J. Parasitol.</w:t>
      </w:r>
      <w:r w:rsidRPr="00F373F9">
        <w:rPr>
          <w:rFonts w:cs="Arial"/>
          <w:noProof/>
          <w:szCs w:val="24"/>
        </w:rPr>
        <w:t>, vol. 34, no. 2, pp. 159–161, 2004.</w:t>
      </w:r>
    </w:p>
    <w:p w14:paraId="569A7090"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[8]</w:t>
      </w:r>
      <w:r w:rsidRPr="00F373F9">
        <w:rPr>
          <w:rFonts w:cs="Arial"/>
          <w:noProof/>
          <w:szCs w:val="24"/>
        </w:rPr>
        <w:tab/>
        <w:t xml:space="preserve">M. M. McAllister, J. P. Dubey, D. S. Lindsay, W. R. Jolley, R. A. Wills, and A. M. McGuire, “Rapid communication: Dogs are definitive hosts of </w:t>
      </w:r>
      <w:r w:rsidRPr="00F373F9">
        <w:rPr>
          <w:rFonts w:cs="Arial"/>
          <w:i/>
          <w:noProof/>
          <w:szCs w:val="24"/>
        </w:rPr>
        <w:t>Neospora caninum</w:t>
      </w:r>
      <w:r w:rsidRPr="00F373F9">
        <w:rPr>
          <w:rFonts w:cs="Arial"/>
          <w:noProof/>
          <w:szCs w:val="24"/>
        </w:rPr>
        <w:t xml:space="preserve">,” </w:t>
      </w:r>
      <w:r w:rsidRPr="00F373F9">
        <w:rPr>
          <w:rFonts w:cs="Arial"/>
          <w:i/>
          <w:iCs/>
          <w:noProof/>
          <w:szCs w:val="24"/>
        </w:rPr>
        <w:t>Int. J. Parasitol.</w:t>
      </w:r>
      <w:r w:rsidRPr="00F373F9">
        <w:rPr>
          <w:rFonts w:cs="Arial"/>
          <w:noProof/>
          <w:szCs w:val="24"/>
        </w:rPr>
        <w:t>, vol. 28, no. 9, pp. 1473–1479, Sep. 1998.</w:t>
      </w:r>
    </w:p>
    <w:p w14:paraId="7DDD1F46"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[9]</w:t>
      </w:r>
      <w:r w:rsidRPr="00F373F9">
        <w:rPr>
          <w:rFonts w:cs="Arial"/>
          <w:noProof/>
          <w:szCs w:val="24"/>
        </w:rPr>
        <w:tab/>
        <w:t>J. P. Dubey, G. Schares, and L. M. Ortega-Mora, “Epidemiology and Control of Neosporosis and</w:t>
      </w:r>
      <w:r w:rsidRPr="00F373F9">
        <w:rPr>
          <w:rFonts w:cs="Arial"/>
          <w:i/>
          <w:noProof/>
          <w:szCs w:val="24"/>
        </w:rPr>
        <w:t xml:space="preserve"> Neospora caninum</w:t>
      </w:r>
      <w:r w:rsidRPr="00F373F9">
        <w:rPr>
          <w:rFonts w:cs="Arial"/>
          <w:noProof/>
          <w:szCs w:val="24"/>
        </w:rPr>
        <w:t xml:space="preserve">,” </w:t>
      </w:r>
      <w:r w:rsidRPr="00F373F9">
        <w:rPr>
          <w:rFonts w:cs="Arial"/>
          <w:i/>
          <w:iCs/>
          <w:noProof/>
          <w:szCs w:val="24"/>
        </w:rPr>
        <w:t>Clin. Microbiol. Rev.</w:t>
      </w:r>
      <w:r w:rsidRPr="00F373F9">
        <w:rPr>
          <w:rFonts w:cs="Arial"/>
          <w:noProof/>
          <w:szCs w:val="24"/>
        </w:rPr>
        <w:t>, vol. 20, no. 2, pp. 323–367, Apr. 2007.</w:t>
      </w:r>
    </w:p>
    <w:p w14:paraId="2705ADE7"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[10]</w:t>
      </w:r>
      <w:r w:rsidRPr="00F373F9">
        <w:rPr>
          <w:rFonts w:cs="Arial"/>
          <w:noProof/>
          <w:szCs w:val="24"/>
        </w:rPr>
        <w:tab/>
        <w:t xml:space="preserve">S. L. Donahoe, S. A. Lindsay, M. Krockenberger, D. Phalen, and J. Šlapeta, “A review of neosporosis and pathologic findings of </w:t>
      </w:r>
      <w:r w:rsidRPr="00F373F9">
        <w:rPr>
          <w:rFonts w:cs="Arial"/>
          <w:i/>
          <w:noProof/>
          <w:szCs w:val="24"/>
        </w:rPr>
        <w:t>Neospora caninum</w:t>
      </w:r>
      <w:r w:rsidRPr="00F373F9">
        <w:rPr>
          <w:rFonts w:cs="Arial"/>
          <w:noProof/>
          <w:szCs w:val="24"/>
        </w:rPr>
        <w:t xml:space="preserve"> infection in wildlife,” </w:t>
      </w:r>
      <w:r w:rsidRPr="00F373F9">
        <w:rPr>
          <w:rFonts w:cs="Arial"/>
          <w:i/>
          <w:iCs/>
          <w:noProof/>
          <w:szCs w:val="24"/>
        </w:rPr>
        <w:t>Int. J. Parasitol. Parasites Wildl.</w:t>
      </w:r>
      <w:r w:rsidRPr="00F373F9">
        <w:rPr>
          <w:rFonts w:cs="Arial"/>
          <w:noProof/>
          <w:szCs w:val="24"/>
        </w:rPr>
        <w:t>, vol. 4, no. 2, pp. 216–238, Aug. 2015.</w:t>
      </w:r>
    </w:p>
    <w:p w14:paraId="1FED38EF"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[11]</w:t>
      </w:r>
      <w:r w:rsidRPr="00F373F9">
        <w:rPr>
          <w:rFonts w:cs="Arial"/>
          <w:noProof/>
          <w:szCs w:val="24"/>
        </w:rPr>
        <w:tab/>
        <w:t xml:space="preserve">S. J. Goodswen, P. J. Kennedy, and J. T. Ellis, “A review of the infection, genetics, and evolution of </w:t>
      </w:r>
      <w:r w:rsidRPr="00F373F9">
        <w:rPr>
          <w:rFonts w:cs="Arial"/>
          <w:i/>
          <w:noProof/>
          <w:szCs w:val="24"/>
        </w:rPr>
        <w:t>Neospora caninum</w:t>
      </w:r>
      <w:r w:rsidRPr="00F373F9">
        <w:rPr>
          <w:rFonts w:cs="Arial"/>
          <w:noProof/>
          <w:szCs w:val="24"/>
        </w:rPr>
        <w:t xml:space="preserve">: From the past to the present,” </w:t>
      </w:r>
      <w:r w:rsidRPr="00F373F9">
        <w:rPr>
          <w:rFonts w:cs="Arial"/>
          <w:i/>
          <w:iCs/>
          <w:noProof/>
          <w:szCs w:val="24"/>
        </w:rPr>
        <w:t>Infect. Genet. Evol.</w:t>
      </w:r>
      <w:r w:rsidRPr="00F373F9">
        <w:rPr>
          <w:rFonts w:cs="Arial"/>
          <w:noProof/>
          <w:szCs w:val="24"/>
        </w:rPr>
        <w:t>, vol. 13, no. 1, pp. 133–150, Jan. 2013.</w:t>
      </w:r>
    </w:p>
    <w:p w14:paraId="6AADDD46"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[12]</w:t>
      </w:r>
      <w:r w:rsidRPr="00F373F9">
        <w:rPr>
          <w:rFonts w:cs="Arial"/>
          <w:noProof/>
          <w:szCs w:val="24"/>
        </w:rPr>
        <w:tab/>
        <w:t xml:space="preserve">E. Collantes-Fernandez </w:t>
      </w:r>
      <w:r w:rsidRPr="00F373F9">
        <w:rPr>
          <w:rFonts w:cs="Arial"/>
          <w:i/>
          <w:iCs/>
          <w:noProof/>
          <w:szCs w:val="24"/>
        </w:rPr>
        <w:t>et al.</w:t>
      </w:r>
      <w:r w:rsidRPr="00F373F9">
        <w:rPr>
          <w:rFonts w:cs="Arial"/>
          <w:noProof/>
          <w:szCs w:val="24"/>
        </w:rPr>
        <w:t xml:space="preserve">, “Infected Dendritic Cells Facilitate Systemic Dissemination and Transplacental Passage of the Obligate Intracellular Parasite </w:t>
      </w:r>
      <w:r w:rsidRPr="00F373F9">
        <w:rPr>
          <w:rFonts w:cs="Arial"/>
          <w:i/>
          <w:noProof/>
          <w:szCs w:val="24"/>
        </w:rPr>
        <w:t xml:space="preserve">Neospora caninum </w:t>
      </w:r>
      <w:r w:rsidRPr="00F373F9">
        <w:rPr>
          <w:rFonts w:cs="Arial"/>
          <w:noProof/>
          <w:szCs w:val="24"/>
        </w:rPr>
        <w:t xml:space="preserve">in Mice,” </w:t>
      </w:r>
      <w:r w:rsidRPr="00F373F9">
        <w:rPr>
          <w:rFonts w:cs="Arial"/>
          <w:i/>
          <w:iCs/>
          <w:noProof/>
          <w:szCs w:val="24"/>
        </w:rPr>
        <w:t>PLoS One</w:t>
      </w:r>
      <w:r w:rsidRPr="00F373F9">
        <w:rPr>
          <w:rFonts w:cs="Arial"/>
          <w:noProof/>
          <w:szCs w:val="24"/>
        </w:rPr>
        <w:t>, vol. 7, no. 3, p. e32123, Mar. 2012.</w:t>
      </w:r>
    </w:p>
    <w:p w14:paraId="2B0EA5F7"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[13]</w:t>
      </w:r>
      <w:r w:rsidRPr="00F373F9">
        <w:rPr>
          <w:rFonts w:cs="Arial"/>
          <w:noProof/>
          <w:szCs w:val="24"/>
        </w:rPr>
        <w:tab/>
        <w:t xml:space="preserve">A. Correia </w:t>
      </w:r>
      <w:r w:rsidRPr="00F373F9">
        <w:rPr>
          <w:rFonts w:cs="Arial"/>
          <w:i/>
          <w:iCs/>
          <w:noProof/>
          <w:szCs w:val="24"/>
        </w:rPr>
        <w:t>et al.</w:t>
      </w:r>
      <w:r w:rsidRPr="00F373F9">
        <w:rPr>
          <w:rFonts w:cs="Arial"/>
          <w:noProof/>
          <w:szCs w:val="24"/>
        </w:rPr>
        <w:t xml:space="preserve">, “Mucosal and systemic T cell response in mice intragastrically infected with </w:t>
      </w:r>
      <w:r w:rsidRPr="00F373F9">
        <w:rPr>
          <w:rFonts w:cs="Arial"/>
          <w:i/>
          <w:noProof/>
          <w:szCs w:val="24"/>
        </w:rPr>
        <w:t xml:space="preserve">Neospora caninum </w:t>
      </w:r>
      <w:r w:rsidRPr="00F373F9">
        <w:rPr>
          <w:rFonts w:cs="Arial"/>
          <w:noProof/>
          <w:szCs w:val="24"/>
        </w:rPr>
        <w:t xml:space="preserve">tachyzoites,” </w:t>
      </w:r>
      <w:r w:rsidRPr="00F373F9">
        <w:rPr>
          <w:rFonts w:cs="Arial"/>
          <w:i/>
          <w:iCs/>
          <w:noProof/>
          <w:szCs w:val="24"/>
        </w:rPr>
        <w:t>Vet. Res.</w:t>
      </w:r>
      <w:r w:rsidRPr="00F373F9">
        <w:rPr>
          <w:rFonts w:cs="Arial"/>
          <w:noProof/>
          <w:szCs w:val="24"/>
        </w:rPr>
        <w:t>, vol. 44, no. 1, p. 69, Dec. 2013.</w:t>
      </w:r>
    </w:p>
    <w:p w14:paraId="6C01BEE8"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[14]</w:t>
      </w:r>
      <w:r w:rsidRPr="00F373F9">
        <w:rPr>
          <w:rFonts w:cs="Arial"/>
          <w:noProof/>
          <w:szCs w:val="24"/>
        </w:rPr>
        <w:tab/>
        <w:t xml:space="preserve">P. O. Duarte </w:t>
      </w:r>
      <w:r w:rsidRPr="00F373F9">
        <w:rPr>
          <w:rFonts w:cs="Arial"/>
          <w:i/>
          <w:iCs/>
          <w:noProof/>
          <w:szCs w:val="24"/>
        </w:rPr>
        <w:t>et al.</w:t>
      </w:r>
      <w:r w:rsidRPr="00F373F9">
        <w:rPr>
          <w:rFonts w:cs="Arial"/>
          <w:noProof/>
          <w:szCs w:val="24"/>
        </w:rPr>
        <w:t xml:space="preserve">, “Serological and molecular detection of </w:t>
      </w:r>
      <w:r w:rsidRPr="00F373F9">
        <w:rPr>
          <w:rFonts w:cs="Arial"/>
          <w:i/>
          <w:noProof/>
          <w:szCs w:val="24"/>
        </w:rPr>
        <w:t>Neospora caninum</w:t>
      </w:r>
      <w:r w:rsidRPr="00F373F9">
        <w:rPr>
          <w:rFonts w:cs="Arial"/>
          <w:noProof/>
          <w:szCs w:val="24"/>
        </w:rPr>
        <w:t xml:space="preserve"> and Toxoplasma gondii in human umbilical cord blood and placental tissue samples,” </w:t>
      </w:r>
      <w:r w:rsidRPr="00F373F9">
        <w:rPr>
          <w:rFonts w:cs="Arial"/>
          <w:i/>
          <w:iCs/>
          <w:noProof/>
          <w:szCs w:val="24"/>
        </w:rPr>
        <w:t>Sci. Reports 2020 101</w:t>
      </w:r>
      <w:r w:rsidRPr="00F373F9">
        <w:rPr>
          <w:rFonts w:cs="Arial"/>
          <w:noProof/>
          <w:szCs w:val="24"/>
        </w:rPr>
        <w:t>, vol. 10, no. 1, pp. 1–8, Jun. 2020.</w:t>
      </w:r>
    </w:p>
    <w:p w14:paraId="1A05C3BE"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[15]</w:t>
      </w:r>
      <w:r w:rsidRPr="00F373F9">
        <w:rPr>
          <w:rFonts w:cs="Arial"/>
          <w:noProof/>
          <w:szCs w:val="24"/>
        </w:rPr>
        <w:tab/>
        <w:t xml:space="preserve">R. M. Shaapan, “The common zoonotic protozoal diseases causing abortion,” </w:t>
      </w:r>
      <w:r w:rsidRPr="00F373F9">
        <w:rPr>
          <w:rFonts w:cs="Arial"/>
          <w:i/>
          <w:iCs/>
          <w:noProof/>
          <w:szCs w:val="24"/>
        </w:rPr>
        <w:t>J. Parasit. Dis.</w:t>
      </w:r>
      <w:r w:rsidRPr="00F373F9">
        <w:rPr>
          <w:rFonts w:cs="Arial"/>
          <w:noProof/>
          <w:szCs w:val="24"/>
        </w:rPr>
        <w:t>, vol. 40, no. 4, pp. 1116–1129, Dec. 2016.</w:t>
      </w:r>
    </w:p>
    <w:p w14:paraId="6A33146E"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[16]</w:t>
      </w:r>
      <w:r w:rsidRPr="00F373F9">
        <w:rPr>
          <w:rFonts w:cs="Arial"/>
          <w:noProof/>
          <w:szCs w:val="24"/>
        </w:rPr>
        <w:tab/>
        <w:t xml:space="preserve">M. P. Reichel, L. C. Wahl, and J. T. Ellis, “Research into </w:t>
      </w:r>
      <w:r w:rsidRPr="00F373F9">
        <w:rPr>
          <w:rFonts w:cs="Arial"/>
          <w:i/>
          <w:noProof/>
          <w:szCs w:val="24"/>
        </w:rPr>
        <w:t>Neospora caninum</w:t>
      </w:r>
      <w:r w:rsidRPr="00F373F9">
        <w:rPr>
          <w:rFonts w:cs="Arial"/>
          <w:noProof/>
          <w:szCs w:val="24"/>
        </w:rPr>
        <w:t xml:space="preserve">-What Have We Learnt in the Last Thirty Years?,” </w:t>
      </w:r>
      <w:r w:rsidRPr="00F373F9">
        <w:rPr>
          <w:rFonts w:cs="Arial"/>
          <w:i/>
          <w:iCs/>
          <w:noProof/>
          <w:szCs w:val="24"/>
        </w:rPr>
        <w:t>Pathog. (Basel, Switzerland)</w:t>
      </w:r>
      <w:r w:rsidRPr="00F373F9">
        <w:rPr>
          <w:rFonts w:cs="Arial"/>
          <w:noProof/>
          <w:szCs w:val="24"/>
        </w:rPr>
        <w:t>, vol. 9, no. 6, pp. 1–18, Jun. 2020.</w:t>
      </w:r>
    </w:p>
    <w:p w14:paraId="44A3B9F2"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[17]</w:t>
      </w:r>
      <w:r w:rsidRPr="00F373F9">
        <w:rPr>
          <w:rFonts w:cs="Arial"/>
          <w:noProof/>
          <w:szCs w:val="24"/>
        </w:rPr>
        <w:tab/>
        <w:t xml:space="preserve">L. Teixeira </w:t>
      </w:r>
      <w:r w:rsidRPr="00F373F9">
        <w:rPr>
          <w:rFonts w:cs="Arial"/>
          <w:i/>
          <w:iCs/>
          <w:noProof/>
          <w:szCs w:val="24"/>
        </w:rPr>
        <w:t>et al.</w:t>
      </w:r>
      <w:r w:rsidRPr="00F373F9">
        <w:rPr>
          <w:rFonts w:cs="Arial"/>
          <w:noProof/>
          <w:szCs w:val="24"/>
        </w:rPr>
        <w:t xml:space="preserve">, “Plasmacytoid and conventional dendritic cells are early producers of IL-12 in </w:t>
      </w:r>
      <w:r w:rsidRPr="00F373F9">
        <w:rPr>
          <w:rFonts w:cs="Arial"/>
          <w:i/>
          <w:noProof/>
          <w:szCs w:val="24"/>
        </w:rPr>
        <w:t>Neospora caninum</w:t>
      </w:r>
      <w:r w:rsidRPr="00F373F9">
        <w:rPr>
          <w:rFonts w:cs="Arial"/>
          <w:noProof/>
          <w:szCs w:val="24"/>
        </w:rPr>
        <w:t xml:space="preserve">-infected mice,” </w:t>
      </w:r>
      <w:r w:rsidRPr="00F373F9">
        <w:rPr>
          <w:rFonts w:cs="Arial"/>
          <w:i/>
          <w:iCs/>
          <w:noProof/>
          <w:szCs w:val="24"/>
        </w:rPr>
        <w:t>Immunol. Cell Biol.</w:t>
      </w:r>
      <w:r w:rsidRPr="00F373F9">
        <w:rPr>
          <w:rFonts w:cs="Arial"/>
          <w:noProof/>
          <w:szCs w:val="24"/>
        </w:rPr>
        <w:t>, vol. 88, no. 1, pp. 79–86, Jan. 2010.</w:t>
      </w:r>
    </w:p>
    <w:p w14:paraId="582147AA"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[18]</w:t>
      </w:r>
      <w:r w:rsidRPr="00F373F9">
        <w:rPr>
          <w:rFonts w:cs="Arial"/>
          <w:noProof/>
          <w:szCs w:val="24"/>
        </w:rPr>
        <w:tab/>
        <w:t xml:space="preserve">T. V. Baszler, M. T. Long, T. F. McElwain, and B. A. Mathison, “Interferon-γ and interleukin-12 mediate protection to acute </w:t>
      </w:r>
      <w:r w:rsidRPr="00F373F9">
        <w:rPr>
          <w:rFonts w:cs="Arial"/>
          <w:i/>
          <w:noProof/>
          <w:szCs w:val="24"/>
        </w:rPr>
        <w:t>Neospora caninum</w:t>
      </w:r>
      <w:r w:rsidRPr="00F373F9">
        <w:rPr>
          <w:rFonts w:cs="Arial"/>
          <w:noProof/>
          <w:szCs w:val="24"/>
        </w:rPr>
        <w:t xml:space="preserve"> infection in BALB/c mice,” </w:t>
      </w:r>
      <w:r w:rsidRPr="00F373F9">
        <w:rPr>
          <w:rFonts w:cs="Arial"/>
          <w:i/>
          <w:iCs/>
          <w:noProof/>
          <w:szCs w:val="24"/>
        </w:rPr>
        <w:t>Int. J. Parasitol.</w:t>
      </w:r>
      <w:r w:rsidRPr="00F373F9">
        <w:rPr>
          <w:rFonts w:cs="Arial"/>
          <w:noProof/>
          <w:szCs w:val="24"/>
        </w:rPr>
        <w:t>, vol. 29, no. 10, pp. 1635–1646, 1999.</w:t>
      </w:r>
    </w:p>
    <w:p w14:paraId="0FC71AEE"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[19]</w:t>
      </w:r>
      <w:r w:rsidRPr="00F373F9">
        <w:rPr>
          <w:rFonts w:cs="Arial"/>
          <w:noProof/>
          <w:szCs w:val="24"/>
        </w:rPr>
        <w:tab/>
        <w:t xml:space="preserve">I. R. Tizard, “Veterinary Immunology,” in </w:t>
      </w:r>
      <w:r w:rsidRPr="00F373F9">
        <w:rPr>
          <w:rFonts w:cs="Arial"/>
          <w:i/>
          <w:iCs/>
          <w:noProof/>
          <w:szCs w:val="24"/>
        </w:rPr>
        <w:t>Elsevier Health Sciences</w:t>
      </w:r>
      <w:r w:rsidRPr="00F373F9">
        <w:rPr>
          <w:rFonts w:cs="Arial"/>
          <w:noProof/>
          <w:szCs w:val="24"/>
        </w:rPr>
        <w:t>, 9th ed., W.B. Saunders Company, 2012.</w:t>
      </w:r>
    </w:p>
    <w:p w14:paraId="6460CB97"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[20]</w:t>
      </w:r>
      <w:r w:rsidRPr="00F373F9">
        <w:rPr>
          <w:rFonts w:cs="Arial"/>
          <w:noProof/>
          <w:szCs w:val="24"/>
        </w:rPr>
        <w:tab/>
        <w:t xml:space="preserve">L. Teixeira </w:t>
      </w:r>
      <w:r w:rsidRPr="00F373F9">
        <w:rPr>
          <w:rFonts w:cs="Arial"/>
          <w:i/>
          <w:iCs/>
          <w:noProof/>
          <w:szCs w:val="24"/>
        </w:rPr>
        <w:t>et al.</w:t>
      </w:r>
      <w:r w:rsidRPr="00F373F9">
        <w:rPr>
          <w:rFonts w:cs="Arial"/>
          <w:noProof/>
          <w:szCs w:val="24"/>
        </w:rPr>
        <w:t xml:space="preserve">, “Plasmacytoid and conventional dendritic cells are early producers of IL-12 in </w:t>
      </w:r>
      <w:r w:rsidRPr="00F373F9">
        <w:rPr>
          <w:rFonts w:cs="Arial"/>
          <w:i/>
          <w:noProof/>
          <w:szCs w:val="24"/>
        </w:rPr>
        <w:t>Neospora caninum</w:t>
      </w:r>
      <w:r w:rsidRPr="00F373F9">
        <w:rPr>
          <w:rFonts w:cs="Arial"/>
          <w:noProof/>
          <w:szCs w:val="24"/>
        </w:rPr>
        <w:t xml:space="preserve">-infected mice,” </w:t>
      </w:r>
      <w:r w:rsidRPr="00F373F9">
        <w:rPr>
          <w:rFonts w:cs="Arial"/>
          <w:i/>
          <w:iCs/>
          <w:noProof/>
          <w:szCs w:val="24"/>
        </w:rPr>
        <w:t>Immunol. Cell Biol.</w:t>
      </w:r>
      <w:r w:rsidRPr="00F373F9">
        <w:rPr>
          <w:rFonts w:cs="Arial"/>
          <w:noProof/>
          <w:szCs w:val="24"/>
        </w:rPr>
        <w:t>, vol. 88, no. 1, pp. 79–86, Jan. 2010.</w:t>
      </w:r>
    </w:p>
    <w:p w14:paraId="706F435C"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[21]</w:t>
      </w:r>
      <w:r w:rsidRPr="00F373F9">
        <w:rPr>
          <w:rFonts w:cs="Arial"/>
          <w:noProof/>
          <w:szCs w:val="24"/>
        </w:rPr>
        <w:tab/>
        <w:t xml:space="preserve">L. Teixeira </w:t>
      </w:r>
      <w:r w:rsidRPr="00F373F9">
        <w:rPr>
          <w:rFonts w:cs="Arial"/>
          <w:i/>
          <w:iCs/>
          <w:noProof/>
          <w:szCs w:val="24"/>
        </w:rPr>
        <w:t>et al.</w:t>
      </w:r>
      <w:r w:rsidRPr="00F373F9">
        <w:rPr>
          <w:rFonts w:cs="Arial"/>
          <w:noProof/>
          <w:szCs w:val="24"/>
        </w:rPr>
        <w:t xml:space="preserve">, “Analysis of the immune response to </w:t>
      </w:r>
      <w:r w:rsidRPr="00F373F9">
        <w:rPr>
          <w:rFonts w:cs="Arial"/>
          <w:i/>
          <w:noProof/>
          <w:szCs w:val="24"/>
        </w:rPr>
        <w:t>Neospora caninum</w:t>
      </w:r>
      <w:r w:rsidRPr="00F373F9">
        <w:rPr>
          <w:rFonts w:cs="Arial"/>
          <w:noProof/>
          <w:szCs w:val="24"/>
        </w:rPr>
        <w:t xml:space="preserve"> in a model of intragastric infection in mice,” </w:t>
      </w:r>
      <w:r w:rsidRPr="00F373F9">
        <w:rPr>
          <w:rFonts w:cs="Arial"/>
          <w:i/>
          <w:iCs/>
          <w:noProof/>
          <w:szCs w:val="24"/>
        </w:rPr>
        <w:t>Parasite Immunol.</w:t>
      </w:r>
      <w:r w:rsidRPr="00F373F9">
        <w:rPr>
          <w:rFonts w:cs="Arial"/>
          <w:noProof/>
          <w:szCs w:val="24"/>
        </w:rPr>
        <w:t>, vol. 29, no. 1, pp. 23–36, Jan. 2007.</w:t>
      </w:r>
    </w:p>
    <w:p w14:paraId="777802A6"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[22]</w:t>
      </w:r>
      <w:r w:rsidRPr="00F373F9">
        <w:rPr>
          <w:rFonts w:cs="Arial"/>
          <w:noProof/>
          <w:szCs w:val="24"/>
        </w:rPr>
        <w:tab/>
        <w:t xml:space="preserve">P. Boysen, S. Klevar, I. Olsen, and A. K. Storset, “The Protozoan </w:t>
      </w:r>
      <w:r w:rsidRPr="00F373F9">
        <w:rPr>
          <w:rFonts w:cs="Arial"/>
          <w:i/>
          <w:noProof/>
          <w:szCs w:val="24"/>
        </w:rPr>
        <w:t>Neospora caninum</w:t>
      </w:r>
      <w:r w:rsidRPr="00F373F9">
        <w:rPr>
          <w:rFonts w:cs="Arial"/>
          <w:noProof/>
          <w:szCs w:val="24"/>
        </w:rPr>
        <w:t xml:space="preserve"> Directly Triggers Bovine NK Cells To Produce Gamma Interferon and To Kill Infected Fibroblasts,” </w:t>
      </w:r>
      <w:r w:rsidRPr="00F373F9">
        <w:rPr>
          <w:rFonts w:cs="Arial"/>
          <w:i/>
          <w:iCs/>
          <w:noProof/>
          <w:szCs w:val="24"/>
        </w:rPr>
        <w:t>Infect. Immun.</w:t>
      </w:r>
      <w:r w:rsidRPr="00F373F9">
        <w:rPr>
          <w:rFonts w:cs="Arial"/>
          <w:noProof/>
          <w:szCs w:val="24"/>
        </w:rPr>
        <w:t>, vol. 74, no. 2, p. 953, Feb. 2006.</w:t>
      </w:r>
    </w:p>
    <w:p w14:paraId="520A9F9A"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[23]</w:t>
      </w:r>
      <w:r w:rsidRPr="00F373F9">
        <w:rPr>
          <w:rFonts w:cs="Arial"/>
          <w:noProof/>
          <w:szCs w:val="24"/>
        </w:rPr>
        <w:tab/>
        <w:t xml:space="preserve">A. Benson, R. Pifer, C. L. Behrendt, L. V. Hooper, and F. Yarovinsky, “Gut commensal bacteria direct a protective immune response against the human pathogen </w:t>
      </w:r>
      <w:r w:rsidRPr="00F373F9">
        <w:rPr>
          <w:rFonts w:cs="Arial"/>
          <w:i/>
          <w:noProof/>
          <w:szCs w:val="24"/>
        </w:rPr>
        <w:t>Toxoplasma gondii</w:t>
      </w:r>
      <w:r w:rsidRPr="00F373F9">
        <w:rPr>
          <w:rFonts w:cs="Arial"/>
          <w:noProof/>
          <w:szCs w:val="24"/>
        </w:rPr>
        <w:t xml:space="preserve">,” </w:t>
      </w:r>
      <w:r w:rsidRPr="00F373F9">
        <w:rPr>
          <w:rFonts w:cs="Arial"/>
          <w:i/>
          <w:iCs/>
          <w:noProof/>
          <w:szCs w:val="24"/>
        </w:rPr>
        <w:t>Cell Host Microbe</w:t>
      </w:r>
      <w:r w:rsidRPr="00F373F9">
        <w:rPr>
          <w:rFonts w:cs="Arial"/>
          <w:noProof/>
          <w:szCs w:val="24"/>
        </w:rPr>
        <w:t>, vol. 6, no. 2, p. 187, Aug. 2009.</w:t>
      </w:r>
    </w:p>
    <w:p w14:paraId="7C99B62D"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[24]</w:t>
      </w:r>
      <w:r w:rsidRPr="00F373F9">
        <w:rPr>
          <w:rFonts w:cs="Arial"/>
          <w:noProof/>
          <w:szCs w:val="24"/>
        </w:rPr>
        <w:tab/>
        <w:t xml:space="preserve">A. Correia, P. Alves, R. Fróis-Martins, L. Teixeira, and M. Vilanova, “Protective Effect against Neosporosis Induced by Intranasal Immunization with </w:t>
      </w:r>
      <w:r w:rsidRPr="00F373F9">
        <w:rPr>
          <w:rFonts w:cs="Arial"/>
          <w:i/>
          <w:noProof/>
          <w:szCs w:val="24"/>
        </w:rPr>
        <w:t>Neospora caninum</w:t>
      </w:r>
      <w:r w:rsidRPr="00F373F9">
        <w:rPr>
          <w:rFonts w:cs="Arial"/>
          <w:noProof/>
          <w:szCs w:val="24"/>
        </w:rPr>
        <w:t xml:space="preserve"> Membrane Antigens Plus Carbomer-Based Adjuvant,” </w:t>
      </w:r>
      <w:r w:rsidRPr="00F373F9">
        <w:rPr>
          <w:rFonts w:cs="Arial"/>
          <w:i/>
          <w:iCs/>
          <w:noProof/>
          <w:szCs w:val="24"/>
        </w:rPr>
        <w:t>Vaccines</w:t>
      </w:r>
      <w:r w:rsidRPr="00F373F9">
        <w:rPr>
          <w:rFonts w:cs="Arial"/>
          <w:noProof/>
          <w:szCs w:val="24"/>
        </w:rPr>
        <w:t>, vol. 10, no. 6, p. 925, Jun. 2022.</w:t>
      </w:r>
    </w:p>
    <w:p w14:paraId="2FEED762"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[25]</w:t>
      </w:r>
      <w:r w:rsidRPr="00F373F9">
        <w:rPr>
          <w:rFonts w:cs="Arial"/>
          <w:noProof/>
          <w:szCs w:val="24"/>
        </w:rPr>
        <w:tab/>
        <w:t xml:space="preserve">R. Guiton </w:t>
      </w:r>
      <w:r w:rsidRPr="00F373F9">
        <w:rPr>
          <w:rFonts w:cs="Arial"/>
          <w:i/>
          <w:iCs/>
          <w:noProof/>
          <w:szCs w:val="24"/>
        </w:rPr>
        <w:t>et al.</w:t>
      </w:r>
      <w:r w:rsidRPr="00F373F9">
        <w:rPr>
          <w:rFonts w:cs="Arial"/>
          <w:noProof/>
          <w:szCs w:val="24"/>
        </w:rPr>
        <w:t xml:space="preserve">, “Interleukin 17 Receptor Signaling Is Deleterious during </w:t>
      </w:r>
      <w:r w:rsidRPr="00F373F9">
        <w:rPr>
          <w:rFonts w:cs="Arial"/>
          <w:i/>
          <w:noProof/>
          <w:szCs w:val="24"/>
        </w:rPr>
        <w:t xml:space="preserve">Toxoplasma gondii </w:t>
      </w:r>
      <w:r w:rsidRPr="00F373F9">
        <w:rPr>
          <w:rFonts w:cs="Arial"/>
          <w:noProof/>
          <w:szCs w:val="24"/>
        </w:rPr>
        <w:t xml:space="preserve">Infection in Susceptible BL6 Mice,” </w:t>
      </w:r>
      <w:r w:rsidRPr="00F373F9">
        <w:rPr>
          <w:rFonts w:cs="Arial"/>
          <w:i/>
          <w:iCs/>
          <w:noProof/>
          <w:szCs w:val="24"/>
        </w:rPr>
        <w:t>J. Infect. Dis.</w:t>
      </w:r>
      <w:r w:rsidRPr="00F373F9">
        <w:rPr>
          <w:rFonts w:cs="Arial"/>
          <w:noProof/>
          <w:szCs w:val="24"/>
        </w:rPr>
        <w:t>, vol. 427, no. 3, pp. 427–435, 2010.</w:t>
      </w:r>
    </w:p>
    <w:p w14:paraId="78C987F7"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[26]</w:t>
      </w:r>
      <w:r w:rsidRPr="00F373F9">
        <w:rPr>
          <w:rFonts w:cs="Arial"/>
          <w:noProof/>
          <w:szCs w:val="24"/>
        </w:rPr>
        <w:tab/>
        <w:t xml:space="preserve">L. Zhang </w:t>
      </w:r>
      <w:r w:rsidRPr="00F373F9">
        <w:rPr>
          <w:rFonts w:cs="Arial"/>
          <w:i/>
          <w:iCs/>
          <w:noProof/>
          <w:szCs w:val="24"/>
        </w:rPr>
        <w:t>et al.</w:t>
      </w:r>
      <w:r w:rsidRPr="00F373F9">
        <w:rPr>
          <w:rFonts w:cs="Arial"/>
          <w:noProof/>
          <w:szCs w:val="24"/>
        </w:rPr>
        <w:t>, “</w:t>
      </w:r>
      <w:r w:rsidRPr="00FE0FB2">
        <w:rPr>
          <w:rFonts w:cs="Arial"/>
          <w:i/>
          <w:noProof/>
          <w:szCs w:val="24"/>
        </w:rPr>
        <w:t>Eimeria tenella</w:t>
      </w:r>
      <w:r w:rsidRPr="00F373F9">
        <w:rPr>
          <w:rFonts w:cs="Arial"/>
          <w:noProof/>
          <w:szCs w:val="24"/>
        </w:rPr>
        <w:t xml:space="preserve">: Interleukin 17 contributes to host immunopathology in the gut during experimental infection,” </w:t>
      </w:r>
      <w:r w:rsidRPr="00F373F9">
        <w:rPr>
          <w:rFonts w:cs="Arial"/>
          <w:i/>
          <w:iCs/>
          <w:noProof/>
          <w:szCs w:val="24"/>
        </w:rPr>
        <w:t>Exp. Parasitol.</w:t>
      </w:r>
      <w:r w:rsidRPr="00F373F9">
        <w:rPr>
          <w:rFonts w:cs="Arial"/>
          <w:noProof/>
          <w:szCs w:val="24"/>
        </w:rPr>
        <w:t>, vol. 133, no. 2, pp. 121–130, Feb. 2013.</w:t>
      </w:r>
    </w:p>
    <w:p w14:paraId="667205DD"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[27]</w:t>
      </w:r>
      <w:r w:rsidRPr="00F373F9">
        <w:rPr>
          <w:rFonts w:cs="Arial"/>
          <w:noProof/>
          <w:szCs w:val="24"/>
        </w:rPr>
        <w:tab/>
        <w:t xml:space="preserve">I. Yamane </w:t>
      </w:r>
      <w:r w:rsidRPr="00F373F9">
        <w:rPr>
          <w:rFonts w:cs="Arial"/>
          <w:i/>
          <w:iCs/>
          <w:noProof/>
          <w:szCs w:val="24"/>
        </w:rPr>
        <w:t>et al.</w:t>
      </w:r>
      <w:r w:rsidRPr="00F373F9">
        <w:rPr>
          <w:rFonts w:cs="Arial"/>
          <w:noProof/>
          <w:szCs w:val="24"/>
        </w:rPr>
        <w:t xml:space="preserve">, “The Inhibitory Effect of Interferon Gamma and Tumor Necrosis Factor Alpha on Intracellular Multiplication of </w:t>
      </w:r>
      <w:r w:rsidRPr="00F373F9">
        <w:rPr>
          <w:rFonts w:cs="Arial"/>
          <w:i/>
          <w:noProof/>
          <w:szCs w:val="24"/>
        </w:rPr>
        <w:t>Neospora caninum</w:t>
      </w:r>
      <w:r w:rsidRPr="00F373F9">
        <w:rPr>
          <w:rFonts w:cs="Arial"/>
          <w:noProof/>
          <w:szCs w:val="24"/>
        </w:rPr>
        <w:t xml:space="preserve"> in Primary Bovine Brain Cells,” 2000.</w:t>
      </w:r>
    </w:p>
    <w:p w14:paraId="3F57E84B"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[28]</w:t>
      </w:r>
      <w:r w:rsidRPr="00F373F9">
        <w:rPr>
          <w:rFonts w:cs="Arial"/>
          <w:noProof/>
          <w:szCs w:val="24"/>
        </w:rPr>
        <w:tab/>
        <w:t xml:space="preserve">X. Li, H. Körner, and X. Liu, “Susceptibility to Intracellular Infections: Contributions of TNF to Immune Defense,” </w:t>
      </w:r>
      <w:r w:rsidRPr="00F373F9">
        <w:rPr>
          <w:rFonts w:cs="Arial"/>
          <w:i/>
          <w:iCs/>
          <w:noProof/>
          <w:szCs w:val="24"/>
        </w:rPr>
        <w:t>Front. Microbiol.</w:t>
      </w:r>
      <w:r w:rsidRPr="00F373F9">
        <w:rPr>
          <w:rFonts w:cs="Arial"/>
          <w:noProof/>
          <w:szCs w:val="24"/>
        </w:rPr>
        <w:t>, vol. 11, p. 1643, Jul. 2020.</w:t>
      </w:r>
    </w:p>
    <w:p w14:paraId="2A776C80"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[29]</w:t>
      </w:r>
      <w:r w:rsidRPr="00F373F9">
        <w:rPr>
          <w:rFonts w:cs="Arial"/>
          <w:noProof/>
          <w:szCs w:val="24"/>
        </w:rPr>
        <w:tab/>
        <w:t xml:space="preserve">A. Correia </w:t>
      </w:r>
      <w:r w:rsidRPr="00F373F9">
        <w:rPr>
          <w:rFonts w:cs="Arial"/>
          <w:i/>
          <w:iCs/>
          <w:noProof/>
          <w:szCs w:val="24"/>
        </w:rPr>
        <w:t>et al.</w:t>
      </w:r>
      <w:r w:rsidRPr="00F373F9">
        <w:rPr>
          <w:rFonts w:cs="Arial"/>
          <w:noProof/>
          <w:szCs w:val="24"/>
        </w:rPr>
        <w:t xml:space="preserve">, “Predominant role of interferon-γ in the host protective effect of CD8+ T cells against </w:t>
      </w:r>
      <w:r w:rsidRPr="00F373F9">
        <w:rPr>
          <w:rFonts w:cs="Arial"/>
          <w:i/>
          <w:noProof/>
          <w:szCs w:val="24"/>
        </w:rPr>
        <w:t>Neospora caninum</w:t>
      </w:r>
      <w:r w:rsidRPr="00F373F9">
        <w:rPr>
          <w:rFonts w:cs="Arial"/>
          <w:noProof/>
          <w:szCs w:val="24"/>
        </w:rPr>
        <w:t xml:space="preserve"> infection,” </w:t>
      </w:r>
      <w:r w:rsidRPr="00F373F9">
        <w:rPr>
          <w:rFonts w:cs="Arial"/>
          <w:i/>
          <w:iCs/>
          <w:noProof/>
          <w:szCs w:val="24"/>
        </w:rPr>
        <w:t>Sci. Rep.</w:t>
      </w:r>
      <w:r w:rsidRPr="00F373F9">
        <w:rPr>
          <w:rFonts w:cs="Arial"/>
          <w:noProof/>
          <w:szCs w:val="24"/>
        </w:rPr>
        <w:t>, vol. 5, no. 1, p. 14913, Dec. 2015.</w:t>
      </w:r>
    </w:p>
    <w:p w14:paraId="428A2984"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[30]</w:t>
      </w:r>
      <w:r w:rsidRPr="00F373F9">
        <w:rPr>
          <w:rFonts w:cs="Arial"/>
          <w:noProof/>
          <w:szCs w:val="24"/>
        </w:rPr>
        <w:tab/>
        <w:t xml:space="preserve">L. Teixeira </w:t>
      </w:r>
      <w:r w:rsidRPr="00F373F9">
        <w:rPr>
          <w:rFonts w:cs="Arial"/>
          <w:i/>
          <w:iCs/>
          <w:noProof/>
          <w:szCs w:val="24"/>
        </w:rPr>
        <w:t>et al.</w:t>
      </w:r>
      <w:r w:rsidRPr="00F373F9">
        <w:rPr>
          <w:rFonts w:cs="Arial"/>
          <w:noProof/>
          <w:szCs w:val="24"/>
        </w:rPr>
        <w:t xml:space="preserve">, “Enrichment of IFN-γ producing cells in different murine adipose tissue depots upon infection with an apicomplexan parasite,” </w:t>
      </w:r>
      <w:r w:rsidRPr="00F373F9">
        <w:rPr>
          <w:rFonts w:cs="Arial"/>
          <w:i/>
          <w:iCs/>
          <w:noProof/>
          <w:szCs w:val="24"/>
        </w:rPr>
        <w:t>Nat. Publ. Gr.</w:t>
      </w:r>
      <w:r w:rsidRPr="00F373F9">
        <w:rPr>
          <w:rFonts w:cs="Arial"/>
          <w:noProof/>
          <w:szCs w:val="24"/>
        </w:rPr>
        <w:t>, 2016.</w:t>
      </w:r>
    </w:p>
    <w:p w14:paraId="49677D93"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[31]</w:t>
      </w:r>
      <w:r w:rsidRPr="00F373F9">
        <w:rPr>
          <w:rFonts w:cs="Arial"/>
          <w:noProof/>
          <w:szCs w:val="24"/>
        </w:rPr>
        <w:tab/>
        <w:t xml:space="preserve">J. H. Rowe, J. M. Ertelt, L. Xin, and S. S. Way, “Regulatory T cells and the immune pathogenesis of prenatal infection,” </w:t>
      </w:r>
      <w:r w:rsidRPr="00F373F9">
        <w:rPr>
          <w:rFonts w:cs="Arial"/>
          <w:i/>
          <w:iCs/>
          <w:noProof/>
          <w:szCs w:val="24"/>
        </w:rPr>
        <w:t>Reproduction</w:t>
      </w:r>
      <w:r w:rsidRPr="00F373F9">
        <w:rPr>
          <w:rFonts w:cs="Arial"/>
          <w:noProof/>
          <w:szCs w:val="24"/>
        </w:rPr>
        <w:t>, vol. 146, no. 6, pp. R191–R203, Dec. 2013.</w:t>
      </w:r>
    </w:p>
    <w:p w14:paraId="22495B54"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[32]</w:t>
      </w:r>
      <w:r w:rsidRPr="00F373F9">
        <w:rPr>
          <w:rFonts w:cs="Arial"/>
          <w:noProof/>
          <w:szCs w:val="24"/>
        </w:rPr>
        <w:tab/>
        <w:t xml:space="preserve">Y. Belkaid and K. Tarbell, “Regulatory T Cells in the Control of Host-Microorganism Interactions *,” </w:t>
      </w:r>
      <w:r w:rsidRPr="00F373F9">
        <w:rPr>
          <w:rFonts w:cs="Arial"/>
          <w:i/>
          <w:iCs/>
          <w:noProof/>
          <w:szCs w:val="24"/>
        </w:rPr>
        <w:t>Annu. Rev. Immunol.</w:t>
      </w:r>
      <w:r w:rsidRPr="00F373F9">
        <w:rPr>
          <w:rFonts w:cs="Arial"/>
          <w:noProof/>
          <w:szCs w:val="24"/>
        </w:rPr>
        <w:t>, vol. 27, pp. 551–589, 2009.</w:t>
      </w:r>
    </w:p>
    <w:p w14:paraId="734160B5"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[33]</w:t>
      </w:r>
      <w:r w:rsidRPr="00F373F9">
        <w:rPr>
          <w:rFonts w:cs="Arial"/>
          <w:noProof/>
          <w:szCs w:val="24"/>
        </w:rPr>
        <w:tab/>
        <w:t xml:space="preserve">J. Demengeot, S. Zelenay, M. F. Moraes-Fontes, Í. Caramalho, and A. Coutinho, “Regulatory T cells in microbial infection,” </w:t>
      </w:r>
      <w:r w:rsidRPr="00F373F9">
        <w:rPr>
          <w:rFonts w:cs="Arial"/>
          <w:i/>
          <w:iCs/>
          <w:noProof/>
          <w:szCs w:val="24"/>
        </w:rPr>
        <w:t>Springer Semin. Immunopathol.</w:t>
      </w:r>
      <w:r w:rsidRPr="00F373F9">
        <w:rPr>
          <w:rFonts w:cs="Arial"/>
          <w:noProof/>
          <w:szCs w:val="24"/>
        </w:rPr>
        <w:t>, vol. 28, no. 1, pp. 41–50, Sep. 2006.</w:t>
      </w:r>
    </w:p>
    <w:p w14:paraId="2E27ECA0"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[34]</w:t>
      </w:r>
      <w:r w:rsidRPr="00F373F9">
        <w:rPr>
          <w:rFonts w:cs="Arial"/>
          <w:noProof/>
          <w:szCs w:val="24"/>
        </w:rPr>
        <w:tab/>
        <w:t xml:space="preserve">X. Zhang </w:t>
      </w:r>
      <w:r w:rsidRPr="00F373F9">
        <w:rPr>
          <w:rFonts w:cs="Arial"/>
          <w:i/>
          <w:iCs/>
          <w:noProof/>
          <w:szCs w:val="24"/>
        </w:rPr>
        <w:t>et al.</w:t>
      </w:r>
      <w:r w:rsidRPr="00F373F9">
        <w:rPr>
          <w:rFonts w:cs="Arial"/>
          <w:noProof/>
          <w:szCs w:val="24"/>
        </w:rPr>
        <w:t>, “</w:t>
      </w:r>
      <w:r w:rsidRPr="00F373F9">
        <w:rPr>
          <w:rFonts w:cs="Arial"/>
          <w:i/>
          <w:noProof/>
          <w:szCs w:val="24"/>
        </w:rPr>
        <w:t>Neospora caninum</w:t>
      </w:r>
      <w:r w:rsidRPr="00F373F9">
        <w:rPr>
          <w:rFonts w:cs="Arial"/>
          <w:noProof/>
          <w:szCs w:val="24"/>
        </w:rPr>
        <w:t xml:space="preserve"> Evades Immunity via Inducing Host Cell Mitophagy to Inhibit Production of Proinflammatory Cytokines in a ROS-Dependent Manner,” </w:t>
      </w:r>
      <w:r w:rsidRPr="00F373F9">
        <w:rPr>
          <w:rFonts w:cs="Arial"/>
          <w:i/>
          <w:iCs/>
          <w:noProof/>
          <w:szCs w:val="24"/>
        </w:rPr>
        <w:t>Front. Immunol.</w:t>
      </w:r>
      <w:r w:rsidRPr="00F373F9">
        <w:rPr>
          <w:rFonts w:cs="Arial"/>
          <w:noProof/>
          <w:szCs w:val="24"/>
        </w:rPr>
        <w:t>, vol. 13, p. 858, Mar. 2022.</w:t>
      </w:r>
    </w:p>
    <w:p w14:paraId="4CAD8D1E"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[35]</w:t>
      </w:r>
      <w:r w:rsidRPr="00F373F9">
        <w:rPr>
          <w:rFonts w:cs="Arial"/>
          <w:noProof/>
          <w:szCs w:val="24"/>
        </w:rPr>
        <w:tab/>
        <w:t xml:space="preserve">D. Buxton, M. M. McAllister, and J. P. Dubey, “The comparative pathogenesis of neosporosis,” </w:t>
      </w:r>
      <w:r w:rsidRPr="00F373F9">
        <w:rPr>
          <w:rFonts w:cs="Arial"/>
          <w:i/>
          <w:iCs/>
          <w:noProof/>
          <w:szCs w:val="24"/>
        </w:rPr>
        <w:t>Trends Parasitol.</w:t>
      </w:r>
      <w:r w:rsidRPr="00F373F9">
        <w:rPr>
          <w:rFonts w:cs="Arial"/>
          <w:noProof/>
          <w:szCs w:val="24"/>
        </w:rPr>
        <w:t>, vol. 18, no. 12, pp. 546–552, Dec. 2002.</w:t>
      </w:r>
    </w:p>
    <w:p w14:paraId="390B8D51"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[36]</w:t>
      </w:r>
      <w:r w:rsidRPr="00F373F9">
        <w:rPr>
          <w:rFonts w:cs="Arial"/>
          <w:noProof/>
          <w:szCs w:val="24"/>
        </w:rPr>
        <w:tab/>
        <w:t xml:space="preserve">T. Monney and A. Hemphill, “Vaccines against neosporosis: what can we learn from the past studies?,” </w:t>
      </w:r>
      <w:r w:rsidRPr="00F373F9">
        <w:rPr>
          <w:rFonts w:cs="Arial"/>
          <w:i/>
          <w:iCs/>
          <w:noProof/>
          <w:szCs w:val="24"/>
        </w:rPr>
        <w:t>Exp. Parasitol.</w:t>
      </w:r>
      <w:r w:rsidRPr="00F373F9">
        <w:rPr>
          <w:rFonts w:cs="Arial"/>
          <w:noProof/>
          <w:szCs w:val="24"/>
        </w:rPr>
        <w:t>, vol. 140, no. 1, pp. 52–70, 2014.</w:t>
      </w:r>
    </w:p>
    <w:p w14:paraId="0B3938F7" w14:textId="304201D8"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[37]</w:t>
      </w:r>
      <w:r w:rsidRPr="00F373F9">
        <w:rPr>
          <w:rFonts w:cs="Arial"/>
          <w:noProof/>
          <w:szCs w:val="24"/>
        </w:rPr>
        <w:tab/>
        <w:t>A. Hemphill and J. Müller, “</w:t>
      </w:r>
      <w:r>
        <w:rPr>
          <w:rFonts w:cs="Arial"/>
          <w:noProof/>
          <w:szCs w:val="24"/>
        </w:rPr>
        <w:t xml:space="preserve">Vaccines and drugs against </w:t>
      </w:r>
      <w:r w:rsidRPr="00F373F9">
        <w:rPr>
          <w:rFonts w:cs="Arial"/>
          <w:i/>
          <w:noProof/>
          <w:szCs w:val="24"/>
        </w:rPr>
        <w:t>Neospora caninum</w:t>
      </w:r>
      <w:r w:rsidRPr="00F373F9">
        <w:rPr>
          <w:rFonts w:cs="Arial"/>
          <w:noProof/>
          <w:szCs w:val="24"/>
        </w:rPr>
        <w:t xml:space="preserve">, an important apicomplexan causing abortion in cattle and other farm animals,” </w:t>
      </w:r>
      <w:r w:rsidRPr="00F373F9">
        <w:rPr>
          <w:rFonts w:cs="Arial"/>
          <w:i/>
          <w:iCs/>
          <w:noProof/>
          <w:szCs w:val="24"/>
        </w:rPr>
        <w:t>Reports Parasitol.</w:t>
      </w:r>
      <w:r w:rsidRPr="00F373F9">
        <w:rPr>
          <w:rFonts w:cs="Arial"/>
          <w:noProof/>
          <w:szCs w:val="24"/>
        </w:rPr>
        <w:t>, vol. 4, pp. 31–41, Sep. 2015.</w:t>
      </w:r>
    </w:p>
    <w:p w14:paraId="2D4B1BB8"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[38]</w:t>
      </w:r>
      <w:r w:rsidRPr="00F373F9">
        <w:rPr>
          <w:rFonts w:cs="Arial"/>
          <w:noProof/>
          <w:szCs w:val="24"/>
        </w:rPr>
        <w:tab/>
        <w:t xml:space="preserve">D. Imhof, W. R. Pownall, C. Monney, A. Oevermann, and A. Hemphill, “A </w:t>
      </w:r>
      <w:r w:rsidRPr="00F373F9">
        <w:rPr>
          <w:rFonts w:cs="Arial"/>
          <w:i/>
          <w:noProof/>
          <w:szCs w:val="24"/>
        </w:rPr>
        <w:t>Listeria monocytogenes</w:t>
      </w:r>
      <w:r w:rsidRPr="00F373F9">
        <w:rPr>
          <w:rFonts w:cs="Arial"/>
          <w:noProof/>
          <w:szCs w:val="24"/>
        </w:rPr>
        <w:t xml:space="preserve">-Based Vaccine Formulation Reduces Vertical Transmission and Leads to Enhanced Pup Survival in a Pregnant Neosporosis Mouse Model,” </w:t>
      </w:r>
      <w:r w:rsidRPr="00F373F9">
        <w:rPr>
          <w:rFonts w:cs="Arial"/>
          <w:i/>
          <w:iCs/>
          <w:noProof/>
          <w:szCs w:val="24"/>
        </w:rPr>
        <w:t>Vaccines</w:t>
      </w:r>
      <w:r w:rsidRPr="00F373F9">
        <w:rPr>
          <w:rFonts w:cs="Arial"/>
          <w:noProof/>
          <w:szCs w:val="24"/>
        </w:rPr>
        <w:t>, vol. 9, no. 12, Dec. 2021.</w:t>
      </w:r>
    </w:p>
    <w:p w14:paraId="35734054"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[39]</w:t>
      </w:r>
      <w:r w:rsidRPr="00F373F9">
        <w:rPr>
          <w:rFonts w:cs="Arial"/>
          <w:noProof/>
          <w:szCs w:val="24"/>
        </w:rPr>
        <w:tab/>
        <w:t xml:space="preserve">P. Horcajo, J. Regidor-Cerrillo, A. Aguado-Martínez, A. Hemphill, and L. M. Ortega-Mora, “Vaccines for bovine neosporosis: current status and key aspects for development,” </w:t>
      </w:r>
      <w:r w:rsidRPr="00F373F9">
        <w:rPr>
          <w:rFonts w:cs="Arial"/>
          <w:i/>
          <w:iCs/>
          <w:noProof/>
          <w:szCs w:val="24"/>
        </w:rPr>
        <w:t>Parasite Immunol.</w:t>
      </w:r>
      <w:r w:rsidRPr="00F373F9">
        <w:rPr>
          <w:rFonts w:cs="Arial"/>
          <w:noProof/>
          <w:szCs w:val="24"/>
        </w:rPr>
        <w:t>, vol. 38, no. 12, pp. 709–723, Dec. 2016.</w:t>
      </w:r>
    </w:p>
    <w:p w14:paraId="2177B23B"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[40]</w:t>
      </w:r>
      <w:r w:rsidRPr="00F373F9">
        <w:rPr>
          <w:rFonts w:cs="Arial"/>
          <w:noProof/>
          <w:szCs w:val="24"/>
        </w:rPr>
        <w:tab/>
        <w:t xml:space="preserve">N. Nazari </w:t>
      </w:r>
      <w:r w:rsidRPr="00F373F9">
        <w:rPr>
          <w:rFonts w:cs="Arial"/>
          <w:i/>
          <w:iCs/>
          <w:noProof/>
          <w:szCs w:val="24"/>
        </w:rPr>
        <w:t>et al.</w:t>
      </w:r>
      <w:r w:rsidRPr="00F373F9">
        <w:rPr>
          <w:rFonts w:cs="Arial"/>
          <w:noProof/>
          <w:szCs w:val="24"/>
        </w:rPr>
        <w:t xml:space="preserve">, “Determination of B and T Cell Epitopes in </w:t>
      </w:r>
      <w:r w:rsidRPr="00F373F9">
        <w:rPr>
          <w:rFonts w:cs="Arial"/>
          <w:i/>
          <w:noProof/>
          <w:szCs w:val="24"/>
        </w:rPr>
        <w:t>Neospora caninum</w:t>
      </w:r>
      <w:r w:rsidRPr="00F373F9">
        <w:rPr>
          <w:rFonts w:cs="Arial"/>
          <w:noProof/>
          <w:szCs w:val="24"/>
        </w:rPr>
        <w:t xml:space="preserve"> Immune Mapped Protein-1 (IMP-1): Implications in Vaccine Design against Neosporosis,” </w:t>
      </w:r>
      <w:r w:rsidRPr="00F373F9">
        <w:rPr>
          <w:rFonts w:cs="Arial"/>
          <w:i/>
          <w:iCs/>
          <w:noProof/>
          <w:szCs w:val="24"/>
        </w:rPr>
        <w:t>Biomed Res. Int.</w:t>
      </w:r>
      <w:r w:rsidRPr="00F373F9">
        <w:rPr>
          <w:rFonts w:cs="Arial"/>
          <w:noProof/>
          <w:szCs w:val="24"/>
        </w:rPr>
        <w:t>, vol. 2022, 2022.</w:t>
      </w:r>
    </w:p>
    <w:p w14:paraId="07FD4180"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[41]</w:t>
      </w:r>
      <w:r w:rsidRPr="00F373F9">
        <w:rPr>
          <w:rFonts w:cs="Arial"/>
          <w:noProof/>
          <w:szCs w:val="24"/>
        </w:rPr>
        <w:tab/>
        <w:t>A. Asghari, B. Kordi, B. Maleki, H. Majidiani, M. Shams, and R. Naserifar, “</w:t>
      </w:r>
      <w:r w:rsidRPr="00F373F9">
        <w:rPr>
          <w:rFonts w:cs="Arial"/>
          <w:i/>
          <w:noProof/>
          <w:szCs w:val="24"/>
        </w:rPr>
        <w:t>Neospora caninum</w:t>
      </w:r>
      <w:r w:rsidRPr="00F373F9">
        <w:rPr>
          <w:rFonts w:cs="Arial"/>
          <w:noProof/>
          <w:szCs w:val="24"/>
        </w:rPr>
        <w:t xml:space="preserve"> SRS2 Protein: Essential Vaccination Targets and Biochemical Features for Next-Generation Vaccine Design,” </w:t>
      </w:r>
      <w:r w:rsidRPr="00F373F9">
        <w:rPr>
          <w:rFonts w:cs="Arial"/>
          <w:i/>
          <w:iCs/>
          <w:noProof/>
          <w:szCs w:val="24"/>
        </w:rPr>
        <w:t>Biomed Res. Int.</w:t>
      </w:r>
      <w:r w:rsidRPr="00F373F9">
        <w:rPr>
          <w:rFonts w:cs="Arial"/>
          <w:noProof/>
          <w:szCs w:val="24"/>
        </w:rPr>
        <w:t>, vol. 2022, 2022.</w:t>
      </w:r>
    </w:p>
    <w:p w14:paraId="19C68A98"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[42]</w:t>
      </w:r>
      <w:r w:rsidRPr="00F373F9">
        <w:rPr>
          <w:rFonts w:cs="Arial"/>
          <w:noProof/>
          <w:szCs w:val="24"/>
        </w:rPr>
        <w:tab/>
        <w:t xml:space="preserve">M. Shams </w:t>
      </w:r>
      <w:r w:rsidRPr="00F373F9">
        <w:rPr>
          <w:rFonts w:cs="Arial"/>
          <w:i/>
          <w:iCs/>
          <w:noProof/>
          <w:szCs w:val="24"/>
        </w:rPr>
        <w:t>et al.</w:t>
      </w:r>
      <w:r w:rsidRPr="00F373F9">
        <w:rPr>
          <w:rFonts w:cs="Arial"/>
          <w:noProof/>
          <w:szCs w:val="24"/>
        </w:rPr>
        <w:t xml:space="preserve">, “Towards the First Multiepitope Vaccine Candidate against </w:t>
      </w:r>
      <w:r w:rsidRPr="00F373F9">
        <w:rPr>
          <w:rFonts w:cs="Arial"/>
          <w:i/>
          <w:noProof/>
          <w:szCs w:val="24"/>
        </w:rPr>
        <w:t>Neospora caninum</w:t>
      </w:r>
      <w:r w:rsidRPr="00F373F9">
        <w:rPr>
          <w:rFonts w:cs="Arial"/>
          <w:noProof/>
          <w:szCs w:val="24"/>
        </w:rPr>
        <w:t xml:space="preserve"> in Mouse Model: Immunoinformatic Standpoint,” 2022.</w:t>
      </w:r>
    </w:p>
    <w:p w14:paraId="70BF9A72"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[43]</w:t>
      </w:r>
      <w:r w:rsidRPr="00F373F9">
        <w:rPr>
          <w:rFonts w:cs="Arial"/>
          <w:noProof/>
          <w:szCs w:val="24"/>
        </w:rPr>
        <w:tab/>
        <w:t xml:space="preserve">P. Ferreirinha </w:t>
      </w:r>
      <w:r w:rsidRPr="00F373F9">
        <w:rPr>
          <w:rFonts w:cs="Arial"/>
          <w:i/>
          <w:iCs/>
          <w:noProof/>
          <w:szCs w:val="24"/>
        </w:rPr>
        <w:t>et al.</w:t>
      </w:r>
      <w:r w:rsidRPr="00F373F9">
        <w:rPr>
          <w:rFonts w:cs="Arial"/>
          <w:noProof/>
          <w:szCs w:val="24"/>
        </w:rPr>
        <w:t xml:space="preserve">, “Mucosal immunization confers long-term protection against intragastrically established </w:t>
      </w:r>
      <w:r w:rsidRPr="00F373F9">
        <w:rPr>
          <w:rFonts w:cs="Arial"/>
          <w:i/>
          <w:noProof/>
          <w:szCs w:val="24"/>
        </w:rPr>
        <w:t>Neospora caninum</w:t>
      </w:r>
      <w:r w:rsidRPr="00F373F9">
        <w:rPr>
          <w:rFonts w:cs="Arial"/>
          <w:noProof/>
          <w:szCs w:val="24"/>
        </w:rPr>
        <w:t xml:space="preserve"> infection,” </w:t>
      </w:r>
      <w:r w:rsidRPr="00F373F9">
        <w:rPr>
          <w:rFonts w:cs="Arial"/>
          <w:i/>
          <w:iCs/>
          <w:noProof/>
          <w:szCs w:val="24"/>
        </w:rPr>
        <w:t>Vaccine</w:t>
      </w:r>
      <w:r w:rsidRPr="00F373F9">
        <w:rPr>
          <w:rFonts w:cs="Arial"/>
          <w:noProof/>
          <w:szCs w:val="24"/>
        </w:rPr>
        <w:t>, vol. 34, no. 50, pp. 6250–6258, Dec. 2016.</w:t>
      </w:r>
    </w:p>
    <w:p w14:paraId="0194EE38"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[44]</w:t>
      </w:r>
      <w:r w:rsidRPr="00F373F9">
        <w:rPr>
          <w:rFonts w:cs="Arial"/>
          <w:noProof/>
          <w:szCs w:val="24"/>
        </w:rPr>
        <w:tab/>
        <w:t xml:space="preserve">P. Ferreirinha </w:t>
      </w:r>
      <w:r w:rsidRPr="00F373F9">
        <w:rPr>
          <w:rFonts w:cs="Arial"/>
          <w:i/>
          <w:iCs/>
          <w:noProof/>
          <w:szCs w:val="24"/>
        </w:rPr>
        <w:t>et al.</w:t>
      </w:r>
      <w:r w:rsidRPr="00F373F9">
        <w:rPr>
          <w:rFonts w:cs="Arial"/>
          <w:noProof/>
          <w:szCs w:val="24"/>
        </w:rPr>
        <w:t xml:space="preserve">, “Protective effect of intranasal immunization with </w:t>
      </w:r>
      <w:r w:rsidRPr="00F373F9">
        <w:rPr>
          <w:rFonts w:cs="Arial"/>
          <w:i/>
          <w:noProof/>
          <w:szCs w:val="24"/>
        </w:rPr>
        <w:t>Neospora caninum</w:t>
      </w:r>
      <w:r w:rsidRPr="00F373F9">
        <w:rPr>
          <w:rFonts w:cs="Arial"/>
          <w:noProof/>
          <w:szCs w:val="24"/>
        </w:rPr>
        <w:t xml:space="preserve"> membrane antigens against murine neosporosis established through the gastrointestinal tract,” </w:t>
      </w:r>
      <w:r w:rsidRPr="00F373F9">
        <w:rPr>
          <w:rFonts w:cs="Arial"/>
          <w:i/>
          <w:iCs/>
          <w:noProof/>
          <w:szCs w:val="24"/>
        </w:rPr>
        <w:t>Immunology</w:t>
      </w:r>
      <w:r w:rsidRPr="00F373F9">
        <w:rPr>
          <w:rFonts w:cs="Arial"/>
          <w:noProof/>
          <w:szCs w:val="24"/>
        </w:rPr>
        <w:t>, vol. 141, no. 2, pp. 256–267, Feb. 2014.</w:t>
      </w:r>
    </w:p>
    <w:p w14:paraId="498395E9"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[45]</w:t>
      </w:r>
      <w:r w:rsidRPr="00F373F9">
        <w:rPr>
          <w:rFonts w:cs="Arial"/>
          <w:noProof/>
          <w:szCs w:val="24"/>
        </w:rPr>
        <w:tab/>
        <w:t xml:space="preserve">P. Ferreirinha, R. Fróis-Martins, L. Teixeira, A. Rocha, M. Vilanova, and A. Correia, “Interferon-γ-dependent protection against </w:t>
      </w:r>
      <w:r w:rsidRPr="00F373F9">
        <w:rPr>
          <w:rFonts w:cs="Arial"/>
          <w:i/>
          <w:noProof/>
          <w:szCs w:val="24"/>
        </w:rPr>
        <w:t>Neospora caninum</w:t>
      </w:r>
      <w:r w:rsidRPr="00F373F9">
        <w:rPr>
          <w:rFonts w:cs="Arial"/>
          <w:noProof/>
          <w:szCs w:val="24"/>
        </w:rPr>
        <w:t xml:space="preserve"> infection conferred by mucosal immunization in IL-12/IL-23 p40-deficient mice,” </w:t>
      </w:r>
      <w:r w:rsidRPr="00F373F9">
        <w:rPr>
          <w:rFonts w:cs="Arial"/>
          <w:i/>
          <w:iCs/>
          <w:noProof/>
          <w:szCs w:val="24"/>
        </w:rPr>
        <w:t>Vaccine</w:t>
      </w:r>
      <w:r w:rsidRPr="00F373F9">
        <w:rPr>
          <w:rFonts w:cs="Arial"/>
          <w:noProof/>
          <w:szCs w:val="24"/>
        </w:rPr>
        <w:t>, vol. 36, no. 32, pp. 4890–4896, Aug. 2018.</w:t>
      </w:r>
    </w:p>
    <w:p w14:paraId="581AF4FE"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[46]</w:t>
      </w:r>
      <w:r w:rsidRPr="00F373F9">
        <w:rPr>
          <w:rFonts w:cs="Arial"/>
          <w:noProof/>
          <w:szCs w:val="24"/>
        </w:rPr>
        <w:tab/>
        <w:t xml:space="preserve">M. A. Tomai, R. L. Miller, K. E. Lipson, W. C. Kieper, I. E. Zarraga, and J. P. Vasilakos, “Resiquimod and other immune response modifiers as vaccine adjuvants,” </w:t>
      </w:r>
      <w:r w:rsidRPr="00F373F9">
        <w:rPr>
          <w:rFonts w:cs="Arial"/>
          <w:i/>
          <w:iCs/>
          <w:noProof/>
          <w:szCs w:val="24"/>
        </w:rPr>
        <w:t>https://doi.org/10.1586/14760584.6.5.835</w:t>
      </w:r>
      <w:r w:rsidRPr="00F373F9">
        <w:rPr>
          <w:rFonts w:cs="Arial"/>
          <w:noProof/>
          <w:szCs w:val="24"/>
        </w:rPr>
        <w:t>, vol. 6, no. 5, pp. 835–847, Oct. 2014.</w:t>
      </w:r>
    </w:p>
    <w:p w14:paraId="1D35A86A"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[47]</w:t>
      </w:r>
      <w:r w:rsidRPr="00F373F9">
        <w:rPr>
          <w:rFonts w:cs="Arial"/>
          <w:noProof/>
          <w:szCs w:val="24"/>
        </w:rPr>
        <w:tab/>
        <w:t xml:space="preserve">C. Bode, G. Zhao, F. Steinhagen, T. Kinjo, and D. M. Klinman, “CpG DNA as a vaccine adjuvant,” </w:t>
      </w:r>
      <w:r w:rsidRPr="00F373F9">
        <w:rPr>
          <w:rFonts w:cs="Arial"/>
          <w:i/>
          <w:iCs/>
          <w:noProof/>
          <w:szCs w:val="24"/>
        </w:rPr>
        <w:t>Expert Rev. Vaccines</w:t>
      </w:r>
      <w:r w:rsidRPr="00F373F9">
        <w:rPr>
          <w:rFonts w:cs="Arial"/>
          <w:noProof/>
          <w:szCs w:val="24"/>
        </w:rPr>
        <w:t>, vol. 10, no. 4, pp. 499–511, Apr. 2011.</w:t>
      </w:r>
    </w:p>
    <w:p w14:paraId="2E8AB2D1"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[48]</w:t>
      </w:r>
      <w:r w:rsidRPr="00F373F9">
        <w:rPr>
          <w:rFonts w:cs="Arial"/>
          <w:noProof/>
          <w:szCs w:val="24"/>
        </w:rPr>
        <w:tab/>
        <w:t xml:space="preserve">J. A. Angelos, J. M. Edman, and M. Chigerwe, “Adjuvanted with Polyacrylic Acid Recombinant </w:t>
      </w:r>
      <w:r w:rsidRPr="00F373F9">
        <w:rPr>
          <w:rFonts w:cs="Arial"/>
          <w:i/>
          <w:noProof/>
          <w:szCs w:val="24"/>
        </w:rPr>
        <w:t xml:space="preserve">Moraxella bovis </w:t>
      </w:r>
      <w:r w:rsidRPr="00F373F9">
        <w:rPr>
          <w:rFonts w:cs="Arial"/>
          <w:noProof/>
          <w:szCs w:val="24"/>
        </w:rPr>
        <w:t>Cytotoxin following Intranasal Vaccination with Ocular Immune Responses in Steers,” vol. 21, no. 2, p. 181, 2014.</w:t>
      </w:r>
    </w:p>
    <w:p w14:paraId="19FABA45"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[49]</w:t>
      </w:r>
      <w:r w:rsidRPr="00F373F9">
        <w:rPr>
          <w:rFonts w:cs="Arial"/>
          <w:noProof/>
          <w:szCs w:val="24"/>
        </w:rPr>
        <w:tab/>
        <w:t xml:space="preserve">J. L. Peters </w:t>
      </w:r>
      <w:r w:rsidRPr="00F373F9">
        <w:rPr>
          <w:rFonts w:cs="Arial"/>
          <w:i/>
          <w:iCs/>
          <w:noProof/>
          <w:szCs w:val="24"/>
        </w:rPr>
        <w:t>et al.</w:t>
      </w:r>
      <w:r w:rsidRPr="00F373F9">
        <w:rPr>
          <w:rFonts w:cs="Arial"/>
          <w:noProof/>
          <w:szCs w:val="24"/>
        </w:rPr>
        <w:t xml:space="preserve">, “Effects of immunization with natural and recombinant lysine decarboxylase on canine gingivitis development,” </w:t>
      </w:r>
      <w:r w:rsidRPr="00F373F9">
        <w:rPr>
          <w:rFonts w:cs="Arial"/>
          <w:i/>
          <w:iCs/>
          <w:noProof/>
          <w:szCs w:val="24"/>
        </w:rPr>
        <w:t>Vaccine</w:t>
      </w:r>
      <w:r w:rsidRPr="00F373F9">
        <w:rPr>
          <w:rFonts w:cs="Arial"/>
          <w:noProof/>
          <w:szCs w:val="24"/>
        </w:rPr>
        <w:t>, vol. 30, no. 47, pp. 6706–6712, Oct. 2012.</w:t>
      </w:r>
    </w:p>
    <w:p w14:paraId="42C8A156"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[50]</w:t>
      </w:r>
      <w:r w:rsidRPr="00F373F9">
        <w:rPr>
          <w:rFonts w:cs="Arial"/>
          <w:noProof/>
          <w:szCs w:val="24"/>
        </w:rPr>
        <w:tab/>
        <w:t xml:space="preserve">A. Shevchenko, M. Wilm, O. Vorm, and M. Mann, “Mass Spectrometric Sequencing of Proteins from Silver-Stained Polyacrylamide Gels,” </w:t>
      </w:r>
      <w:r w:rsidRPr="00F373F9">
        <w:rPr>
          <w:rFonts w:cs="Arial"/>
          <w:i/>
          <w:iCs/>
          <w:noProof/>
          <w:szCs w:val="24"/>
        </w:rPr>
        <w:t>Anal. Chem.</w:t>
      </w:r>
      <w:r w:rsidRPr="00F373F9">
        <w:rPr>
          <w:rFonts w:cs="Arial"/>
          <w:noProof/>
          <w:szCs w:val="24"/>
        </w:rPr>
        <w:t>, vol. 68, no. 5, pp. 850–858, Mar. 1996.</w:t>
      </w:r>
    </w:p>
    <w:p w14:paraId="25E249E5"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[51]</w:t>
      </w:r>
      <w:r w:rsidRPr="00F373F9">
        <w:rPr>
          <w:rFonts w:cs="Arial"/>
          <w:noProof/>
          <w:szCs w:val="24"/>
        </w:rPr>
        <w:tab/>
        <w:t>NCBI, “Primer designing tool Primer designing tool.” [Online]. Available: https://www.ncbi.nlm.nih.gov/tools/primer-blast/. [Accessed: 23-Jun-2022].</w:t>
      </w:r>
    </w:p>
    <w:p w14:paraId="75398E03"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[52]</w:t>
      </w:r>
      <w:r w:rsidRPr="00F373F9">
        <w:rPr>
          <w:rFonts w:cs="Arial"/>
          <w:noProof/>
          <w:szCs w:val="24"/>
        </w:rPr>
        <w:tab/>
        <w:t xml:space="preserve">C. L. Andersen, J. L. Jensen, and T. F. Ørntoft, “Normalization of real-time quantitative reverse transcription-PCR data: a model-based variance estimation approach to identify genes suited for normalization, applied to bladder and colon cancer data sets,” </w:t>
      </w:r>
      <w:r w:rsidRPr="00F373F9">
        <w:rPr>
          <w:rFonts w:cs="Arial"/>
          <w:i/>
          <w:iCs/>
          <w:noProof/>
          <w:szCs w:val="24"/>
        </w:rPr>
        <w:t>Cancer Res.</w:t>
      </w:r>
      <w:r w:rsidRPr="00F373F9">
        <w:rPr>
          <w:rFonts w:cs="Arial"/>
          <w:noProof/>
          <w:szCs w:val="24"/>
        </w:rPr>
        <w:t>, vol. 64, no. 15, pp. 5245–5250, Aug. 2004.</w:t>
      </w:r>
    </w:p>
    <w:p w14:paraId="3C09EF4B"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[53]</w:t>
      </w:r>
      <w:r w:rsidRPr="00F373F9">
        <w:rPr>
          <w:rFonts w:cs="Arial"/>
          <w:noProof/>
          <w:szCs w:val="24"/>
        </w:rPr>
        <w:tab/>
        <w:t xml:space="preserve">K. J. Livak and T. D. Schmittgen, “Analysis of Relative Gene Expression Data Using Real-Time Quantitative PCR and the 2−ΔΔCT Method,” </w:t>
      </w:r>
      <w:r w:rsidRPr="00F373F9">
        <w:rPr>
          <w:rFonts w:cs="Arial"/>
          <w:i/>
          <w:iCs/>
          <w:noProof/>
          <w:szCs w:val="24"/>
        </w:rPr>
        <w:t>Methods</w:t>
      </w:r>
      <w:r w:rsidRPr="00F373F9">
        <w:rPr>
          <w:rFonts w:cs="Arial"/>
          <w:noProof/>
          <w:szCs w:val="24"/>
        </w:rPr>
        <w:t>, vol. 25, no. 4, pp. 402–408, Dec. 2001.</w:t>
      </w:r>
    </w:p>
    <w:p w14:paraId="642DE0CB"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[54]</w:t>
      </w:r>
      <w:r w:rsidRPr="00F373F9">
        <w:rPr>
          <w:rFonts w:cs="Arial"/>
          <w:noProof/>
          <w:szCs w:val="24"/>
        </w:rPr>
        <w:tab/>
        <w:t xml:space="preserve">J. Líver Alves Silva </w:t>
      </w:r>
      <w:r w:rsidRPr="00F373F9">
        <w:rPr>
          <w:rFonts w:cs="Arial"/>
          <w:i/>
          <w:iCs/>
          <w:noProof/>
          <w:szCs w:val="24"/>
        </w:rPr>
        <w:t>et al.</w:t>
      </w:r>
      <w:r w:rsidRPr="00F373F9">
        <w:rPr>
          <w:rFonts w:cs="Arial"/>
          <w:noProof/>
          <w:szCs w:val="24"/>
        </w:rPr>
        <w:t>, “IL-17-Expressing CD4 + and CD8 + T Lymphocytes in Human Toxoplasmosis,” 2014.</w:t>
      </w:r>
    </w:p>
    <w:p w14:paraId="4F15AFB3"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[55]</w:t>
      </w:r>
      <w:r w:rsidRPr="00F373F9">
        <w:rPr>
          <w:rFonts w:cs="Arial"/>
          <w:noProof/>
          <w:szCs w:val="24"/>
        </w:rPr>
        <w:tab/>
        <w:t xml:space="preserve">R. K. Peckham </w:t>
      </w:r>
      <w:r w:rsidRPr="00F373F9">
        <w:rPr>
          <w:rFonts w:cs="Arial"/>
          <w:i/>
          <w:iCs/>
          <w:noProof/>
          <w:szCs w:val="24"/>
        </w:rPr>
        <w:t>et al.</w:t>
      </w:r>
      <w:r w:rsidRPr="00F373F9">
        <w:rPr>
          <w:rFonts w:cs="Arial"/>
          <w:noProof/>
          <w:szCs w:val="24"/>
        </w:rPr>
        <w:t xml:space="preserve">, “Two distinct populations of Bovine IL-17+ T-cells can be induced and WC1+IL-17+γδ T-cells are effective killers of protozoan parasites,” </w:t>
      </w:r>
      <w:r w:rsidRPr="00F373F9">
        <w:rPr>
          <w:rFonts w:cs="Arial"/>
          <w:i/>
          <w:iCs/>
          <w:noProof/>
          <w:szCs w:val="24"/>
        </w:rPr>
        <w:t>Sci. Reports 2014 41</w:t>
      </w:r>
      <w:r w:rsidRPr="00F373F9">
        <w:rPr>
          <w:rFonts w:cs="Arial"/>
          <w:noProof/>
          <w:szCs w:val="24"/>
        </w:rPr>
        <w:t>, vol. 4, no. 1, pp. 1–5, Jun. 2014.</w:t>
      </w:r>
    </w:p>
    <w:p w14:paraId="0E024BB5"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[56]</w:t>
      </w:r>
      <w:r w:rsidRPr="00F373F9">
        <w:rPr>
          <w:rFonts w:cs="Arial"/>
          <w:noProof/>
          <w:szCs w:val="24"/>
        </w:rPr>
        <w:tab/>
        <w:t xml:space="preserve">K. M. McKinnon, “Flow Cytometry: An Overview,” </w:t>
      </w:r>
      <w:r w:rsidRPr="00F373F9">
        <w:rPr>
          <w:rFonts w:cs="Arial"/>
          <w:i/>
          <w:iCs/>
          <w:noProof/>
          <w:szCs w:val="24"/>
        </w:rPr>
        <w:t>Curr. Protoc. Immunol.</w:t>
      </w:r>
      <w:r w:rsidRPr="00F373F9">
        <w:rPr>
          <w:rFonts w:cs="Arial"/>
          <w:noProof/>
          <w:szCs w:val="24"/>
        </w:rPr>
        <w:t>, vol. 120, no. 1, pp. 5.1.1-5.1.11, Jan. 2018.</w:t>
      </w:r>
    </w:p>
    <w:p w14:paraId="091F24E4"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[57]</w:t>
      </w:r>
      <w:r w:rsidRPr="00F373F9">
        <w:rPr>
          <w:rFonts w:cs="Arial"/>
          <w:noProof/>
          <w:szCs w:val="24"/>
        </w:rPr>
        <w:tab/>
        <w:t>Y. K. Suen, K. P. Fung, Y. M. Choy, C. Y. Lee, C. W. Chan, and S. K. Kong, “Concanavalin A induced apoptosis in murine macrophage PU5-1.8 cells through clustering of mitochondria and release of cytochrome c,” Kluwer Academic Publishers, 2000.</w:t>
      </w:r>
    </w:p>
    <w:p w14:paraId="0AD6F2E8"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[58]</w:t>
      </w:r>
      <w:r w:rsidRPr="00F373F9">
        <w:rPr>
          <w:rFonts w:cs="Arial"/>
          <w:noProof/>
          <w:szCs w:val="24"/>
        </w:rPr>
        <w:tab/>
        <w:t xml:space="preserve">P. Sopp, “IFNγ and IL-4 production by CD4, CD8 and WC1 γδ TCR+ T cells from cattle lymph nodes and blood,” </w:t>
      </w:r>
      <w:r w:rsidRPr="00F373F9">
        <w:rPr>
          <w:rFonts w:cs="Arial"/>
          <w:i/>
          <w:iCs/>
          <w:noProof/>
          <w:szCs w:val="24"/>
        </w:rPr>
        <w:t>Vet. Immunol. Immunopathol.</w:t>
      </w:r>
      <w:r w:rsidRPr="00F373F9">
        <w:rPr>
          <w:rFonts w:cs="Arial"/>
          <w:noProof/>
          <w:szCs w:val="24"/>
        </w:rPr>
        <w:t>, vol. 81, no. 1–2, pp. 85–96, Aug. 2001.</w:t>
      </w:r>
    </w:p>
    <w:p w14:paraId="73316AF8"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[59]</w:t>
      </w:r>
      <w:r w:rsidRPr="00F373F9">
        <w:rPr>
          <w:rFonts w:cs="Arial"/>
          <w:noProof/>
          <w:szCs w:val="24"/>
        </w:rPr>
        <w:tab/>
        <w:t xml:space="preserve">J. W. Becker and G. N. Reeke, “Three-dimensional structure of β2-microglobulin,” </w:t>
      </w:r>
      <w:r w:rsidRPr="00F373F9">
        <w:rPr>
          <w:rFonts w:cs="Arial"/>
          <w:i/>
          <w:iCs/>
          <w:noProof/>
          <w:szCs w:val="24"/>
        </w:rPr>
        <w:t>Proc. Natl. Acad. Sci. U. S. A.</w:t>
      </w:r>
      <w:r w:rsidRPr="00F373F9">
        <w:rPr>
          <w:rFonts w:cs="Arial"/>
          <w:noProof/>
          <w:szCs w:val="24"/>
        </w:rPr>
        <w:t>, vol. 82, no. 12, pp. 4225–4229, 1985.</w:t>
      </w:r>
    </w:p>
    <w:p w14:paraId="49E1B13E"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[60]</w:t>
      </w:r>
      <w:r w:rsidRPr="00F373F9">
        <w:rPr>
          <w:rFonts w:cs="Arial"/>
          <w:noProof/>
          <w:szCs w:val="24"/>
        </w:rPr>
        <w:tab/>
        <w:t>I. A. Khan, J. D. Schwartzman, S. Fonseka, and L. H. Kasper, “</w:t>
      </w:r>
      <w:r w:rsidRPr="00F373F9">
        <w:rPr>
          <w:rFonts w:cs="Arial"/>
          <w:i/>
          <w:noProof/>
          <w:szCs w:val="24"/>
        </w:rPr>
        <w:t>Neospora caninum</w:t>
      </w:r>
      <w:r w:rsidRPr="00F373F9">
        <w:rPr>
          <w:rFonts w:cs="Arial"/>
          <w:noProof/>
          <w:szCs w:val="24"/>
        </w:rPr>
        <w:t xml:space="preserve">:Role for Immune Cytokines in Host Immunity,” </w:t>
      </w:r>
      <w:r w:rsidRPr="00F373F9">
        <w:rPr>
          <w:rFonts w:cs="Arial"/>
          <w:i/>
          <w:iCs/>
          <w:noProof/>
          <w:szCs w:val="24"/>
        </w:rPr>
        <w:t>Exp. Parasitol.</w:t>
      </w:r>
      <w:r w:rsidRPr="00F373F9">
        <w:rPr>
          <w:rFonts w:cs="Arial"/>
          <w:noProof/>
          <w:szCs w:val="24"/>
        </w:rPr>
        <w:t>, vol. 85, no. 1, pp. 24–34, Jan. 1997.</w:t>
      </w:r>
    </w:p>
    <w:p w14:paraId="725968D1"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[61]</w:t>
      </w:r>
      <w:r w:rsidRPr="00F373F9">
        <w:rPr>
          <w:rFonts w:cs="Arial"/>
          <w:noProof/>
          <w:szCs w:val="24"/>
        </w:rPr>
        <w:tab/>
        <w:t xml:space="preserve">D. M. Estes and W. C. Brown, “Type 1 and type 2 responses in regulation of Ig isotype expression in cattle,” </w:t>
      </w:r>
      <w:r w:rsidRPr="00F373F9">
        <w:rPr>
          <w:rFonts w:cs="Arial"/>
          <w:i/>
          <w:iCs/>
          <w:noProof/>
          <w:szCs w:val="24"/>
        </w:rPr>
        <w:t>Vet. Immunol. Immunopathol.</w:t>
      </w:r>
      <w:r w:rsidRPr="00F373F9">
        <w:rPr>
          <w:rFonts w:cs="Arial"/>
          <w:noProof/>
          <w:szCs w:val="24"/>
        </w:rPr>
        <w:t>, vol. 90, no. 1–2, pp. 1–10, Nov. 2002.</w:t>
      </w:r>
    </w:p>
    <w:p w14:paraId="6B171D33"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[62]</w:t>
      </w:r>
      <w:r w:rsidRPr="00F373F9">
        <w:rPr>
          <w:rFonts w:cs="Arial"/>
          <w:noProof/>
          <w:szCs w:val="24"/>
        </w:rPr>
        <w:tab/>
        <w:t xml:space="preserve">S. Acquistapace </w:t>
      </w:r>
      <w:r w:rsidRPr="00F373F9">
        <w:rPr>
          <w:rFonts w:cs="Arial"/>
          <w:i/>
          <w:iCs/>
          <w:noProof/>
          <w:szCs w:val="24"/>
        </w:rPr>
        <w:t>et al.</w:t>
      </w:r>
      <w:r w:rsidRPr="00F373F9">
        <w:rPr>
          <w:rFonts w:cs="Arial"/>
          <w:noProof/>
          <w:szCs w:val="24"/>
        </w:rPr>
        <w:t xml:space="preserve">, “Outer membrane protein CD of </w:t>
      </w:r>
      <w:r w:rsidRPr="00F373F9">
        <w:rPr>
          <w:rFonts w:cs="Arial"/>
          <w:i/>
          <w:noProof/>
          <w:szCs w:val="24"/>
        </w:rPr>
        <w:t xml:space="preserve">Moraxella bovis </w:t>
      </w:r>
      <w:r w:rsidRPr="00F373F9">
        <w:rPr>
          <w:rFonts w:cs="Arial"/>
          <w:noProof/>
          <w:szCs w:val="24"/>
        </w:rPr>
        <w:t xml:space="preserve">as a potential immunogen against infectious bovine keratoconjunctivitis,” </w:t>
      </w:r>
      <w:r w:rsidRPr="00F373F9">
        <w:rPr>
          <w:rFonts w:cs="Arial"/>
          <w:i/>
          <w:iCs/>
          <w:noProof/>
          <w:szCs w:val="24"/>
        </w:rPr>
        <w:t>Vet.</w:t>
      </w:r>
      <w:r w:rsidRPr="00F373F9">
        <w:rPr>
          <w:rFonts w:cs="Arial"/>
          <w:noProof/>
          <w:szCs w:val="24"/>
        </w:rPr>
        <w:t>, vol. 57, no. 216, Oct. 2021.</w:t>
      </w:r>
    </w:p>
    <w:p w14:paraId="70C8105B"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[63]</w:t>
      </w:r>
      <w:r w:rsidRPr="00F373F9">
        <w:rPr>
          <w:rFonts w:cs="Arial"/>
          <w:noProof/>
          <w:szCs w:val="24"/>
        </w:rPr>
        <w:tab/>
        <w:t xml:space="preserve">T. V. Baszler </w:t>
      </w:r>
      <w:r w:rsidRPr="00F373F9">
        <w:rPr>
          <w:rFonts w:cs="Arial"/>
          <w:i/>
          <w:iCs/>
          <w:noProof/>
          <w:szCs w:val="24"/>
        </w:rPr>
        <w:t>et al.</w:t>
      </w:r>
      <w:r w:rsidRPr="00F373F9">
        <w:rPr>
          <w:rFonts w:cs="Arial"/>
          <w:noProof/>
          <w:szCs w:val="24"/>
        </w:rPr>
        <w:t xml:space="preserve">, “Bovine immune response to inoculation with </w:t>
      </w:r>
      <w:r w:rsidRPr="00F373F9">
        <w:rPr>
          <w:rFonts w:cs="Arial"/>
          <w:i/>
          <w:noProof/>
          <w:szCs w:val="24"/>
        </w:rPr>
        <w:t>Neospora caninum</w:t>
      </w:r>
      <w:r w:rsidRPr="00F373F9">
        <w:rPr>
          <w:rFonts w:cs="Arial"/>
          <w:noProof/>
          <w:szCs w:val="24"/>
        </w:rPr>
        <w:t xml:space="preserve"> surface antigen SRS2 lipopeptides mimics immune response to infection with live parasites,” </w:t>
      </w:r>
      <w:r w:rsidRPr="00F373F9">
        <w:rPr>
          <w:rFonts w:cs="Arial"/>
          <w:i/>
          <w:iCs/>
          <w:noProof/>
          <w:szCs w:val="24"/>
        </w:rPr>
        <w:t>Clin. Vaccine Immunol.</w:t>
      </w:r>
      <w:r w:rsidRPr="00F373F9">
        <w:rPr>
          <w:rFonts w:cs="Arial"/>
          <w:noProof/>
          <w:szCs w:val="24"/>
        </w:rPr>
        <w:t>, vol. 15, no. 4, pp. 659–667, Apr. 2008.</w:t>
      </w:r>
    </w:p>
    <w:p w14:paraId="46286360"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[64]</w:t>
      </w:r>
      <w:r w:rsidRPr="00F373F9">
        <w:rPr>
          <w:rFonts w:cs="Arial"/>
          <w:noProof/>
          <w:szCs w:val="24"/>
        </w:rPr>
        <w:tab/>
        <w:t xml:space="preserve">D. J. L. Williams </w:t>
      </w:r>
      <w:r w:rsidRPr="00F373F9">
        <w:rPr>
          <w:rFonts w:cs="Arial"/>
          <w:i/>
          <w:iCs/>
          <w:noProof/>
          <w:szCs w:val="24"/>
        </w:rPr>
        <w:t>et al.</w:t>
      </w:r>
      <w:r w:rsidRPr="00F373F9">
        <w:rPr>
          <w:rFonts w:cs="Arial"/>
          <w:noProof/>
          <w:szCs w:val="24"/>
        </w:rPr>
        <w:t xml:space="preserve">, “Immunization of cattle with live tachyzoites of </w:t>
      </w:r>
      <w:r w:rsidRPr="00F373F9">
        <w:rPr>
          <w:rFonts w:cs="Arial"/>
          <w:i/>
          <w:noProof/>
          <w:szCs w:val="24"/>
        </w:rPr>
        <w:t>Neospora caninum</w:t>
      </w:r>
      <w:r w:rsidRPr="00F373F9">
        <w:rPr>
          <w:rFonts w:cs="Arial"/>
          <w:noProof/>
          <w:szCs w:val="24"/>
        </w:rPr>
        <w:t xml:space="preserve"> confers protection against fetal death,” </w:t>
      </w:r>
      <w:r w:rsidRPr="00F373F9">
        <w:rPr>
          <w:rFonts w:cs="Arial"/>
          <w:i/>
          <w:iCs/>
          <w:noProof/>
          <w:szCs w:val="24"/>
        </w:rPr>
        <w:t>Infect. Immun.</w:t>
      </w:r>
      <w:r w:rsidRPr="00F373F9">
        <w:rPr>
          <w:rFonts w:cs="Arial"/>
          <w:noProof/>
          <w:szCs w:val="24"/>
        </w:rPr>
        <w:t>, vol. 75, no. 3, pp. 1343–1348, Mar. 2007.</w:t>
      </w:r>
    </w:p>
    <w:p w14:paraId="16793E82"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[65]</w:t>
      </w:r>
      <w:r w:rsidRPr="00F373F9">
        <w:rPr>
          <w:rFonts w:cs="Arial"/>
          <w:noProof/>
          <w:szCs w:val="24"/>
        </w:rPr>
        <w:tab/>
        <w:t xml:space="preserve">J. Marks, A. Lundén, D. Harkins, and E. Innes, “Identification of </w:t>
      </w:r>
      <w:r w:rsidRPr="00F373F9">
        <w:rPr>
          <w:rFonts w:cs="Arial"/>
          <w:i/>
          <w:noProof/>
          <w:szCs w:val="24"/>
        </w:rPr>
        <w:t>Neospora</w:t>
      </w:r>
      <w:r w:rsidRPr="00F373F9">
        <w:rPr>
          <w:rFonts w:cs="Arial"/>
          <w:noProof/>
          <w:szCs w:val="24"/>
        </w:rPr>
        <w:t xml:space="preserve"> antigens recognized by CD4+</w:t>
      </w:r>
      <w:r w:rsidRPr="00F373F9">
        <w:rPr>
          <w:rFonts w:cs="Arial"/>
          <w:noProof/>
          <w:szCs w:val="24"/>
        </w:rPr>
        <w:t> </w:t>
      </w:r>
      <w:r w:rsidRPr="00F373F9">
        <w:rPr>
          <w:rFonts w:cs="Arial"/>
          <w:noProof/>
          <w:szCs w:val="24"/>
        </w:rPr>
        <w:t xml:space="preserve">T cells and immune sera from experimentally infected cattle,” </w:t>
      </w:r>
      <w:r w:rsidRPr="00F373F9">
        <w:rPr>
          <w:rFonts w:cs="Arial"/>
          <w:i/>
          <w:iCs/>
          <w:noProof/>
          <w:szCs w:val="24"/>
        </w:rPr>
        <w:t>Parasite Immunol.</w:t>
      </w:r>
      <w:r w:rsidRPr="00F373F9">
        <w:rPr>
          <w:rFonts w:cs="Arial"/>
          <w:noProof/>
          <w:szCs w:val="24"/>
        </w:rPr>
        <w:t>, vol. 20, no. 7, pp. 303–309, Jul. 1998.</w:t>
      </w:r>
    </w:p>
    <w:p w14:paraId="445FB288"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[66]</w:t>
      </w:r>
      <w:r w:rsidRPr="00F373F9">
        <w:rPr>
          <w:rFonts w:cs="Arial"/>
          <w:noProof/>
          <w:szCs w:val="24"/>
        </w:rPr>
        <w:tab/>
        <w:t xml:space="preserve">T. Tanaka </w:t>
      </w:r>
      <w:r w:rsidRPr="00F373F9">
        <w:rPr>
          <w:rFonts w:cs="Arial"/>
          <w:i/>
          <w:iCs/>
          <w:noProof/>
          <w:szCs w:val="24"/>
        </w:rPr>
        <w:t>et al.</w:t>
      </w:r>
      <w:r w:rsidRPr="00F373F9">
        <w:rPr>
          <w:rFonts w:cs="Arial"/>
          <w:noProof/>
          <w:szCs w:val="24"/>
        </w:rPr>
        <w:t xml:space="preserve">, “The role of CD4+ or CD8+ T cells in the protective immune response of BALB/c mice to </w:t>
      </w:r>
      <w:r w:rsidRPr="00F373F9">
        <w:rPr>
          <w:rFonts w:cs="Arial"/>
          <w:i/>
          <w:noProof/>
          <w:szCs w:val="24"/>
        </w:rPr>
        <w:t>Neospora caninum</w:t>
      </w:r>
      <w:r w:rsidRPr="00F373F9">
        <w:rPr>
          <w:rFonts w:cs="Arial"/>
          <w:noProof/>
          <w:szCs w:val="24"/>
        </w:rPr>
        <w:t xml:space="preserve"> infection,” </w:t>
      </w:r>
      <w:r w:rsidRPr="00F373F9">
        <w:rPr>
          <w:rFonts w:cs="Arial"/>
          <w:i/>
          <w:iCs/>
          <w:noProof/>
          <w:szCs w:val="24"/>
        </w:rPr>
        <w:t>Vet. Parasitol.</w:t>
      </w:r>
      <w:r w:rsidRPr="00F373F9">
        <w:rPr>
          <w:rFonts w:cs="Arial"/>
          <w:noProof/>
          <w:szCs w:val="24"/>
        </w:rPr>
        <w:t>, vol. 90, no. 3, pp. 183–191, Jun. 2000.</w:t>
      </w:r>
    </w:p>
    <w:p w14:paraId="2650D2D1"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[67]</w:t>
      </w:r>
      <w:r w:rsidRPr="00F373F9">
        <w:rPr>
          <w:rFonts w:cs="Arial"/>
          <w:noProof/>
          <w:szCs w:val="24"/>
        </w:rPr>
        <w:tab/>
        <w:t xml:space="preserve">R. J. Flynn and E. S. Marshall, “Parasite limiting macrophages promote IL-17 secretion in naive bovine CD4 + T-cells during </w:t>
      </w:r>
      <w:r w:rsidRPr="00C225E4">
        <w:rPr>
          <w:rFonts w:cs="Arial"/>
          <w:i/>
          <w:noProof/>
          <w:szCs w:val="24"/>
        </w:rPr>
        <w:t>Neospora caninum</w:t>
      </w:r>
      <w:r w:rsidRPr="00F373F9">
        <w:rPr>
          <w:rFonts w:cs="Arial"/>
          <w:noProof/>
          <w:szCs w:val="24"/>
        </w:rPr>
        <w:t xml:space="preserve"> infection,” </w:t>
      </w:r>
      <w:r w:rsidRPr="00F373F9">
        <w:rPr>
          <w:rFonts w:cs="Arial"/>
          <w:i/>
          <w:iCs/>
          <w:noProof/>
          <w:szCs w:val="24"/>
        </w:rPr>
        <w:t>Vet. Immunol. Immunopathol.</w:t>
      </w:r>
      <w:r w:rsidRPr="00F373F9">
        <w:rPr>
          <w:rFonts w:cs="Arial"/>
          <w:noProof/>
          <w:szCs w:val="24"/>
        </w:rPr>
        <w:t>, vol. 144, no. 3–4, pp. 423–429, Dec. 2011.</w:t>
      </w:r>
    </w:p>
    <w:p w14:paraId="05B45360"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[68]</w:t>
      </w:r>
      <w:r w:rsidRPr="00F373F9">
        <w:rPr>
          <w:rFonts w:cs="Arial"/>
          <w:noProof/>
          <w:szCs w:val="24"/>
        </w:rPr>
        <w:tab/>
        <w:t xml:space="preserve">E. Drinkall, M. J. Wass, T. J. Coffey, and R. J. Flynn, “A rapid IL-17 response to </w:t>
      </w:r>
      <w:r w:rsidRPr="00F373F9">
        <w:rPr>
          <w:rFonts w:cs="Arial"/>
          <w:i/>
          <w:noProof/>
          <w:szCs w:val="24"/>
        </w:rPr>
        <w:t>Cryptosporidium parvum</w:t>
      </w:r>
      <w:r w:rsidRPr="00F373F9">
        <w:rPr>
          <w:rFonts w:cs="Arial"/>
          <w:noProof/>
          <w:szCs w:val="24"/>
        </w:rPr>
        <w:t xml:space="preserve"> in the bovine intestine,” </w:t>
      </w:r>
      <w:r w:rsidRPr="00F373F9">
        <w:rPr>
          <w:rFonts w:cs="Arial"/>
          <w:i/>
          <w:iCs/>
          <w:noProof/>
          <w:szCs w:val="24"/>
        </w:rPr>
        <w:t>Vet. Immunol. Immunopathol.</w:t>
      </w:r>
      <w:r w:rsidRPr="00F373F9">
        <w:rPr>
          <w:rFonts w:cs="Arial"/>
          <w:noProof/>
          <w:szCs w:val="24"/>
        </w:rPr>
        <w:t>, vol. 191, pp. 1–4, Sep. 2017.</w:t>
      </w:r>
    </w:p>
    <w:p w14:paraId="71EF4D3C"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[69]</w:t>
      </w:r>
      <w:r w:rsidRPr="00F373F9">
        <w:rPr>
          <w:rFonts w:cs="Arial"/>
          <w:noProof/>
          <w:szCs w:val="24"/>
        </w:rPr>
        <w:tab/>
        <w:t xml:space="preserve">M. Veldhoen, “Interleukin 17 is a chief orchestrator of immunity,” </w:t>
      </w:r>
      <w:r w:rsidRPr="00F373F9">
        <w:rPr>
          <w:rFonts w:cs="Arial"/>
          <w:i/>
          <w:iCs/>
          <w:noProof/>
          <w:szCs w:val="24"/>
        </w:rPr>
        <w:t>Nat. Immunol. 2017 186</w:t>
      </w:r>
      <w:r w:rsidRPr="00F373F9">
        <w:rPr>
          <w:rFonts w:cs="Arial"/>
          <w:noProof/>
          <w:szCs w:val="24"/>
        </w:rPr>
        <w:t>, vol. 18, no. 6, pp. 612–621, May 2017.</w:t>
      </w:r>
    </w:p>
    <w:p w14:paraId="0472DBF4"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szCs w:val="24"/>
        </w:rPr>
      </w:pPr>
      <w:r w:rsidRPr="00F373F9">
        <w:rPr>
          <w:rFonts w:cs="Arial"/>
          <w:noProof/>
          <w:szCs w:val="24"/>
        </w:rPr>
        <w:t>[70]</w:t>
      </w:r>
      <w:r w:rsidRPr="00F373F9">
        <w:rPr>
          <w:rFonts w:cs="Arial"/>
          <w:noProof/>
          <w:szCs w:val="24"/>
        </w:rPr>
        <w:tab/>
        <w:t xml:space="preserve">K. Chen and J. K. Kolls, “Interluekin-17A (IL17A),” </w:t>
      </w:r>
      <w:r w:rsidRPr="00F373F9">
        <w:rPr>
          <w:rFonts w:cs="Arial"/>
          <w:i/>
          <w:iCs/>
          <w:noProof/>
          <w:szCs w:val="24"/>
        </w:rPr>
        <w:t>Gene</w:t>
      </w:r>
      <w:r w:rsidRPr="00F373F9">
        <w:rPr>
          <w:rFonts w:cs="Arial"/>
          <w:noProof/>
          <w:szCs w:val="24"/>
        </w:rPr>
        <w:t>, vol. 614, pp. 8–14, May 2017.</w:t>
      </w:r>
    </w:p>
    <w:p w14:paraId="456CDB82" w14:textId="77777777" w:rsidR="00F373F9" w:rsidRPr="00F373F9" w:rsidRDefault="00F373F9" w:rsidP="00F373F9">
      <w:pPr>
        <w:widowControl w:val="0"/>
        <w:autoSpaceDE w:val="0"/>
        <w:autoSpaceDN w:val="0"/>
        <w:adjustRightInd w:val="0"/>
        <w:spacing w:before="120" w:after="0" w:line="240" w:lineRule="auto"/>
        <w:ind w:left="640" w:hanging="640"/>
        <w:rPr>
          <w:rFonts w:cs="Arial"/>
          <w:noProof/>
        </w:rPr>
      </w:pPr>
      <w:r w:rsidRPr="00F373F9">
        <w:rPr>
          <w:rFonts w:cs="Arial"/>
          <w:noProof/>
          <w:szCs w:val="24"/>
        </w:rPr>
        <w:t>[71]</w:t>
      </w:r>
      <w:r w:rsidRPr="00F373F9">
        <w:rPr>
          <w:rFonts w:cs="Arial"/>
          <w:noProof/>
          <w:szCs w:val="24"/>
        </w:rPr>
        <w:tab/>
        <w:t xml:space="preserve">K. Hirota </w:t>
      </w:r>
      <w:r w:rsidRPr="00F373F9">
        <w:rPr>
          <w:rFonts w:cs="Arial"/>
          <w:i/>
          <w:iCs/>
          <w:noProof/>
          <w:szCs w:val="24"/>
        </w:rPr>
        <w:t>et al.</w:t>
      </w:r>
      <w:r w:rsidRPr="00F373F9">
        <w:rPr>
          <w:rFonts w:cs="Arial"/>
          <w:noProof/>
          <w:szCs w:val="24"/>
        </w:rPr>
        <w:t xml:space="preserve">, “Plasticity of Th17 cells in Peyer’s patches is responsible for the induction of T cell-dependent IgA responses,” </w:t>
      </w:r>
      <w:r w:rsidRPr="00F373F9">
        <w:rPr>
          <w:rFonts w:cs="Arial"/>
          <w:i/>
          <w:iCs/>
          <w:noProof/>
          <w:szCs w:val="24"/>
        </w:rPr>
        <w:t>Nat. Immunol.</w:t>
      </w:r>
      <w:r w:rsidRPr="00F373F9">
        <w:rPr>
          <w:rFonts w:cs="Arial"/>
          <w:noProof/>
          <w:szCs w:val="24"/>
        </w:rPr>
        <w:t>, vol. 14, no. 4, pp. 372–379, Apr. 2013.</w:t>
      </w:r>
    </w:p>
    <w:p w14:paraId="48B96991" w14:textId="716CD708" w:rsidR="00FB2ADE" w:rsidRDefault="00484669" w:rsidP="002123E8">
      <w:pPr>
        <w:spacing w:before="120" w:after="0" w:line="276" w:lineRule="auto"/>
        <w:ind w:hanging="709"/>
        <w:rPr>
          <w:rFonts w:cs="Arial"/>
          <w:color w:val="000000"/>
        </w:rPr>
      </w:pPr>
      <w:r w:rsidRPr="00DC196B">
        <w:rPr>
          <w:rFonts w:cs="Arial"/>
          <w:color w:val="000000"/>
        </w:rPr>
        <w:fldChar w:fldCharType="end"/>
      </w:r>
    </w:p>
    <w:p w14:paraId="45F59F6A" w14:textId="34407195" w:rsidR="00DC196B" w:rsidRDefault="00DC196B">
      <w:pPr>
        <w:spacing w:after="160" w:line="259" w:lineRule="auto"/>
        <w:ind w:firstLine="0"/>
        <w:jc w:val="left"/>
        <w:rPr>
          <w:rFonts w:cs="Arial"/>
          <w:color w:val="000000"/>
        </w:rPr>
      </w:pPr>
      <w:r>
        <w:rPr>
          <w:rFonts w:cs="Arial"/>
          <w:color w:val="000000"/>
        </w:rPr>
        <w:br w:type="page"/>
      </w:r>
    </w:p>
    <w:p w14:paraId="427D2C81" w14:textId="0A724358" w:rsidR="001632ED" w:rsidRPr="002600A2" w:rsidRDefault="00906DFA" w:rsidP="00C5068C">
      <w:pPr>
        <w:pStyle w:val="tesettulos"/>
      </w:pPr>
      <w:bookmarkStart w:id="95" w:name="_Toc111229795"/>
      <w:bookmarkStart w:id="96" w:name="_Toc111229833"/>
      <w:bookmarkStart w:id="97" w:name="_Toc115037833"/>
      <w:r w:rsidRPr="000C71A6">
        <w:t>Annex A</w:t>
      </w:r>
      <w:bookmarkEnd w:id="95"/>
      <w:bookmarkEnd w:id="96"/>
      <w:r w:rsidR="004046FA" w:rsidRPr="000C71A6">
        <w:t xml:space="preserve">. </w:t>
      </w:r>
      <w:r w:rsidR="004046FA" w:rsidRPr="000C71A6">
        <w:rPr>
          <w:b w:val="0"/>
        </w:rPr>
        <w:t>Primers used for PCR</w:t>
      </w:r>
      <w:bookmarkEnd w:id="97"/>
      <w:r w:rsidR="004046FA" w:rsidRPr="000C71A6">
        <w:rPr>
          <w:b w:val="0"/>
        </w:rPr>
        <w:t xml:space="preserve"> </w:t>
      </w:r>
    </w:p>
    <w:p w14:paraId="06655CBD" w14:textId="5BF72E4B" w:rsidR="001632ED" w:rsidRDefault="0095467F" w:rsidP="00E70CF9">
      <w:pPr>
        <w:pStyle w:val="Legenda"/>
        <w:keepNext/>
        <w:rPr>
          <w:color w:val="auto"/>
          <w:szCs w:val="22"/>
        </w:rPr>
      </w:pPr>
      <w:bookmarkStart w:id="98" w:name="_Toc112268755"/>
      <w:bookmarkStart w:id="99" w:name="_Toc113565761"/>
      <w:bookmarkStart w:id="100" w:name="_Toc113919705"/>
      <w:bookmarkStart w:id="101" w:name="_Toc114089030"/>
      <w:bookmarkStart w:id="102" w:name="_Toc114595405"/>
      <w:bookmarkStart w:id="103" w:name="_Toc114595572"/>
      <w:r>
        <w:rPr>
          <w:rFonts w:cs="Arial"/>
          <w:noProof/>
          <w:lang w:val="pt-PT" w:eastAsia="pt-PT"/>
        </w:rPr>
        <w:drawing>
          <wp:anchor distT="0" distB="0" distL="114300" distR="114300" simplePos="0" relativeHeight="251665408" behindDoc="0" locked="0" layoutInCell="1" allowOverlap="1" wp14:anchorId="37A8E68C" wp14:editId="0C3F7992">
            <wp:simplePos x="0" y="0"/>
            <wp:positionH relativeFrom="column">
              <wp:posOffset>15240</wp:posOffset>
            </wp:positionH>
            <wp:positionV relativeFrom="paragraph">
              <wp:posOffset>299085</wp:posOffset>
            </wp:positionV>
            <wp:extent cx="5200650" cy="2973491"/>
            <wp:effectExtent l="0" t="0" r="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0650" cy="2973491"/>
                    </a:xfrm>
                    <a:prstGeom prst="rect">
                      <a:avLst/>
                    </a:prstGeom>
                  </pic:spPr>
                </pic:pic>
              </a:graphicData>
            </a:graphic>
          </wp:anchor>
        </w:drawing>
      </w:r>
      <w:r w:rsidR="001632ED" w:rsidRPr="007661DC">
        <w:rPr>
          <w:b/>
          <w:color w:val="auto"/>
          <w:szCs w:val="22"/>
        </w:rPr>
        <w:t xml:space="preserve">Table </w:t>
      </w:r>
      <w:r w:rsidR="009A68DC" w:rsidRPr="007661DC">
        <w:rPr>
          <w:b/>
          <w:color w:val="auto"/>
          <w:szCs w:val="22"/>
        </w:rPr>
        <w:t>A</w:t>
      </w:r>
      <w:r w:rsidR="000C37EA">
        <w:rPr>
          <w:b/>
          <w:color w:val="auto"/>
          <w:szCs w:val="22"/>
        </w:rPr>
        <w:t>1</w:t>
      </w:r>
      <w:r w:rsidR="001632ED" w:rsidRPr="007661DC">
        <w:rPr>
          <w:b/>
          <w:color w:val="auto"/>
          <w:szCs w:val="22"/>
        </w:rPr>
        <w:t xml:space="preserve">. </w:t>
      </w:r>
      <w:r w:rsidR="001632ED" w:rsidRPr="007661DC">
        <w:rPr>
          <w:color w:val="auto"/>
          <w:szCs w:val="22"/>
        </w:rPr>
        <w:t xml:space="preserve">Primers used for </w:t>
      </w:r>
      <w:r w:rsidR="00CD0F00" w:rsidRPr="007661DC">
        <w:rPr>
          <w:color w:val="auto"/>
          <w:szCs w:val="22"/>
        </w:rPr>
        <w:t>RT-</w:t>
      </w:r>
      <w:r w:rsidR="001632ED" w:rsidRPr="007661DC">
        <w:rPr>
          <w:color w:val="auto"/>
          <w:szCs w:val="22"/>
        </w:rPr>
        <w:t>PCR mRNA expression analysis</w:t>
      </w:r>
      <w:bookmarkEnd w:id="98"/>
      <w:bookmarkEnd w:id="99"/>
      <w:bookmarkEnd w:id="100"/>
      <w:bookmarkEnd w:id="101"/>
      <w:bookmarkEnd w:id="102"/>
      <w:bookmarkEnd w:id="103"/>
    </w:p>
    <w:p w14:paraId="15F50A05" w14:textId="2B779E63" w:rsidR="001F4A2E" w:rsidRDefault="0095467F" w:rsidP="002600A2">
      <w:pPr>
        <w:pStyle w:val="Legenda"/>
        <w:keepNext/>
        <w:rPr>
          <w:color w:val="auto"/>
        </w:rPr>
      </w:pPr>
      <w:bookmarkStart w:id="104" w:name="_Toc112268756"/>
      <w:bookmarkStart w:id="105" w:name="_Toc113565762"/>
      <w:bookmarkStart w:id="106" w:name="_Toc113919706"/>
      <w:bookmarkStart w:id="107" w:name="_Toc114089031"/>
      <w:bookmarkStart w:id="108" w:name="_Toc114595406"/>
      <w:bookmarkStart w:id="109" w:name="_Toc114595573"/>
      <w:r>
        <w:rPr>
          <w:noProof/>
          <w:lang w:val="pt-PT" w:eastAsia="pt-PT"/>
        </w:rPr>
        <w:drawing>
          <wp:anchor distT="0" distB="0" distL="114300" distR="114300" simplePos="0" relativeHeight="251666432" behindDoc="0" locked="0" layoutInCell="1" allowOverlap="1" wp14:anchorId="75CB3097" wp14:editId="046F9FEE">
            <wp:simplePos x="0" y="0"/>
            <wp:positionH relativeFrom="column">
              <wp:posOffset>-3810</wp:posOffset>
            </wp:positionH>
            <wp:positionV relativeFrom="paragraph">
              <wp:posOffset>3350260</wp:posOffset>
            </wp:positionV>
            <wp:extent cx="5577840" cy="1371600"/>
            <wp:effectExtent l="0" t="0" r="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pic:nvPicPr>
                  <pic:blipFill>
                    <a:blip r:embed="rId25">
                      <a:extLst>
                        <a:ext uri="{28A0092B-C50C-407E-A947-70E740481C1C}">
                          <a14:useLocalDpi xmlns:a14="http://schemas.microsoft.com/office/drawing/2010/main" val="0"/>
                        </a:ext>
                      </a:extLst>
                    </a:blip>
                    <a:stretch>
                      <a:fillRect/>
                    </a:stretch>
                  </pic:blipFill>
                  <pic:spPr>
                    <a:xfrm>
                      <a:off x="0" y="0"/>
                      <a:ext cx="5577840" cy="1371600"/>
                    </a:xfrm>
                    <a:prstGeom prst="rect">
                      <a:avLst/>
                    </a:prstGeom>
                  </pic:spPr>
                </pic:pic>
              </a:graphicData>
            </a:graphic>
          </wp:anchor>
        </w:drawing>
      </w:r>
      <w:r w:rsidR="001F4A2E" w:rsidRPr="007661DC">
        <w:rPr>
          <w:b/>
          <w:color w:val="auto"/>
        </w:rPr>
        <w:t xml:space="preserve">Table </w:t>
      </w:r>
      <w:r w:rsidR="009A68DC" w:rsidRPr="007661DC">
        <w:rPr>
          <w:b/>
          <w:color w:val="auto"/>
        </w:rPr>
        <w:t>A</w:t>
      </w:r>
      <w:r w:rsidR="000C37EA">
        <w:rPr>
          <w:b/>
          <w:color w:val="auto"/>
        </w:rPr>
        <w:t>2</w:t>
      </w:r>
      <w:r w:rsidR="001F4A2E" w:rsidRPr="007661DC">
        <w:rPr>
          <w:b/>
          <w:color w:val="auto"/>
        </w:rPr>
        <w:t>.</w:t>
      </w:r>
      <w:r w:rsidR="001F4A2E" w:rsidRPr="00EA06A4">
        <w:rPr>
          <w:b/>
          <w:i/>
          <w:color w:val="auto"/>
        </w:rPr>
        <w:t xml:space="preserve"> </w:t>
      </w:r>
      <w:r w:rsidR="001F4A2E" w:rsidRPr="007661DC">
        <w:rPr>
          <w:color w:val="auto"/>
        </w:rPr>
        <w:t xml:space="preserve">Primers used for qPCR </w:t>
      </w:r>
      <w:r w:rsidR="00321136" w:rsidRPr="007661DC">
        <w:rPr>
          <w:i/>
          <w:color w:val="auto"/>
        </w:rPr>
        <w:t>Neospora caninum</w:t>
      </w:r>
      <w:r w:rsidR="00321136" w:rsidRPr="007661DC">
        <w:rPr>
          <w:color w:val="auto"/>
        </w:rPr>
        <w:t xml:space="preserve"> DNA detection</w:t>
      </w:r>
      <w:bookmarkEnd w:id="104"/>
      <w:bookmarkEnd w:id="105"/>
      <w:bookmarkEnd w:id="106"/>
      <w:bookmarkEnd w:id="107"/>
      <w:bookmarkEnd w:id="108"/>
      <w:bookmarkEnd w:id="109"/>
    </w:p>
    <w:p w14:paraId="44230A91" w14:textId="23A2858A" w:rsidR="009D6EC4" w:rsidRPr="002600A2" w:rsidRDefault="002C338D" w:rsidP="00C5068C">
      <w:pPr>
        <w:pStyle w:val="tesettulos"/>
      </w:pPr>
      <w:bookmarkStart w:id="110" w:name="_Toc115037834"/>
      <w:r w:rsidRPr="000C71A6">
        <w:t>Annex B</w:t>
      </w:r>
      <w:r w:rsidR="009D6EC4" w:rsidRPr="000C71A6">
        <w:t xml:space="preserve">. </w:t>
      </w:r>
      <w:r w:rsidR="008F5C87">
        <w:rPr>
          <w:b w:val="0"/>
        </w:rPr>
        <w:t>F</w:t>
      </w:r>
      <w:r w:rsidR="002C5C05" w:rsidRPr="000C71A6">
        <w:rPr>
          <w:b w:val="0"/>
        </w:rPr>
        <w:t xml:space="preserve">low cytometry </w:t>
      </w:r>
      <w:r w:rsidR="008F5C87">
        <w:rPr>
          <w:b w:val="0"/>
        </w:rPr>
        <w:t>antibodies</w:t>
      </w:r>
      <w:bookmarkEnd w:id="110"/>
    </w:p>
    <w:p w14:paraId="5D367D79" w14:textId="13BC8E66" w:rsidR="00E606B0" w:rsidRPr="00973750" w:rsidRDefault="00973750" w:rsidP="00973750">
      <w:pPr>
        <w:pStyle w:val="Legenda"/>
        <w:keepNext/>
        <w:rPr>
          <w:color w:val="auto"/>
        </w:rPr>
      </w:pPr>
      <w:bookmarkStart w:id="111" w:name="_Toc112268757"/>
      <w:bookmarkStart w:id="112" w:name="_Toc113565763"/>
      <w:bookmarkStart w:id="113" w:name="_Toc113919707"/>
      <w:bookmarkStart w:id="114" w:name="_Toc114089032"/>
      <w:bookmarkStart w:id="115" w:name="_Toc114595407"/>
      <w:bookmarkStart w:id="116" w:name="_Toc114595574"/>
      <w:r>
        <w:rPr>
          <w:noProof/>
          <w:lang w:val="pt-PT" w:eastAsia="pt-PT"/>
        </w:rPr>
        <w:drawing>
          <wp:anchor distT="0" distB="0" distL="114300" distR="114300" simplePos="0" relativeHeight="251667456" behindDoc="0" locked="0" layoutInCell="1" allowOverlap="1" wp14:anchorId="7A1DFBF0" wp14:editId="3FDB94FE">
            <wp:simplePos x="0" y="0"/>
            <wp:positionH relativeFrom="column">
              <wp:posOffset>-3810</wp:posOffset>
            </wp:positionH>
            <wp:positionV relativeFrom="paragraph">
              <wp:posOffset>198120</wp:posOffset>
            </wp:positionV>
            <wp:extent cx="5579745" cy="1743075"/>
            <wp:effectExtent l="0" t="0" r="1905"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rotWithShape="1">
                    <a:blip r:embed="rId26" cstate="print">
                      <a:extLst>
                        <a:ext uri="{28A0092B-C50C-407E-A947-70E740481C1C}">
                          <a14:useLocalDpi xmlns:a14="http://schemas.microsoft.com/office/drawing/2010/main" val="0"/>
                        </a:ext>
                      </a:extLst>
                    </a:blip>
                    <a:srcRect b="11850"/>
                    <a:stretch/>
                  </pic:blipFill>
                  <pic:spPr bwMode="auto">
                    <a:xfrm>
                      <a:off x="0" y="0"/>
                      <a:ext cx="5579745" cy="1743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C5C05" w:rsidRPr="007661DC">
        <w:rPr>
          <w:b/>
          <w:color w:val="auto"/>
        </w:rPr>
        <w:t xml:space="preserve">Table </w:t>
      </w:r>
      <w:r w:rsidR="009A68DC" w:rsidRPr="007661DC">
        <w:rPr>
          <w:b/>
          <w:color w:val="auto"/>
        </w:rPr>
        <w:t>B</w:t>
      </w:r>
      <w:r w:rsidR="002C5C05" w:rsidRPr="007661DC">
        <w:rPr>
          <w:b/>
          <w:color w:val="auto"/>
        </w:rPr>
        <w:t xml:space="preserve">. </w:t>
      </w:r>
      <w:r w:rsidR="002C5C05" w:rsidRPr="007661DC">
        <w:rPr>
          <w:color w:val="auto"/>
        </w:rPr>
        <w:t xml:space="preserve">Dye-conjugated antibodies for surface </w:t>
      </w:r>
      <w:r w:rsidR="005C53B8">
        <w:rPr>
          <w:color w:val="auto"/>
        </w:rPr>
        <w:t xml:space="preserve">and intracellular </w:t>
      </w:r>
      <w:r w:rsidR="002C5C05" w:rsidRPr="007661DC">
        <w:rPr>
          <w:color w:val="auto"/>
        </w:rPr>
        <w:t>staining</w:t>
      </w:r>
      <w:bookmarkEnd w:id="111"/>
      <w:bookmarkEnd w:id="112"/>
      <w:bookmarkEnd w:id="113"/>
      <w:bookmarkEnd w:id="114"/>
      <w:bookmarkEnd w:id="115"/>
      <w:bookmarkEnd w:id="116"/>
      <w:r w:rsidR="002C5C05" w:rsidRPr="00EA06A4">
        <w:rPr>
          <w:color w:val="auto"/>
        </w:rPr>
        <w:t xml:space="preserve"> </w:t>
      </w:r>
    </w:p>
    <w:p w14:paraId="02D6EF76" w14:textId="6A739AEA" w:rsidR="00F14DBC" w:rsidRPr="00F14DBC" w:rsidRDefault="00B34FCA" w:rsidP="00F14DBC">
      <w:pPr>
        <w:spacing w:after="0" w:line="240" w:lineRule="auto"/>
        <w:ind w:firstLine="0"/>
        <w:jc w:val="left"/>
        <w:rPr>
          <w:sz w:val="16"/>
          <w:szCs w:val="16"/>
        </w:rPr>
      </w:pPr>
      <w:r w:rsidRPr="00F14DBC">
        <w:rPr>
          <w:sz w:val="16"/>
          <w:szCs w:val="16"/>
          <w:vertAlign w:val="superscript"/>
        </w:rPr>
        <w:t>a</w:t>
      </w:r>
      <w:r w:rsidRPr="00F14DBC">
        <w:rPr>
          <w:sz w:val="16"/>
          <w:szCs w:val="16"/>
        </w:rPr>
        <w:t>M</w:t>
      </w:r>
      <w:r w:rsidR="00E606B0">
        <w:rPr>
          <w:sz w:val="16"/>
          <w:szCs w:val="16"/>
        </w:rPr>
        <w:t>AC - M</w:t>
      </w:r>
      <w:r w:rsidRPr="00F14DBC">
        <w:rPr>
          <w:sz w:val="16"/>
          <w:szCs w:val="16"/>
        </w:rPr>
        <w:t xml:space="preserve">onoclonal Antibody Center from Washington State University, USA; </w:t>
      </w:r>
    </w:p>
    <w:p w14:paraId="42FC0BAF" w14:textId="09BBE72C" w:rsidR="00871833" w:rsidRPr="006B4BE0" w:rsidRDefault="005C09E3" w:rsidP="006B4BE0">
      <w:pPr>
        <w:spacing w:after="0" w:line="240" w:lineRule="auto"/>
        <w:ind w:firstLine="0"/>
        <w:jc w:val="left"/>
        <w:rPr>
          <w:sz w:val="16"/>
          <w:szCs w:val="16"/>
        </w:rPr>
      </w:pPr>
      <w:r w:rsidRPr="00F14DBC">
        <w:rPr>
          <w:sz w:val="16"/>
          <w:szCs w:val="16"/>
          <w:vertAlign w:val="superscript"/>
        </w:rPr>
        <w:t>b</w:t>
      </w:r>
      <w:r w:rsidRPr="00F14DBC">
        <w:rPr>
          <w:sz w:val="16"/>
          <w:szCs w:val="16"/>
        </w:rPr>
        <w:t xml:space="preserve">conjugated with </w:t>
      </w:r>
      <w:r w:rsidR="00EC1179" w:rsidRPr="00F14DBC">
        <w:rPr>
          <w:sz w:val="16"/>
          <w:szCs w:val="16"/>
        </w:rPr>
        <w:t>Ab</w:t>
      </w:r>
      <w:r w:rsidR="0044058B" w:rsidRPr="00F14DBC">
        <w:rPr>
          <w:sz w:val="16"/>
          <w:szCs w:val="16"/>
        </w:rPr>
        <w:t>c</w:t>
      </w:r>
      <w:r w:rsidR="00EC1179" w:rsidRPr="00F14DBC">
        <w:rPr>
          <w:sz w:val="16"/>
          <w:szCs w:val="16"/>
        </w:rPr>
        <w:t>am Antibody Conjugation Kits - Lightning-Link®, Ab</w:t>
      </w:r>
      <w:r w:rsidR="0044058B" w:rsidRPr="00F14DBC">
        <w:rPr>
          <w:sz w:val="16"/>
          <w:szCs w:val="16"/>
        </w:rPr>
        <w:t>c</w:t>
      </w:r>
      <w:r w:rsidR="00EC1179" w:rsidRPr="00F14DBC">
        <w:rPr>
          <w:sz w:val="16"/>
          <w:szCs w:val="16"/>
        </w:rPr>
        <w:t>am</w:t>
      </w:r>
      <w:r w:rsidR="0044058B" w:rsidRPr="00F14DBC">
        <w:rPr>
          <w:sz w:val="16"/>
          <w:szCs w:val="16"/>
        </w:rPr>
        <w:t>, Cambridge, UK.</w:t>
      </w:r>
    </w:p>
    <w:p w14:paraId="71FC4544" w14:textId="34147C42" w:rsidR="00871833" w:rsidRPr="006553B8" w:rsidRDefault="006553B8" w:rsidP="006553B8">
      <w:pPr>
        <w:pStyle w:val="tesettulos"/>
        <w:rPr>
          <w:b w:val="0"/>
        </w:rPr>
      </w:pPr>
      <w:bookmarkStart w:id="117" w:name="_Toc115037835"/>
      <w:r w:rsidRPr="00F0391E">
        <w:rPr>
          <w:noProof/>
          <w:lang w:val="pt-PT" w:eastAsia="pt-PT"/>
        </w:rPr>
        <w:drawing>
          <wp:anchor distT="0" distB="0" distL="114300" distR="114300" simplePos="0" relativeHeight="251658240" behindDoc="0" locked="0" layoutInCell="1" allowOverlap="1" wp14:anchorId="1A01D296" wp14:editId="3FE2CBD4">
            <wp:simplePos x="0" y="0"/>
            <wp:positionH relativeFrom="column">
              <wp:posOffset>234315</wp:posOffset>
            </wp:positionH>
            <wp:positionV relativeFrom="paragraph">
              <wp:posOffset>291465</wp:posOffset>
            </wp:positionV>
            <wp:extent cx="4914900" cy="4931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910"/>
                    <a:stretch/>
                  </pic:blipFill>
                  <pic:spPr bwMode="auto">
                    <a:xfrm>
                      <a:off x="0" y="0"/>
                      <a:ext cx="4914900" cy="493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833">
        <w:t xml:space="preserve">Annex C. </w:t>
      </w:r>
      <w:r w:rsidR="00871833">
        <w:rPr>
          <w:b w:val="0"/>
        </w:rPr>
        <w:t>Flow cytometry gating strategy</w:t>
      </w:r>
      <w:bookmarkEnd w:id="117"/>
    </w:p>
    <w:p w14:paraId="49AC9339" w14:textId="77777777" w:rsidR="006B4BE0" w:rsidRDefault="006B4BE0" w:rsidP="002600A2">
      <w:pPr>
        <w:pStyle w:val="Legenda"/>
        <w:spacing w:line="276" w:lineRule="auto"/>
        <w:rPr>
          <w:b/>
        </w:rPr>
      </w:pPr>
      <w:bookmarkStart w:id="118" w:name="_Toc113919709"/>
      <w:bookmarkStart w:id="119" w:name="_Toc114089164"/>
      <w:bookmarkStart w:id="120" w:name="_Toc114595408"/>
      <w:bookmarkStart w:id="121" w:name="_Toc114595575"/>
    </w:p>
    <w:p w14:paraId="0B559C17" w14:textId="77777777" w:rsidR="006B4BE0" w:rsidRDefault="006B4BE0" w:rsidP="002600A2">
      <w:pPr>
        <w:pStyle w:val="Legenda"/>
        <w:spacing w:line="276" w:lineRule="auto"/>
        <w:rPr>
          <w:b/>
        </w:rPr>
      </w:pPr>
    </w:p>
    <w:p w14:paraId="52703B1F" w14:textId="77777777" w:rsidR="006B4BE0" w:rsidRDefault="006B4BE0" w:rsidP="002600A2">
      <w:pPr>
        <w:pStyle w:val="Legenda"/>
        <w:spacing w:line="276" w:lineRule="auto"/>
        <w:rPr>
          <w:b/>
        </w:rPr>
      </w:pPr>
    </w:p>
    <w:p w14:paraId="24F021BD" w14:textId="77777777" w:rsidR="006B4BE0" w:rsidRDefault="006B4BE0" w:rsidP="002600A2">
      <w:pPr>
        <w:pStyle w:val="Legenda"/>
        <w:spacing w:line="276" w:lineRule="auto"/>
        <w:rPr>
          <w:b/>
        </w:rPr>
      </w:pPr>
    </w:p>
    <w:p w14:paraId="7AD7C3F3" w14:textId="77777777" w:rsidR="006B4BE0" w:rsidRDefault="006B4BE0" w:rsidP="002600A2">
      <w:pPr>
        <w:pStyle w:val="Legenda"/>
        <w:spacing w:line="276" w:lineRule="auto"/>
        <w:rPr>
          <w:b/>
        </w:rPr>
      </w:pPr>
    </w:p>
    <w:p w14:paraId="0A9E7AEC" w14:textId="77777777" w:rsidR="006B4BE0" w:rsidRDefault="006B4BE0" w:rsidP="002600A2">
      <w:pPr>
        <w:pStyle w:val="Legenda"/>
        <w:spacing w:line="276" w:lineRule="auto"/>
        <w:rPr>
          <w:b/>
        </w:rPr>
      </w:pPr>
    </w:p>
    <w:p w14:paraId="789F96A9" w14:textId="77777777" w:rsidR="006B4BE0" w:rsidRDefault="006B4BE0" w:rsidP="002600A2">
      <w:pPr>
        <w:pStyle w:val="Legenda"/>
        <w:spacing w:line="276" w:lineRule="auto"/>
        <w:rPr>
          <w:b/>
        </w:rPr>
      </w:pPr>
    </w:p>
    <w:p w14:paraId="16FA0886" w14:textId="77777777" w:rsidR="006B4BE0" w:rsidRDefault="006B4BE0" w:rsidP="002600A2">
      <w:pPr>
        <w:pStyle w:val="Legenda"/>
        <w:spacing w:line="276" w:lineRule="auto"/>
        <w:rPr>
          <w:b/>
        </w:rPr>
      </w:pPr>
    </w:p>
    <w:p w14:paraId="7144F946" w14:textId="77777777" w:rsidR="006B4BE0" w:rsidRDefault="006B4BE0" w:rsidP="002600A2">
      <w:pPr>
        <w:pStyle w:val="Legenda"/>
        <w:spacing w:line="276" w:lineRule="auto"/>
        <w:rPr>
          <w:b/>
        </w:rPr>
      </w:pPr>
    </w:p>
    <w:p w14:paraId="0F3B3991" w14:textId="77777777" w:rsidR="006B4BE0" w:rsidRDefault="006B4BE0" w:rsidP="002600A2">
      <w:pPr>
        <w:pStyle w:val="Legenda"/>
        <w:spacing w:line="276" w:lineRule="auto"/>
        <w:rPr>
          <w:b/>
        </w:rPr>
      </w:pPr>
    </w:p>
    <w:p w14:paraId="4A99C887" w14:textId="77777777" w:rsidR="006B4BE0" w:rsidRDefault="006B4BE0" w:rsidP="002600A2">
      <w:pPr>
        <w:pStyle w:val="Legenda"/>
        <w:spacing w:line="276" w:lineRule="auto"/>
        <w:rPr>
          <w:b/>
        </w:rPr>
      </w:pPr>
    </w:p>
    <w:p w14:paraId="31660939" w14:textId="77777777" w:rsidR="006B4BE0" w:rsidRDefault="006B4BE0" w:rsidP="002600A2">
      <w:pPr>
        <w:pStyle w:val="Legenda"/>
        <w:spacing w:line="276" w:lineRule="auto"/>
        <w:rPr>
          <w:b/>
        </w:rPr>
      </w:pPr>
    </w:p>
    <w:p w14:paraId="746CE6EC" w14:textId="77777777" w:rsidR="006B4BE0" w:rsidRDefault="006B4BE0" w:rsidP="002600A2">
      <w:pPr>
        <w:pStyle w:val="Legenda"/>
        <w:spacing w:line="276" w:lineRule="auto"/>
        <w:rPr>
          <w:b/>
        </w:rPr>
      </w:pPr>
    </w:p>
    <w:p w14:paraId="13E79C0A" w14:textId="77777777" w:rsidR="006B4BE0" w:rsidRDefault="006B4BE0" w:rsidP="002600A2">
      <w:pPr>
        <w:pStyle w:val="Legenda"/>
        <w:spacing w:line="276" w:lineRule="auto"/>
        <w:rPr>
          <w:b/>
        </w:rPr>
      </w:pPr>
    </w:p>
    <w:p w14:paraId="0F7793D6" w14:textId="77777777" w:rsidR="006B4BE0" w:rsidRDefault="006B4BE0" w:rsidP="002600A2">
      <w:pPr>
        <w:pStyle w:val="Legenda"/>
        <w:spacing w:line="276" w:lineRule="auto"/>
        <w:rPr>
          <w:b/>
        </w:rPr>
      </w:pPr>
    </w:p>
    <w:p w14:paraId="3A2284F4" w14:textId="77777777" w:rsidR="006B4BE0" w:rsidRDefault="006B4BE0" w:rsidP="002600A2">
      <w:pPr>
        <w:pStyle w:val="Legenda"/>
        <w:spacing w:line="276" w:lineRule="auto"/>
        <w:rPr>
          <w:b/>
        </w:rPr>
      </w:pPr>
    </w:p>
    <w:p w14:paraId="6F2B5D0B" w14:textId="77777777" w:rsidR="006B4BE0" w:rsidRDefault="006B4BE0" w:rsidP="002600A2">
      <w:pPr>
        <w:pStyle w:val="Legenda"/>
        <w:spacing w:line="276" w:lineRule="auto"/>
        <w:rPr>
          <w:b/>
        </w:rPr>
      </w:pPr>
    </w:p>
    <w:p w14:paraId="4775BAAD" w14:textId="77777777" w:rsidR="006B4BE0" w:rsidRDefault="006B4BE0" w:rsidP="002600A2">
      <w:pPr>
        <w:pStyle w:val="Legenda"/>
        <w:spacing w:line="276" w:lineRule="auto"/>
        <w:rPr>
          <w:b/>
        </w:rPr>
      </w:pPr>
    </w:p>
    <w:p w14:paraId="0692DBE8" w14:textId="77777777" w:rsidR="006B4BE0" w:rsidRDefault="006B4BE0" w:rsidP="002600A2">
      <w:pPr>
        <w:pStyle w:val="Legenda"/>
        <w:spacing w:line="276" w:lineRule="auto"/>
        <w:rPr>
          <w:b/>
        </w:rPr>
      </w:pPr>
    </w:p>
    <w:p w14:paraId="7EC4AC87" w14:textId="77777777" w:rsidR="006B4BE0" w:rsidRDefault="006B4BE0" w:rsidP="002600A2">
      <w:pPr>
        <w:pStyle w:val="Legenda"/>
        <w:spacing w:line="276" w:lineRule="auto"/>
        <w:rPr>
          <w:b/>
        </w:rPr>
      </w:pPr>
    </w:p>
    <w:p w14:paraId="73C20419" w14:textId="77777777" w:rsidR="006B4BE0" w:rsidRDefault="006B4BE0" w:rsidP="002600A2">
      <w:pPr>
        <w:pStyle w:val="Legenda"/>
        <w:spacing w:line="276" w:lineRule="auto"/>
        <w:rPr>
          <w:b/>
        </w:rPr>
      </w:pPr>
    </w:p>
    <w:p w14:paraId="062CC796" w14:textId="77777777" w:rsidR="006B4BE0" w:rsidRDefault="006B4BE0" w:rsidP="002600A2">
      <w:pPr>
        <w:pStyle w:val="Legenda"/>
        <w:spacing w:line="276" w:lineRule="auto"/>
        <w:rPr>
          <w:b/>
        </w:rPr>
      </w:pPr>
    </w:p>
    <w:p w14:paraId="12138440" w14:textId="77777777" w:rsidR="006B4BE0" w:rsidRDefault="006B4BE0" w:rsidP="002600A2">
      <w:pPr>
        <w:pStyle w:val="Legenda"/>
        <w:spacing w:line="276" w:lineRule="auto"/>
        <w:rPr>
          <w:b/>
        </w:rPr>
      </w:pPr>
    </w:p>
    <w:p w14:paraId="5799B084" w14:textId="77777777" w:rsidR="006B4BE0" w:rsidRDefault="006B4BE0" w:rsidP="002600A2">
      <w:pPr>
        <w:pStyle w:val="Legenda"/>
        <w:spacing w:line="276" w:lineRule="auto"/>
        <w:rPr>
          <w:b/>
        </w:rPr>
      </w:pPr>
    </w:p>
    <w:p w14:paraId="5ED70FC6" w14:textId="77777777" w:rsidR="006B4BE0" w:rsidRDefault="006B4BE0" w:rsidP="002600A2">
      <w:pPr>
        <w:pStyle w:val="Legenda"/>
        <w:spacing w:line="276" w:lineRule="auto"/>
        <w:rPr>
          <w:b/>
        </w:rPr>
      </w:pPr>
    </w:p>
    <w:p w14:paraId="3C393656" w14:textId="77777777" w:rsidR="006B4BE0" w:rsidRDefault="006B4BE0" w:rsidP="002600A2">
      <w:pPr>
        <w:pStyle w:val="Legenda"/>
        <w:spacing w:line="276" w:lineRule="auto"/>
        <w:rPr>
          <w:b/>
        </w:rPr>
      </w:pPr>
    </w:p>
    <w:p w14:paraId="13AE9869" w14:textId="77777777" w:rsidR="006B4BE0" w:rsidRDefault="006B4BE0" w:rsidP="002600A2">
      <w:pPr>
        <w:pStyle w:val="Legenda"/>
        <w:spacing w:line="276" w:lineRule="auto"/>
        <w:rPr>
          <w:b/>
        </w:rPr>
      </w:pPr>
    </w:p>
    <w:p w14:paraId="25A824AD" w14:textId="77777777" w:rsidR="003F1467" w:rsidRDefault="003F1467" w:rsidP="002600A2">
      <w:pPr>
        <w:pStyle w:val="Legenda"/>
        <w:spacing w:line="276" w:lineRule="auto"/>
        <w:rPr>
          <w:b/>
        </w:rPr>
      </w:pPr>
    </w:p>
    <w:p w14:paraId="4528D26D" w14:textId="77777777" w:rsidR="003F1467" w:rsidRDefault="003F1467" w:rsidP="002600A2">
      <w:pPr>
        <w:pStyle w:val="Legenda"/>
        <w:spacing w:line="276" w:lineRule="auto"/>
        <w:rPr>
          <w:b/>
        </w:rPr>
      </w:pPr>
    </w:p>
    <w:p w14:paraId="671097A2" w14:textId="77777777" w:rsidR="003F1467" w:rsidRDefault="003F1467" w:rsidP="002600A2">
      <w:pPr>
        <w:pStyle w:val="Legenda"/>
        <w:spacing w:line="276" w:lineRule="auto"/>
        <w:rPr>
          <w:b/>
        </w:rPr>
      </w:pPr>
    </w:p>
    <w:p w14:paraId="53DC0DCF" w14:textId="77777777" w:rsidR="003F1467" w:rsidRDefault="003F1467" w:rsidP="002600A2">
      <w:pPr>
        <w:pStyle w:val="Legenda"/>
        <w:spacing w:line="276" w:lineRule="auto"/>
        <w:rPr>
          <w:b/>
        </w:rPr>
      </w:pPr>
    </w:p>
    <w:p w14:paraId="10613A8F" w14:textId="77777777" w:rsidR="003F1467" w:rsidRDefault="003F1467" w:rsidP="002600A2">
      <w:pPr>
        <w:pStyle w:val="Legenda"/>
        <w:spacing w:line="276" w:lineRule="auto"/>
        <w:rPr>
          <w:b/>
        </w:rPr>
      </w:pPr>
    </w:p>
    <w:p w14:paraId="73DEF3C1" w14:textId="77777777" w:rsidR="003F1467" w:rsidRDefault="003F1467" w:rsidP="002600A2">
      <w:pPr>
        <w:pStyle w:val="Legenda"/>
        <w:spacing w:line="276" w:lineRule="auto"/>
        <w:rPr>
          <w:b/>
        </w:rPr>
      </w:pPr>
    </w:p>
    <w:p w14:paraId="75FA2F9F" w14:textId="38D8893A" w:rsidR="00871833" w:rsidRPr="00F566BA" w:rsidRDefault="00871833" w:rsidP="002600A2">
      <w:pPr>
        <w:pStyle w:val="Legenda"/>
        <w:spacing w:line="276" w:lineRule="auto"/>
      </w:pPr>
      <w:r w:rsidRPr="00F566BA">
        <w:rPr>
          <w:b/>
        </w:rPr>
        <w:t xml:space="preserve">Figure C1. </w:t>
      </w:r>
      <w:r w:rsidRPr="00F566BA">
        <w:t>Flow cytometry gating strategy used to determine CD4</w:t>
      </w:r>
      <w:r w:rsidRPr="00F566BA">
        <w:rPr>
          <w:vertAlign w:val="superscript"/>
        </w:rPr>
        <w:t>+</w:t>
      </w:r>
      <w:r w:rsidRPr="00F566BA">
        <w:t>, CD8</w:t>
      </w:r>
      <w:r w:rsidRPr="00F566BA">
        <w:rPr>
          <w:vertAlign w:val="superscript"/>
        </w:rPr>
        <w:t>+</w:t>
      </w:r>
      <w:r w:rsidRPr="00F566BA">
        <w:t xml:space="preserve"> and CD4</w:t>
      </w:r>
      <w:r w:rsidRPr="00F566BA">
        <w:rPr>
          <w:vertAlign w:val="superscript"/>
        </w:rPr>
        <w:t>-</w:t>
      </w:r>
      <w:r w:rsidRPr="00F566BA">
        <w:t xml:space="preserve"> CD8</w:t>
      </w:r>
      <w:r w:rsidRPr="00F566BA">
        <w:rPr>
          <w:vertAlign w:val="superscript"/>
        </w:rPr>
        <w:t xml:space="preserve">- </w:t>
      </w:r>
      <w:r w:rsidRPr="00F566BA">
        <w:t xml:space="preserve">T cells from the peripheral blood and the percentage of division. Lymphocytes were gated based on FSC and SSC parameters and Single Cells were </w:t>
      </w:r>
      <w:r w:rsidR="008B2A91">
        <w:t>selected</w:t>
      </w:r>
      <w:r w:rsidR="008B2A91" w:rsidRPr="00F566BA">
        <w:t xml:space="preserve"> </w:t>
      </w:r>
      <w:r w:rsidRPr="00F566BA">
        <w:t>in FSC-H versus FCS-A plots. Live CD3</w:t>
      </w:r>
      <w:r w:rsidRPr="00F566BA">
        <w:rPr>
          <w:vertAlign w:val="superscript"/>
        </w:rPr>
        <w:t>+</w:t>
      </w:r>
      <w:r w:rsidRPr="00F566BA">
        <w:t xml:space="preserve"> </w:t>
      </w:r>
      <w:r w:rsidR="000C60C5">
        <w:t xml:space="preserve">T </w:t>
      </w:r>
      <w:r w:rsidRPr="00F566BA">
        <w:t>cells were defined as</w:t>
      </w:r>
      <w:r w:rsidR="008B2A91">
        <w:t xml:space="preserve"> CD3-expressing</w:t>
      </w:r>
      <w:r w:rsidRPr="00F566BA">
        <w:t xml:space="preserve"> FVD negative cells. CD4</w:t>
      </w:r>
      <w:r w:rsidRPr="00F566BA">
        <w:rPr>
          <w:vertAlign w:val="superscript"/>
        </w:rPr>
        <w:t>+</w:t>
      </w:r>
      <w:r w:rsidRPr="00F566BA">
        <w:t>, CD8</w:t>
      </w:r>
      <w:r w:rsidRPr="00F566BA">
        <w:rPr>
          <w:vertAlign w:val="superscript"/>
        </w:rPr>
        <w:t xml:space="preserve">+ </w:t>
      </w:r>
      <w:r w:rsidRPr="00F566BA">
        <w:t>and CD4</w:t>
      </w:r>
      <w:r w:rsidRPr="00F566BA">
        <w:rPr>
          <w:vertAlign w:val="superscript"/>
        </w:rPr>
        <w:t xml:space="preserve">- </w:t>
      </w:r>
      <w:r w:rsidRPr="00F566BA">
        <w:t>CD8</w:t>
      </w:r>
      <w:r w:rsidRPr="00F566BA">
        <w:rPr>
          <w:vertAlign w:val="superscript"/>
        </w:rPr>
        <w:t xml:space="preserve">- </w:t>
      </w:r>
      <w:r w:rsidR="000C60C5">
        <w:t xml:space="preserve">(Non CD4CD8) </w:t>
      </w:r>
      <w:r w:rsidRPr="00F566BA">
        <w:t>were determined in CD4</w:t>
      </w:r>
      <w:r w:rsidRPr="00F566BA">
        <w:rPr>
          <w:vertAlign w:val="superscript"/>
        </w:rPr>
        <w:t xml:space="preserve"> </w:t>
      </w:r>
      <w:r w:rsidRPr="00F566BA">
        <w:t>versus CD8</w:t>
      </w:r>
      <w:r w:rsidRPr="00F566BA">
        <w:rPr>
          <w:vertAlign w:val="superscript"/>
        </w:rPr>
        <w:t xml:space="preserve"> </w:t>
      </w:r>
      <w:r w:rsidRPr="00F566BA">
        <w:t>plots in which CD4</w:t>
      </w:r>
      <w:r w:rsidRPr="00F566BA">
        <w:rPr>
          <w:vertAlign w:val="superscript"/>
        </w:rPr>
        <w:t xml:space="preserve">+ </w:t>
      </w:r>
      <w:r w:rsidRPr="00F566BA">
        <w:t>were positive for CD4</w:t>
      </w:r>
      <w:r w:rsidRPr="00F566BA">
        <w:rPr>
          <w:vertAlign w:val="superscript"/>
        </w:rPr>
        <w:t xml:space="preserve"> </w:t>
      </w:r>
      <w:r w:rsidRPr="00F566BA">
        <w:t>and negative for CD8, CD8</w:t>
      </w:r>
      <w:r w:rsidRPr="00F566BA">
        <w:rPr>
          <w:vertAlign w:val="superscript"/>
        </w:rPr>
        <w:t xml:space="preserve">+ </w:t>
      </w:r>
      <w:r w:rsidRPr="00F566BA">
        <w:t>were positive for CD8</w:t>
      </w:r>
      <w:r w:rsidRPr="00F566BA">
        <w:rPr>
          <w:vertAlign w:val="superscript"/>
        </w:rPr>
        <w:t xml:space="preserve"> </w:t>
      </w:r>
      <w:r w:rsidRPr="00F566BA">
        <w:t>and negative for CD4, and CD4</w:t>
      </w:r>
      <w:r w:rsidRPr="00F566BA">
        <w:rPr>
          <w:vertAlign w:val="superscript"/>
        </w:rPr>
        <w:t xml:space="preserve">- </w:t>
      </w:r>
      <w:r w:rsidRPr="00F566BA">
        <w:t>CD8</w:t>
      </w:r>
      <w:r w:rsidRPr="00F566BA">
        <w:rPr>
          <w:vertAlign w:val="superscript"/>
        </w:rPr>
        <w:t>-</w:t>
      </w:r>
      <w:r w:rsidRPr="00F566BA">
        <w:t xml:space="preserve"> were negative for both CD4</w:t>
      </w:r>
      <w:r w:rsidRPr="00F566BA">
        <w:rPr>
          <w:vertAlign w:val="superscript"/>
        </w:rPr>
        <w:t xml:space="preserve"> </w:t>
      </w:r>
      <w:r w:rsidRPr="00F566BA">
        <w:t xml:space="preserve">and CD8. </w:t>
      </w:r>
      <w:r w:rsidR="00E56A4D">
        <w:t>Cell proliferation was evaluated in each gated T cell population as the percentage of cells that divided at least once, based on CellTrace</w:t>
      </w:r>
      <w:r w:rsidR="00E56A4D">
        <w:rPr>
          <w:rFonts w:cs="Arial"/>
        </w:rPr>
        <w:t>™</w:t>
      </w:r>
      <w:r w:rsidR="00E56A4D">
        <w:t xml:space="preserve"> Violet dye dilution. </w:t>
      </w:r>
      <w:r w:rsidRPr="00F566BA">
        <w:t>This is a representative example of PBMC isolated from a ConA stimulated calf, 1</w:t>
      </w:r>
      <w:r w:rsidR="00B94080">
        <w:t>5</w:t>
      </w:r>
      <w:r w:rsidRPr="00F566BA">
        <w:t xml:space="preserve"> days after infection with </w:t>
      </w:r>
      <w:r w:rsidR="001E7264">
        <w:rPr>
          <w:rFonts w:cs="Arial"/>
        </w:rPr>
        <w:t>2.</w:t>
      </w:r>
      <w:r w:rsidRPr="00F566BA">
        <w:rPr>
          <w:rFonts w:cs="Arial"/>
        </w:rPr>
        <w:t>5 × 10</w:t>
      </w:r>
      <w:r w:rsidRPr="00F566BA">
        <w:rPr>
          <w:rFonts w:cs="Arial"/>
          <w:vertAlign w:val="superscript"/>
        </w:rPr>
        <w:t xml:space="preserve">8 </w:t>
      </w:r>
      <w:r w:rsidR="00D33979" w:rsidRPr="00F566BA">
        <w:rPr>
          <w:rFonts w:cs="Arial"/>
          <w:i/>
        </w:rPr>
        <w:t>N. caninum</w:t>
      </w:r>
      <w:r w:rsidRPr="00F566BA">
        <w:rPr>
          <w:rFonts w:cs="Arial"/>
          <w:i/>
        </w:rPr>
        <w:t xml:space="preserve"> </w:t>
      </w:r>
      <w:r w:rsidRPr="00F566BA">
        <w:rPr>
          <w:rFonts w:cs="Arial"/>
        </w:rPr>
        <w:t>tachyzoites.</w:t>
      </w:r>
      <w:bookmarkEnd w:id="118"/>
      <w:bookmarkEnd w:id="119"/>
      <w:bookmarkEnd w:id="120"/>
      <w:bookmarkEnd w:id="121"/>
    </w:p>
    <w:p w14:paraId="4B1793F0" w14:textId="2B7B278A" w:rsidR="003323CB" w:rsidRDefault="003323CB" w:rsidP="00E544A3">
      <w:pPr>
        <w:ind w:firstLine="0"/>
      </w:pPr>
    </w:p>
    <w:p w14:paraId="69578223" w14:textId="77777777" w:rsidR="006553B8" w:rsidRDefault="006553B8" w:rsidP="00B1167A">
      <w:pPr>
        <w:pStyle w:val="Legenda"/>
        <w:spacing w:line="276" w:lineRule="auto"/>
        <w:rPr>
          <w:b/>
        </w:rPr>
      </w:pPr>
      <w:bookmarkStart w:id="122" w:name="_Toc114595409"/>
      <w:bookmarkStart w:id="123" w:name="_Toc114595576"/>
    </w:p>
    <w:p w14:paraId="7212FF4D" w14:textId="77777777" w:rsidR="006553B8" w:rsidRDefault="006553B8" w:rsidP="00B1167A">
      <w:pPr>
        <w:pStyle w:val="Legenda"/>
        <w:spacing w:line="276" w:lineRule="auto"/>
        <w:rPr>
          <w:b/>
        </w:rPr>
      </w:pPr>
    </w:p>
    <w:p w14:paraId="705EE0D1" w14:textId="77777777" w:rsidR="006553B8" w:rsidRDefault="006553B8" w:rsidP="00B1167A">
      <w:pPr>
        <w:pStyle w:val="Legenda"/>
        <w:spacing w:line="276" w:lineRule="auto"/>
        <w:rPr>
          <w:b/>
        </w:rPr>
      </w:pPr>
    </w:p>
    <w:p w14:paraId="434593E2" w14:textId="401D72A3" w:rsidR="006553B8" w:rsidRDefault="006553B8" w:rsidP="00B1167A">
      <w:pPr>
        <w:pStyle w:val="Legenda"/>
        <w:spacing w:line="276" w:lineRule="auto"/>
        <w:rPr>
          <w:b/>
        </w:rPr>
      </w:pPr>
    </w:p>
    <w:p w14:paraId="479D2829" w14:textId="6C6C2848" w:rsidR="006553B8" w:rsidRDefault="006553B8" w:rsidP="00B1167A">
      <w:pPr>
        <w:pStyle w:val="Legenda"/>
        <w:spacing w:line="276" w:lineRule="auto"/>
        <w:rPr>
          <w:b/>
        </w:rPr>
      </w:pPr>
    </w:p>
    <w:p w14:paraId="12A17E3F" w14:textId="77777777" w:rsidR="003F1467" w:rsidRDefault="003F1467" w:rsidP="00B1167A">
      <w:pPr>
        <w:pStyle w:val="Legenda"/>
        <w:spacing w:line="276" w:lineRule="auto"/>
        <w:rPr>
          <w:b/>
        </w:rPr>
      </w:pPr>
    </w:p>
    <w:p w14:paraId="17ABEAD5" w14:textId="77777777" w:rsidR="003F1467" w:rsidRDefault="003F1467" w:rsidP="00B1167A">
      <w:pPr>
        <w:pStyle w:val="Legenda"/>
        <w:spacing w:line="276" w:lineRule="auto"/>
        <w:rPr>
          <w:b/>
        </w:rPr>
      </w:pPr>
    </w:p>
    <w:p w14:paraId="32379BDC" w14:textId="77777777" w:rsidR="003F1467" w:rsidRDefault="003F1467" w:rsidP="00B1167A">
      <w:pPr>
        <w:pStyle w:val="Legenda"/>
        <w:spacing w:line="276" w:lineRule="auto"/>
        <w:rPr>
          <w:b/>
        </w:rPr>
      </w:pPr>
    </w:p>
    <w:p w14:paraId="6726536F" w14:textId="77777777" w:rsidR="003F1467" w:rsidRDefault="003F1467" w:rsidP="00B1167A">
      <w:pPr>
        <w:pStyle w:val="Legenda"/>
        <w:spacing w:line="276" w:lineRule="auto"/>
        <w:rPr>
          <w:b/>
        </w:rPr>
      </w:pPr>
    </w:p>
    <w:p w14:paraId="0CDC996C" w14:textId="77777777" w:rsidR="003F1467" w:rsidRDefault="003F1467" w:rsidP="00B1167A">
      <w:pPr>
        <w:pStyle w:val="Legenda"/>
        <w:spacing w:line="276" w:lineRule="auto"/>
        <w:rPr>
          <w:b/>
        </w:rPr>
      </w:pPr>
    </w:p>
    <w:p w14:paraId="5B2A74FC" w14:textId="77777777" w:rsidR="003F1467" w:rsidRDefault="003F1467" w:rsidP="00B1167A">
      <w:pPr>
        <w:pStyle w:val="Legenda"/>
        <w:spacing w:line="276" w:lineRule="auto"/>
        <w:rPr>
          <w:b/>
        </w:rPr>
      </w:pPr>
    </w:p>
    <w:p w14:paraId="7C746EB4" w14:textId="77777777" w:rsidR="003F1467" w:rsidRDefault="003F1467" w:rsidP="00B1167A">
      <w:pPr>
        <w:pStyle w:val="Legenda"/>
        <w:spacing w:line="276" w:lineRule="auto"/>
        <w:rPr>
          <w:b/>
        </w:rPr>
      </w:pPr>
    </w:p>
    <w:p w14:paraId="275BFF3D" w14:textId="77777777" w:rsidR="003F1467" w:rsidRDefault="003F1467" w:rsidP="00B1167A">
      <w:pPr>
        <w:pStyle w:val="Legenda"/>
        <w:spacing w:line="276" w:lineRule="auto"/>
        <w:rPr>
          <w:b/>
        </w:rPr>
      </w:pPr>
    </w:p>
    <w:p w14:paraId="479B816D" w14:textId="77777777" w:rsidR="003F1467" w:rsidRDefault="003F1467" w:rsidP="00B1167A">
      <w:pPr>
        <w:pStyle w:val="Legenda"/>
        <w:spacing w:line="276" w:lineRule="auto"/>
        <w:rPr>
          <w:b/>
        </w:rPr>
      </w:pPr>
    </w:p>
    <w:p w14:paraId="48AAC24A" w14:textId="7F273A51" w:rsidR="003F1467" w:rsidRDefault="00BD2C0F" w:rsidP="00B1167A">
      <w:pPr>
        <w:pStyle w:val="Legenda"/>
        <w:spacing w:line="276" w:lineRule="auto"/>
        <w:rPr>
          <w:b/>
        </w:rPr>
      </w:pPr>
      <w:r>
        <w:rPr>
          <w:b/>
          <w:noProof/>
          <w:lang w:val="pt-PT" w:eastAsia="pt-PT"/>
        </w:rPr>
        <w:drawing>
          <wp:inline distT="0" distB="0" distL="0" distR="0" wp14:anchorId="61A535B0" wp14:editId="63307AD0">
            <wp:extent cx="5579745" cy="4438650"/>
            <wp:effectExtent l="0" t="0" r="190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9745" cy="4438650"/>
                    </a:xfrm>
                    <a:prstGeom prst="rect">
                      <a:avLst/>
                    </a:prstGeom>
                  </pic:spPr>
                </pic:pic>
              </a:graphicData>
            </a:graphic>
          </wp:inline>
        </w:drawing>
      </w:r>
    </w:p>
    <w:p w14:paraId="5D683F88" w14:textId="77777777" w:rsidR="003F1467" w:rsidRDefault="003F1467" w:rsidP="00B1167A">
      <w:pPr>
        <w:pStyle w:val="Legenda"/>
        <w:spacing w:line="276" w:lineRule="auto"/>
        <w:rPr>
          <w:b/>
        </w:rPr>
      </w:pPr>
    </w:p>
    <w:p w14:paraId="6BE64F4D" w14:textId="6804E7F9" w:rsidR="00B1167A" w:rsidRPr="00F566BA" w:rsidRDefault="00B1167A" w:rsidP="00B1167A">
      <w:pPr>
        <w:pStyle w:val="Legenda"/>
        <w:spacing w:line="276" w:lineRule="auto"/>
      </w:pPr>
      <w:r w:rsidRPr="00F566BA">
        <w:rPr>
          <w:b/>
        </w:rPr>
        <w:t>Figure C</w:t>
      </w:r>
      <w:r>
        <w:rPr>
          <w:b/>
        </w:rPr>
        <w:t>2</w:t>
      </w:r>
      <w:r w:rsidRPr="00F566BA">
        <w:rPr>
          <w:b/>
        </w:rPr>
        <w:t xml:space="preserve">. </w:t>
      </w:r>
      <w:r w:rsidRPr="00F566BA">
        <w:t>Flow cytometry gating strategy used to determine CD4</w:t>
      </w:r>
      <w:r w:rsidRPr="00F566BA">
        <w:rPr>
          <w:vertAlign w:val="superscript"/>
        </w:rPr>
        <w:t>+</w:t>
      </w:r>
      <w:r w:rsidRPr="00F566BA">
        <w:t>, CD8</w:t>
      </w:r>
      <w:r w:rsidRPr="00F566BA">
        <w:rPr>
          <w:vertAlign w:val="superscript"/>
        </w:rPr>
        <w:t>+</w:t>
      </w:r>
      <w:r w:rsidRPr="00F566BA">
        <w:t xml:space="preserve"> and CD4</w:t>
      </w:r>
      <w:r w:rsidRPr="00F566BA">
        <w:rPr>
          <w:vertAlign w:val="superscript"/>
        </w:rPr>
        <w:t>-</w:t>
      </w:r>
      <w:r w:rsidRPr="00F566BA">
        <w:t xml:space="preserve"> CD8</w:t>
      </w:r>
      <w:r w:rsidRPr="00F566BA">
        <w:rPr>
          <w:vertAlign w:val="superscript"/>
        </w:rPr>
        <w:t xml:space="preserve">- </w:t>
      </w:r>
      <w:r w:rsidRPr="00F566BA">
        <w:t xml:space="preserve">T cells from the peripheral blood </w:t>
      </w:r>
      <w:r w:rsidR="008B2A91">
        <w:t>producing IFN</w:t>
      </w:r>
      <w:r w:rsidR="008B2A91" w:rsidRPr="008B2A91">
        <w:rPr>
          <w:rFonts w:cs="Arial"/>
        </w:rPr>
        <w:t>-</w:t>
      </w:r>
      <w:r w:rsidR="008B2A91" w:rsidRPr="00C5068C">
        <w:rPr>
          <w:rFonts w:cs="Arial"/>
        </w:rPr>
        <w:t>γ</w:t>
      </w:r>
      <w:r w:rsidR="008B2A91" w:rsidRPr="008B2A91">
        <w:rPr>
          <w:rFonts w:cs="Arial"/>
        </w:rPr>
        <w:t xml:space="preserve"> and IL-17A</w:t>
      </w:r>
      <w:r w:rsidRPr="00F566BA">
        <w:t xml:space="preserve">. Lymphocytes were gated based on FSC and SSC parameters and Single Cells were </w:t>
      </w:r>
      <w:r w:rsidR="008B2A91">
        <w:t>selected</w:t>
      </w:r>
      <w:r w:rsidRPr="00F566BA">
        <w:t xml:space="preserve"> in FSC-H versus FCS-A plots. CD3</w:t>
      </w:r>
      <w:r w:rsidRPr="00F566BA">
        <w:rPr>
          <w:vertAlign w:val="superscript"/>
        </w:rPr>
        <w:t>+</w:t>
      </w:r>
      <w:r w:rsidRPr="00F566BA">
        <w:t xml:space="preserve"> </w:t>
      </w:r>
      <w:r w:rsidR="00BD2C0F">
        <w:t xml:space="preserve">T </w:t>
      </w:r>
      <w:r w:rsidRPr="00F566BA">
        <w:t xml:space="preserve">cells were defined </w:t>
      </w:r>
      <w:r w:rsidR="008B2A91">
        <w:t>based on CD3 expression</w:t>
      </w:r>
      <w:r w:rsidRPr="00F566BA">
        <w:t>. CD4</w:t>
      </w:r>
      <w:r w:rsidRPr="00F566BA">
        <w:rPr>
          <w:vertAlign w:val="superscript"/>
        </w:rPr>
        <w:t>+</w:t>
      </w:r>
      <w:r w:rsidRPr="00F566BA">
        <w:t>, CD8</w:t>
      </w:r>
      <w:r w:rsidRPr="00F566BA">
        <w:rPr>
          <w:vertAlign w:val="superscript"/>
        </w:rPr>
        <w:t xml:space="preserve">+ </w:t>
      </w:r>
      <w:r w:rsidRPr="00F566BA">
        <w:t>and CD4</w:t>
      </w:r>
      <w:r w:rsidRPr="00F566BA">
        <w:rPr>
          <w:vertAlign w:val="superscript"/>
        </w:rPr>
        <w:t xml:space="preserve">- </w:t>
      </w:r>
      <w:r w:rsidRPr="00F566BA">
        <w:t>CD8</w:t>
      </w:r>
      <w:r w:rsidRPr="00F566BA">
        <w:rPr>
          <w:vertAlign w:val="superscript"/>
        </w:rPr>
        <w:t xml:space="preserve">- </w:t>
      </w:r>
      <w:r w:rsidRPr="00F566BA">
        <w:t>were determined in CD4</w:t>
      </w:r>
      <w:r w:rsidRPr="00F566BA">
        <w:rPr>
          <w:vertAlign w:val="superscript"/>
        </w:rPr>
        <w:t xml:space="preserve">+ </w:t>
      </w:r>
      <w:r w:rsidRPr="00F566BA">
        <w:t>versus CD8</w:t>
      </w:r>
      <w:r w:rsidRPr="00F566BA">
        <w:rPr>
          <w:vertAlign w:val="superscript"/>
        </w:rPr>
        <w:t xml:space="preserve">+ </w:t>
      </w:r>
      <w:r w:rsidRPr="00F566BA">
        <w:t>plots in which CD4</w:t>
      </w:r>
      <w:r w:rsidRPr="00F566BA">
        <w:rPr>
          <w:vertAlign w:val="superscript"/>
        </w:rPr>
        <w:t xml:space="preserve">+ </w:t>
      </w:r>
      <w:r w:rsidRPr="00F566BA">
        <w:t>were CD4</w:t>
      </w:r>
      <w:r w:rsidRPr="00F566BA">
        <w:rPr>
          <w:vertAlign w:val="superscript"/>
        </w:rPr>
        <w:t xml:space="preserve">+ </w:t>
      </w:r>
      <w:r w:rsidRPr="00F566BA">
        <w:t>CD8</w:t>
      </w:r>
      <w:r w:rsidR="008B2A91">
        <w:rPr>
          <w:vertAlign w:val="superscript"/>
        </w:rPr>
        <w:t>-</w:t>
      </w:r>
      <w:r w:rsidRPr="00F566BA">
        <w:t>, CD8</w:t>
      </w:r>
      <w:r w:rsidRPr="00F566BA">
        <w:rPr>
          <w:vertAlign w:val="superscript"/>
        </w:rPr>
        <w:t xml:space="preserve">+ </w:t>
      </w:r>
      <w:r w:rsidRPr="00F566BA">
        <w:t>were CD8</w:t>
      </w:r>
      <w:r w:rsidRPr="00F566BA">
        <w:rPr>
          <w:vertAlign w:val="superscript"/>
        </w:rPr>
        <w:t xml:space="preserve">+ </w:t>
      </w:r>
      <w:r w:rsidRPr="00F566BA">
        <w:t>CD4</w:t>
      </w:r>
      <w:r w:rsidR="008B2A91">
        <w:rPr>
          <w:vertAlign w:val="superscript"/>
        </w:rPr>
        <w:t>-</w:t>
      </w:r>
      <w:r w:rsidRPr="00F566BA">
        <w:t>, and CD4</w:t>
      </w:r>
      <w:r w:rsidRPr="00F566BA">
        <w:rPr>
          <w:vertAlign w:val="superscript"/>
        </w:rPr>
        <w:t xml:space="preserve">- </w:t>
      </w:r>
      <w:r w:rsidRPr="00F566BA">
        <w:t>CD8</w:t>
      </w:r>
      <w:r w:rsidRPr="00F566BA">
        <w:rPr>
          <w:vertAlign w:val="superscript"/>
        </w:rPr>
        <w:t>-</w:t>
      </w:r>
      <w:r w:rsidRPr="00F566BA">
        <w:t xml:space="preserve"> </w:t>
      </w:r>
      <w:r w:rsidR="000C60C5">
        <w:t xml:space="preserve">(Non CD4CD8) </w:t>
      </w:r>
      <w:r w:rsidRPr="00F566BA">
        <w:t>were negative for both CD4</w:t>
      </w:r>
      <w:r w:rsidRPr="00F566BA">
        <w:rPr>
          <w:vertAlign w:val="superscript"/>
        </w:rPr>
        <w:t xml:space="preserve"> </w:t>
      </w:r>
      <w:r w:rsidRPr="00F566BA">
        <w:t xml:space="preserve">and CD8. </w:t>
      </w:r>
      <w:r w:rsidR="004F20EA">
        <w:t>IFN</w:t>
      </w:r>
      <w:r w:rsidR="004F20EA" w:rsidRPr="008B2A91">
        <w:rPr>
          <w:rFonts w:cs="Arial"/>
        </w:rPr>
        <w:t>-</w:t>
      </w:r>
      <w:r w:rsidR="004F20EA" w:rsidRPr="00293B91">
        <w:rPr>
          <w:rFonts w:cs="Arial"/>
        </w:rPr>
        <w:t>γ</w:t>
      </w:r>
      <w:r w:rsidR="004F20EA" w:rsidRPr="008B2A91">
        <w:rPr>
          <w:rFonts w:cs="Arial"/>
        </w:rPr>
        <w:t xml:space="preserve"> and IL-17A</w:t>
      </w:r>
      <w:r w:rsidR="004F20EA">
        <w:rPr>
          <w:rFonts w:cs="Arial"/>
        </w:rPr>
        <w:t xml:space="preserve">-expressing cells were selected in each gated T cell population. </w:t>
      </w:r>
      <w:r w:rsidR="00E56A4D">
        <w:rPr>
          <w:rFonts w:cs="Arial"/>
        </w:rPr>
        <w:t xml:space="preserve">Cells were stained with </w:t>
      </w:r>
      <w:r w:rsidR="006D0454">
        <w:t>CellTrace</w:t>
      </w:r>
      <w:r w:rsidR="006D0454">
        <w:rPr>
          <w:rFonts w:cs="Arial"/>
        </w:rPr>
        <w:t>™</w:t>
      </w:r>
      <w:r w:rsidR="006D0454">
        <w:t xml:space="preserve"> Violet</w:t>
      </w:r>
      <w:r w:rsidR="006D0454">
        <w:rPr>
          <w:rFonts w:cs="Arial"/>
        </w:rPr>
        <w:t xml:space="preserve"> but a</w:t>
      </w:r>
      <w:r w:rsidR="007D39AD">
        <w:rPr>
          <w:rFonts w:cs="Arial"/>
        </w:rPr>
        <w:t xml:space="preserve">nalysis of cell proliferation was not evaluated. </w:t>
      </w:r>
      <w:r w:rsidRPr="00F566BA">
        <w:t xml:space="preserve">This is a representative example of PBMC isolated from a </w:t>
      </w:r>
      <w:r w:rsidR="000C60C5">
        <w:t>NcT</w:t>
      </w:r>
      <w:r w:rsidRPr="00F566BA">
        <w:t xml:space="preserve"> stimulated calf, 1</w:t>
      </w:r>
      <w:r w:rsidR="00CB76EC">
        <w:t>5</w:t>
      </w:r>
      <w:r w:rsidRPr="00F566BA">
        <w:t xml:space="preserve"> days after infection with </w:t>
      </w:r>
      <w:r>
        <w:rPr>
          <w:rFonts w:cs="Arial"/>
        </w:rPr>
        <w:t>2.</w:t>
      </w:r>
      <w:r w:rsidRPr="00F566BA">
        <w:rPr>
          <w:rFonts w:cs="Arial"/>
        </w:rPr>
        <w:t>5 × 10</w:t>
      </w:r>
      <w:r w:rsidRPr="00F566BA">
        <w:rPr>
          <w:rFonts w:cs="Arial"/>
          <w:vertAlign w:val="superscript"/>
        </w:rPr>
        <w:t xml:space="preserve">8 </w:t>
      </w:r>
      <w:r w:rsidRPr="00F566BA">
        <w:rPr>
          <w:rFonts w:cs="Arial"/>
          <w:i/>
        </w:rPr>
        <w:t xml:space="preserve">N. caninum </w:t>
      </w:r>
      <w:r w:rsidRPr="00F566BA">
        <w:rPr>
          <w:rFonts w:cs="Arial"/>
        </w:rPr>
        <w:t>tachyzoites.</w:t>
      </w:r>
      <w:bookmarkEnd w:id="122"/>
      <w:bookmarkEnd w:id="123"/>
    </w:p>
    <w:p w14:paraId="2EA89321" w14:textId="55E4748C" w:rsidR="00B1167A" w:rsidRPr="000C71A6" w:rsidRDefault="00B1167A" w:rsidP="00E544A3">
      <w:pPr>
        <w:ind w:firstLine="0"/>
      </w:pPr>
    </w:p>
    <w:sectPr w:rsidR="00B1167A" w:rsidRPr="000C71A6" w:rsidSect="00906DFA">
      <w:footerReference w:type="default" r:id="rId29"/>
      <w:pgSz w:w="11906" w:h="16838" w:code="9"/>
      <w:pgMar w:top="1701"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C93FB" w14:textId="77777777" w:rsidR="006E7299" w:rsidRDefault="006E7299" w:rsidP="00906DFA">
      <w:pPr>
        <w:spacing w:after="0" w:line="240" w:lineRule="auto"/>
      </w:pPr>
      <w:r>
        <w:separator/>
      </w:r>
    </w:p>
  </w:endnote>
  <w:endnote w:type="continuationSeparator" w:id="0">
    <w:p w14:paraId="735AB3D6" w14:textId="77777777" w:rsidR="006E7299" w:rsidRDefault="006E7299" w:rsidP="00906DFA">
      <w:pPr>
        <w:spacing w:after="0" w:line="240" w:lineRule="auto"/>
      </w:pPr>
      <w:r>
        <w:continuationSeparator/>
      </w:r>
    </w:p>
  </w:endnote>
  <w:endnote w:type="continuationNotice" w:id="1">
    <w:p w14:paraId="3C23FF53" w14:textId="77777777" w:rsidR="006E7299" w:rsidRDefault="006E72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596764"/>
      <w:docPartObj>
        <w:docPartGallery w:val="Page Numbers (Bottom of Page)"/>
        <w:docPartUnique/>
      </w:docPartObj>
    </w:sdtPr>
    <w:sdtEndPr/>
    <w:sdtContent>
      <w:p w14:paraId="48B9699F" w14:textId="1DACCCF7" w:rsidR="00207072" w:rsidRDefault="00207072" w:rsidP="00C177C1">
        <w:pPr>
          <w:pStyle w:val="Rodap"/>
          <w:ind w:firstLine="0"/>
          <w:jc w:val="center"/>
        </w:pPr>
        <w:r>
          <w:fldChar w:fldCharType="begin"/>
        </w:r>
        <w:r>
          <w:instrText>PAGE   \* MERGEFORMAT</w:instrText>
        </w:r>
        <w:r>
          <w:fldChar w:fldCharType="separate"/>
        </w:r>
        <w:r w:rsidR="00175D95">
          <w:rPr>
            <w:noProof/>
          </w:rPr>
          <w:t>VII</w:t>
        </w:r>
        <w:r>
          <w:fldChar w:fldCharType="end"/>
        </w:r>
      </w:p>
    </w:sdtContent>
  </w:sdt>
  <w:p w14:paraId="48B969A0" w14:textId="77777777" w:rsidR="00207072" w:rsidRDefault="0020707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624974"/>
      <w:docPartObj>
        <w:docPartGallery w:val="Page Numbers (Bottom of Page)"/>
        <w:docPartUnique/>
      </w:docPartObj>
    </w:sdtPr>
    <w:sdtEndPr/>
    <w:sdtContent>
      <w:p w14:paraId="48B969A1" w14:textId="3A04F0F6" w:rsidR="00207072" w:rsidRDefault="00207072" w:rsidP="00C177C1">
        <w:pPr>
          <w:pStyle w:val="Rodap"/>
          <w:ind w:firstLine="0"/>
          <w:jc w:val="center"/>
        </w:pPr>
        <w:r>
          <w:fldChar w:fldCharType="begin"/>
        </w:r>
        <w:r>
          <w:instrText>PAGE   \* MERGEFORMAT</w:instrText>
        </w:r>
        <w:r>
          <w:fldChar w:fldCharType="separate"/>
        </w:r>
        <w:r w:rsidR="00175D95">
          <w:rPr>
            <w:noProof/>
          </w:rPr>
          <w:t>10</w:t>
        </w:r>
        <w:r>
          <w:fldChar w:fldCharType="end"/>
        </w:r>
      </w:p>
    </w:sdtContent>
  </w:sdt>
  <w:p w14:paraId="48B969A2" w14:textId="77777777" w:rsidR="00207072" w:rsidRDefault="0020707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04002" w14:textId="77777777" w:rsidR="006E7299" w:rsidRDefault="006E7299" w:rsidP="00906DFA">
      <w:pPr>
        <w:spacing w:after="0" w:line="240" w:lineRule="auto"/>
      </w:pPr>
      <w:r>
        <w:separator/>
      </w:r>
    </w:p>
  </w:footnote>
  <w:footnote w:type="continuationSeparator" w:id="0">
    <w:p w14:paraId="27E0A3A9" w14:textId="77777777" w:rsidR="006E7299" w:rsidRDefault="006E7299" w:rsidP="00906DFA">
      <w:pPr>
        <w:spacing w:after="0" w:line="240" w:lineRule="auto"/>
      </w:pPr>
      <w:r>
        <w:continuationSeparator/>
      </w:r>
    </w:p>
  </w:footnote>
  <w:footnote w:type="continuationNotice" w:id="1">
    <w:p w14:paraId="65C0F5D5" w14:textId="77777777" w:rsidR="006E7299" w:rsidRDefault="006E72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699D" w14:textId="5EB93E37" w:rsidR="00207072" w:rsidRDefault="00207072">
    <w:pPr>
      <w:pStyle w:val="Cabealho"/>
      <w:jc w:val="center"/>
    </w:pPr>
  </w:p>
  <w:p w14:paraId="48B9699E" w14:textId="77777777" w:rsidR="00207072" w:rsidRDefault="0020707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D1B7C"/>
    <w:multiLevelType w:val="multilevel"/>
    <w:tmpl w:val="2BF82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862D1A"/>
    <w:multiLevelType w:val="hybridMultilevel"/>
    <w:tmpl w:val="DBDC0828"/>
    <w:lvl w:ilvl="0" w:tplc="80189AA2">
      <w:numFmt w:val="bullet"/>
      <w:lvlText w:val=""/>
      <w:lvlJc w:val="left"/>
      <w:pPr>
        <w:ind w:left="1069" w:hanging="360"/>
      </w:pPr>
      <w:rPr>
        <w:rFonts w:ascii="Symbol" w:eastAsiaTheme="minorHAnsi" w:hAnsi="Symbol" w:cs="Arial" w:hint="default"/>
      </w:rPr>
    </w:lvl>
    <w:lvl w:ilvl="1" w:tplc="08160003">
      <w:start w:val="1"/>
      <w:numFmt w:val="bullet"/>
      <w:lvlText w:val="o"/>
      <w:lvlJc w:val="left"/>
      <w:pPr>
        <w:ind w:left="1789" w:hanging="360"/>
      </w:pPr>
      <w:rPr>
        <w:rFonts w:ascii="Courier New" w:hAnsi="Courier New" w:cs="Courier New" w:hint="default"/>
      </w:rPr>
    </w:lvl>
    <w:lvl w:ilvl="2" w:tplc="08160005" w:tentative="1">
      <w:start w:val="1"/>
      <w:numFmt w:val="bullet"/>
      <w:lvlText w:val=""/>
      <w:lvlJc w:val="left"/>
      <w:pPr>
        <w:ind w:left="2509" w:hanging="360"/>
      </w:pPr>
      <w:rPr>
        <w:rFonts w:ascii="Wingdings" w:hAnsi="Wingdings" w:hint="default"/>
      </w:rPr>
    </w:lvl>
    <w:lvl w:ilvl="3" w:tplc="08160001" w:tentative="1">
      <w:start w:val="1"/>
      <w:numFmt w:val="bullet"/>
      <w:lvlText w:val=""/>
      <w:lvlJc w:val="left"/>
      <w:pPr>
        <w:ind w:left="3229" w:hanging="360"/>
      </w:pPr>
      <w:rPr>
        <w:rFonts w:ascii="Symbol" w:hAnsi="Symbol" w:hint="default"/>
      </w:rPr>
    </w:lvl>
    <w:lvl w:ilvl="4" w:tplc="08160003" w:tentative="1">
      <w:start w:val="1"/>
      <w:numFmt w:val="bullet"/>
      <w:lvlText w:val="o"/>
      <w:lvlJc w:val="left"/>
      <w:pPr>
        <w:ind w:left="3949" w:hanging="360"/>
      </w:pPr>
      <w:rPr>
        <w:rFonts w:ascii="Courier New" w:hAnsi="Courier New" w:cs="Courier New" w:hint="default"/>
      </w:rPr>
    </w:lvl>
    <w:lvl w:ilvl="5" w:tplc="08160005" w:tentative="1">
      <w:start w:val="1"/>
      <w:numFmt w:val="bullet"/>
      <w:lvlText w:val=""/>
      <w:lvlJc w:val="left"/>
      <w:pPr>
        <w:ind w:left="4669" w:hanging="360"/>
      </w:pPr>
      <w:rPr>
        <w:rFonts w:ascii="Wingdings" w:hAnsi="Wingdings" w:hint="default"/>
      </w:rPr>
    </w:lvl>
    <w:lvl w:ilvl="6" w:tplc="08160001" w:tentative="1">
      <w:start w:val="1"/>
      <w:numFmt w:val="bullet"/>
      <w:lvlText w:val=""/>
      <w:lvlJc w:val="left"/>
      <w:pPr>
        <w:ind w:left="5389" w:hanging="360"/>
      </w:pPr>
      <w:rPr>
        <w:rFonts w:ascii="Symbol" w:hAnsi="Symbol" w:hint="default"/>
      </w:rPr>
    </w:lvl>
    <w:lvl w:ilvl="7" w:tplc="08160003" w:tentative="1">
      <w:start w:val="1"/>
      <w:numFmt w:val="bullet"/>
      <w:lvlText w:val="o"/>
      <w:lvlJc w:val="left"/>
      <w:pPr>
        <w:ind w:left="6109" w:hanging="360"/>
      </w:pPr>
      <w:rPr>
        <w:rFonts w:ascii="Courier New" w:hAnsi="Courier New" w:cs="Courier New" w:hint="default"/>
      </w:rPr>
    </w:lvl>
    <w:lvl w:ilvl="8" w:tplc="08160005" w:tentative="1">
      <w:start w:val="1"/>
      <w:numFmt w:val="bullet"/>
      <w:lvlText w:val=""/>
      <w:lvlJc w:val="left"/>
      <w:pPr>
        <w:ind w:left="6829" w:hanging="360"/>
      </w:pPr>
      <w:rPr>
        <w:rFonts w:ascii="Wingdings" w:hAnsi="Wingdings" w:hint="default"/>
      </w:rPr>
    </w:lvl>
  </w:abstractNum>
  <w:abstractNum w:abstractNumId="2" w15:restartNumberingAfterBreak="0">
    <w:nsid w:val="34B3007D"/>
    <w:multiLevelType w:val="multilevel"/>
    <w:tmpl w:val="E94C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A03C01"/>
    <w:multiLevelType w:val="hybridMultilevel"/>
    <w:tmpl w:val="7DEAE0A0"/>
    <w:lvl w:ilvl="0" w:tplc="345883E6">
      <w:numFmt w:val="bullet"/>
      <w:lvlText w:val=""/>
      <w:lvlJc w:val="left"/>
      <w:pPr>
        <w:ind w:left="1069" w:hanging="360"/>
      </w:pPr>
      <w:rPr>
        <w:rFonts w:ascii="Wingdings" w:eastAsiaTheme="minorHAnsi" w:hAnsi="Wingdings" w:cstheme="minorBidi" w:hint="default"/>
      </w:rPr>
    </w:lvl>
    <w:lvl w:ilvl="1" w:tplc="08160003">
      <w:start w:val="1"/>
      <w:numFmt w:val="bullet"/>
      <w:lvlText w:val="o"/>
      <w:lvlJc w:val="left"/>
      <w:pPr>
        <w:ind w:left="1789" w:hanging="360"/>
      </w:pPr>
      <w:rPr>
        <w:rFonts w:ascii="Courier New" w:hAnsi="Courier New" w:cs="Courier New" w:hint="default"/>
      </w:rPr>
    </w:lvl>
    <w:lvl w:ilvl="2" w:tplc="08160005" w:tentative="1">
      <w:start w:val="1"/>
      <w:numFmt w:val="bullet"/>
      <w:lvlText w:val=""/>
      <w:lvlJc w:val="left"/>
      <w:pPr>
        <w:ind w:left="2509" w:hanging="360"/>
      </w:pPr>
      <w:rPr>
        <w:rFonts w:ascii="Wingdings" w:hAnsi="Wingdings" w:hint="default"/>
      </w:rPr>
    </w:lvl>
    <w:lvl w:ilvl="3" w:tplc="08160001" w:tentative="1">
      <w:start w:val="1"/>
      <w:numFmt w:val="bullet"/>
      <w:lvlText w:val=""/>
      <w:lvlJc w:val="left"/>
      <w:pPr>
        <w:ind w:left="3229" w:hanging="360"/>
      </w:pPr>
      <w:rPr>
        <w:rFonts w:ascii="Symbol" w:hAnsi="Symbol" w:hint="default"/>
      </w:rPr>
    </w:lvl>
    <w:lvl w:ilvl="4" w:tplc="08160003" w:tentative="1">
      <w:start w:val="1"/>
      <w:numFmt w:val="bullet"/>
      <w:lvlText w:val="o"/>
      <w:lvlJc w:val="left"/>
      <w:pPr>
        <w:ind w:left="3949" w:hanging="360"/>
      </w:pPr>
      <w:rPr>
        <w:rFonts w:ascii="Courier New" w:hAnsi="Courier New" w:cs="Courier New" w:hint="default"/>
      </w:rPr>
    </w:lvl>
    <w:lvl w:ilvl="5" w:tplc="08160005" w:tentative="1">
      <w:start w:val="1"/>
      <w:numFmt w:val="bullet"/>
      <w:lvlText w:val=""/>
      <w:lvlJc w:val="left"/>
      <w:pPr>
        <w:ind w:left="4669" w:hanging="360"/>
      </w:pPr>
      <w:rPr>
        <w:rFonts w:ascii="Wingdings" w:hAnsi="Wingdings" w:hint="default"/>
      </w:rPr>
    </w:lvl>
    <w:lvl w:ilvl="6" w:tplc="08160001" w:tentative="1">
      <w:start w:val="1"/>
      <w:numFmt w:val="bullet"/>
      <w:lvlText w:val=""/>
      <w:lvlJc w:val="left"/>
      <w:pPr>
        <w:ind w:left="5389" w:hanging="360"/>
      </w:pPr>
      <w:rPr>
        <w:rFonts w:ascii="Symbol" w:hAnsi="Symbol" w:hint="default"/>
      </w:rPr>
    </w:lvl>
    <w:lvl w:ilvl="7" w:tplc="08160003" w:tentative="1">
      <w:start w:val="1"/>
      <w:numFmt w:val="bullet"/>
      <w:lvlText w:val="o"/>
      <w:lvlJc w:val="left"/>
      <w:pPr>
        <w:ind w:left="6109" w:hanging="360"/>
      </w:pPr>
      <w:rPr>
        <w:rFonts w:ascii="Courier New" w:hAnsi="Courier New" w:cs="Courier New" w:hint="default"/>
      </w:rPr>
    </w:lvl>
    <w:lvl w:ilvl="8" w:tplc="08160005" w:tentative="1">
      <w:start w:val="1"/>
      <w:numFmt w:val="bullet"/>
      <w:lvlText w:val=""/>
      <w:lvlJc w:val="left"/>
      <w:pPr>
        <w:ind w:left="6829" w:hanging="360"/>
      </w:pPr>
      <w:rPr>
        <w:rFonts w:ascii="Wingdings" w:hAnsi="Wingdings" w:hint="default"/>
      </w:rPr>
    </w:lvl>
  </w:abstractNum>
  <w:abstractNum w:abstractNumId="4" w15:restartNumberingAfterBreak="0">
    <w:nsid w:val="4C744C8E"/>
    <w:multiLevelType w:val="hybridMultilevel"/>
    <w:tmpl w:val="7CC067B2"/>
    <w:lvl w:ilvl="0" w:tplc="4CDE387C">
      <w:numFmt w:val="bullet"/>
      <w:lvlText w:val=""/>
      <w:lvlJc w:val="left"/>
      <w:pPr>
        <w:ind w:left="1069" w:hanging="360"/>
      </w:pPr>
      <w:rPr>
        <w:rFonts w:ascii="Symbol" w:eastAsiaTheme="minorHAnsi" w:hAnsi="Symbol" w:cs="Arial" w:hint="default"/>
      </w:rPr>
    </w:lvl>
    <w:lvl w:ilvl="1" w:tplc="08160003">
      <w:start w:val="1"/>
      <w:numFmt w:val="bullet"/>
      <w:lvlText w:val="o"/>
      <w:lvlJc w:val="left"/>
      <w:pPr>
        <w:ind w:left="1789" w:hanging="360"/>
      </w:pPr>
      <w:rPr>
        <w:rFonts w:ascii="Courier New" w:hAnsi="Courier New" w:cs="Courier New" w:hint="default"/>
      </w:rPr>
    </w:lvl>
    <w:lvl w:ilvl="2" w:tplc="08160005" w:tentative="1">
      <w:start w:val="1"/>
      <w:numFmt w:val="bullet"/>
      <w:lvlText w:val=""/>
      <w:lvlJc w:val="left"/>
      <w:pPr>
        <w:ind w:left="2509" w:hanging="360"/>
      </w:pPr>
      <w:rPr>
        <w:rFonts w:ascii="Wingdings" w:hAnsi="Wingdings" w:hint="default"/>
      </w:rPr>
    </w:lvl>
    <w:lvl w:ilvl="3" w:tplc="08160001" w:tentative="1">
      <w:start w:val="1"/>
      <w:numFmt w:val="bullet"/>
      <w:lvlText w:val=""/>
      <w:lvlJc w:val="left"/>
      <w:pPr>
        <w:ind w:left="3229" w:hanging="360"/>
      </w:pPr>
      <w:rPr>
        <w:rFonts w:ascii="Symbol" w:hAnsi="Symbol" w:hint="default"/>
      </w:rPr>
    </w:lvl>
    <w:lvl w:ilvl="4" w:tplc="08160003" w:tentative="1">
      <w:start w:val="1"/>
      <w:numFmt w:val="bullet"/>
      <w:lvlText w:val="o"/>
      <w:lvlJc w:val="left"/>
      <w:pPr>
        <w:ind w:left="3949" w:hanging="360"/>
      </w:pPr>
      <w:rPr>
        <w:rFonts w:ascii="Courier New" w:hAnsi="Courier New" w:cs="Courier New" w:hint="default"/>
      </w:rPr>
    </w:lvl>
    <w:lvl w:ilvl="5" w:tplc="08160005" w:tentative="1">
      <w:start w:val="1"/>
      <w:numFmt w:val="bullet"/>
      <w:lvlText w:val=""/>
      <w:lvlJc w:val="left"/>
      <w:pPr>
        <w:ind w:left="4669" w:hanging="360"/>
      </w:pPr>
      <w:rPr>
        <w:rFonts w:ascii="Wingdings" w:hAnsi="Wingdings" w:hint="default"/>
      </w:rPr>
    </w:lvl>
    <w:lvl w:ilvl="6" w:tplc="08160001" w:tentative="1">
      <w:start w:val="1"/>
      <w:numFmt w:val="bullet"/>
      <w:lvlText w:val=""/>
      <w:lvlJc w:val="left"/>
      <w:pPr>
        <w:ind w:left="5389" w:hanging="360"/>
      </w:pPr>
      <w:rPr>
        <w:rFonts w:ascii="Symbol" w:hAnsi="Symbol" w:hint="default"/>
      </w:rPr>
    </w:lvl>
    <w:lvl w:ilvl="7" w:tplc="08160003" w:tentative="1">
      <w:start w:val="1"/>
      <w:numFmt w:val="bullet"/>
      <w:lvlText w:val="o"/>
      <w:lvlJc w:val="left"/>
      <w:pPr>
        <w:ind w:left="6109" w:hanging="360"/>
      </w:pPr>
      <w:rPr>
        <w:rFonts w:ascii="Courier New" w:hAnsi="Courier New" w:cs="Courier New" w:hint="default"/>
      </w:rPr>
    </w:lvl>
    <w:lvl w:ilvl="8" w:tplc="08160005" w:tentative="1">
      <w:start w:val="1"/>
      <w:numFmt w:val="bullet"/>
      <w:lvlText w:val=""/>
      <w:lvlJc w:val="left"/>
      <w:pPr>
        <w:ind w:left="6829" w:hanging="360"/>
      </w:pPr>
      <w:rPr>
        <w:rFonts w:ascii="Wingdings" w:hAnsi="Wingdings" w:hint="default"/>
      </w:rPr>
    </w:lvl>
  </w:abstractNum>
  <w:abstractNum w:abstractNumId="5" w15:restartNumberingAfterBreak="0">
    <w:nsid w:val="4D5F7227"/>
    <w:multiLevelType w:val="hybridMultilevel"/>
    <w:tmpl w:val="3F8AE084"/>
    <w:lvl w:ilvl="0" w:tplc="2E64375C">
      <w:start w:val="20"/>
      <w:numFmt w:val="bullet"/>
      <w:lvlText w:val="-"/>
      <w:lvlJc w:val="left"/>
      <w:pPr>
        <w:ind w:left="720" w:hanging="360"/>
      </w:pPr>
      <w:rPr>
        <w:rFonts w:ascii="Arial" w:eastAsiaTheme="minorHAnsi"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4E7E7779"/>
    <w:multiLevelType w:val="hybridMultilevel"/>
    <w:tmpl w:val="242E701E"/>
    <w:lvl w:ilvl="0" w:tplc="16087A52">
      <w:numFmt w:val="bullet"/>
      <w:lvlText w:val=""/>
      <w:lvlJc w:val="left"/>
      <w:pPr>
        <w:ind w:left="1069" w:hanging="360"/>
      </w:pPr>
      <w:rPr>
        <w:rFonts w:ascii="Symbol" w:eastAsiaTheme="minorHAnsi" w:hAnsi="Symbol" w:cs="Arial" w:hint="default"/>
      </w:rPr>
    </w:lvl>
    <w:lvl w:ilvl="1" w:tplc="08160003" w:tentative="1">
      <w:start w:val="1"/>
      <w:numFmt w:val="bullet"/>
      <w:lvlText w:val="o"/>
      <w:lvlJc w:val="left"/>
      <w:pPr>
        <w:ind w:left="1789" w:hanging="360"/>
      </w:pPr>
      <w:rPr>
        <w:rFonts w:ascii="Courier New" w:hAnsi="Courier New" w:cs="Courier New" w:hint="default"/>
      </w:rPr>
    </w:lvl>
    <w:lvl w:ilvl="2" w:tplc="08160005" w:tentative="1">
      <w:start w:val="1"/>
      <w:numFmt w:val="bullet"/>
      <w:lvlText w:val=""/>
      <w:lvlJc w:val="left"/>
      <w:pPr>
        <w:ind w:left="2509" w:hanging="360"/>
      </w:pPr>
      <w:rPr>
        <w:rFonts w:ascii="Wingdings" w:hAnsi="Wingdings" w:hint="default"/>
      </w:rPr>
    </w:lvl>
    <w:lvl w:ilvl="3" w:tplc="08160001" w:tentative="1">
      <w:start w:val="1"/>
      <w:numFmt w:val="bullet"/>
      <w:lvlText w:val=""/>
      <w:lvlJc w:val="left"/>
      <w:pPr>
        <w:ind w:left="3229" w:hanging="360"/>
      </w:pPr>
      <w:rPr>
        <w:rFonts w:ascii="Symbol" w:hAnsi="Symbol" w:hint="default"/>
      </w:rPr>
    </w:lvl>
    <w:lvl w:ilvl="4" w:tplc="08160003" w:tentative="1">
      <w:start w:val="1"/>
      <w:numFmt w:val="bullet"/>
      <w:lvlText w:val="o"/>
      <w:lvlJc w:val="left"/>
      <w:pPr>
        <w:ind w:left="3949" w:hanging="360"/>
      </w:pPr>
      <w:rPr>
        <w:rFonts w:ascii="Courier New" w:hAnsi="Courier New" w:cs="Courier New" w:hint="default"/>
      </w:rPr>
    </w:lvl>
    <w:lvl w:ilvl="5" w:tplc="08160005" w:tentative="1">
      <w:start w:val="1"/>
      <w:numFmt w:val="bullet"/>
      <w:lvlText w:val=""/>
      <w:lvlJc w:val="left"/>
      <w:pPr>
        <w:ind w:left="4669" w:hanging="360"/>
      </w:pPr>
      <w:rPr>
        <w:rFonts w:ascii="Wingdings" w:hAnsi="Wingdings" w:hint="default"/>
      </w:rPr>
    </w:lvl>
    <w:lvl w:ilvl="6" w:tplc="08160001" w:tentative="1">
      <w:start w:val="1"/>
      <w:numFmt w:val="bullet"/>
      <w:lvlText w:val=""/>
      <w:lvlJc w:val="left"/>
      <w:pPr>
        <w:ind w:left="5389" w:hanging="360"/>
      </w:pPr>
      <w:rPr>
        <w:rFonts w:ascii="Symbol" w:hAnsi="Symbol" w:hint="default"/>
      </w:rPr>
    </w:lvl>
    <w:lvl w:ilvl="7" w:tplc="08160003" w:tentative="1">
      <w:start w:val="1"/>
      <w:numFmt w:val="bullet"/>
      <w:lvlText w:val="o"/>
      <w:lvlJc w:val="left"/>
      <w:pPr>
        <w:ind w:left="6109" w:hanging="360"/>
      </w:pPr>
      <w:rPr>
        <w:rFonts w:ascii="Courier New" w:hAnsi="Courier New" w:cs="Courier New" w:hint="default"/>
      </w:rPr>
    </w:lvl>
    <w:lvl w:ilvl="8" w:tplc="08160005" w:tentative="1">
      <w:start w:val="1"/>
      <w:numFmt w:val="bullet"/>
      <w:lvlText w:val=""/>
      <w:lvlJc w:val="left"/>
      <w:pPr>
        <w:ind w:left="6829" w:hanging="360"/>
      </w:pPr>
      <w:rPr>
        <w:rFonts w:ascii="Wingdings" w:hAnsi="Wingdings" w:hint="default"/>
      </w:rPr>
    </w:lvl>
  </w:abstractNum>
  <w:abstractNum w:abstractNumId="7" w15:restartNumberingAfterBreak="0">
    <w:nsid w:val="532E49CB"/>
    <w:multiLevelType w:val="hybridMultilevel"/>
    <w:tmpl w:val="30CEC386"/>
    <w:lvl w:ilvl="0" w:tplc="A6FC8380">
      <w:numFmt w:val="bullet"/>
      <w:lvlText w:val=""/>
      <w:lvlJc w:val="left"/>
      <w:pPr>
        <w:ind w:left="1069" w:hanging="360"/>
      </w:pPr>
      <w:rPr>
        <w:rFonts w:ascii="Symbol" w:eastAsiaTheme="minorHAnsi" w:hAnsi="Symbol" w:cstheme="minorBidi" w:hint="default"/>
      </w:rPr>
    </w:lvl>
    <w:lvl w:ilvl="1" w:tplc="08160003" w:tentative="1">
      <w:start w:val="1"/>
      <w:numFmt w:val="bullet"/>
      <w:lvlText w:val="o"/>
      <w:lvlJc w:val="left"/>
      <w:pPr>
        <w:ind w:left="1789" w:hanging="360"/>
      </w:pPr>
      <w:rPr>
        <w:rFonts w:ascii="Courier New" w:hAnsi="Courier New" w:cs="Courier New" w:hint="default"/>
      </w:rPr>
    </w:lvl>
    <w:lvl w:ilvl="2" w:tplc="08160005" w:tentative="1">
      <w:start w:val="1"/>
      <w:numFmt w:val="bullet"/>
      <w:lvlText w:val=""/>
      <w:lvlJc w:val="left"/>
      <w:pPr>
        <w:ind w:left="2509" w:hanging="360"/>
      </w:pPr>
      <w:rPr>
        <w:rFonts w:ascii="Wingdings" w:hAnsi="Wingdings" w:hint="default"/>
      </w:rPr>
    </w:lvl>
    <w:lvl w:ilvl="3" w:tplc="08160001" w:tentative="1">
      <w:start w:val="1"/>
      <w:numFmt w:val="bullet"/>
      <w:lvlText w:val=""/>
      <w:lvlJc w:val="left"/>
      <w:pPr>
        <w:ind w:left="3229" w:hanging="360"/>
      </w:pPr>
      <w:rPr>
        <w:rFonts w:ascii="Symbol" w:hAnsi="Symbol" w:hint="default"/>
      </w:rPr>
    </w:lvl>
    <w:lvl w:ilvl="4" w:tplc="08160003" w:tentative="1">
      <w:start w:val="1"/>
      <w:numFmt w:val="bullet"/>
      <w:lvlText w:val="o"/>
      <w:lvlJc w:val="left"/>
      <w:pPr>
        <w:ind w:left="3949" w:hanging="360"/>
      </w:pPr>
      <w:rPr>
        <w:rFonts w:ascii="Courier New" w:hAnsi="Courier New" w:cs="Courier New" w:hint="default"/>
      </w:rPr>
    </w:lvl>
    <w:lvl w:ilvl="5" w:tplc="08160005" w:tentative="1">
      <w:start w:val="1"/>
      <w:numFmt w:val="bullet"/>
      <w:lvlText w:val=""/>
      <w:lvlJc w:val="left"/>
      <w:pPr>
        <w:ind w:left="4669" w:hanging="360"/>
      </w:pPr>
      <w:rPr>
        <w:rFonts w:ascii="Wingdings" w:hAnsi="Wingdings" w:hint="default"/>
      </w:rPr>
    </w:lvl>
    <w:lvl w:ilvl="6" w:tplc="08160001" w:tentative="1">
      <w:start w:val="1"/>
      <w:numFmt w:val="bullet"/>
      <w:lvlText w:val=""/>
      <w:lvlJc w:val="left"/>
      <w:pPr>
        <w:ind w:left="5389" w:hanging="360"/>
      </w:pPr>
      <w:rPr>
        <w:rFonts w:ascii="Symbol" w:hAnsi="Symbol" w:hint="default"/>
      </w:rPr>
    </w:lvl>
    <w:lvl w:ilvl="7" w:tplc="08160003" w:tentative="1">
      <w:start w:val="1"/>
      <w:numFmt w:val="bullet"/>
      <w:lvlText w:val="o"/>
      <w:lvlJc w:val="left"/>
      <w:pPr>
        <w:ind w:left="6109" w:hanging="360"/>
      </w:pPr>
      <w:rPr>
        <w:rFonts w:ascii="Courier New" w:hAnsi="Courier New" w:cs="Courier New" w:hint="default"/>
      </w:rPr>
    </w:lvl>
    <w:lvl w:ilvl="8" w:tplc="08160005" w:tentative="1">
      <w:start w:val="1"/>
      <w:numFmt w:val="bullet"/>
      <w:lvlText w:val=""/>
      <w:lvlJc w:val="left"/>
      <w:pPr>
        <w:ind w:left="6829" w:hanging="360"/>
      </w:pPr>
      <w:rPr>
        <w:rFonts w:ascii="Wingdings" w:hAnsi="Wingdings" w:hint="default"/>
      </w:rPr>
    </w:lvl>
  </w:abstractNum>
  <w:abstractNum w:abstractNumId="8" w15:restartNumberingAfterBreak="0">
    <w:nsid w:val="6CA53FE5"/>
    <w:multiLevelType w:val="hybridMultilevel"/>
    <w:tmpl w:val="F3F83B40"/>
    <w:lvl w:ilvl="0" w:tplc="0ADCEF9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6F630012"/>
    <w:multiLevelType w:val="multilevel"/>
    <w:tmpl w:val="C832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B35209"/>
    <w:multiLevelType w:val="multilevel"/>
    <w:tmpl w:val="D902B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
  </w:num>
  <w:num w:numId="4">
    <w:abstractNumId w:val="3"/>
  </w:num>
  <w:num w:numId="5">
    <w:abstractNumId w:val="5"/>
  </w:num>
  <w:num w:numId="6">
    <w:abstractNumId w:val="7"/>
  </w:num>
  <w:num w:numId="7">
    <w:abstractNumId w:val="8"/>
  </w:num>
  <w:num w:numId="8">
    <w:abstractNumId w:val="2"/>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81"/>
  <w:drawingGridVerticalSpacing w:val="181"/>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E2A"/>
    <w:rsid w:val="000017CA"/>
    <w:rsid w:val="0000527A"/>
    <w:rsid w:val="00005B91"/>
    <w:rsid w:val="00007D41"/>
    <w:rsid w:val="00010647"/>
    <w:rsid w:val="000108F1"/>
    <w:rsid w:val="00010F72"/>
    <w:rsid w:val="00012653"/>
    <w:rsid w:val="00013457"/>
    <w:rsid w:val="00013AE0"/>
    <w:rsid w:val="000146E4"/>
    <w:rsid w:val="00016C15"/>
    <w:rsid w:val="00017423"/>
    <w:rsid w:val="00020B2B"/>
    <w:rsid w:val="000223D4"/>
    <w:rsid w:val="00022922"/>
    <w:rsid w:val="00023784"/>
    <w:rsid w:val="00023A1C"/>
    <w:rsid w:val="00023FDD"/>
    <w:rsid w:val="00024F33"/>
    <w:rsid w:val="00025012"/>
    <w:rsid w:val="00025579"/>
    <w:rsid w:val="00025E42"/>
    <w:rsid w:val="00026BD3"/>
    <w:rsid w:val="00034834"/>
    <w:rsid w:val="000352E3"/>
    <w:rsid w:val="00036195"/>
    <w:rsid w:val="000401EE"/>
    <w:rsid w:val="000420E1"/>
    <w:rsid w:val="0004233D"/>
    <w:rsid w:val="00042F12"/>
    <w:rsid w:val="00043B24"/>
    <w:rsid w:val="00043E17"/>
    <w:rsid w:val="00044309"/>
    <w:rsid w:val="0004482F"/>
    <w:rsid w:val="00044C1A"/>
    <w:rsid w:val="00045597"/>
    <w:rsid w:val="000464FF"/>
    <w:rsid w:val="00050C2A"/>
    <w:rsid w:val="000552B6"/>
    <w:rsid w:val="00055761"/>
    <w:rsid w:val="00055F5E"/>
    <w:rsid w:val="00056257"/>
    <w:rsid w:val="0005673C"/>
    <w:rsid w:val="000569D5"/>
    <w:rsid w:val="00056A8A"/>
    <w:rsid w:val="00056AAB"/>
    <w:rsid w:val="00056FFE"/>
    <w:rsid w:val="00057364"/>
    <w:rsid w:val="00061900"/>
    <w:rsid w:val="00063BCC"/>
    <w:rsid w:val="00064D89"/>
    <w:rsid w:val="00066C12"/>
    <w:rsid w:val="00071D38"/>
    <w:rsid w:val="00073F5B"/>
    <w:rsid w:val="00074E66"/>
    <w:rsid w:val="00075AA2"/>
    <w:rsid w:val="00076508"/>
    <w:rsid w:val="000768BA"/>
    <w:rsid w:val="00082746"/>
    <w:rsid w:val="00083651"/>
    <w:rsid w:val="00083DEB"/>
    <w:rsid w:val="0008403D"/>
    <w:rsid w:val="00084740"/>
    <w:rsid w:val="00084A61"/>
    <w:rsid w:val="00084DD5"/>
    <w:rsid w:val="00084FAD"/>
    <w:rsid w:val="00086BEE"/>
    <w:rsid w:val="00086FDC"/>
    <w:rsid w:val="0008798F"/>
    <w:rsid w:val="00090F7F"/>
    <w:rsid w:val="00091F8C"/>
    <w:rsid w:val="000920B2"/>
    <w:rsid w:val="00094516"/>
    <w:rsid w:val="000949D8"/>
    <w:rsid w:val="00095367"/>
    <w:rsid w:val="00096D61"/>
    <w:rsid w:val="000A2EAE"/>
    <w:rsid w:val="000A40F4"/>
    <w:rsid w:val="000A5272"/>
    <w:rsid w:val="000A5459"/>
    <w:rsid w:val="000A5B4E"/>
    <w:rsid w:val="000A655B"/>
    <w:rsid w:val="000A7A44"/>
    <w:rsid w:val="000B0844"/>
    <w:rsid w:val="000B2E91"/>
    <w:rsid w:val="000B3FE8"/>
    <w:rsid w:val="000B5D1D"/>
    <w:rsid w:val="000B625D"/>
    <w:rsid w:val="000B629D"/>
    <w:rsid w:val="000B6393"/>
    <w:rsid w:val="000B7672"/>
    <w:rsid w:val="000B790B"/>
    <w:rsid w:val="000C06D2"/>
    <w:rsid w:val="000C0CF8"/>
    <w:rsid w:val="000C1AF3"/>
    <w:rsid w:val="000C1E16"/>
    <w:rsid w:val="000C2242"/>
    <w:rsid w:val="000C30A9"/>
    <w:rsid w:val="000C37EA"/>
    <w:rsid w:val="000C3B5B"/>
    <w:rsid w:val="000C60C5"/>
    <w:rsid w:val="000C65BD"/>
    <w:rsid w:val="000C66BA"/>
    <w:rsid w:val="000C71A6"/>
    <w:rsid w:val="000C7E49"/>
    <w:rsid w:val="000D0742"/>
    <w:rsid w:val="000D55A1"/>
    <w:rsid w:val="000D5707"/>
    <w:rsid w:val="000D5C84"/>
    <w:rsid w:val="000D6749"/>
    <w:rsid w:val="000D6CE7"/>
    <w:rsid w:val="000D76E8"/>
    <w:rsid w:val="000E07DA"/>
    <w:rsid w:val="000E22AD"/>
    <w:rsid w:val="000E7AB7"/>
    <w:rsid w:val="000E7D25"/>
    <w:rsid w:val="000F0392"/>
    <w:rsid w:val="000F322D"/>
    <w:rsid w:val="000F3861"/>
    <w:rsid w:val="000F391A"/>
    <w:rsid w:val="000F4CA3"/>
    <w:rsid w:val="000F70A1"/>
    <w:rsid w:val="000F7746"/>
    <w:rsid w:val="00101E42"/>
    <w:rsid w:val="00103A64"/>
    <w:rsid w:val="001046ED"/>
    <w:rsid w:val="0010485C"/>
    <w:rsid w:val="0010514A"/>
    <w:rsid w:val="001053C1"/>
    <w:rsid w:val="00107199"/>
    <w:rsid w:val="00107AF3"/>
    <w:rsid w:val="001109AC"/>
    <w:rsid w:val="00111044"/>
    <w:rsid w:val="00112ECD"/>
    <w:rsid w:val="001152C3"/>
    <w:rsid w:val="00116137"/>
    <w:rsid w:val="0011785D"/>
    <w:rsid w:val="00120854"/>
    <w:rsid w:val="001212A9"/>
    <w:rsid w:val="00122F40"/>
    <w:rsid w:val="0012353A"/>
    <w:rsid w:val="001244AE"/>
    <w:rsid w:val="00124F9B"/>
    <w:rsid w:val="00126F81"/>
    <w:rsid w:val="001301DE"/>
    <w:rsid w:val="00132B2B"/>
    <w:rsid w:val="00132DE2"/>
    <w:rsid w:val="00133821"/>
    <w:rsid w:val="00133E21"/>
    <w:rsid w:val="00135F2E"/>
    <w:rsid w:val="001408CF"/>
    <w:rsid w:val="00141C7A"/>
    <w:rsid w:val="00142C24"/>
    <w:rsid w:val="00142E5A"/>
    <w:rsid w:val="00143FEF"/>
    <w:rsid w:val="001462A0"/>
    <w:rsid w:val="00147878"/>
    <w:rsid w:val="001524E9"/>
    <w:rsid w:val="00152C96"/>
    <w:rsid w:val="001542A8"/>
    <w:rsid w:val="00154C70"/>
    <w:rsid w:val="00155658"/>
    <w:rsid w:val="001560A5"/>
    <w:rsid w:val="00156145"/>
    <w:rsid w:val="00156DAB"/>
    <w:rsid w:val="00157629"/>
    <w:rsid w:val="00157DCD"/>
    <w:rsid w:val="001601C5"/>
    <w:rsid w:val="00160213"/>
    <w:rsid w:val="0016113E"/>
    <w:rsid w:val="001632ED"/>
    <w:rsid w:val="001648C8"/>
    <w:rsid w:val="00164F7C"/>
    <w:rsid w:val="0016567D"/>
    <w:rsid w:val="00166839"/>
    <w:rsid w:val="00166C39"/>
    <w:rsid w:val="00167065"/>
    <w:rsid w:val="001673DB"/>
    <w:rsid w:val="0017059F"/>
    <w:rsid w:val="00170B9A"/>
    <w:rsid w:val="001719CF"/>
    <w:rsid w:val="00172E26"/>
    <w:rsid w:val="001733A3"/>
    <w:rsid w:val="001751C7"/>
    <w:rsid w:val="00175D49"/>
    <w:rsid w:val="00175D95"/>
    <w:rsid w:val="001778C8"/>
    <w:rsid w:val="00180441"/>
    <w:rsid w:val="00180A5D"/>
    <w:rsid w:val="00180B3B"/>
    <w:rsid w:val="00180BCB"/>
    <w:rsid w:val="001823C4"/>
    <w:rsid w:val="0018328F"/>
    <w:rsid w:val="0018412E"/>
    <w:rsid w:val="00184C64"/>
    <w:rsid w:val="001851A4"/>
    <w:rsid w:val="00185DDB"/>
    <w:rsid w:val="00185F37"/>
    <w:rsid w:val="0018704B"/>
    <w:rsid w:val="001870AC"/>
    <w:rsid w:val="001876DE"/>
    <w:rsid w:val="00187921"/>
    <w:rsid w:val="001906B1"/>
    <w:rsid w:val="00192FC8"/>
    <w:rsid w:val="00194D42"/>
    <w:rsid w:val="00194E8C"/>
    <w:rsid w:val="0019573F"/>
    <w:rsid w:val="0019622C"/>
    <w:rsid w:val="00197272"/>
    <w:rsid w:val="0019756A"/>
    <w:rsid w:val="001A004B"/>
    <w:rsid w:val="001A2C4B"/>
    <w:rsid w:val="001A2E1E"/>
    <w:rsid w:val="001A3073"/>
    <w:rsid w:val="001A3B6F"/>
    <w:rsid w:val="001A4A0E"/>
    <w:rsid w:val="001A6920"/>
    <w:rsid w:val="001A694B"/>
    <w:rsid w:val="001A784C"/>
    <w:rsid w:val="001B3950"/>
    <w:rsid w:val="001B434D"/>
    <w:rsid w:val="001B4422"/>
    <w:rsid w:val="001B4C74"/>
    <w:rsid w:val="001B695B"/>
    <w:rsid w:val="001B7A97"/>
    <w:rsid w:val="001C11A3"/>
    <w:rsid w:val="001C11EA"/>
    <w:rsid w:val="001C18F4"/>
    <w:rsid w:val="001C68CB"/>
    <w:rsid w:val="001D050B"/>
    <w:rsid w:val="001D1250"/>
    <w:rsid w:val="001D17DD"/>
    <w:rsid w:val="001D1E19"/>
    <w:rsid w:val="001D470D"/>
    <w:rsid w:val="001D4FCD"/>
    <w:rsid w:val="001D55D0"/>
    <w:rsid w:val="001D6BED"/>
    <w:rsid w:val="001D7453"/>
    <w:rsid w:val="001D7BD1"/>
    <w:rsid w:val="001E0B68"/>
    <w:rsid w:val="001E1E64"/>
    <w:rsid w:val="001E1FB8"/>
    <w:rsid w:val="001E2A25"/>
    <w:rsid w:val="001E3316"/>
    <w:rsid w:val="001E390E"/>
    <w:rsid w:val="001E7264"/>
    <w:rsid w:val="001F0A26"/>
    <w:rsid w:val="001F0C3F"/>
    <w:rsid w:val="001F0ECB"/>
    <w:rsid w:val="001F3C2C"/>
    <w:rsid w:val="001F3F7A"/>
    <w:rsid w:val="001F42E4"/>
    <w:rsid w:val="001F4A2E"/>
    <w:rsid w:val="001F53D8"/>
    <w:rsid w:val="001F54E5"/>
    <w:rsid w:val="001F5BAE"/>
    <w:rsid w:val="001F5E37"/>
    <w:rsid w:val="001F7160"/>
    <w:rsid w:val="00200BB4"/>
    <w:rsid w:val="002012FC"/>
    <w:rsid w:val="00201E84"/>
    <w:rsid w:val="002030C7"/>
    <w:rsid w:val="0020393A"/>
    <w:rsid w:val="00203F50"/>
    <w:rsid w:val="00205EFD"/>
    <w:rsid w:val="00205FFA"/>
    <w:rsid w:val="00206A61"/>
    <w:rsid w:val="00207072"/>
    <w:rsid w:val="00207FAB"/>
    <w:rsid w:val="00211790"/>
    <w:rsid w:val="002123E8"/>
    <w:rsid w:val="002130BD"/>
    <w:rsid w:val="00214967"/>
    <w:rsid w:val="00215616"/>
    <w:rsid w:val="0021629F"/>
    <w:rsid w:val="00220022"/>
    <w:rsid w:val="002203F3"/>
    <w:rsid w:val="00221F9C"/>
    <w:rsid w:val="0022278E"/>
    <w:rsid w:val="00222D71"/>
    <w:rsid w:val="00224700"/>
    <w:rsid w:val="0022506D"/>
    <w:rsid w:val="00225C26"/>
    <w:rsid w:val="00225CDC"/>
    <w:rsid w:val="00225EB8"/>
    <w:rsid w:val="00227626"/>
    <w:rsid w:val="0023236C"/>
    <w:rsid w:val="00232725"/>
    <w:rsid w:val="002329DE"/>
    <w:rsid w:val="002357E3"/>
    <w:rsid w:val="002368CC"/>
    <w:rsid w:val="00236BA1"/>
    <w:rsid w:val="002401C0"/>
    <w:rsid w:val="002410E7"/>
    <w:rsid w:val="00242A55"/>
    <w:rsid w:val="00244033"/>
    <w:rsid w:val="00246083"/>
    <w:rsid w:val="0024624A"/>
    <w:rsid w:val="00250ED6"/>
    <w:rsid w:val="0025211A"/>
    <w:rsid w:val="00253988"/>
    <w:rsid w:val="002541D2"/>
    <w:rsid w:val="0025420E"/>
    <w:rsid w:val="00255976"/>
    <w:rsid w:val="00256368"/>
    <w:rsid w:val="00256F51"/>
    <w:rsid w:val="00257257"/>
    <w:rsid w:val="002600A2"/>
    <w:rsid w:val="00261BA1"/>
    <w:rsid w:val="00263C73"/>
    <w:rsid w:val="00265D1A"/>
    <w:rsid w:val="00267473"/>
    <w:rsid w:val="0026763D"/>
    <w:rsid w:val="00271462"/>
    <w:rsid w:val="002716AD"/>
    <w:rsid w:val="0027178E"/>
    <w:rsid w:val="00271F53"/>
    <w:rsid w:val="002749FD"/>
    <w:rsid w:val="00274D67"/>
    <w:rsid w:val="00275F07"/>
    <w:rsid w:val="00280274"/>
    <w:rsid w:val="00280B77"/>
    <w:rsid w:val="00282130"/>
    <w:rsid w:val="00284C75"/>
    <w:rsid w:val="00284CC4"/>
    <w:rsid w:val="00285035"/>
    <w:rsid w:val="002860D9"/>
    <w:rsid w:val="002866DD"/>
    <w:rsid w:val="00286D13"/>
    <w:rsid w:val="00287BB4"/>
    <w:rsid w:val="00290624"/>
    <w:rsid w:val="00290A34"/>
    <w:rsid w:val="0029119E"/>
    <w:rsid w:val="00293401"/>
    <w:rsid w:val="00293690"/>
    <w:rsid w:val="00295444"/>
    <w:rsid w:val="00295733"/>
    <w:rsid w:val="00296305"/>
    <w:rsid w:val="0029737F"/>
    <w:rsid w:val="002A01C2"/>
    <w:rsid w:val="002A0AC5"/>
    <w:rsid w:val="002A0C62"/>
    <w:rsid w:val="002A10C4"/>
    <w:rsid w:val="002A124A"/>
    <w:rsid w:val="002A15A3"/>
    <w:rsid w:val="002A1CFE"/>
    <w:rsid w:val="002A3BF9"/>
    <w:rsid w:val="002A413E"/>
    <w:rsid w:val="002A5E75"/>
    <w:rsid w:val="002B1164"/>
    <w:rsid w:val="002B12A5"/>
    <w:rsid w:val="002B1327"/>
    <w:rsid w:val="002B1864"/>
    <w:rsid w:val="002B3D47"/>
    <w:rsid w:val="002B4BA1"/>
    <w:rsid w:val="002B6671"/>
    <w:rsid w:val="002B6D87"/>
    <w:rsid w:val="002C0384"/>
    <w:rsid w:val="002C0DB5"/>
    <w:rsid w:val="002C15D6"/>
    <w:rsid w:val="002C28C2"/>
    <w:rsid w:val="002C338D"/>
    <w:rsid w:val="002C4101"/>
    <w:rsid w:val="002C4B85"/>
    <w:rsid w:val="002C5109"/>
    <w:rsid w:val="002C5C05"/>
    <w:rsid w:val="002C5FD8"/>
    <w:rsid w:val="002C63B1"/>
    <w:rsid w:val="002C63BE"/>
    <w:rsid w:val="002C6D84"/>
    <w:rsid w:val="002C725B"/>
    <w:rsid w:val="002C7424"/>
    <w:rsid w:val="002C765D"/>
    <w:rsid w:val="002C78CC"/>
    <w:rsid w:val="002D2759"/>
    <w:rsid w:val="002D2B42"/>
    <w:rsid w:val="002D3436"/>
    <w:rsid w:val="002D4065"/>
    <w:rsid w:val="002D436A"/>
    <w:rsid w:val="002D5F96"/>
    <w:rsid w:val="002D6259"/>
    <w:rsid w:val="002E061B"/>
    <w:rsid w:val="002E0982"/>
    <w:rsid w:val="002E0EC3"/>
    <w:rsid w:val="002E3C63"/>
    <w:rsid w:val="002E5DDD"/>
    <w:rsid w:val="002E7B36"/>
    <w:rsid w:val="002E7EF9"/>
    <w:rsid w:val="002F3CC8"/>
    <w:rsid w:val="002F5785"/>
    <w:rsid w:val="002F65E0"/>
    <w:rsid w:val="0030086F"/>
    <w:rsid w:val="0030338B"/>
    <w:rsid w:val="00305829"/>
    <w:rsid w:val="003059C3"/>
    <w:rsid w:val="00306007"/>
    <w:rsid w:val="003062E4"/>
    <w:rsid w:val="00306748"/>
    <w:rsid w:val="003072C6"/>
    <w:rsid w:val="0031087B"/>
    <w:rsid w:val="003108B3"/>
    <w:rsid w:val="00314A07"/>
    <w:rsid w:val="00314D1D"/>
    <w:rsid w:val="00314F45"/>
    <w:rsid w:val="00317B01"/>
    <w:rsid w:val="00317B39"/>
    <w:rsid w:val="00317FE3"/>
    <w:rsid w:val="00320A00"/>
    <w:rsid w:val="00321136"/>
    <w:rsid w:val="00322A65"/>
    <w:rsid w:val="0032376B"/>
    <w:rsid w:val="00326CE8"/>
    <w:rsid w:val="00326D6B"/>
    <w:rsid w:val="00326E22"/>
    <w:rsid w:val="0032728D"/>
    <w:rsid w:val="00327BF0"/>
    <w:rsid w:val="00327E79"/>
    <w:rsid w:val="00330FBB"/>
    <w:rsid w:val="003323CB"/>
    <w:rsid w:val="00333D92"/>
    <w:rsid w:val="003346F7"/>
    <w:rsid w:val="0033700E"/>
    <w:rsid w:val="003376E2"/>
    <w:rsid w:val="0034038B"/>
    <w:rsid w:val="00341350"/>
    <w:rsid w:val="00343476"/>
    <w:rsid w:val="00345329"/>
    <w:rsid w:val="003465F0"/>
    <w:rsid w:val="00346683"/>
    <w:rsid w:val="00347384"/>
    <w:rsid w:val="00353003"/>
    <w:rsid w:val="003550F5"/>
    <w:rsid w:val="00356361"/>
    <w:rsid w:val="003565CC"/>
    <w:rsid w:val="00356A59"/>
    <w:rsid w:val="003572A4"/>
    <w:rsid w:val="003576CD"/>
    <w:rsid w:val="00357A65"/>
    <w:rsid w:val="00357AB3"/>
    <w:rsid w:val="00360BA8"/>
    <w:rsid w:val="00361786"/>
    <w:rsid w:val="00361D6E"/>
    <w:rsid w:val="00361DCD"/>
    <w:rsid w:val="00362386"/>
    <w:rsid w:val="00366A25"/>
    <w:rsid w:val="003703AC"/>
    <w:rsid w:val="00370667"/>
    <w:rsid w:val="00371824"/>
    <w:rsid w:val="00371E01"/>
    <w:rsid w:val="00371E47"/>
    <w:rsid w:val="0037337D"/>
    <w:rsid w:val="00375FD5"/>
    <w:rsid w:val="003761ED"/>
    <w:rsid w:val="00380B63"/>
    <w:rsid w:val="00380BFA"/>
    <w:rsid w:val="003813F5"/>
    <w:rsid w:val="0038590E"/>
    <w:rsid w:val="0038792C"/>
    <w:rsid w:val="00387EA8"/>
    <w:rsid w:val="00390995"/>
    <w:rsid w:val="00390F00"/>
    <w:rsid w:val="00391E51"/>
    <w:rsid w:val="00392072"/>
    <w:rsid w:val="00393BB7"/>
    <w:rsid w:val="003946C3"/>
    <w:rsid w:val="00394D28"/>
    <w:rsid w:val="0039518F"/>
    <w:rsid w:val="00395F18"/>
    <w:rsid w:val="003976AF"/>
    <w:rsid w:val="003A2540"/>
    <w:rsid w:val="003A32FE"/>
    <w:rsid w:val="003A380A"/>
    <w:rsid w:val="003A4B71"/>
    <w:rsid w:val="003A4EC4"/>
    <w:rsid w:val="003A5B3B"/>
    <w:rsid w:val="003A5FDB"/>
    <w:rsid w:val="003A6237"/>
    <w:rsid w:val="003A714E"/>
    <w:rsid w:val="003A71C6"/>
    <w:rsid w:val="003B011F"/>
    <w:rsid w:val="003B12AB"/>
    <w:rsid w:val="003B1839"/>
    <w:rsid w:val="003B2949"/>
    <w:rsid w:val="003B389D"/>
    <w:rsid w:val="003B51ED"/>
    <w:rsid w:val="003B53F5"/>
    <w:rsid w:val="003B5D82"/>
    <w:rsid w:val="003B5F4E"/>
    <w:rsid w:val="003B6088"/>
    <w:rsid w:val="003B7041"/>
    <w:rsid w:val="003B7323"/>
    <w:rsid w:val="003C044E"/>
    <w:rsid w:val="003C0B25"/>
    <w:rsid w:val="003C221D"/>
    <w:rsid w:val="003C3129"/>
    <w:rsid w:val="003C35C6"/>
    <w:rsid w:val="003C377F"/>
    <w:rsid w:val="003C5EC2"/>
    <w:rsid w:val="003C64AD"/>
    <w:rsid w:val="003C6842"/>
    <w:rsid w:val="003C6AF6"/>
    <w:rsid w:val="003C6E29"/>
    <w:rsid w:val="003D0F31"/>
    <w:rsid w:val="003D16D4"/>
    <w:rsid w:val="003D1B55"/>
    <w:rsid w:val="003D1BB7"/>
    <w:rsid w:val="003D267E"/>
    <w:rsid w:val="003D32F7"/>
    <w:rsid w:val="003D3E94"/>
    <w:rsid w:val="003D576F"/>
    <w:rsid w:val="003D6676"/>
    <w:rsid w:val="003D7092"/>
    <w:rsid w:val="003E025A"/>
    <w:rsid w:val="003E1176"/>
    <w:rsid w:val="003E2A28"/>
    <w:rsid w:val="003E2A9F"/>
    <w:rsid w:val="003E2B82"/>
    <w:rsid w:val="003E391F"/>
    <w:rsid w:val="003E3DDD"/>
    <w:rsid w:val="003E6150"/>
    <w:rsid w:val="003E6902"/>
    <w:rsid w:val="003F102D"/>
    <w:rsid w:val="003F1467"/>
    <w:rsid w:val="003F6ABF"/>
    <w:rsid w:val="003F74C0"/>
    <w:rsid w:val="004001FA"/>
    <w:rsid w:val="0040109E"/>
    <w:rsid w:val="00401492"/>
    <w:rsid w:val="004018D4"/>
    <w:rsid w:val="0040361B"/>
    <w:rsid w:val="004046FA"/>
    <w:rsid w:val="00405769"/>
    <w:rsid w:val="00405FD7"/>
    <w:rsid w:val="00407596"/>
    <w:rsid w:val="004103C7"/>
    <w:rsid w:val="004109F3"/>
    <w:rsid w:val="00411EB0"/>
    <w:rsid w:val="00412044"/>
    <w:rsid w:val="00412E4D"/>
    <w:rsid w:val="004133FF"/>
    <w:rsid w:val="00415938"/>
    <w:rsid w:val="00417597"/>
    <w:rsid w:val="004175B2"/>
    <w:rsid w:val="0041761A"/>
    <w:rsid w:val="0042127D"/>
    <w:rsid w:val="004228AB"/>
    <w:rsid w:val="004231AA"/>
    <w:rsid w:val="00423719"/>
    <w:rsid w:val="00423F90"/>
    <w:rsid w:val="00425175"/>
    <w:rsid w:val="004258AA"/>
    <w:rsid w:val="00425D7B"/>
    <w:rsid w:val="0042771D"/>
    <w:rsid w:val="004277B6"/>
    <w:rsid w:val="00432B00"/>
    <w:rsid w:val="00433653"/>
    <w:rsid w:val="004337A2"/>
    <w:rsid w:val="00434F79"/>
    <w:rsid w:val="0044005D"/>
    <w:rsid w:val="0044006B"/>
    <w:rsid w:val="0044040F"/>
    <w:rsid w:val="0044058B"/>
    <w:rsid w:val="004405D2"/>
    <w:rsid w:val="00441124"/>
    <w:rsid w:val="00441B25"/>
    <w:rsid w:val="00441B88"/>
    <w:rsid w:val="00442185"/>
    <w:rsid w:val="004438BE"/>
    <w:rsid w:val="00443C8D"/>
    <w:rsid w:val="00443F98"/>
    <w:rsid w:val="00450A84"/>
    <w:rsid w:val="00451B59"/>
    <w:rsid w:val="00452236"/>
    <w:rsid w:val="00454E34"/>
    <w:rsid w:val="00455FFF"/>
    <w:rsid w:val="00456E07"/>
    <w:rsid w:val="004617EC"/>
    <w:rsid w:val="00461F45"/>
    <w:rsid w:val="00462457"/>
    <w:rsid w:val="00462BE1"/>
    <w:rsid w:val="004633E5"/>
    <w:rsid w:val="004634DE"/>
    <w:rsid w:val="004636BC"/>
    <w:rsid w:val="00464DC8"/>
    <w:rsid w:val="0046600A"/>
    <w:rsid w:val="004660D8"/>
    <w:rsid w:val="004701F3"/>
    <w:rsid w:val="00470498"/>
    <w:rsid w:val="00471682"/>
    <w:rsid w:val="00472D79"/>
    <w:rsid w:val="00474425"/>
    <w:rsid w:val="004747F9"/>
    <w:rsid w:val="00474B50"/>
    <w:rsid w:val="00477D67"/>
    <w:rsid w:val="004800A6"/>
    <w:rsid w:val="004811EB"/>
    <w:rsid w:val="0048178E"/>
    <w:rsid w:val="00481B5B"/>
    <w:rsid w:val="004823CE"/>
    <w:rsid w:val="00482E60"/>
    <w:rsid w:val="00483C2F"/>
    <w:rsid w:val="00484669"/>
    <w:rsid w:val="004853E6"/>
    <w:rsid w:val="00485C31"/>
    <w:rsid w:val="004862CF"/>
    <w:rsid w:val="00486E77"/>
    <w:rsid w:val="004903EE"/>
    <w:rsid w:val="0049049B"/>
    <w:rsid w:val="00491589"/>
    <w:rsid w:val="004922E6"/>
    <w:rsid w:val="00493440"/>
    <w:rsid w:val="00493709"/>
    <w:rsid w:val="004938C4"/>
    <w:rsid w:val="00494079"/>
    <w:rsid w:val="00495FAC"/>
    <w:rsid w:val="004974E1"/>
    <w:rsid w:val="00497CA5"/>
    <w:rsid w:val="004A4869"/>
    <w:rsid w:val="004A4DF0"/>
    <w:rsid w:val="004A4DFA"/>
    <w:rsid w:val="004A5430"/>
    <w:rsid w:val="004A7B04"/>
    <w:rsid w:val="004B3F6D"/>
    <w:rsid w:val="004B410A"/>
    <w:rsid w:val="004C27C5"/>
    <w:rsid w:val="004C41E9"/>
    <w:rsid w:val="004C6DB9"/>
    <w:rsid w:val="004C787D"/>
    <w:rsid w:val="004D094F"/>
    <w:rsid w:val="004D21C0"/>
    <w:rsid w:val="004D292C"/>
    <w:rsid w:val="004D29C5"/>
    <w:rsid w:val="004D38AF"/>
    <w:rsid w:val="004D5364"/>
    <w:rsid w:val="004D6743"/>
    <w:rsid w:val="004D6DC5"/>
    <w:rsid w:val="004D7CB6"/>
    <w:rsid w:val="004E1D6D"/>
    <w:rsid w:val="004E21E7"/>
    <w:rsid w:val="004E24D1"/>
    <w:rsid w:val="004E2DCC"/>
    <w:rsid w:val="004E55BE"/>
    <w:rsid w:val="004E7153"/>
    <w:rsid w:val="004F0732"/>
    <w:rsid w:val="004F18F0"/>
    <w:rsid w:val="004F20EA"/>
    <w:rsid w:val="004F3A76"/>
    <w:rsid w:val="004F4A21"/>
    <w:rsid w:val="004F55F2"/>
    <w:rsid w:val="004F5E0A"/>
    <w:rsid w:val="004F733A"/>
    <w:rsid w:val="00501763"/>
    <w:rsid w:val="00501C6A"/>
    <w:rsid w:val="0050409F"/>
    <w:rsid w:val="0050468F"/>
    <w:rsid w:val="0050505C"/>
    <w:rsid w:val="005067FE"/>
    <w:rsid w:val="00507286"/>
    <w:rsid w:val="0051079A"/>
    <w:rsid w:val="00510E23"/>
    <w:rsid w:val="00510F38"/>
    <w:rsid w:val="00513399"/>
    <w:rsid w:val="005146E6"/>
    <w:rsid w:val="00515370"/>
    <w:rsid w:val="005154E3"/>
    <w:rsid w:val="00515586"/>
    <w:rsid w:val="0051577D"/>
    <w:rsid w:val="005169A2"/>
    <w:rsid w:val="0051705E"/>
    <w:rsid w:val="005174FA"/>
    <w:rsid w:val="00517871"/>
    <w:rsid w:val="0052282A"/>
    <w:rsid w:val="00522C84"/>
    <w:rsid w:val="00522D32"/>
    <w:rsid w:val="00522ECE"/>
    <w:rsid w:val="00526A2C"/>
    <w:rsid w:val="00526C9D"/>
    <w:rsid w:val="00527BF2"/>
    <w:rsid w:val="005300EF"/>
    <w:rsid w:val="00530224"/>
    <w:rsid w:val="00530647"/>
    <w:rsid w:val="005307AA"/>
    <w:rsid w:val="00530B8B"/>
    <w:rsid w:val="00530D3D"/>
    <w:rsid w:val="00530DCF"/>
    <w:rsid w:val="00532DA6"/>
    <w:rsid w:val="00533D05"/>
    <w:rsid w:val="00534638"/>
    <w:rsid w:val="005347A5"/>
    <w:rsid w:val="00534845"/>
    <w:rsid w:val="00534E42"/>
    <w:rsid w:val="00536E06"/>
    <w:rsid w:val="005370E8"/>
    <w:rsid w:val="005374E7"/>
    <w:rsid w:val="0054029F"/>
    <w:rsid w:val="0054039F"/>
    <w:rsid w:val="00543372"/>
    <w:rsid w:val="00545002"/>
    <w:rsid w:val="005453C2"/>
    <w:rsid w:val="00550630"/>
    <w:rsid w:val="00551342"/>
    <w:rsid w:val="00551663"/>
    <w:rsid w:val="0055247E"/>
    <w:rsid w:val="00552C1B"/>
    <w:rsid w:val="005547AF"/>
    <w:rsid w:val="00555161"/>
    <w:rsid w:val="00556E93"/>
    <w:rsid w:val="00557347"/>
    <w:rsid w:val="0056032B"/>
    <w:rsid w:val="00560603"/>
    <w:rsid w:val="00561885"/>
    <w:rsid w:val="005627A2"/>
    <w:rsid w:val="00562CB0"/>
    <w:rsid w:val="005639CD"/>
    <w:rsid w:val="00564475"/>
    <w:rsid w:val="00564B0C"/>
    <w:rsid w:val="00565997"/>
    <w:rsid w:val="005676C4"/>
    <w:rsid w:val="0057107E"/>
    <w:rsid w:val="00571329"/>
    <w:rsid w:val="005713DE"/>
    <w:rsid w:val="00574A24"/>
    <w:rsid w:val="00580289"/>
    <w:rsid w:val="0058098D"/>
    <w:rsid w:val="00581A16"/>
    <w:rsid w:val="00583BCC"/>
    <w:rsid w:val="005851DF"/>
    <w:rsid w:val="005853E2"/>
    <w:rsid w:val="00587CFC"/>
    <w:rsid w:val="00587D7D"/>
    <w:rsid w:val="00590E9C"/>
    <w:rsid w:val="005957E7"/>
    <w:rsid w:val="0059718E"/>
    <w:rsid w:val="00597191"/>
    <w:rsid w:val="005A2386"/>
    <w:rsid w:val="005A24A3"/>
    <w:rsid w:val="005A255F"/>
    <w:rsid w:val="005A2BA6"/>
    <w:rsid w:val="005A3C50"/>
    <w:rsid w:val="005A7B10"/>
    <w:rsid w:val="005A7E0B"/>
    <w:rsid w:val="005B1B9E"/>
    <w:rsid w:val="005B265D"/>
    <w:rsid w:val="005B27CA"/>
    <w:rsid w:val="005B35E7"/>
    <w:rsid w:val="005B3FFF"/>
    <w:rsid w:val="005B6B58"/>
    <w:rsid w:val="005C09E3"/>
    <w:rsid w:val="005C1DC6"/>
    <w:rsid w:val="005C21BA"/>
    <w:rsid w:val="005C423F"/>
    <w:rsid w:val="005C498A"/>
    <w:rsid w:val="005C53B8"/>
    <w:rsid w:val="005C6003"/>
    <w:rsid w:val="005C6743"/>
    <w:rsid w:val="005D03D7"/>
    <w:rsid w:val="005D0B4F"/>
    <w:rsid w:val="005D1EA2"/>
    <w:rsid w:val="005D3045"/>
    <w:rsid w:val="005D3F06"/>
    <w:rsid w:val="005D6559"/>
    <w:rsid w:val="005D6581"/>
    <w:rsid w:val="005D6A72"/>
    <w:rsid w:val="005D7EF0"/>
    <w:rsid w:val="005E1357"/>
    <w:rsid w:val="005E1BF7"/>
    <w:rsid w:val="005E1DFA"/>
    <w:rsid w:val="005E507C"/>
    <w:rsid w:val="005E6284"/>
    <w:rsid w:val="005E65CE"/>
    <w:rsid w:val="005E6BED"/>
    <w:rsid w:val="005F0F9C"/>
    <w:rsid w:val="005F1DD9"/>
    <w:rsid w:val="005F2417"/>
    <w:rsid w:val="005F3DC0"/>
    <w:rsid w:val="005F4E2E"/>
    <w:rsid w:val="005F519D"/>
    <w:rsid w:val="005F57EB"/>
    <w:rsid w:val="005F7AC2"/>
    <w:rsid w:val="0060166A"/>
    <w:rsid w:val="0060220A"/>
    <w:rsid w:val="006033F9"/>
    <w:rsid w:val="00604013"/>
    <w:rsid w:val="00604480"/>
    <w:rsid w:val="006058E8"/>
    <w:rsid w:val="0060625A"/>
    <w:rsid w:val="0060630D"/>
    <w:rsid w:val="0060668D"/>
    <w:rsid w:val="00610362"/>
    <w:rsid w:val="00612464"/>
    <w:rsid w:val="00612D8F"/>
    <w:rsid w:val="00613671"/>
    <w:rsid w:val="00615B86"/>
    <w:rsid w:val="00616DC5"/>
    <w:rsid w:val="0062263E"/>
    <w:rsid w:val="00622E99"/>
    <w:rsid w:val="00623B83"/>
    <w:rsid w:val="006244FD"/>
    <w:rsid w:val="006249A5"/>
    <w:rsid w:val="0062533D"/>
    <w:rsid w:val="006254C8"/>
    <w:rsid w:val="00626C39"/>
    <w:rsid w:val="006303B6"/>
    <w:rsid w:val="00630843"/>
    <w:rsid w:val="00631CDC"/>
    <w:rsid w:val="00632DCF"/>
    <w:rsid w:val="00632DD2"/>
    <w:rsid w:val="006333C9"/>
    <w:rsid w:val="00634B2C"/>
    <w:rsid w:val="00637F69"/>
    <w:rsid w:val="0064206D"/>
    <w:rsid w:val="006421A9"/>
    <w:rsid w:val="006428D3"/>
    <w:rsid w:val="00642F95"/>
    <w:rsid w:val="00644774"/>
    <w:rsid w:val="00644BAE"/>
    <w:rsid w:val="00650251"/>
    <w:rsid w:val="00652718"/>
    <w:rsid w:val="00652F08"/>
    <w:rsid w:val="00653243"/>
    <w:rsid w:val="00653575"/>
    <w:rsid w:val="00653BAA"/>
    <w:rsid w:val="00653D74"/>
    <w:rsid w:val="006546A3"/>
    <w:rsid w:val="0065532E"/>
    <w:rsid w:val="006553B8"/>
    <w:rsid w:val="00655964"/>
    <w:rsid w:val="00656004"/>
    <w:rsid w:val="006560F5"/>
    <w:rsid w:val="00657534"/>
    <w:rsid w:val="00660B75"/>
    <w:rsid w:val="00660EA7"/>
    <w:rsid w:val="00661D7A"/>
    <w:rsid w:val="0066261F"/>
    <w:rsid w:val="00662657"/>
    <w:rsid w:val="00665152"/>
    <w:rsid w:val="00666285"/>
    <w:rsid w:val="00667186"/>
    <w:rsid w:val="006675B6"/>
    <w:rsid w:val="00667623"/>
    <w:rsid w:val="00670164"/>
    <w:rsid w:val="006702FA"/>
    <w:rsid w:val="00670C43"/>
    <w:rsid w:val="00670D8F"/>
    <w:rsid w:val="00671BB6"/>
    <w:rsid w:val="006720BD"/>
    <w:rsid w:val="00673A5D"/>
    <w:rsid w:val="006746A7"/>
    <w:rsid w:val="0067473E"/>
    <w:rsid w:val="00674A3A"/>
    <w:rsid w:val="00675AD5"/>
    <w:rsid w:val="006801A1"/>
    <w:rsid w:val="006811DE"/>
    <w:rsid w:val="00681C03"/>
    <w:rsid w:val="006828E3"/>
    <w:rsid w:val="00683060"/>
    <w:rsid w:val="00683627"/>
    <w:rsid w:val="00683A2F"/>
    <w:rsid w:val="00683F0C"/>
    <w:rsid w:val="006863F5"/>
    <w:rsid w:val="006865D3"/>
    <w:rsid w:val="00692340"/>
    <w:rsid w:val="00695A59"/>
    <w:rsid w:val="00697234"/>
    <w:rsid w:val="006978C5"/>
    <w:rsid w:val="006A063A"/>
    <w:rsid w:val="006A150D"/>
    <w:rsid w:val="006A55D4"/>
    <w:rsid w:val="006A5672"/>
    <w:rsid w:val="006A7950"/>
    <w:rsid w:val="006A79FE"/>
    <w:rsid w:val="006B1B54"/>
    <w:rsid w:val="006B3141"/>
    <w:rsid w:val="006B4B8C"/>
    <w:rsid w:val="006B4BE0"/>
    <w:rsid w:val="006B4CDF"/>
    <w:rsid w:val="006B7A55"/>
    <w:rsid w:val="006B7B6F"/>
    <w:rsid w:val="006C2768"/>
    <w:rsid w:val="006C4552"/>
    <w:rsid w:val="006C45C0"/>
    <w:rsid w:val="006C4D2C"/>
    <w:rsid w:val="006C56DC"/>
    <w:rsid w:val="006C5951"/>
    <w:rsid w:val="006D0454"/>
    <w:rsid w:val="006D0C62"/>
    <w:rsid w:val="006D21F0"/>
    <w:rsid w:val="006D2FB0"/>
    <w:rsid w:val="006D36D2"/>
    <w:rsid w:val="006D3850"/>
    <w:rsid w:val="006D3C48"/>
    <w:rsid w:val="006D5751"/>
    <w:rsid w:val="006D724D"/>
    <w:rsid w:val="006D78E4"/>
    <w:rsid w:val="006D7E30"/>
    <w:rsid w:val="006E1439"/>
    <w:rsid w:val="006E1A70"/>
    <w:rsid w:val="006E3558"/>
    <w:rsid w:val="006E5D8A"/>
    <w:rsid w:val="006E7299"/>
    <w:rsid w:val="006E76F4"/>
    <w:rsid w:val="006F1539"/>
    <w:rsid w:val="006F4CC2"/>
    <w:rsid w:val="006F547B"/>
    <w:rsid w:val="006F58C4"/>
    <w:rsid w:val="006F5D6E"/>
    <w:rsid w:val="006F63FF"/>
    <w:rsid w:val="006F6BBC"/>
    <w:rsid w:val="00701628"/>
    <w:rsid w:val="00703F1B"/>
    <w:rsid w:val="007041B6"/>
    <w:rsid w:val="00704365"/>
    <w:rsid w:val="00704B3B"/>
    <w:rsid w:val="00704B76"/>
    <w:rsid w:val="00706201"/>
    <w:rsid w:val="0070620E"/>
    <w:rsid w:val="007068DB"/>
    <w:rsid w:val="007103AA"/>
    <w:rsid w:val="00710D3E"/>
    <w:rsid w:val="00711FC6"/>
    <w:rsid w:val="007142A6"/>
    <w:rsid w:val="0071471B"/>
    <w:rsid w:val="0071654C"/>
    <w:rsid w:val="00716DB5"/>
    <w:rsid w:val="00720ABD"/>
    <w:rsid w:val="00720EFC"/>
    <w:rsid w:val="007218FC"/>
    <w:rsid w:val="00722615"/>
    <w:rsid w:val="00723705"/>
    <w:rsid w:val="00724368"/>
    <w:rsid w:val="0072554C"/>
    <w:rsid w:val="00726DA3"/>
    <w:rsid w:val="00727B60"/>
    <w:rsid w:val="00727D10"/>
    <w:rsid w:val="0073206D"/>
    <w:rsid w:val="00737691"/>
    <w:rsid w:val="00740A0F"/>
    <w:rsid w:val="00744DFC"/>
    <w:rsid w:val="0074528A"/>
    <w:rsid w:val="007464D7"/>
    <w:rsid w:val="00746879"/>
    <w:rsid w:val="0074695C"/>
    <w:rsid w:val="007479C8"/>
    <w:rsid w:val="007501C0"/>
    <w:rsid w:val="00750844"/>
    <w:rsid w:val="0075107E"/>
    <w:rsid w:val="007516F2"/>
    <w:rsid w:val="0075289F"/>
    <w:rsid w:val="00752DC3"/>
    <w:rsid w:val="007532FB"/>
    <w:rsid w:val="00753B17"/>
    <w:rsid w:val="00754976"/>
    <w:rsid w:val="00754990"/>
    <w:rsid w:val="00754A7C"/>
    <w:rsid w:val="0075516A"/>
    <w:rsid w:val="00755C19"/>
    <w:rsid w:val="007560AD"/>
    <w:rsid w:val="00756E38"/>
    <w:rsid w:val="00757A64"/>
    <w:rsid w:val="00760006"/>
    <w:rsid w:val="00760300"/>
    <w:rsid w:val="0076214B"/>
    <w:rsid w:val="00763259"/>
    <w:rsid w:val="00763F41"/>
    <w:rsid w:val="007645B3"/>
    <w:rsid w:val="0076462B"/>
    <w:rsid w:val="007661DC"/>
    <w:rsid w:val="007663DD"/>
    <w:rsid w:val="00766FD7"/>
    <w:rsid w:val="00767729"/>
    <w:rsid w:val="00767E53"/>
    <w:rsid w:val="007719A7"/>
    <w:rsid w:val="00772181"/>
    <w:rsid w:val="007721AB"/>
    <w:rsid w:val="00772490"/>
    <w:rsid w:val="00772A0D"/>
    <w:rsid w:val="00774912"/>
    <w:rsid w:val="0077614F"/>
    <w:rsid w:val="007770F0"/>
    <w:rsid w:val="007772EE"/>
    <w:rsid w:val="00780784"/>
    <w:rsid w:val="0078245B"/>
    <w:rsid w:val="00782F80"/>
    <w:rsid w:val="00784F24"/>
    <w:rsid w:val="0078594C"/>
    <w:rsid w:val="00785E65"/>
    <w:rsid w:val="00786BEC"/>
    <w:rsid w:val="00786E07"/>
    <w:rsid w:val="00790CFA"/>
    <w:rsid w:val="007910BB"/>
    <w:rsid w:val="00796480"/>
    <w:rsid w:val="00797B47"/>
    <w:rsid w:val="007A09C9"/>
    <w:rsid w:val="007A0EF6"/>
    <w:rsid w:val="007A2FD9"/>
    <w:rsid w:val="007A317F"/>
    <w:rsid w:val="007A3257"/>
    <w:rsid w:val="007A39C8"/>
    <w:rsid w:val="007A4552"/>
    <w:rsid w:val="007A4746"/>
    <w:rsid w:val="007A72B6"/>
    <w:rsid w:val="007B1871"/>
    <w:rsid w:val="007B2DE3"/>
    <w:rsid w:val="007B3DF3"/>
    <w:rsid w:val="007B4ED8"/>
    <w:rsid w:val="007B5300"/>
    <w:rsid w:val="007B6449"/>
    <w:rsid w:val="007B6B3D"/>
    <w:rsid w:val="007B7473"/>
    <w:rsid w:val="007B763D"/>
    <w:rsid w:val="007B7986"/>
    <w:rsid w:val="007C03A1"/>
    <w:rsid w:val="007C3E31"/>
    <w:rsid w:val="007C5035"/>
    <w:rsid w:val="007C5C22"/>
    <w:rsid w:val="007C6959"/>
    <w:rsid w:val="007D16D0"/>
    <w:rsid w:val="007D1958"/>
    <w:rsid w:val="007D29B9"/>
    <w:rsid w:val="007D39AD"/>
    <w:rsid w:val="007D4619"/>
    <w:rsid w:val="007D4872"/>
    <w:rsid w:val="007D79AB"/>
    <w:rsid w:val="007E122F"/>
    <w:rsid w:val="007E169F"/>
    <w:rsid w:val="007E4030"/>
    <w:rsid w:val="007E4D87"/>
    <w:rsid w:val="007E5D7C"/>
    <w:rsid w:val="007E6969"/>
    <w:rsid w:val="007E6E11"/>
    <w:rsid w:val="007E715A"/>
    <w:rsid w:val="007E71C2"/>
    <w:rsid w:val="007F1130"/>
    <w:rsid w:val="007F13FF"/>
    <w:rsid w:val="007F3670"/>
    <w:rsid w:val="007F484A"/>
    <w:rsid w:val="007F48CA"/>
    <w:rsid w:val="007F5B06"/>
    <w:rsid w:val="007F6D7D"/>
    <w:rsid w:val="008002E1"/>
    <w:rsid w:val="00800832"/>
    <w:rsid w:val="00801423"/>
    <w:rsid w:val="00804002"/>
    <w:rsid w:val="008043BD"/>
    <w:rsid w:val="008046A2"/>
    <w:rsid w:val="00805358"/>
    <w:rsid w:val="0081180D"/>
    <w:rsid w:val="0081253C"/>
    <w:rsid w:val="008128C2"/>
    <w:rsid w:val="00815B77"/>
    <w:rsid w:val="0081620D"/>
    <w:rsid w:val="0082170F"/>
    <w:rsid w:val="00822150"/>
    <w:rsid w:val="008222D2"/>
    <w:rsid w:val="00823678"/>
    <w:rsid w:val="0082534F"/>
    <w:rsid w:val="00825E59"/>
    <w:rsid w:val="00827CA4"/>
    <w:rsid w:val="008308D2"/>
    <w:rsid w:val="00830910"/>
    <w:rsid w:val="0083255B"/>
    <w:rsid w:val="00833C81"/>
    <w:rsid w:val="00834FCE"/>
    <w:rsid w:val="00835C84"/>
    <w:rsid w:val="00836433"/>
    <w:rsid w:val="00837897"/>
    <w:rsid w:val="008408BF"/>
    <w:rsid w:val="008413F4"/>
    <w:rsid w:val="00842D64"/>
    <w:rsid w:val="008439C2"/>
    <w:rsid w:val="00844DA4"/>
    <w:rsid w:val="00845086"/>
    <w:rsid w:val="008472C9"/>
    <w:rsid w:val="00854D56"/>
    <w:rsid w:val="00855AE5"/>
    <w:rsid w:val="008569F3"/>
    <w:rsid w:val="00856A7A"/>
    <w:rsid w:val="00856FFC"/>
    <w:rsid w:val="008576A2"/>
    <w:rsid w:val="00857F11"/>
    <w:rsid w:val="008601F3"/>
    <w:rsid w:val="00860A36"/>
    <w:rsid w:val="0086194D"/>
    <w:rsid w:val="00861BCD"/>
    <w:rsid w:val="008625B1"/>
    <w:rsid w:val="00862B76"/>
    <w:rsid w:val="00862CA0"/>
    <w:rsid w:val="00864FC7"/>
    <w:rsid w:val="00865AA1"/>
    <w:rsid w:val="00867C2E"/>
    <w:rsid w:val="008717AE"/>
    <w:rsid w:val="00871833"/>
    <w:rsid w:val="00873B4A"/>
    <w:rsid w:val="00875958"/>
    <w:rsid w:val="00876127"/>
    <w:rsid w:val="00881606"/>
    <w:rsid w:val="008824FA"/>
    <w:rsid w:val="00882F69"/>
    <w:rsid w:val="008846F8"/>
    <w:rsid w:val="00886CA1"/>
    <w:rsid w:val="00890E17"/>
    <w:rsid w:val="008911AB"/>
    <w:rsid w:val="00893025"/>
    <w:rsid w:val="00894D8E"/>
    <w:rsid w:val="008A10F9"/>
    <w:rsid w:val="008A11F6"/>
    <w:rsid w:val="008A11FE"/>
    <w:rsid w:val="008A3714"/>
    <w:rsid w:val="008A392F"/>
    <w:rsid w:val="008A5421"/>
    <w:rsid w:val="008A6622"/>
    <w:rsid w:val="008A6689"/>
    <w:rsid w:val="008B030C"/>
    <w:rsid w:val="008B1069"/>
    <w:rsid w:val="008B2581"/>
    <w:rsid w:val="008B2A91"/>
    <w:rsid w:val="008B6B2A"/>
    <w:rsid w:val="008B7087"/>
    <w:rsid w:val="008C09FA"/>
    <w:rsid w:val="008C0C14"/>
    <w:rsid w:val="008C1686"/>
    <w:rsid w:val="008C186B"/>
    <w:rsid w:val="008C1B1D"/>
    <w:rsid w:val="008C22D8"/>
    <w:rsid w:val="008C25B0"/>
    <w:rsid w:val="008C3811"/>
    <w:rsid w:val="008C61D9"/>
    <w:rsid w:val="008C658E"/>
    <w:rsid w:val="008C692F"/>
    <w:rsid w:val="008D03F6"/>
    <w:rsid w:val="008D095E"/>
    <w:rsid w:val="008D1A8E"/>
    <w:rsid w:val="008D1C6F"/>
    <w:rsid w:val="008D514E"/>
    <w:rsid w:val="008D5430"/>
    <w:rsid w:val="008D59E4"/>
    <w:rsid w:val="008D6B01"/>
    <w:rsid w:val="008D72AA"/>
    <w:rsid w:val="008D7487"/>
    <w:rsid w:val="008D7778"/>
    <w:rsid w:val="008E1AD6"/>
    <w:rsid w:val="008E466E"/>
    <w:rsid w:val="008E501E"/>
    <w:rsid w:val="008E629E"/>
    <w:rsid w:val="008E70CF"/>
    <w:rsid w:val="008F0826"/>
    <w:rsid w:val="008F1109"/>
    <w:rsid w:val="008F2BEE"/>
    <w:rsid w:val="008F3E35"/>
    <w:rsid w:val="008F4DA2"/>
    <w:rsid w:val="008F4EE9"/>
    <w:rsid w:val="008F55F2"/>
    <w:rsid w:val="008F5C87"/>
    <w:rsid w:val="008F62E3"/>
    <w:rsid w:val="008F702C"/>
    <w:rsid w:val="008F7BEA"/>
    <w:rsid w:val="00900629"/>
    <w:rsid w:val="00900F74"/>
    <w:rsid w:val="00902509"/>
    <w:rsid w:val="00903C7E"/>
    <w:rsid w:val="00905B07"/>
    <w:rsid w:val="00906DFA"/>
    <w:rsid w:val="00913166"/>
    <w:rsid w:val="009138FE"/>
    <w:rsid w:val="00914208"/>
    <w:rsid w:val="00914377"/>
    <w:rsid w:val="00915770"/>
    <w:rsid w:val="00915A23"/>
    <w:rsid w:val="0092103B"/>
    <w:rsid w:val="00922093"/>
    <w:rsid w:val="00922BA8"/>
    <w:rsid w:val="00924766"/>
    <w:rsid w:val="009249D4"/>
    <w:rsid w:val="009260E3"/>
    <w:rsid w:val="009278EF"/>
    <w:rsid w:val="00930196"/>
    <w:rsid w:val="00931670"/>
    <w:rsid w:val="009317D7"/>
    <w:rsid w:val="0093369F"/>
    <w:rsid w:val="00933865"/>
    <w:rsid w:val="00933974"/>
    <w:rsid w:val="00934BA8"/>
    <w:rsid w:val="00941235"/>
    <w:rsid w:val="009413F7"/>
    <w:rsid w:val="00941B51"/>
    <w:rsid w:val="00943780"/>
    <w:rsid w:val="00943A30"/>
    <w:rsid w:val="00944143"/>
    <w:rsid w:val="00944182"/>
    <w:rsid w:val="00945424"/>
    <w:rsid w:val="009468CA"/>
    <w:rsid w:val="009478F6"/>
    <w:rsid w:val="00954446"/>
    <w:rsid w:val="0095467F"/>
    <w:rsid w:val="00954BEF"/>
    <w:rsid w:val="00955390"/>
    <w:rsid w:val="009555D8"/>
    <w:rsid w:val="009563F4"/>
    <w:rsid w:val="009607F1"/>
    <w:rsid w:val="00960E17"/>
    <w:rsid w:val="00962EF4"/>
    <w:rsid w:val="009631F2"/>
    <w:rsid w:val="0096430B"/>
    <w:rsid w:val="00965EEA"/>
    <w:rsid w:val="009678DD"/>
    <w:rsid w:val="00970D16"/>
    <w:rsid w:val="00972294"/>
    <w:rsid w:val="00973750"/>
    <w:rsid w:val="00974070"/>
    <w:rsid w:val="00974AFD"/>
    <w:rsid w:val="0097537A"/>
    <w:rsid w:val="00975517"/>
    <w:rsid w:val="00975D5B"/>
    <w:rsid w:val="00977929"/>
    <w:rsid w:val="00977D45"/>
    <w:rsid w:val="00980F85"/>
    <w:rsid w:val="0098107D"/>
    <w:rsid w:val="009812D1"/>
    <w:rsid w:val="00981785"/>
    <w:rsid w:val="0098192E"/>
    <w:rsid w:val="00982898"/>
    <w:rsid w:val="00983426"/>
    <w:rsid w:val="00983523"/>
    <w:rsid w:val="0098369C"/>
    <w:rsid w:val="009840CA"/>
    <w:rsid w:val="00985C7A"/>
    <w:rsid w:val="00986203"/>
    <w:rsid w:val="00986BA2"/>
    <w:rsid w:val="00986F50"/>
    <w:rsid w:val="00992F65"/>
    <w:rsid w:val="00993470"/>
    <w:rsid w:val="00993B2A"/>
    <w:rsid w:val="009959FA"/>
    <w:rsid w:val="00995CC0"/>
    <w:rsid w:val="009961CE"/>
    <w:rsid w:val="00997A56"/>
    <w:rsid w:val="00997FBE"/>
    <w:rsid w:val="009A034D"/>
    <w:rsid w:val="009A088E"/>
    <w:rsid w:val="009A0E39"/>
    <w:rsid w:val="009A2388"/>
    <w:rsid w:val="009A28D1"/>
    <w:rsid w:val="009A3944"/>
    <w:rsid w:val="009A45AD"/>
    <w:rsid w:val="009A5CA1"/>
    <w:rsid w:val="009A630A"/>
    <w:rsid w:val="009A68DC"/>
    <w:rsid w:val="009B1423"/>
    <w:rsid w:val="009B1EB2"/>
    <w:rsid w:val="009B26DE"/>
    <w:rsid w:val="009B27BF"/>
    <w:rsid w:val="009B5D9F"/>
    <w:rsid w:val="009B6079"/>
    <w:rsid w:val="009B71E5"/>
    <w:rsid w:val="009B7F92"/>
    <w:rsid w:val="009C19B3"/>
    <w:rsid w:val="009C2862"/>
    <w:rsid w:val="009C2B89"/>
    <w:rsid w:val="009C2C94"/>
    <w:rsid w:val="009C3403"/>
    <w:rsid w:val="009C502B"/>
    <w:rsid w:val="009C54F3"/>
    <w:rsid w:val="009C5E6C"/>
    <w:rsid w:val="009D0610"/>
    <w:rsid w:val="009D2534"/>
    <w:rsid w:val="009D31C3"/>
    <w:rsid w:val="009D555C"/>
    <w:rsid w:val="009D5630"/>
    <w:rsid w:val="009D5896"/>
    <w:rsid w:val="009D5DCF"/>
    <w:rsid w:val="009D6E85"/>
    <w:rsid w:val="009D6EC4"/>
    <w:rsid w:val="009E13FC"/>
    <w:rsid w:val="009E20CC"/>
    <w:rsid w:val="009E4A83"/>
    <w:rsid w:val="009E4CA0"/>
    <w:rsid w:val="009E4F7C"/>
    <w:rsid w:val="009E563E"/>
    <w:rsid w:val="009F0F7A"/>
    <w:rsid w:val="009F1DA9"/>
    <w:rsid w:val="009F6059"/>
    <w:rsid w:val="009F622A"/>
    <w:rsid w:val="009F6DDD"/>
    <w:rsid w:val="009F6F0C"/>
    <w:rsid w:val="009F7DD8"/>
    <w:rsid w:val="00A00839"/>
    <w:rsid w:val="00A05F47"/>
    <w:rsid w:val="00A078BC"/>
    <w:rsid w:val="00A11A26"/>
    <w:rsid w:val="00A11A5E"/>
    <w:rsid w:val="00A12A70"/>
    <w:rsid w:val="00A12F2F"/>
    <w:rsid w:val="00A14DFB"/>
    <w:rsid w:val="00A15661"/>
    <w:rsid w:val="00A15B65"/>
    <w:rsid w:val="00A15F68"/>
    <w:rsid w:val="00A17632"/>
    <w:rsid w:val="00A20FB2"/>
    <w:rsid w:val="00A223F6"/>
    <w:rsid w:val="00A22E72"/>
    <w:rsid w:val="00A23A4E"/>
    <w:rsid w:val="00A23D80"/>
    <w:rsid w:val="00A23EC8"/>
    <w:rsid w:val="00A24BAD"/>
    <w:rsid w:val="00A300BF"/>
    <w:rsid w:val="00A30A5D"/>
    <w:rsid w:val="00A327F3"/>
    <w:rsid w:val="00A33824"/>
    <w:rsid w:val="00A3504C"/>
    <w:rsid w:val="00A35B5B"/>
    <w:rsid w:val="00A4039C"/>
    <w:rsid w:val="00A4059F"/>
    <w:rsid w:val="00A4249A"/>
    <w:rsid w:val="00A426C9"/>
    <w:rsid w:val="00A4357F"/>
    <w:rsid w:val="00A43B97"/>
    <w:rsid w:val="00A43C43"/>
    <w:rsid w:val="00A44B9A"/>
    <w:rsid w:val="00A45DA6"/>
    <w:rsid w:val="00A52302"/>
    <w:rsid w:val="00A52E6D"/>
    <w:rsid w:val="00A535E8"/>
    <w:rsid w:val="00A55A3C"/>
    <w:rsid w:val="00A56A25"/>
    <w:rsid w:val="00A56DF3"/>
    <w:rsid w:val="00A60AD9"/>
    <w:rsid w:val="00A61460"/>
    <w:rsid w:val="00A622B7"/>
    <w:rsid w:val="00A631C5"/>
    <w:rsid w:val="00A642A9"/>
    <w:rsid w:val="00A649B9"/>
    <w:rsid w:val="00A64CB8"/>
    <w:rsid w:val="00A66E2A"/>
    <w:rsid w:val="00A67348"/>
    <w:rsid w:val="00A70E62"/>
    <w:rsid w:val="00A72446"/>
    <w:rsid w:val="00A72FFA"/>
    <w:rsid w:val="00A75169"/>
    <w:rsid w:val="00A755F2"/>
    <w:rsid w:val="00A77A4D"/>
    <w:rsid w:val="00A8063A"/>
    <w:rsid w:val="00A80A62"/>
    <w:rsid w:val="00A80F90"/>
    <w:rsid w:val="00A81614"/>
    <w:rsid w:val="00A83118"/>
    <w:rsid w:val="00A83B8D"/>
    <w:rsid w:val="00A844AA"/>
    <w:rsid w:val="00A84CC5"/>
    <w:rsid w:val="00A85040"/>
    <w:rsid w:val="00A85282"/>
    <w:rsid w:val="00A90537"/>
    <w:rsid w:val="00A93313"/>
    <w:rsid w:val="00A9343A"/>
    <w:rsid w:val="00A937FA"/>
    <w:rsid w:val="00A95A22"/>
    <w:rsid w:val="00A964BC"/>
    <w:rsid w:val="00A96744"/>
    <w:rsid w:val="00AA05E0"/>
    <w:rsid w:val="00AA1550"/>
    <w:rsid w:val="00AA18F9"/>
    <w:rsid w:val="00AA1A2D"/>
    <w:rsid w:val="00AA25C9"/>
    <w:rsid w:val="00AA658F"/>
    <w:rsid w:val="00AA7E48"/>
    <w:rsid w:val="00AB0079"/>
    <w:rsid w:val="00AB1797"/>
    <w:rsid w:val="00AB2D92"/>
    <w:rsid w:val="00AB3448"/>
    <w:rsid w:val="00AB3F93"/>
    <w:rsid w:val="00AB515A"/>
    <w:rsid w:val="00AB6E57"/>
    <w:rsid w:val="00AB763A"/>
    <w:rsid w:val="00AB78B1"/>
    <w:rsid w:val="00AB7B87"/>
    <w:rsid w:val="00AC1BD9"/>
    <w:rsid w:val="00AC297E"/>
    <w:rsid w:val="00AC4848"/>
    <w:rsid w:val="00AC4DAC"/>
    <w:rsid w:val="00AD056F"/>
    <w:rsid w:val="00AD421B"/>
    <w:rsid w:val="00AE0422"/>
    <w:rsid w:val="00AE078B"/>
    <w:rsid w:val="00AE0E9B"/>
    <w:rsid w:val="00AE2D79"/>
    <w:rsid w:val="00AE5D47"/>
    <w:rsid w:val="00AE6CA0"/>
    <w:rsid w:val="00AF0DF0"/>
    <w:rsid w:val="00AF1526"/>
    <w:rsid w:val="00AF1E8D"/>
    <w:rsid w:val="00AF243E"/>
    <w:rsid w:val="00AF2B08"/>
    <w:rsid w:val="00AF4D72"/>
    <w:rsid w:val="00AF50C3"/>
    <w:rsid w:val="00AF5EAC"/>
    <w:rsid w:val="00AF68ED"/>
    <w:rsid w:val="00B00C68"/>
    <w:rsid w:val="00B014AF"/>
    <w:rsid w:val="00B017D2"/>
    <w:rsid w:val="00B0445B"/>
    <w:rsid w:val="00B06BB3"/>
    <w:rsid w:val="00B0741A"/>
    <w:rsid w:val="00B0793C"/>
    <w:rsid w:val="00B07E2D"/>
    <w:rsid w:val="00B1167A"/>
    <w:rsid w:val="00B12F8D"/>
    <w:rsid w:val="00B12FD9"/>
    <w:rsid w:val="00B139A9"/>
    <w:rsid w:val="00B13A4F"/>
    <w:rsid w:val="00B14E32"/>
    <w:rsid w:val="00B1633F"/>
    <w:rsid w:val="00B212B5"/>
    <w:rsid w:val="00B21F18"/>
    <w:rsid w:val="00B23063"/>
    <w:rsid w:val="00B238DA"/>
    <w:rsid w:val="00B23A02"/>
    <w:rsid w:val="00B23D21"/>
    <w:rsid w:val="00B27089"/>
    <w:rsid w:val="00B310D8"/>
    <w:rsid w:val="00B319BD"/>
    <w:rsid w:val="00B33941"/>
    <w:rsid w:val="00B34E59"/>
    <w:rsid w:val="00B34FCA"/>
    <w:rsid w:val="00B35A1A"/>
    <w:rsid w:val="00B40350"/>
    <w:rsid w:val="00B40F49"/>
    <w:rsid w:val="00B41D91"/>
    <w:rsid w:val="00B41EE6"/>
    <w:rsid w:val="00B46093"/>
    <w:rsid w:val="00B50595"/>
    <w:rsid w:val="00B506D5"/>
    <w:rsid w:val="00B524D3"/>
    <w:rsid w:val="00B53318"/>
    <w:rsid w:val="00B55A69"/>
    <w:rsid w:val="00B5608B"/>
    <w:rsid w:val="00B56A12"/>
    <w:rsid w:val="00B60463"/>
    <w:rsid w:val="00B60ADE"/>
    <w:rsid w:val="00B61295"/>
    <w:rsid w:val="00B6350D"/>
    <w:rsid w:val="00B64E25"/>
    <w:rsid w:val="00B65CD1"/>
    <w:rsid w:val="00B662DB"/>
    <w:rsid w:val="00B70E29"/>
    <w:rsid w:val="00B7156C"/>
    <w:rsid w:val="00B72901"/>
    <w:rsid w:val="00B749CC"/>
    <w:rsid w:val="00B76569"/>
    <w:rsid w:val="00B76DC3"/>
    <w:rsid w:val="00B77417"/>
    <w:rsid w:val="00B8037A"/>
    <w:rsid w:val="00B8070E"/>
    <w:rsid w:val="00B82CF0"/>
    <w:rsid w:val="00B833DC"/>
    <w:rsid w:val="00B83724"/>
    <w:rsid w:val="00B83B5A"/>
    <w:rsid w:val="00B83F45"/>
    <w:rsid w:val="00B83FEB"/>
    <w:rsid w:val="00B8462A"/>
    <w:rsid w:val="00B84E15"/>
    <w:rsid w:val="00B85FF0"/>
    <w:rsid w:val="00B86423"/>
    <w:rsid w:val="00B87D47"/>
    <w:rsid w:val="00B9001C"/>
    <w:rsid w:val="00B9018A"/>
    <w:rsid w:val="00B91029"/>
    <w:rsid w:val="00B916D2"/>
    <w:rsid w:val="00B923AD"/>
    <w:rsid w:val="00B92A8C"/>
    <w:rsid w:val="00B93F0D"/>
    <w:rsid w:val="00B94080"/>
    <w:rsid w:val="00B97469"/>
    <w:rsid w:val="00B97C90"/>
    <w:rsid w:val="00BA0A39"/>
    <w:rsid w:val="00BA1953"/>
    <w:rsid w:val="00BA1FD0"/>
    <w:rsid w:val="00BA314A"/>
    <w:rsid w:val="00BA462A"/>
    <w:rsid w:val="00BA4A0B"/>
    <w:rsid w:val="00BA5C20"/>
    <w:rsid w:val="00BB0A24"/>
    <w:rsid w:val="00BB2F72"/>
    <w:rsid w:val="00BB38CE"/>
    <w:rsid w:val="00BB42DC"/>
    <w:rsid w:val="00BB4651"/>
    <w:rsid w:val="00BB57E3"/>
    <w:rsid w:val="00BB6722"/>
    <w:rsid w:val="00BB67A9"/>
    <w:rsid w:val="00BB6DD5"/>
    <w:rsid w:val="00BB791B"/>
    <w:rsid w:val="00BC15F6"/>
    <w:rsid w:val="00BC6DDD"/>
    <w:rsid w:val="00BC7926"/>
    <w:rsid w:val="00BC7CF6"/>
    <w:rsid w:val="00BD0586"/>
    <w:rsid w:val="00BD05B8"/>
    <w:rsid w:val="00BD2C0F"/>
    <w:rsid w:val="00BD5539"/>
    <w:rsid w:val="00BD5DAC"/>
    <w:rsid w:val="00BD608D"/>
    <w:rsid w:val="00BE0301"/>
    <w:rsid w:val="00BE1609"/>
    <w:rsid w:val="00BE32C4"/>
    <w:rsid w:val="00BE669B"/>
    <w:rsid w:val="00BE7E6E"/>
    <w:rsid w:val="00BE7F04"/>
    <w:rsid w:val="00BF027C"/>
    <w:rsid w:val="00BF1879"/>
    <w:rsid w:val="00BF1AA0"/>
    <w:rsid w:val="00BF580C"/>
    <w:rsid w:val="00BF6F59"/>
    <w:rsid w:val="00BF7A9E"/>
    <w:rsid w:val="00C0023C"/>
    <w:rsid w:val="00C00A30"/>
    <w:rsid w:val="00C029AB"/>
    <w:rsid w:val="00C05146"/>
    <w:rsid w:val="00C05EFC"/>
    <w:rsid w:val="00C07211"/>
    <w:rsid w:val="00C079F0"/>
    <w:rsid w:val="00C07D15"/>
    <w:rsid w:val="00C10484"/>
    <w:rsid w:val="00C10B76"/>
    <w:rsid w:val="00C11202"/>
    <w:rsid w:val="00C12AF3"/>
    <w:rsid w:val="00C139A9"/>
    <w:rsid w:val="00C14C87"/>
    <w:rsid w:val="00C15398"/>
    <w:rsid w:val="00C15AF1"/>
    <w:rsid w:val="00C16979"/>
    <w:rsid w:val="00C16BA0"/>
    <w:rsid w:val="00C177C1"/>
    <w:rsid w:val="00C17A9C"/>
    <w:rsid w:val="00C21FD7"/>
    <w:rsid w:val="00C225E4"/>
    <w:rsid w:val="00C22D63"/>
    <w:rsid w:val="00C240DE"/>
    <w:rsid w:val="00C26BCF"/>
    <w:rsid w:val="00C307FD"/>
    <w:rsid w:val="00C30BAC"/>
    <w:rsid w:val="00C3349D"/>
    <w:rsid w:val="00C34DA3"/>
    <w:rsid w:val="00C3501A"/>
    <w:rsid w:val="00C3613E"/>
    <w:rsid w:val="00C364F9"/>
    <w:rsid w:val="00C36DAB"/>
    <w:rsid w:val="00C374A2"/>
    <w:rsid w:val="00C37564"/>
    <w:rsid w:val="00C37B90"/>
    <w:rsid w:val="00C402AB"/>
    <w:rsid w:val="00C41566"/>
    <w:rsid w:val="00C44BCC"/>
    <w:rsid w:val="00C46F2E"/>
    <w:rsid w:val="00C46FA2"/>
    <w:rsid w:val="00C5068C"/>
    <w:rsid w:val="00C5085D"/>
    <w:rsid w:val="00C50ABF"/>
    <w:rsid w:val="00C50B27"/>
    <w:rsid w:val="00C51CB5"/>
    <w:rsid w:val="00C52C97"/>
    <w:rsid w:val="00C53489"/>
    <w:rsid w:val="00C56314"/>
    <w:rsid w:val="00C5696D"/>
    <w:rsid w:val="00C5705E"/>
    <w:rsid w:val="00C57CC0"/>
    <w:rsid w:val="00C60ACF"/>
    <w:rsid w:val="00C619C8"/>
    <w:rsid w:val="00C6255F"/>
    <w:rsid w:val="00C62877"/>
    <w:rsid w:val="00C63DA3"/>
    <w:rsid w:val="00C646BD"/>
    <w:rsid w:val="00C64A1A"/>
    <w:rsid w:val="00C65233"/>
    <w:rsid w:val="00C66327"/>
    <w:rsid w:val="00C6645A"/>
    <w:rsid w:val="00C674F7"/>
    <w:rsid w:val="00C7101D"/>
    <w:rsid w:val="00C712FA"/>
    <w:rsid w:val="00C7145B"/>
    <w:rsid w:val="00C715C7"/>
    <w:rsid w:val="00C71F52"/>
    <w:rsid w:val="00C727A0"/>
    <w:rsid w:val="00C73401"/>
    <w:rsid w:val="00C74173"/>
    <w:rsid w:val="00C7705E"/>
    <w:rsid w:val="00C770F7"/>
    <w:rsid w:val="00C80709"/>
    <w:rsid w:val="00C819CE"/>
    <w:rsid w:val="00C825D3"/>
    <w:rsid w:val="00C8540C"/>
    <w:rsid w:val="00C8742B"/>
    <w:rsid w:val="00C91B15"/>
    <w:rsid w:val="00C91DE0"/>
    <w:rsid w:val="00C928DC"/>
    <w:rsid w:val="00C92ED7"/>
    <w:rsid w:val="00C9387E"/>
    <w:rsid w:val="00C938B5"/>
    <w:rsid w:val="00C949AF"/>
    <w:rsid w:val="00C94CFA"/>
    <w:rsid w:val="00C95E95"/>
    <w:rsid w:val="00C96B58"/>
    <w:rsid w:val="00CA1E43"/>
    <w:rsid w:val="00CA37DE"/>
    <w:rsid w:val="00CA39AD"/>
    <w:rsid w:val="00CA41FF"/>
    <w:rsid w:val="00CA5506"/>
    <w:rsid w:val="00CA58B6"/>
    <w:rsid w:val="00CA77F3"/>
    <w:rsid w:val="00CB2CD7"/>
    <w:rsid w:val="00CB2FAC"/>
    <w:rsid w:val="00CB3D52"/>
    <w:rsid w:val="00CB43F5"/>
    <w:rsid w:val="00CB5292"/>
    <w:rsid w:val="00CB5342"/>
    <w:rsid w:val="00CB610C"/>
    <w:rsid w:val="00CB690A"/>
    <w:rsid w:val="00CB69B7"/>
    <w:rsid w:val="00CB74F3"/>
    <w:rsid w:val="00CB76EC"/>
    <w:rsid w:val="00CC0BE6"/>
    <w:rsid w:val="00CC1A56"/>
    <w:rsid w:val="00CC32E7"/>
    <w:rsid w:val="00CC6AE6"/>
    <w:rsid w:val="00CC6F38"/>
    <w:rsid w:val="00CC7D2D"/>
    <w:rsid w:val="00CD0DC7"/>
    <w:rsid w:val="00CD0F00"/>
    <w:rsid w:val="00CD1C2D"/>
    <w:rsid w:val="00CD2915"/>
    <w:rsid w:val="00CD349E"/>
    <w:rsid w:val="00CD3750"/>
    <w:rsid w:val="00CD43B5"/>
    <w:rsid w:val="00CD55EE"/>
    <w:rsid w:val="00CD63F7"/>
    <w:rsid w:val="00CE1706"/>
    <w:rsid w:val="00CE1BFD"/>
    <w:rsid w:val="00CE2980"/>
    <w:rsid w:val="00CE3373"/>
    <w:rsid w:val="00CE359F"/>
    <w:rsid w:val="00CE391F"/>
    <w:rsid w:val="00CE57E4"/>
    <w:rsid w:val="00CE6A8E"/>
    <w:rsid w:val="00CE7562"/>
    <w:rsid w:val="00CF1352"/>
    <w:rsid w:val="00CF4469"/>
    <w:rsid w:val="00CF51A8"/>
    <w:rsid w:val="00CF5989"/>
    <w:rsid w:val="00CF64AF"/>
    <w:rsid w:val="00CF6CCF"/>
    <w:rsid w:val="00D010E1"/>
    <w:rsid w:val="00D02F8D"/>
    <w:rsid w:val="00D03841"/>
    <w:rsid w:val="00D05781"/>
    <w:rsid w:val="00D05EE7"/>
    <w:rsid w:val="00D06056"/>
    <w:rsid w:val="00D061DF"/>
    <w:rsid w:val="00D065D0"/>
    <w:rsid w:val="00D06D8B"/>
    <w:rsid w:val="00D07DD1"/>
    <w:rsid w:val="00D07E92"/>
    <w:rsid w:val="00D10DC0"/>
    <w:rsid w:val="00D12437"/>
    <w:rsid w:val="00D127E0"/>
    <w:rsid w:val="00D129DC"/>
    <w:rsid w:val="00D12AE7"/>
    <w:rsid w:val="00D1466F"/>
    <w:rsid w:val="00D14E98"/>
    <w:rsid w:val="00D15F0B"/>
    <w:rsid w:val="00D178B4"/>
    <w:rsid w:val="00D202A8"/>
    <w:rsid w:val="00D20BF2"/>
    <w:rsid w:val="00D217B0"/>
    <w:rsid w:val="00D23949"/>
    <w:rsid w:val="00D23B4A"/>
    <w:rsid w:val="00D2406D"/>
    <w:rsid w:val="00D24E87"/>
    <w:rsid w:val="00D263EE"/>
    <w:rsid w:val="00D2663D"/>
    <w:rsid w:val="00D26F49"/>
    <w:rsid w:val="00D2705E"/>
    <w:rsid w:val="00D27072"/>
    <w:rsid w:val="00D271AA"/>
    <w:rsid w:val="00D31293"/>
    <w:rsid w:val="00D3236D"/>
    <w:rsid w:val="00D331DA"/>
    <w:rsid w:val="00D33979"/>
    <w:rsid w:val="00D33B1C"/>
    <w:rsid w:val="00D35B9F"/>
    <w:rsid w:val="00D35E02"/>
    <w:rsid w:val="00D3673C"/>
    <w:rsid w:val="00D37C60"/>
    <w:rsid w:val="00D37E75"/>
    <w:rsid w:val="00D41A83"/>
    <w:rsid w:val="00D42271"/>
    <w:rsid w:val="00D423FC"/>
    <w:rsid w:val="00D42650"/>
    <w:rsid w:val="00D44DE2"/>
    <w:rsid w:val="00D46A6F"/>
    <w:rsid w:val="00D4795D"/>
    <w:rsid w:val="00D50DE1"/>
    <w:rsid w:val="00D5302F"/>
    <w:rsid w:val="00D532DB"/>
    <w:rsid w:val="00D539C5"/>
    <w:rsid w:val="00D53BA9"/>
    <w:rsid w:val="00D54638"/>
    <w:rsid w:val="00D55007"/>
    <w:rsid w:val="00D55755"/>
    <w:rsid w:val="00D55E51"/>
    <w:rsid w:val="00D562D4"/>
    <w:rsid w:val="00D56CC8"/>
    <w:rsid w:val="00D6111B"/>
    <w:rsid w:val="00D61A47"/>
    <w:rsid w:val="00D62319"/>
    <w:rsid w:val="00D6247F"/>
    <w:rsid w:val="00D63727"/>
    <w:rsid w:val="00D63A7E"/>
    <w:rsid w:val="00D63AF3"/>
    <w:rsid w:val="00D6427E"/>
    <w:rsid w:val="00D65714"/>
    <w:rsid w:val="00D66822"/>
    <w:rsid w:val="00D66AEB"/>
    <w:rsid w:val="00D711FD"/>
    <w:rsid w:val="00D73DDF"/>
    <w:rsid w:val="00D74D1E"/>
    <w:rsid w:val="00D766FE"/>
    <w:rsid w:val="00D76942"/>
    <w:rsid w:val="00D76B11"/>
    <w:rsid w:val="00D810C5"/>
    <w:rsid w:val="00D814B5"/>
    <w:rsid w:val="00D822C6"/>
    <w:rsid w:val="00D85A64"/>
    <w:rsid w:val="00D86985"/>
    <w:rsid w:val="00D922E5"/>
    <w:rsid w:val="00D9370F"/>
    <w:rsid w:val="00D93713"/>
    <w:rsid w:val="00D93CD2"/>
    <w:rsid w:val="00D9579D"/>
    <w:rsid w:val="00D95C10"/>
    <w:rsid w:val="00D95D5A"/>
    <w:rsid w:val="00D96A1F"/>
    <w:rsid w:val="00DA0427"/>
    <w:rsid w:val="00DA06EA"/>
    <w:rsid w:val="00DA093B"/>
    <w:rsid w:val="00DA2F88"/>
    <w:rsid w:val="00DA409B"/>
    <w:rsid w:val="00DA43C9"/>
    <w:rsid w:val="00DA4B75"/>
    <w:rsid w:val="00DA6039"/>
    <w:rsid w:val="00DA694A"/>
    <w:rsid w:val="00DA7DD8"/>
    <w:rsid w:val="00DB02A0"/>
    <w:rsid w:val="00DB0A3A"/>
    <w:rsid w:val="00DB0BEC"/>
    <w:rsid w:val="00DB1574"/>
    <w:rsid w:val="00DB1ABC"/>
    <w:rsid w:val="00DB1DDB"/>
    <w:rsid w:val="00DB2D7C"/>
    <w:rsid w:val="00DB301A"/>
    <w:rsid w:val="00DB5FC6"/>
    <w:rsid w:val="00DB72B9"/>
    <w:rsid w:val="00DC0733"/>
    <w:rsid w:val="00DC17B6"/>
    <w:rsid w:val="00DC196B"/>
    <w:rsid w:val="00DC1C7E"/>
    <w:rsid w:val="00DC3A8B"/>
    <w:rsid w:val="00DC3FD9"/>
    <w:rsid w:val="00DC4A9E"/>
    <w:rsid w:val="00DC4CEF"/>
    <w:rsid w:val="00DC55D0"/>
    <w:rsid w:val="00DC5F87"/>
    <w:rsid w:val="00DC6309"/>
    <w:rsid w:val="00DC6910"/>
    <w:rsid w:val="00DC6C79"/>
    <w:rsid w:val="00DD1E85"/>
    <w:rsid w:val="00DD3CFD"/>
    <w:rsid w:val="00DD478E"/>
    <w:rsid w:val="00DD5D6F"/>
    <w:rsid w:val="00DD79B9"/>
    <w:rsid w:val="00DE0D76"/>
    <w:rsid w:val="00DE37CC"/>
    <w:rsid w:val="00DE41FB"/>
    <w:rsid w:val="00DE66F8"/>
    <w:rsid w:val="00DE74D4"/>
    <w:rsid w:val="00DF08B0"/>
    <w:rsid w:val="00DF1776"/>
    <w:rsid w:val="00DF2043"/>
    <w:rsid w:val="00DF23A2"/>
    <w:rsid w:val="00DF2C41"/>
    <w:rsid w:val="00DF35AA"/>
    <w:rsid w:val="00DF3974"/>
    <w:rsid w:val="00DF3B73"/>
    <w:rsid w:val="00DF3D76"/>
    <w:rsid w:val="00DF3E18"/>
    <w:rsid w:val="00DF54CF"/>
    <w:rsid w:val="00E0072B"/>
    <w:rsid w:val="00E01498"/>
    <w:rsid w:val="00E04597"/>
    <w:rsid w:val="00E05A6A"/>
    <w:rsid w:val="00E06418"/>
    <w:rsid w:val="00E1116F"/>
    <w:rsid w:val="00E12016"/>
    <w:rsid w:val="00E121BA"/>
    <w:rsid w:val="00E12370"/>
    <w:rsid w:val="00E12AD8"/>
    <w:rsid w:val="00E1450F"/>
    <w:rsid w:val="00E145B2"/>
    <w:rsid w:val="00E14B85"/>
    <w:rsid w:val="00E15B77"/>
    <w:rsid w:val="00E15C50"/>
    <w:rsid w:val="00E16F91"/>
    <w:rsid w:val="00E1730E"/>
    <w:rsid w:val="00E20BB7"/>
    <w:rsid w:val="00E22694"/>
    <w:rsid w:val="00E22C7D"/>
    <w:rsid w:val="00E233E2"/>
    <w:rsid w:val="00E23688"/>
    <w:rsid w:val="00E23773"/>
    <w:rsid w:val="00E25926"/>
    <w:rsid w:val="00E26294"/>
    <w:rsid w:val="00E27006"/>
    <w:rsid w:val="00E30CFD"/>
    <w:rsid w:val="00E31431"/>
    <w:rsid w:val="00E32282"/>
    <w:rsid w:val="00E32A20"/>
    <w:rsid w:val="00E33733"/>
    <w:rsid w:val="00E33FD2"/>
    <w:rsid w:val="00E34BC4"/>
    <w:rsid w:val="00E36B25"/>
    <w:rsid w:val="00E36BA9"/>
    <w:rsid w:val="00E379A9"/>
    <w:rsid w:val="00E40002"/>
    <w:rsid w:val="00E40424"/>
    <w:rsid w:val="00E40955"/>
    <w:rsid w:val="00E428A7"/>
    <w:rsid w:val="00E42990"/>
    <w:rsid w:val="00E43685"/>
    <w:rsid w:val="00E438FD"/>
    <w:rsid w:val="00E445FA"/>
    <w:rsid w:val="00E458F4"/>
    <w:rsid w:val="00E4609C"/>
    <w:rsid w:val="00E544A3"/>
    <w:rsid w:val="00E54CD8"/>
    <w:rsid w:val="00E55C2C"/>
    <w:rsid w:val="00E56A38"/>
    <w:rsid w:val="00E56A4D"/>
    <w:rsid w:val="00E573F1"/>
    <w:rsid w:val="00E57A43"/>
    <w:rsid w:val="00E606B0"/>
    <w:rsid w:val="00E6070B"/>
    <w:rsid w:val="00E609D9"/>
    <w:rsid w:val="00E621BF"/>
    <w:rsid w:val="00E643ED"/>
    <w:rsid w:val="00E64C4F"/>
    <w:rsid w:val="00E65C99"/>
    <w:rsid w:val="00E66AB4"/>
    <w:rsid w:val="00E66E07"/>
    <w:rsid w:val="00E67A3C"/>
    <w:rsid w:val="00E67C23"/>
    <w:rsid w:val="00E7062D"/>
    <w:rsid w:val="00E70CF9"/>
    <w:rsid w:val="00E70F16"/>
    <w:rsid w:val="00E710BB"/>
    <w:rsid w:val="00E72334"/>
    <w:rsid w:val="00E727E2"/>
    <w:rsid w:val="00E72FCF"/>
    <w:rsid w:val="00E755BA"/>
    <w:rsid w:val="00E7684A"/>
    <w:rsid w:val="00E8151B"/>
    <w:rsid w:val="00E824C8"/>
    <w:rsid w:val="00E828DE"/>
    <w:rsid w:val="00E830C3"/>
    <w:rsid w:val="00E83D4F"/>
    <w:rsid w:val="00E84A9C"/>
    <w:rsid w:val="00E85465"/>
    <w:rsid w:val="00E86BAA"/>
    <w:rsid w:val="00E86D66"/>
    <w:rsid w:val="00E9028D"/>
    <w:rsid w:val="00E90649"/>
    <w:rsid w:val="00E90F8F"/>
    <w:rsid w:val="00E91BDF"/>
    <w:rsid w:val="00E93664"/>
    <w:rsid w:val="00E95A46"/>
    <w:rsid w:val="00E962A8"/>
    <w:rsid w:val="00E976EE"/>
    <w:rsid w:val="00E97736"/>
    <w:rsid w:val="00E97979"/>
    <w:rsid w:val="00E97B05"/>
    <w:rsid w:val="00E97E74"/>
    <w:rsid w:val="00E97EE8"/>
    <w:rsid w:val="00EA0558"/>
    <w:rsid w:val="00EA06A4"/>
    <w:rsid w:val="00EA20C1"/>
    <w:rsid w:val="00EA270F"/>
    <w:rsid w:val="00EA3233"/>
    <w:rsid w:val="00EA3250"/>
    <w:rsid w:val="00EA4081"/>
    <w:rsid w:val="00EA41B2"/>
    <w:rsid w:val="00EA4A11"/>
    <w:rsid w:val="00EA5988"/>
    <w:rsid w:val="00EA5999"/>
    <w:rsid w:val="00EA6CEA"/>
    <w:rsid w:val="00EA7792"/>
    <w:rsid w:val="00EB195C"/>
    <w:rsid w:val="00EB22A3"/>
    <w:rsid w:val="00EB3448"/>
    <w:rsid w:val="00EB3BCA"/>
    <w:rsid w:val="00EB3DED"/>
    <w:rsid w:val="00EB4116"/>
    <w:rsid w:val="00EB42B1"/>
    <w:rsid w:val="00EB4B1C"/>
    <w:rsid w:val="00EC0387"/>
    <w:rsid w:val="00EC1179"/>
    <w:rsid w:val="00EC156A"/>
    <w:rsid w:val="00EC281A"/>
    <w:rsid w:val="00EC2A7E"/>
    <w:rsid w:val="00EC6A77"/>
    <w:rsid w:val="00ED038C"/>
    <w:rsid w:val="00ED2EAE"/>
    <w:rsid w:val="00ED3CFE"/>
    <w:rsid w:val="00ED439B"/>
    <w:rsid w:val="00ED5110"/>
    <w:rsid w:val="00ED640A"/>
    <w:rsid w:val="00ED6CA0"/>
    <w:rsid w:val="00ED7FD7"/>
    <w:rsid w:val="00EE1497"/>
    <w:rsid w:val="00EE28AD"/>
    <w:rsid w:val="00EE36A9"/>
    <w:rsid w:val="00EE36DB"/>
    <w:rsid w:val="00EE3C0F"/>
    <w:rsid w:val="00EE4B1D"/>
    <w:rsid w:val="00EE567F"/>
    <w:rsid w:val="00EE5D89"/>
    <w:rsid w:val="00EE6A4E"/>
    <w:rsid w:val="00EF1D92"/>
    <w:rsid w:val="00EF3154"/>
    <w:rsid w:val="00EF377D"/>
    <w:rsid w:val="00EF4193"/>
    <w:rsid w:val="00EF4AA3"/>
    <w:rsid w:val="00EF717A"/>
    <w:rsid w:val="00EF771B"/>
    <w:rsid w:val="00F00084"/>
    <w:rsid w:val="00F01C27"/>
    <w:rsid w:val="00F023E0"/>
    <w:rsid w:val="00F027D2"/>
    <w:rsid w:val="00F038EB"/>
    <w:rsid w:val="00F04024"/>
    <w:rsid w:val="00F05A74"/>
    <w:rsid w:val="00F05AC2"/>
    <w:rsid w:val="00F0721B"/>
    <w:rsid w:val="00F07A67"/>
    <w:rsid w:val="00F107F8"/>
    <w:rsid w:val="00F108D4"/>
    <w:rsid w:val="00F14DBC"/>
    <w:rsid w:val="00F15F5F"/>
    <w:rsid w:val="00F16D94"/>
    <w:rsid w:val="00F20F55"/>
    <w:rsid w:val="00F2295A"/>
    <w:rsid w:val="00F2435F"/>
    <w:rsid w:val="00F26426"/>
    <w:rsid w:val="00F268EC"/>
    <w:rsid w:val="00F2710F"/>
    <w:rsid w:val="00F31095"/>
    <w:rsid w:val="00F323AD"/>
    <w:rsid w:val="00F32E17"/>
    <w:rsid w:val="00F33CE4"/>
    <w:rsid w:val="00F33D6D"/>
    <w:rsid w:val="00F34A4C"/>
    <w:rsid w:val="00F35C1D"/>
    <w:rsid w:val="00F373F9"/>
    <w:rsid w:val="00F374C5"/>
    <w:rsid w:val="00F37839"/>
    <w:rsid w:val="00F40015"/>
    <w:rsid w:val="00F41210"/>
    <w:rsid w:val="00F428D2"/>
    <w:rsid w:val="00F43B70"/>
    <w:rsid w:val="00F45638"/>
    <w:rsid w:val="00F45F7F"/>
    <w:rsid w:val="00F473F7"/>
    <w:rsid w:val="00F512FF"/>
    <w:rsid w:val="00F51D08"/>
    <w:rsid w:val="00F52C18"/>
    <w:rsid w:val="00F55150"/>
    <w:rsid w:val="00F5620E"/>
    <w:rsid w:val="00F562AB"/>
    <w:rsid w:val="00F566BA"/>
    <w:rsid w:val="00F56E3A"/>
    <w:rsid w:val="00F60616"/>
    <w:rsid w:val="00F606B5"/>
    <w:rsid w:val="00F61668"/>
    <w:rsid w:val="00F616FC"/>
    <w:rsid w:val="00F6196B"/>
    <w:rsid w:val="00F61D30"/>
    <w:rsid w:val="00F624E0"/>
    <w:rsid w:val="00F6367A"/>
    <w:rsid w:val="00F63E7C"/>
    <w:rsid w:val="00F673C8"/>
    <w:rsid w:val="00F70514"/>
    <w:rsid w:val="00F70870"/>
    <w:rsid w:val="00F71835"/>
    <w:rsid w:val="00F718E1"/>
    <w:rsid w:val="00F758B2"/>
    <w:rsid w:val="00F763DB"/>
    <w:rsid w:val="00F76C5A"/>
    <w:rsid w:val="00F77076"/>
    <w:rsid w:val="00F80E44"/>
    <w:rsid w:val="00F829EA"/>
    <w:rsid w:val="00F87D1C"/>
    <w:rsid w:val="00F90E62"/>
    <w:rsid w:val="00F93ADC"/>
    <w:rsid w:val="00F93F1F"/>
    <w:rsid w:val="00F94DD5"/>
    <w:rsid w:val="00F9655D"/>
    <w:rsid w:val="00F96AD3"/>
    <w:rsid w:val="00F973B7"/>
    <w:rsid w:val="00F9752A"/>
    <w:rsid w:val="00FA0639"/>
    <w:rsid w:val="00FA14D8"/>
    <w:rsid w:val="00FA2256"/>
    <w:rsid w:val="00FA3385"/>
    <w:rsid w:val="00FA4D00"/>
    <w:rsid w:val="00FA5179"/>
    <w:rsid w:val="00FA5247"/>
    <w:rsid w:val="00FA5C10"/>
    <w:rsid w:val="00FB012A"/>
    <w:rsid w:val="00FB05F1"/>
    <w:rsid w:val="00FB1063"/>
    <w:rsid w:val="00FB1727"/>
    <w:rsid w:val="00FB1D4F"/>
    <w:rsid w:val="00FB2ADE"/>
    <w:rsid w:val="00FB33A1"/>
    <w:rsid w:val="00FB5408"/>
    <w:rsid w:val="00FB5553"/>
    <w:rsid w:val="00FB62E4"/>
    <w:rsid w:val="00FB6B77"/>
    <w:rsid w:val="00FB6DF6"/>
    <w:rsid w:val="00FB7109"/>
    <w:rsid w:val="00FB746C"/>
    <w:rsid w:val="00FB7730"/>
    <w:rsid w:val="00FC0493"/>
    <w:rsid w:val="00FC0849"/>
    <w:rsid w:val="00FC0E95"/>
    <w:rsid w:val="00FC1460"/>
    <w:rsid w:val="00FC1EC7"/>
    <w:rsid w:val="00FC21FE"/>
    <w:rsid w:val="00FC283C"/>
    <w:rsid w:val="00FC356E"/>
    <w:rsid w:val="00FC3FF5"/>
    <w:rsid w:val="00FC5DE8"/>
    <w:rsid w:val="00FC5EC0"/>
    <w:rsid w:val="00FC668B"/>
    <w:rsid w:val="00FD4145"/>
    <w:rsid w:val="00FD57BD"/>
    <w:rsid w:val="00FD67E8"/>
    <w:rsid w:val="00FD6DF3"/>
    <w:rsid w:val="00FD7354"/>
    <w:rsid w:val="00FD75A1"/>
    <w:rsid w:val="00FD7F32"/>
    <w:rsid w:val="00FE05C0"/>
    <w:rsid w:val="00FE0FB2"/>
    <w:rsid w:val="00FE1822"/>
    <w:rsid w:val="00FE209F"/>
    <w:rsid w:val="00FE315E"/>
    <w:rsid w:val="00FE37BB"/>
    <w:rsid w:val="00FE4AAF"/>
    <w:rsid w:val="00FE5F32"/>
    <w:rsid w:val="00FE794E"/>
    <w:rsid w:val="00FE7C08"/>
    <w:rsid w:val="00FF1779"/>
    <w:rsid w:val="00FF1D00"/>
    <w:rsid w:val="00FF24C8"/>
    <w:rsid w:val="00FF4897"/>
    <w:rsid w:val="00FF4ECE"/>
    <w:rsid w:val="00FF4F81"/>
    <w:rsid w:val="00FF4FC1"/>
    <w:rsid w:val="00FF5567"/>
    <w:rsid w:val="00FF616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B9687B"/>
  <w15:chartTrackingRefBased/>
  <w15:docId w15:val="{B6B78D83-0A59-477E-A215-9E2C936E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A74"/>
    <w:pPr>
      <w:spacing w:after="120" w:line="360" w:lineRule="auto"/>
      <w:ind w:firstLine="709"/>
      <w:jc w:val="both"/>
    </w:pPr>
    <w:rPr>
      <w:rFonts w:ascii="Arial" w:hAnsi="Arial"/>
      <w:lang w:val="en-GB"/>
    </w:rPr>
  </w:style>
  <w:style w:type="paragraph" w:styleId="Ttulo1">
    <w:name w:val="heading 1"/>
    <w:basedOn w:val="Normal"/>
    <w:next w:val="Normal"/>
    <w:link w:val="Ttulo1Carter"/>
    <w:uiPriority w:val="9"/>
    <w:qFormat/>
    <w:rsid w:val="00EE36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ter"/>
    <w:uiPriority w:val="9"/>
    <w:semiHidden/>
    <w:unhideWhenUsed/>
    <w:qFormat/>
    <w:rsid w:val="00A11A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
    <w:name w:val="Texto"/>
    <w:basedOn w:val="Normal"/>
    <w:link w:val="TextoCarter"/>
    <w:qFormat/>
    <w:rsid w:val="00DD5D6F"/>
    <w:rPr>
      <w:rFonts w:ascii="Garamond" w:hAnsi="Garamond"/>
      <w:sz w:val="24"/>
    </w:rPr>
  </w:style>
  <w:style w:type="character" w:customStyle="1" w:styleId="TextoCarter">
    <w:name w:val="Texto Caráter"/>
    <w:basedOn w:val="Tipodeletrapredefinidodopargrafo"/>
    <w:link w:val="Texto"/>
    <w:rsid w:val="00DD5D6F"/>
    <w:rPr>
      <w:rFonts w:ascii="Garamond" w:hAnsi="Garamond"/>
      <w:sz w:val="24"/>
    </w:rPr>
  </w:style>
  <w:style w:type="paragraph" w:customStyle="1" w:styleId="Seco">
    <w:name w:val="Secção"/>
    <w:basedOn w:val="Texto"/>
    <w:link w:val="SecoCarter"/>
    <w:qFormat/>
    <w:rsid w:val="00DD5D6F"/>
    <w:rPr>
      <w:b/>
      <w:color w:val="2E74B5" w:themeColor="accent1" w:themeShade="BF"/>
      <w:sz w:val="28"/>
    </w:rPr>
  </w:style>
  <w:style w:type="character" w:customStyle="1" w:styleId="SecoCarter">
    <w:name w:val="Secção Caráter"/>
    <w:basedOn w:val="TextoCarter"/>
    <w:link w:val="Seco"/>
    <w:rsid w:val="00DD5D6F"/>
    <w:rPr>
      <w:rFonts w:ascii="Garamond" w:hAnsi="Garamond"/>
      <w:b/>
      <w:color w:val="2E74B5" w:themeColor="accent1" w:themeShade="BF"/>
      <w:sz w:val="28"/>
    </w:rPr>
  </w:style>
  <w:style w:type="paragraph" w:customStyle="1" w:styleId="Subseco">
    <w:name w:val="Subsecção"/>
    <w:basedOn w:val="Seco"/>
    <w:link w:val="SubsecoCarter"/>
    <w:qFormat/>
    <w:rsid w:val="00DD5D6F"/>
    <w:rPr>
      <w:sz w:val="24"/>
    </w:rPr>
  </w:style>
  <w:style w:type="character" w:customStyle="1" w:styleId="SubsecoCarter">
    <w:name w:val="Subsecção Caráter"/>
    <w:basedOn w:val="SecoCarter"/>
    <w:link w:val="Subseco"/>
    <w:rsid w:val="00DD5D6F"/>
    <w:rPr>
      <w:rFonts w:ascii="Garamond" w:hAnsi="Garamond"/>
      <w:b/>
      <w:color w:val="2E74B5" w:themeColor="accent1" w:themeShade="BF"/>
      <w:sz w:val="24"/>
    </w:rPr>
  </w:style>
  <w:style w:type="paragraph" w:customStyle="1" w:styleId="Chaptertitle">
    <w:name w:val="Chapter title"/>
    <w:basedOn w:val="Ttulo1"/>
    <w:link w:val="ChaptertitleCarter"/>
    <w:qFormat/>
    <w:rsid w:val="00EE36A9"/>
    <w:pPr>
      <w:jc w:val="center"/>
    </w:pPr>
    <w:rPr>
      <w:rFonts w:ascii="Garamond" w:hAnsi="Garamond"/>
      <w:b/>
      <w:i/>
      <w:color w:val="000000" w:themeColor="text1"/>
      <w:sz w:val="26"/>
      <w:szCs w:val="26"/>
    </w:rPr>
  </w:style>
  <w:style w:type="character" w:customStyle="1" w:styleId="ChaptertitleCarter">
    <w:name w:val="Chapter title Caráter"/>
    <w:basedOn w:val="Ttulo1Carter"/>
    <w:link w:val="Chaptertitle"/>
    <w:rsid w:val="00EE36A9"/>
    <w:rPr>
      <w:rFonts w:ascii="Garamond" w:eastAsiaTheme="majorEastAsia" w:hAnsi="Garamond" w:cstheme="majorBidi"/>
      <w:b/>
      <w:i/>
      <w:color w:val="000000" w:themeColor="text1"/>
      <w:sz w:val="26"/>
      <w:szCs w:val="26"/>
      <w:lang w:val="en-GB"/>
    </w:rPr>
  </w:style>
  <w:style w:type="character" w:customStyle="1" w:styleId="Ttulo1Carter">
    <w:name w:val="Título 1 Caráter"/>
    <w:basedOn w:val="Tipodeletrapredefinidodopargrafo"/>
    <w:link w:val="Ttulo1"/>
    <w:uiPriority w:val="9"/>
    <w:rsid w:val="00EE36A9"/>
    <w:rPr>
      <w:rFonts w:asciiTheme="majorHAnsi" w:eastAsiaTheme="majorEastAsia" w:hAnsiTheme="majorHAnsi" w:cstheme="majorBidi"/>
      <w:color w:val="2E74B5" w:themeColor="accent1" w:themeShade="BF"/>
      <w:sz w:val="32"/>
      <w:szCs w:val="32"/>
    </w:rPr>
  </w:style>
  <w:style w:type="character" w:styleId="TextodoMarcadordePosio">
    <w:name w:val="Placeholder Text"/>
    <w:basedOn w:val="Tipodeletrapredefinidodopargrafo"/>
    <w:uiPriority w:val="99"/>
    <w:semiHidden/>
    <w:rsid w:val="008222D2"/>
    <w:rPr>
      <w:color w:val="808080"/>
    </w:rPr>
  </w:style>
  <w:style w:type="paragraph" w:customStyle="1" w:styleId="tesettulos">
    <w:name w:val="tese títulos"/>
    <w:basedOn w:val="Ttulo1"/>
    <w:next w:val="Normal"/>
    <w:link w:val="tesettulosCarter"/>
    <w:qFormat/>
    <w:rsid w:val="004A4869"/>
    <w:pPr>
      <w:spacing w:before="480" w:after="240"/>
      <w:ind w:firstLine="0"/>
    </w:pPr>
    <w:rPr>
      <w:rFonts w:ascii="Arial" w:hAnsi="Arial" w:cs="Arial"/>
      <w:b/>
      <w:color w:val="000000" w:themeColor="text1"/>
      <w:sz w:val="28"/>
      <w:szCs w:val="28"/>
    </w:rPr>
  </w:style>
  <w:style w:type="paragraph" w:styleId="Cabealho">
    <w:name w:val="header"/>
    <w:basedOn w:val="Normal"/>
    <w:link w:val="CabealhoCarter"/>
    <w:uiPriority w:val="99"/>
    <w:unhideWhenUsed/>
    <w:rsid w:val="00906DFA"/>
    <w:pPr>
      <w:tabs>
        <w:tab w:val="center" w:pos="4252"/>
        <w:tab w:val="right" w:pos="8504"/>
      </w:tabs>
      <w:spacing w:after="0" w:line="240" w:lineRule="auto"/>
    </w:pPr>
  </w:style>
  <w:style w:type="character" w:customStyle="1" w:styleId="tesettulosCarter">
    <w:name w:val="tese títulos Caráter"/>
    <w:basedOn w:val="Tipodeletrapredefinidodopargrafo"/>
    <w:link w:val="tesettulos"/>
    <w:rsid w:val="004A4869"/>
    <w:rPr>
      <w:rFonts w:ascii="Arial" w:eastAsiaTheme="majorEastAsia" w:hAnsi="Arial" w:cs="Arial"/>
      <w:b/>
      <w:color w:val="000000" w:themeColor="text1"/>
      <w:sz w:val="28"/>
      <w:szCs w:val="28"/>
      <w:lang w:val="en-GB"/>
    </w:rPr>
  </w:style>
  <w:style w:type="character" w:customStyle="1" w:styleId="CabealhoCarter">
    <w:name w:val="Cabeçalho Caráter"/>
    <w:basedOn w:val="Tipodeletrapredefinidodopargrafo"/>
    <w:link w:val="Cabealho"/>
    <w:uiPriority w:val="99"/>
    <w:rsid w:val="00906DFA"/>
    <w:rPr>
      <w:rFonts w:ascii="Arial" w:hAnsi="Arial"/>
    </w:rPr>
  </w:style>
  <w:style w:type="paragraph" w:styleId="Rodap">
    <w:name w:val="footer"/>
    <w:basedOn w:val="Normal"/>
    <w:link w:val="RodapCarter"/>
    <w:uiPriority w:val="99"/>
    <w:unhideWhenUsed/>
    <w:rsid w:val="00906DFA"/>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06DFA"/>
    <w:rPr>
      <w:rFonts w:ascii="Arial" w:hAnsi="Arial"/>
    </w:rPr>
  </w:style>
  <w:style w:type="paragraph" w:styleId="PargrafodaLista">
    <w:name w:val="List Paragraph"/>
    <w:basedOn w:val="Normal"/>
    <w:uiPriority w:val="34"/>
    <w:qFormat/>
    <w:rsid w:val="00443F98"/>
    <w:pPr>
      <w:ind w:left="720"/>
      <w:contextualSpacing/>
    </w:pPr>
  </w:style>
  <w:style w:type="paragraph" w:styleId="Cabealhodondice">
    <w:name w:val="TOC Heading"/>
    <w:basedOn w:val="Ttulo1"/>
    <w:next w:val="Normal"/>
    <w:uiPriority w:val="39"/>
    <w:unhideWhenUsed/>
    <w:qFormat/>
    <w:rsid w:val="0044040F"/>
    <w:pPr>
      <w:spacing w:line="259" w:lineRule="auto"/>
      <w:ind w:firstLine="0"/>
      <w:jc w:val="left"/>
      <w:outlineLvl w:val="9"/>
    </w:pPr>
    <w:rPr>
      <w:lang w:eastAsia="pt-PT"/>
    </w:rPr>
  </w:style>
  <w:style w:type="paragraph" w:styleId="ndice1">
    <w:name w:val="toc 1"/>
    <w:basedOn w:val="Normal"/>
    <w:next w:val="Normal"/>
    <w:autoRedefine/>
    <w:uiPriority w:val="39"/>
    <w:unhideWhenUsed/>
    <w:rsid w:val="008B1069"/>
    <w:pPr>
      <w:tabs>
        <w:tab w:val="right" w:leader="dot" w:pos="8777"/>
      </w:tabs>
      <w:spacing w:after="100"/>
      <w:ind w:firstLine="0"/>
    </w:pPr>
  </w:style>
  <w:style w:type="character" w:styleId="Hiperligao">
    <w:name w:val="Hyperlink"/>
    <w:basedOn w:val="Tipodeletrapredefinidodopargrafo"/>
    <w:uiPriority w:val="99"/>
    <w:unhideWhenUsed/>
    <w:rsid w:val="0044040F"/>
    <w:rPr>
      <w:color w:val="0563C1" w:themeColor="hyperlink"/>
      <w:u w:val="single"/>
    </w:rPr>
  </w:style>
  <w:style w:type="paragraph" w:customStyle="1" w:styleId="Estilo1">
    <w:name w:val="Estilo1"/>
    <w:basedOn w:val="Ttulo2"/>
    <w:next w:val="Normal"/>
    <w:link w:val="Estilo1Carter"/>
    <w:autoRedefine/>
    <w:qFormat/>
    <w:rsid w:val="00F05A74"/>
    <w:pPr>
      <w:spacing w:before="240" w:after="240"/>
      <w:ind w:firstLine="0"/>
    </w:pPr>
    <w:rPr>
      <w:rFonts w:ascii="Arial" w:hAnsi="Arial" w:cs="Arial"/>
      <w:b/>
      <w:color w:val="auto"/>
      <w:sz w:val="24"/>
    </w:rPr>
  </w:style>
  <w:style w:type="paragraph" w:styleId="ndice2">
    <w:name w:val="toc 2"/>
    <w:basedOn w:val="Normal"/>
    <w:next w:val="Normal"/>
    <w:autoRedefine/>
    <w:uiPriority w:val="39"/>
    <w:unhideWhenUsed/>
    <w:rsid w:val="00A11A26"/>
    <w:pPr>
      <w:spacing w:after="100"/>
      <w:ind w:left="220"/>
    </w:pPr>
  </w:style>
  <w:style w:type="character" w:customStyle="1" w:styleId="Ttulo2Carter">
    <w:name w:val="Título 2 Caráter"/>
    <w:basedOn w:val="Tipodeletrapredefinidodopargrafo"/>
    <w:link w:val="Ttulo2"/>
    <w:uiPriority w:val="9"/>
    <w:semiHidden/>
    <w:rsid w:val="00A11A26"/>
    <w:rPr>
      <w:rFonts w:asciiTheme="majorHAnsi" w:eastAsiaTheme="majorEastAsia" w:hAnsiTheme="majorHAnsi" w:cstheme="majorBidi"/>
      <w:color w:val="2E74B5" w:themeColor="accent1" w:themeShade="BF"/>
      <w:sz w:val="26"/>
      <w:szCs w:val="26"/>
    </w:rPr>
  </w:style>
  <w:style w:type="character" w:customStyle="1" w:styleId="Estilo1Carter">
    <w:name w:val="Estilo1 Caráter"/>
    <w:basedOn w:val="Ttulo2Carter"/>
    <w:link w:val="Estilo1"/>
    <w:rsid w:val="00F05A74"/>
    <w:rPr>
      <w:rFonts w:ascii="Arial" w:eastAsiaTheme="majorEastAsia" w:hAnsi="Arial" w:cs="Arial"/>
      <w:b/>
      <w:color w:val="2E74B5" w:themeColor="accent1" w:themeShade="BF"/>
      <w:sz w:val="24"/>
      <w:szCs w:val="26"/>
      <w:lang w:val="en-GB"/>
    </w:rPr>
  </w:style>
  <w:style w:type="table" w:styleId="TabelacomGrelha">
    <w:name w:val="Table Grid"/>
    <w:basedOn w:val="Tabelanormal"/>
    <w:uiPriority w:val="39"/>
    <w:rsid w:val="00404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C715C7"/>
    <w:pPr>
      <w:spacing w:after="0"/>
      <w:ind w:firstLine="0"/>
    </w:pPr>
    <w:rPr>
      <w:iCs/>
      <w:color w:val="000000" w:themeColor="text1"/>
      <w:sz w:val="18"/>
      <w:szCs w:val="18"/>
    </w:rPr>
  </w:style>
  <w:style w:type="table" w:styleId="TabelaSimples2">
    <w:name w:val="Plain Table 2"/>
    <w:basedOn w:val="Tabelanormal"/>
    <w:uiPriority w:val="42"/>
    <w:rsid w:val="000619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dicedeilustraes">
    <w:name w:val="table of figures"/>
    <w:basedOn w:val="Normal"/>
    <w:next w:val="Normal"/>
    <w:uiPriority w:val="99"/>
    <w:unhideWhenUsed/>
    <w:rsid w:val="008B1069"/>
    <w:pPr>
      <w:spacing w:after="0"/>
      <w:ind w:firstLine="0"/>
    </w:pPr>
  </w:style>
  <w:style w:type="paragraph" w:styleId="Reviso">
    <w:name w:val="Revision"/>
    <w:hidden/>
    <w:uiPriority w:val="99"/>
    <w:semiHidden/>
    <w:rsid w:val="000B629D"/>
    <w:pPr>
      <w:spacing w:after="0" w:line="240" w:lineRule="auto"/>
    </w:pPr>
    <w:rPr>
      <w:rFonts w:ascii="Arial" w:hAnsi="Arial"/>
      <w:lang w:val="en-GB"/>
    </w:rPr>
  </w:style>
  <w:style w:type="character" w:styleId="Refdecomentrio">
    <w:name w:val="annotation reference"/>
    <w:basedOn w:val="Tipodeletrapredefinidodopargrafo"/>
    <w:uiPriority w:val="99"/>
    <w:semiHidden/>
    <w:unhideWhenUsed/>
    <w:rsid w:val="00DB02A0"/>
    <w:rPr>
      <w:sz w:val="16"/>
      <w:szCs w:val="16"/>
    </w:rPr>
  </w:style>
  <w:style w:type="paragraph" w:styleId="Textodecomentrio">
    <w:name w:val="annotation text"/>
    <w:basedOn w:val="Normal"/>
    <w:link w:val="TextodecomentrioCarter"/>
    <w:uiPriority w:val="99"/>
    <w:semiHidden/>
    <w:unhideWhenUsed/>
    <w:rsid w:val="00DB02A0"/>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DB02A0"/>
    <w:rPr>
      <w:rFonts w:ascii="Arial" w:hAnsi="Arial"/>
      <w:sz w:val="20"/>
      <w:szCs w:val="20"/>
      <w:lang w:val="en-GB"/>
    </w:rPr>
  </w:style>
  <w:style w:type="paragraph" w:styleId="Assuntodecomentrio">
    <w:name w:val="annotation subject"/>
    <w:basedOn w:val="Textodecomentrio"/>
    <w:next w:val="Textodecomentrio"/>
    <w:link w:val="AssuntodecomentrioCarter"/>
    <w:uiPriority w:val="99"/>
    <w:semiHidden/>
    <w:unhideWhenUsed/>
    <w:rsid w:val="00DB02A0"/>
    <w:rPr>
      <w:b/>
      <w:bCs/>
    </w:rPr>
  </w:style>
  <w:style w:type="character" w:customStyle="1" w:styleId="AssuntodecomentrioCarter">
    <w:name w:val="Assunto de comentário Caráter"/>
    <w:basedOn w:val="TextodecomentrioCarter"/>
    <w:link w:val="Assuntodecomentrio"/>
    <w:uiPriority w:val="99"/>
    <w:semiHidden/>
    <w:rsid w:val="00DB02A0"/>
    <w:rPr>
      <w:rFonts w:ascii="Arial" w:hAnsi="Arial"/>
      <w:b/>
      <w:bCs/>
      <w:sz w:val="20"/>
      <w:szCs w:val="20"/>
      <w:lang w:val="en-GB"/>
    </w:rPr>
  </w:style>
  <w:style w:type="paragraph" w:styleId="Textodebalo">
    <w:name w:val="Balloon Text"/>
    <w:basedOn w:val="Normal"/>
    <w:link w:val="TextodebaloCarter"/>
    <w:uiPriority w:val="99"/>
    <w:semiHidden/>
    <w:unhideWhenUsed/>
    <w:rsid w:val="00D15F0B"/>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D15F0B"/>
    <w:rPr>
      <w:rFonts w:ascii="Segoe UI" w:hAnsi="Segoe UI" w:cs="Segoe UI"/>
      <w:sz w:val="18"/>
      <w:szCs w:val="18"/>
      <w:lang w:val="en-GB"/>
    </w:rPr>
  </w:style>
  <w:style w:type="character" w:customStyle="1" w:styleId="MenoNoResolvida1">
    <w:name w:val="Menção Não Resolvida1"/>
    <w:basedOn w:val="Tipodeletrapredefinidodopargrafo"/>
    <w:uiPriority w:val="99"/>
    <w:semiHidden/>
    <w:unhideWhenUsed/>
    <w:rsid w:val="00073F5B"/>
    <w:rPr>
      <w:color w:val="605E5C"/>
      <w:shd w:val="clear" w:color="auto" w:fill="E1DFDD"/>
    </w:rPr>
  </w:style>
  <w:style w:type="character" w:customStyle="1" w:styleId="MenoNoResolvida2">
    <w:name w:val="Menção Não Resolvida2"/>
    <w:basedOn w:val="Tipodeletrapredefinidodopargrafo"/>
    <w:uiPriority w:val="99"/>
    <w:semiHidden/>
    <w:unhideWhenUsed/>
    <w:rsid w:val="00E15C50"/>
    <w:rPr>
      <w:color w:val="605E5C"/>
      <w:shd w:val="clear" w:color="auto" w:fill="E1DFDD"/>
    </w:rPr>
  </w:style>
  <w:style w:type="character" w:customStyle="1" w:styleId="identifier">
    <w:name w:val="identifier"/>
    <w:basedOn w:val="Tipodeletrapredefinidodopargrafo"/>
    <w:rsid w:val="00914208"/>
  </w:style>
  <w:style w:type="character" w:styleId="Hiperligaovisitada">
    <w:name w:val="FollowedHyperlink"/>
    <w:basedOn w:val="Tipodeletrapredefinidodopargrafo"/>
    <w:uiPriority w:val="99"/>
    <w:semiHidden/>
    <w:unhideWhenUsed/>
    <w:rsid w:val="004A4D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7645">
      <w:bodyDiv w:val="1"/>
      <w:marLeft w:val="0"/>
      <w:marRight w:val="0"/>
      <w:marTop w:val="0"/>
      <w:marBottom w:val="0"/>
      <w:divBdr>
        <w:top w:val="none" w:sz="0" w:space="0" w:color="auto"/>
        <w:left w:val="none" w:sz="0" w:space="0" w:color="auto"/>
        <w:bottom w:val="none" w:sz="0" w:space="0" w:color="auto"/>
        <w:right w:val="none" w:sz="0" w:space="0" w:color="auto"/>
      </w:divBdr>
      <w:divsChild>
        <w:div w:id="49816881">
          <w:marLeft w:val="480"/>
          <w:marRight w:val="0"/>
          <w:marTop w:val="0"/>
          <w:marBottom w:val="0"/>
          <w:divBdr>
            <w:top w:val="none" w:sz="0" w:space="0" w:color="auto"/>
            <w:left w:val="none" w:sz="0" w:space="0" w:color="auto"/>
            <w:bottom w:val="none" w:sz="0" w:space="0" w:color="auto"/>
            <w:right w:val="none" w:sz="0" w:space="0" w:color="auto"/>
          </w:divBdr>
        </w:div>
        <w:div w:id="113334003">
          <w:marLeft w:val="480"/>
          <w:marRight w:val="0"/>
          <w:marTop w:val="0"/>
          <w:marBottom w:val="0"/>
          <w:divBdr>
            <w:top w:val="none" w:sz="0" w:space="0" w:color="auto"/>
            <w:left w:val="none" w:sz="0" w:space="0" w:color="auto"/>
            <w:bottom w:val="none" w:sz="0" w:space="0" w:color="auto"/>
            <w:right w:val="none" w:sz="0" w:space="0" w:color="auto"/>
          </w:divBdr>
        </w:div>
        <w:div w:id="142892529">
          <w:marLeft w:val="480"/>
          <w:marRight w:val="0"/>
          <w:marTop w:val="0"/>
          <w:marBottom w:val="0"/>
          <w:divBdr>
            <w:top w:val="none" w:sz="0" w:space="0" w:color="auto"/>
            <w:left w:val="none" w:sz="0" w:space="0" w:color="auto"/>
            <w:bottom w:val="none" w:sz="0" w:space="0" w:color="auto"/>
            <w:right w:val="none" w:sz="0" w:space="0" w:color="auto"/>
          </w:divBdr>
        </w:div>
        <w:div w:id="535968007">
          <w:marLeft w:val="480"/>
          <w:marRight w:val="0"/>
          <w:marTop w:val="0"/>
          <w:marBottom w:val="0"/>
          <w:divBdr>
            <w:top w:val="none" w:sz="0" w:space="0" w:color="auto"/>
            <w:left w:val="none" w:sz="0" w:space="0" w:color="auto"/>
            <w:bottom w:val="none" w:sz="0" w:space="0" w:color="auto"/>
            <w:right w:val="none" w:sz="0" w:space="0" w:color="auto"/>
          </w:divBdr>
        </w:div>
        <w:div w:id="632366243">
          <w:marLeft w:val="480"/>
          <w:marRight w:val="0"/>
          <w:marTop w:val="0"/>
          <w:marBottom w:val="0"/>
          <w:divBdr>
            <w:top w:val="none" w:sz="0" w:space="0" w:color="auto"/>
            <w:left w:val="none" w:sz="0" w:space="0" w:color="auto"/>
            <w:bottom w:val="none" w:sz="0" w:space="0" w:color="auto"/>
            <w:right w:val="none" w:sz="0" w:space="0" w:color="auto"/>
          </w:divBdr>
        </w:div>
        <w:div w:id="913390586">
          <w:marLeft w:val="480"/>
          <w:marRight w:val="0"/>
          <w:marTop w:val="0"/>
          <w:marBottom w:val="0"/>
          <w:divBdr>
            <w:top w:val="none" w:sz="0" w:space="0" w:color="auto"/>
            <w:left w:val="none" w:sz="0" w:space="0" w:color="auto"/>
            <w:bottom w:val="none" w:sz="0" w:space="0" w:color="auto"/>
            <w:right w:val="none" w:sz="0" w:space="0" w:color="auto"/>
          </w:divBdr>
        </w:div>
        <w:div w:id="971905107">
          <w:marLeft w:val="480"/>
          <w:marRight w:val="0"/>
          <w:marTop w:val="0"/>
          <w:marBottom w:val="0"/>
          <w:divBdr>
            <w:top w:val="none" w:sz="0" w:space="0" w:color="auto"/>
            <w:left w:val="none" w:sz="0" w:space="0" w:color="auto"/>
            <w:bottom w:val="none" w:sz="0" w:space="0" w:color="auto"/>
            <w:right w:val="none" w:sz="0" w:space="0" w:color="auto"/>
          </w:divBdr>
        </w:div>
        <w:div w:id="1137919725">
          <w:marLeft w:val="480"/>
          <w:marRight w:val="0"/>
          <w:marTop w:val="0"/>
          <w:marBottom w:val="0"/>
          <w:divBdr>
            <w:top w:val="none" w:sz="0" w:space="0" w:color="auto"/>
            <w:left w:val="none" w:sz="0" w:space="0" w:color="auto"/>
            <w:bottom w:val="none" w:sz="0" w:space="0" w:color="auto"/>
            <w:right w:val="none" w:sz="0" w:space="0" w:color="auto"/>
          </w:divBdr>
        </w:div>
        <w:div w:id="1182818266">
          <w:marLeft w:val="480"/>
          <w:marRight w:val="0"/>
          <w:marTop w:val="0"/>
          <w:marBottom w:val="0"/>
          <w:divBdr>
            <w:top w:val="none" w:sz="0" w:space="0" w:color="auto"/>
            <w:left w:val="none" w:sz="0" w:space="0" w:color="auto"/>
            <w:bottom w:val="none" w:sz="0" w:space="0" w:color="auto"/>
            <w:right w:val="none" w:sz="0" w:space="0" w:color="auto"/>
          </w:divBdr>
        </w:div>
        <w:div w:id="1184132122">
          <w:marLeft w:val="480"/>
          <w:marRight w:val="0"/>
          <w:marTop w:val="0"/>
          <w:marBottom w:val="0"/>
          <w:divBdr>
            <w:top w:val="none" w:sz="0" w:space="0" w:color="auto"/>
            <w:left w:val="none" w:sz="0" w:space="0" w:color="auto"/>
            <w:bottom w:val="none" w:sz="0" w:space="0" w:color="auto"/>
            <w:right w:val="none" w:sz="0" w:space="0" w:color="auto"/>
          </w:divBdr>
        </w:div>
        <w:div w:id="1286888849">
          <w:marLeft w:val="480"/>
          <w:marRight w:val="0"/>
          <w:marTop w:val="0"/>
          <w:marBottom w:val="0"/>
          <w:divBdr>
            <w:top w:val="none" w:sz="0" w:space="0" w:color="auto"/>
            <w:left w:val="none" w:sz="0" w:space="0" w:color="auto"/>
            <w:bottom w:val="none" w:sz="0" w:space="0" w:color="auto"/>
            <w:right w:val="none" w:sz="0" w:space="0" w:color="auto"/>
          </w:divBdr>
        </w:div>
        <w:div w:id="1301496688">
          <w:marLeft w:val="480"/>
          <w:marRight w:val="0"/>
          <w:marTop w:val="0"/>
          <w:marBottom w:val="0"/>
          <w:divBdr>
            <w:top w:val="none" w:sz="0" w:space="0" w:color="auto"/>
            <w:left w:val="none" w:sz="0" w:space="0" w:color="auto"/>
            <w:bottom w:val="none" w:sz="0" w:space="0" w:color="auto"/>
            <w:right w:val="none" w:sz="0" w:space="0" w:color="auto"/>
          </w:divBdr>
        </w:div>
        <w:div w:id="1801802885">
          <w:marLeft w:val="480"/>
          <w:marRight w:val="0"/>
          <w:marTop w:val="0"/>
          <w:marBottom w:val="0"/>
          <w:divBdr>
            <w:top w:val="none" w:sz="0" w:space="0" w:color="auto"/>
            <w:left w:val="none" w:sz="0" w:space="0" w:color="auto"/>
            <w:bottom w:val="none" w:sz="0" w:space="0" w:color="auto"/>
            <w:right w:val="none" w:sz="0" w:space="0" w:color="auto"/>
          </w:divBdr>
        </w:div>
        <w:div w:id="2033919773">
          <w:marLeft w:val="480"/>
          <w:marRight w:val="0"/>
          <w:marTop w:val="0"/>
          <w:marBottom w:val="0"/>
          <w:divBdr>
            <w:top w:val="none" w:sz="0" w:space="0" w:color="auto"/>
            <w:left w:val="none" w:sz="0" w:space="0" w:color="auto"/>
            <w:bottom w:val="none" w:sz="0" w:space="0" w:color="auto"/>
            <w:right w:val="none" w:sz="0" w:space="0" w:color="auto"/>
          </w:divBdr>
        </w:div>
        <w:div w:id="2122455512">
          <w:marLeft w:val="480"/>
          <w:marRight w:val="0"/>
          <w:marTop w:val="0"/>
          <w:marBottom w:val="0"/>
          <w:divBdr>
            <w:top w:val="none" w:sz="0" w:space="0" w:color="auto"/>
            <w:left w:val="none" w:sz="0" w:space="0" w:color="auto"/>
            <w:bottom w:val="none" w:sz="0" w:space="0" w:color="auto"/>
            <w:right w:val="none" w:sz="0" w:space="0" w:color="auto"/>
          </w:divBdr>
        </w:div>
      </w:divsChild>
    </w:div>
    <w:div w:id="97256690">
      <w:bodyDiv w:val="1"/>
      <w:marLeft w:val="0"/>
      <w:marRight w:val="0"/>
      <w:marTop w:val="0"/>
      <w:marBottom w:val="0"/>
      <w:divBdr>
        <w:top w:val="none" w:sz="0" w:space="0" w:color="auto"/>
        <w:left w:val="none" w:sz="0" w:space="0" w:color="auto"/>
        <w:bottom w:val="none" w:sz="0" w:space="0" w:color="auto"/>
        <w:right w:val="none" w:sz="0" w:space="0" w:color="auto"/>
      </w:divBdr>
    </w:div>
    <w:div w:id="104153012">
      <w:bodyDiv w:val="1"/>
      <w:marLeft w:val="0"/>
      <w:marRight w:val="0"/>
      <w:marTop w:val="0"/>
      <w:marBottom w:val="0"/>
      <w:divBdr>
        <w:top w:val="none" w:sz="0" w:space="0" w:color="auto"/>
        <w:left w:val="none" w:sz="0" w:space="0" w:color="auto"/>
        <w:bottom w:val="none" w:sz="0" w:space="0" w:color="auto"/>
        <w:right w:val="none" w:sz="0" w:space="0" w:color="auto"/>
      </w:divBdr>
      <w:divsChild>
        <w:div w:id="345399353">
          <w:marLeft w:val="480"/>
          <w:marRight w:val="0"/>
          <w:marTop w:val="0"/>
          <w:marBottom w:val="0"/>
          <w:divBdr>
            <w:top w:val="none" w:sz="0" w:space="0" w:color="auto"/>
            <w:left w:val="none" w:sz="0" w:space="0" w:color="auto"/>
            <w:bottom w:val="none" w:sz="0" w:space="0" w:color="auto"/>
            <w:right w:val="none" w:sz="0" w:space="0" w:color="auto"/>
          </w:divBdr>
        </w:div>
        <w:div w:id="390882673">
          <w:marLeft w:val="480"/>
          <w:marRight w:val="0"/>
          <w:marTop w:val="0"/>
          <w:marBottom w:val="0"/>
          <w:divBdr>
            <w:top w:val="none" w:sz="0" w:space="0" w:color="auto"/>
            <w:left w:val="none" w:sz="0" w:space="0" w:color="auto"/>
            <w:bottom w:val="none" w:sz="0" w:space="0" w:color="auto"/>
            <w:right w:val="none" w:sz="0" w:space="0" w:color="auto"/>
          </w:divBdr>
        </w:div>
        <w:div w:id="431898407">
          <w:marLeft w:val="480"/>
          <w:marRight w:val="0"/>
          <w:marTop w:val="0"/>
          <w:marBottom w:val="0"/>
          <w:divBdr>
            <w:top w:val="none" w:sz="0" w:space="0" w:color="auto"/>
            <w:left w:val="none" w:sz="0" w:space="0" w:color="auto"/>
            <w:bottom w:val="none" w:sz="0" w:space="0" w:color="auto"/>
            <w:right w:val="none" w:sz="0" w:space="0" w:color="auto"/>
          </w:divBdr>
        </w:div>
        <w:div w:id="524565242">
          <w:marLeft w:val="480"/>
          <w:marRight w:val="0"/>
          <w:marTop w:val="0"/>
          <w:marBottom w:val="0"/>
          <w:divBdr>
            <w:top w:val="none" w:sz="0" w:space="0" w:color="auto"/>
            <w:left w:val="none" w:sz="0" w:space="0" w:color="auto"/>
            <w:bottom w:val="none" w:sz="0" w:space="0" w:color="auto"/>
            <w:right w:val="none" w:sz="0" w:space="0" w:color="auto"/>
          </w:divBdr>
        </w:div>
        <w:div w:id="625938390">
          <w:marLeft w:val="480"/>
          <w:marRight w:val="0"/>
          <w:marTop w:val="0"/>
          <w:marBottom w:val="0"/>
          <w:divBdr>
            <w:top w:val="none" w:sz="0" w:space="0" w:color="auto"/>
            <w:left w:val="none" w:sz="0" w:space="0" w:color="auto"/>
            <w:bottom w:val="none" w:sz="0" w:space="0" w:color="auto"/>
            <w:right w:val="none" w:sz="0" w:space="0" w:color="auto"/>
          </w:divBdr>
        </w:div>
        <w:div w:id="749623839">
          <w:marLeft w:val="480"/>
          <w:marRight w:val="0"/>
          <w:marTop w:val="0"/>
          <w:marBottom w:val="0"/>
          <w:divBdr>
            <w:top w:val="none" w:sz="0" w:space="0" w:color="auto"/>
            <w:left w:val="none" w:sz="0" w:space="0" w:color="auto"/>
            <w:bottom w:val="none" w:sz="0" w:space="0" w:color="auto"/>
            <w:right w:val="none" w:sz="0" w:space="0" w:color="auto"/>
          </w:divBdr>
        </w:div>
        <w:div w:id="820847336">
          <w:marLeft w:val="480"/>
          <w:marRight w:val="0"/>
          <w:marTop w:val="0"/>
          <w:marBottom w:val="0"/>
          <w:divBdr>
            <w:top w:val="none" w:sz="0" w:space="0" w:color="auto"/>
            <w:left w:val="none" w:sz="0" w:space="0" w:color="auto"/>
            <w:bottom w:val="none" w:sz="0" w:space="0" w:color="auto"/>
            <w:right w:val="none" w:sz="0" w:space="0" w:color="auto"/>
          </w:divBdr>
        </w:div>
        <w:div w:id="868446000">
          <w:marLeft w:val="480"/>
          <w:marRight w:val="0"/>
          <w:marTop w:val="0"/>
          <w:marBottom w:val="0"/>
          <w:divBdr>
            <w:top w:val="none" w:sz="0" w:space="0" w:color="auto"/>
            <w:left w:val="none" w:sz="0" w:space="0" w:color="auto"/>
            <w:bottom w:val="none" w:sz="0" w:space="0" w:color="auto"/>
            <w:right w:val="none" w:sz="0" w:space="0" w:color="auto"/>
          </w:divBdr>
        </w:div>
        <w:div w:id="982658576">
          <w:marLeft w:val="480"/>
          <w:marRight w:val="0"/>
          <w:marTop w:val="0"/>
          <w:marBottom w:val="0"/>
          <w:divBdr>
            <w:top w:val="none" w:sz="0" w:space="0" w:color="auto"/>
            <w:left w:val="none" w:sz="0" w:space="0" w:color="auto"/>
            <w:bottom w:val="none" w:sz="0" w:space="0" w:color="auto"/>
            <w:right w:val="none" w:sz="0" w:space="0" w:color="auto"/>
          </w:divBdr>
        </w:div>
        <w:div w:id="1014190428">
          <w:marLeft w:val="480"/>
          <w:marRight w:val="0"/>
          <w:marTop w:val="0"/>
          <w:marBottom w:val="0"/>
          <w:divBdr>
            <w:top w:val="none" w:sz="0" w:space="0" w:color="auto"/>
            <w:left w:val="none" w:sz="0" w:space="0" w:color="auto"/>
            <w:bottom w:val="none" w:sz="0" w:space="0" w:color="auto"/>
            <w:right w:val="none" w:sz="0" w:space="0" w:color="auto"/>
          </w:divBdr>
        </w:div>
        <w:div w:id="1062678596">
          <w:marLeft w:val="480"/>
          <w:marRight w:val="0"/>
          <w:marTop w:val="0"/>
          <w:marBottom w:val="0"/>
          <w:divBdr>
            <w:top w:val="none" w:sz="0" w:space="0" w:color="auto"/>
            <w:left w:val="none" w:sz="0" w:space="0" w:color="auto"/>
            <w:bottom w:val="none" w:sz="0" w:space="0" w:color="auto"/>
            <w:right w:val="none" w:sz="0" w:space="0" w:color="auto"/>
          </w:divBdr>
        </w:div>
        <w:div w:id="1214541413">
          <w:marLeft w:val="480"/>
          <w:marRight w:val="0"/>
          <w:marTop w:val="0"/>
          <w:marBottom w:val="0"/>
          <w:divBdr>
            <w:top w:val="none" w:sz="0" w:space="0" w:color="auto"/>
            <w:left w:val="none" w:sz="0" w:space="0" w:color="auto"/>
            <w:bottom w:val="none" w:sz="0" w:space="0" w:color="auto"/>
            <w:right w:val="none" w:sz="0" w:space="0" w:color="auto"/>
          </w:divBdr>
        </w:div>
        <w:div w:id="1311783810">
          <w:marLeft w:val="480"/>
          <w:marRight w:val="0"/>
          <w:marTop w:val="0"/>
          <w:marBottom w:val="0"/>
          <w:divBdr>
            <w:top w:val="none" w:sz="0" w:space="0" w:color="auto"/>
            <w:left w:val="none" w:sz="0" w:space="0" w:color="auto"/>
            <w:bottom w:val="none" w:sz="0" w:space="0" w:color="auto"/>
            <w:right w:val="none" w:sz="0" w:space="0" w:color="auto"/>
          </w:divBdr>
        </w:div>
        <w:div w:id="1588348501">
          <w:marLeft w:val="480"/>
          <w:marRight w:val="0"/>
          <w:marTop w:val="0"/>
          <w:marBottom w:val="0"/>
          <w:divBdr>
            <w:top w:val="none" w:sz="0" w:space="0" w:color="auto"/>
            <w:left w:val="none" w:sz="0" w:space="0" w:color="auto"/>
            <w:bottom w:val="none" w:sz="0" w:space="0" w:color="auto"/>
            <w:right w:val="none" w:sz="0" w:space="0" w:color="auto"/>
          </w:divBdr>
        </w:div>
        <w:div w:id="1607614653">
          <w:marLeft w:val="480"/>
          <w:marRight w:val="0"/>
          <w:marTop w:val="0"/>
          <w:marBottom w:val="0"/>
          <w:divBdr>
            <w:top w:val="none" w:sz="0" w:space="0" w:color="auto"/>
            <w:left w:val="none" w:sz="0" w:space="0" w:color="auto"/>
            <w:bottom w:val="none" w:sz="0" w:space="0" w:color="auto"/>
            <w:right w:val="none" w:sz="0" w:space="0" w:color="auto"/>
          </w:divBdr>
        </w:div>
        <w:div w:id="1750615047">
          <w:marLeft w:val="480"/>
          <w:marRight w:val="0"/>
          <w:marTop w:val="0"/>
          <w:marBottom w:val="0"/>
          <w:divBdr>
            <w:top w:val="none" w:sz="0" w:space="0" w:color="auto"/>
            <w:left w:val="none" w:sz="0" w:space="0" w:color="auto"/>
            <w:bottom w:val="none" w:sz="0" w:space="0" w:color="auto"/>
            <w:right w:val="none" w:sz="0" w:space="0" w:color="auto"/>
          </w:divBdr>
        </w:div>
        <w:div w:id="1852865529">
          <w:marLeft w:val="480"/>
          <w:marRight w:val="0"/>
          <w:marTop w:val="0"/>
          <w:marBottom w:val="0"/>
          <w:divBdr>
            <w:top w:val="none" w:sz="0" w:space="0" w:color="auto"/>
            <w:left w:val="none" w:sz="0" w:space="0" w:color="auto"/>
            <w:bottom w:val="none" w:sz="0" w:space="0" w:color="auto"/>
            <w:right w:val="none" w:sz="0" w:space="0" w:color="auto"/>
          </w:divBdr>
        </w:div>
      </w:divsChild>
    </w:div>
    <w:div w:id="122970831">
      <w:bodyDiv w:val="1"/>
      <w:marLeft w:val="0"/>
      <w:marRight w:val="0"/>
      <w:marTop w:val="0"/>
      <w:marBottom w:val="0"/>
      <w:divBdr>
        <w:top w:val="none" w:sz="0" w:space="0" w:color="auto"/>
        <w:left w:val="none" w:sz="0" w:space="0" w:color="auto"/>
        <w:bottom w:val="none" w:sz="0" w:space="0" w:color="auto"/>
        <w:right w:val="none" w:sz="0" w:space="0" w:color="auto"/>
      </w:divBdr>
      <w:divsChild>
        <w:div w:id="85928084">
          <w:marLeft w:val="480"/>
          <w:marRight w:val="0"/>
          <w:marTop w:val="0"/>
          <w:marBottom w:val="0"/>
          <w:divBdr>
            <w:top w:val="none" w:sz="0" w:space="0" w:color="auto"/>
            <w:left w:val="none" w:sz="0" w:space="0" w:color="auto"/>
            <w:bottom w:val="none" w:sz="0" w:space="0" w:color="auto"/>
            <w:right w:val="none" w:sz="0" w:space="0" w:color="auto"/>
          </w:divBdr>
        </w:div>
        <w:div w:id="230505079">
          <w:marLeft w:val="480"/>
          <w:marRight w:val="0"/>
          <w:marTop w:val="0"/>
          <w:marBottom w:val="0"/>
          <w:divBdr>
            <w:top w:val="none" w:sz="0" w:space="0" w:color="auto"/>
            <w:left w:val="none" w:sz="0" w:space="0" w:color="auto"/>
            <w:bottom w:val="none" w:sz="0" w:space="0" w:color="auto"/>
            <w:right w:val="none" w:sz="0" w:space="0" w:color="auto"/>
          </w:divBdr>
        </w:div>
        <w:div w:id="239565274">
          <w:marLeft w:val="480"/>
          <w:marRight w:val="0"/>
          <w:marTop w:val="0"/>
          <w:marBottom w:val="0"/>
          <w:divBdr>
            <w:top w:val="none" w:sz="0" w:space="0" w:color="auto"/>
            <w:left w:val="none" w:sz="0" w:space="0" w:color="auto"/>
            <w:bottom w:val="none" w:sz="0" w:space="0" w:color="auto"/>
            <w:right w:val="none" w:sz="0" w:space="0" w:color="auto"/>
          </w:divBdr>
        </w:div>
        <w:div w:id="289674509">
          <w:marLeft w:val="480"/>
          <w:marRight w:val="0"/>
          <w:marTop w:val="0"/>
          <w:marBottom w:val="0"/>
          <w:divBdr>
            <w:top w:val="none" w:sz="0" w:space="0" w:color="auto"/>
            <w:left w:val="none" w:sz="0" w:space="0" w:color="auto"/>
            <w:bottom w:val="none" w:sz="0" w:space="0" w:color="auto"/>
            <w:right w:val="none" w:sz="0" w:space="0" w:color="auto"/>
          </w:divBdr>
        </w:div>
        <w:div w:id="317151517">
          <w:marLeft w:val="480"/>
          <w:marRight w:val="0"/>
          <w:marTop w:val="0"/>
          <w:marBottom w:val="0"/>
          <w:divBdr>
            <w:top w:val="none" w:sz="0" w:space="0" w:color="auto"/>
            <w:left w:val="none" w:sz="0" w:space="0" w:color="auto"/>
            <w:bottom w:val="none" w:sz="0" w:space="0" w:color="auto"/>
            <w:right w:val="none" w:sz="0" w:space="0" w:color="auto"/>
          </w:divBdr>
        </w:div>
        <w:div w:id="366830299">
          <w:marLeft w:val="480"/>
          <w:marRight w:val="0"/>
          <w:marTop w:val="0"/>
          <w:marBottom w:val="0"/>
          <w:divBdr>
            <w:top w:val="none" w:sz="0" w:space="0" w:color="auto"/>
            <w:left w:val="none" w:sz="0" w:space="0" w:color="auto"/>
            <w:bottom w:val="none" w:sz="0" w:space="0" w:color="auto"/>
            <w:right w:val="none" w:sz="0" w:space="0" w:color="auto"/>
          </w:divBdr>
        </w:div>
        <w:div w:id="384184777">
          <w:marLeft w:val="480"/>
          <w:marRight w:val="0"/>
          <w:marTop w:val="0"/>
          <w:marBottom w:val="0"/>
          <w:divBdr>
            <w:top w:val="none" w:sz="0" w:space="0" w:color="auto"/>
            <w:left w:val="none" w:sz="0" w:space="0" w:color="auto"/>
            <w:bottom w:val="none" w:sz="0" w:space="0" w:color="auto"/>
            <w:right w:val="none" w:sz="0" w:space="0" w:color="auto"/>
          </w:divBdr>
        </w:div>
        <w:div w:id="386757437">
          <w:marLeft w:val="480"/>
          <w:marRight w:val="0"/>
          <w:marTop w:val="0"/>
          <w:marBottom w:val="0"/>
          <w:divBdr>
            <w:top w:val="none" w:sz="0" w:space="0" w:color="auto"/>
            <w:left w:val="none" w:sz="0" w:space="0" w:color="auto"/>
            <w:bottom w:val="none" w:sz="0" w:space="0" w:color="auto"/>
            <w:right w:val="none" w:sz="0" w:space="0" w:color="auto"/>
          </w:divBdr>
        </w:div>
        <w:div w:id="430508857">
          <w:marLeft w:val="480"/>
          <w:marRight w:val="0"/>
          <w:marTop w:val="0"/>
          <w:marBottom w:val="0"/>
          <w:divBdr>
            <w:top w:val="none" w:sz="0" w:space="0" w:color="auto"/>
            <w:left w:val="none" w:sz="0" w:space="0" w:color="auto"/>
            <w:bottom w:val="none" w:sz="0" w:space="0" w:color="auto"/>
            <w:right w:val="none" w:sz="0" w:space="0" w:color="auto"/>
          </w:divBdr>
        </w:div>
        <w:div w:id="609121575">
          <w:marLeft w:val="480"/>
          <w:marRight w:val="0"/>
          <w:marTop w:val="0"/>
          <w:marBottom w:val="0"/>
          <w:divBdr>
            <w:top w:val="none" w:sz="0" w:space="0" w:color="auto"/>
            <w:left w:val="none" w:sz="0" w:space="0" w:color="auto"/>
            <w:bottom w:val="none" w:sz="0" w:space="0" w:color="auto"/>
            <w:right w:val="none" w:sz="0" w:space="0" w:color="auto"/>
          </w:divBdr>
        </w:div>
        <w:div w:id="779763810">
          <w:marLeft w:val="480"/>
          <w:marRight w:val="0"/>
          <w:marTop w:val="0"/>
          <w:marBottom w:val="0"/>
          <w:divBdr>
            <w:top w:val="none" w:sz="0" w:space="0" w:color="auto"/>
            <w:left w:val="none" w:sz="0" w:space="0" w:color="auto"/>
            <w:bottom w:val="none" w:sz="0" w:space="0" w:color="auto"/>
            <w:right w:val="none" w:sz="0" w:space="0" w:color="auto"/>
          </w:divBdr>
        </w:div>
        <w:div w:id="989093612">
          <w:marLeft w:val="480"/>
          <w:marRight w:val="0"/>
          <w:marTop w:val="0"/>
          <w:marBottom w:val="0"/>
          <w:divBdr>
            <w:top w:val="none" w:sz="0" w:space="0" w:color="auto"/>
            <w:left w:val="none" w:sz="0" w:space="0" w:color="auto"/>
            <w:bottom w:val="none" w:sz="0" w:space="0" w:color="auto"/>
            <w:right w:val="none" w:sz="0" w:space="0" w:color="auto"/>
          </w:divBdr>
        </w:div>
        <w:div w:id="1181356825">
          <w:marLeft w:val="480"/>
          <w:marRight w:val="0"/>
          <w:marTop w:val="0"/>
          <w:marBottom w:val="0"/>
          <w:divBdr>
            <w:top w:val="none" w:sz="0" w:space="0" w:color="auto"/>
            <w:left w:val="none" w:sz="0" w:space="0" w:color="auto"/>
            <w:bottom w:val="none" w:sz="0" w:space="0" w:color="auto"/>
            <w:right w:val="none" w:sz="0" w:space="0" w:color="auto"/>
          </w:divBdr>
        </w:div>
        <w:div w:id="1229652056">
          <w:marLeft w:val="480"/>
          <w:marRight w:val="0"/>
          <w:marTop w:val="0"/>
          <w:marBottom w:val="0"/>
          <w:divBdr>
            <w:top w:val="none" w:sz="0" w:space="0" w:color="auto"/>
            <w:left w:val="none" w:sz="0" w:space="0" w:color="auto"/>
            <w:bottom w:val="none" w:sz="0" w:space="0" w:color="auto"/>
            <w:right w:val="none" w:sz="0" w:space="0" w:color="auto"/>
          </w:divBdr>
        </w:div>
        <w:div w:id="1233545964">
          <w:marLeft w:val="480"/>
          <w:marRight w:val="0"/>
          <w:marTop w:val="0"/>
          <w:marBottom w:val="0"/>
          <w:divBdr>
            <w:top w:val="none" w:sz="0" w:space="0" w:color="auto"/>
            <w:left w:val="none" w:sz="0" w:space="0" w:color="auto"/>
            <w:bottom w:val="none" w:sz="0" w:space="0" w:color="auto"/>
            <w:right w:val="none" w:sz="0" w:space="0" w:color="auto"/>
          </w:divBdr>
        </w:div>
      </w:divsChild>
    </w:div>
    <w:div w:id="128404471">
      <w:bodyDiv w:val="1"/>
      <w:marLeft w:val="0"/>
      <w:marRight w:val="0"/>
      <w:marTop w:val="0"/>
      <w:marBottom w:val="0"/>
      <w:divBdr>
        <w:top w:val="none" w:sz="0" w:space="0" w:color="auto"/>
        <w:left w:val="none" w:sz="0" w:space="0" w:color="auto"/>
        <w:bottom w:val="none" w:sz="0" w:space="0" w:color="auto"/>
        <w:right w:val="none" w:sz="0" w:space="0" w:color="auto"/>
      </w:divBdr>
      <w:divsChild>
        <w:div w:id="429594391">
          <w:marLeft w:val="480"/>
          <w:marRight w:val="0"/>
          <w:marTop w:val="0"/>
          <w:marBottom w:val="0"/>
          <w:divBdr>
            <w:top w:val="none" w:sz="0" w:space="0" w:color="auto"/>
            <w:left w:val="none" w:sz="0" w:space="0" w:color="auto"/>
            <w:bottom w:val="none" w:sz="0" w:space="0" w:color="auto"/>
            <w:right w:val="none" w:sz="0" w:space="0" w:color="auto"/>
          </w:divBdr>
        </w:div>
        <w:div w:id="518548856">
          <w:marLeft w:val="480"/>
          <w:marRight w:val="0"/>
          <w:marTop w:val="0"/>
          <w:marBottom w:val="0"/>
          <w:divBdr>
            <w:top w:val="none" w:sz="0" w:space="0" w:color="auto"/>
            <w:left w:val="none" w:sz="0" w:space="0" w:color="auto"/>
            <w:bottom w:val="none" w:sz="0" w:space="0" w:color="auto"/>
            <w:right w:val="none" w:sz="0" w:space="0" w:color="auto"/>
          </w:divBdr>
        </w:div>
        <w:div w:id="714161582">
          <w:marLeft w:val="480"/>
          <w:marRight w:val="0"/>
          <w:marTop w:val="0"/>
          <w:marBottom w:val="0"/>
          <w:divBdr>
            <w:top w:val="none" w:sz="0" w:space="0" w:color="auto"/>
            <w:left w:val="none" w:sz="0" w:space="0" w:color="auto"/>
            <w:bottom w:val="none" w:sz="0" w:space="0" w:color="auto"/>
            <w:right w:val="none" w:sz="0" w:space="0" w:color="auto"/>
          </w:divBdr>
        </w:div>
        <w:div w:id="781539089">
          <w:marLeft w:val="480"/>
          <w:marRight w:val="0"/>
          <w:marTop w:val="0"/>
          <w:marBottom w:val="0"/>
          <w:divBdr>
            <w:top w:val="none" w:sz="0" w:space="0" w:color="auto"/>
            <w:left w:val="none" w:sz="0" w:space="0" w:color="auto"/>
            <w:bottom w:val="none" w:sz="0" w:space="0" w:color="auto"/>
            <w:right w:val="none" w:sz="0" w:space="0" w:color="auto"/>
          </w:divBdr>
        </w:div>
        <w:div w:id="1167357610">
          <w:marLeft w:val="480"/>
          <w:marRight w:val="0"/>
          <w:marTop w:val="0"/>
          <w:marBottom w:val="0"/>
          <w:divBdr>
            <w:top w:val="none" w:sz="0" w:space="0" w:color="auto"/>
            <w:left w:val="none" w:sz="0" w:space="0" w:color="auto"/>
            <w:bottom w:val="none" w:sz="0" w:space="0" w:color="auto"/>
            <w:right w:val="none" w:sz="0" w:space="0" w:color="auto"/>
          </w:divBdr>
        </w:div>
        <w:div w:id="1170296216">
          <w:marLeft w:val="480"/>
          <w:marRight w:val="0"/>
          <w:marTop w:val="0"/>
          <w:marBottom w:val="0"/>
          <w:divBdr>
            <w:top w:val="none" w:sz="0" w:space="0" w:color="auto"/>
            <w:left w:val="none" w:sz="0" w:space="0" w:color="auto"/>
            <w:bottom w:val="none" w:sz="0" w:space="0" w:color="auto"/>
            <w:right w:val="none" w:sz="0" w:space="0" w:color="auto"/>
          </w:divBdr>
        </w:div>
        <w:div w:id="1234849747">
          <w:marLeft w:val="480"/>
          <w:marRight w:val="0"/>
          <w:marTop w:val="0"/>
          <w:marBottom w:val="0"/>
          <w:divBdr>
            <w:top w:val="none" w:sz="0" w:space="0" w:color="auto"/>
            <w:left w:val="none" w:sz="0" w:space="0" w:color="auto"/>
            <w:bottom w:val="none" w:sz="0" w:space="0" w:color="auto"/>
            <w:right w:val="none" w:sz="0" w:space="0" w:color="auto"/>
          </w:divBdr>
        </w:div>
        <w:div w:id="1367294195">
          <w:marLeft w:val="480"/>
          <w:marRight w:val="0"/>
          <w:marTop w:val="0"/>
          <w:marBottom w:val="0"/>
          <w:divBdr>
            <w:top w:val="none" w:sz="0" w:space="0" w:color="auto"/>
            <w:left w:val="none" w:sz="0" w:space="0" w:color="auto"/>
            <w:bottom w:val="none" w:sz="0" w:space="0" w:color="auto"/>
            <w:right w:val="none" w:sz="0" w:space="0" w:color="auto"/>
          </w:divBdr>
        </w:div>
        <w:div w:id="1395934940">
          <w:marLeft w:val="480"/>
          <w:marRight w:val="0"/>
          <w:marTop w:val="0"/>
          <w:marBottom w:val="0"/>
          <w:divBdr>
            <w:top w:val="none" w:sz="0" w:space="0" w:color="auto"/>
            <w:left w:val="none" w:sz="0" w:space="0" w:color="auto"/>
            <w:bottom w:val="none" w:sz="0" w:space="0" w:color="auto"/>
            <w:right w:val="none" w:sz="0" w:space="0" w:color="auto"/>
          </w:divBdr>
        </w:div>
        <w:div w:id="1478575321">
          <w:marLeft w:val="480"/>
          <w:marRight w:val="0"/>
          <w:marTop w:val="0"/>
          <w:marBottom w:val="0"/>
          <w:divBdr>
            <w:top w:val="none" w:sz="0" w:space="0" w:color="auto"/>
            <w:left w:val="none" w:sz="0" w:space="0" w:color="auto"/>
            <w:bottom w:val="none" w:sz="0" w:space="0" w:color="auto"/>
            <w:right w:val="none" w:sz="0" w:space="0" w:color="auto"/>
          </w:divBdr>
        </w:div>
        <w:div w:id="1511720818">
          <w:marLeft w:val="480"/>
          <w:marRight w:val="0"/>
          <w:marTop w:val="0"/>
          <w:marBottom w:val="0"/>
          <w:divBdr>
            <w:top w:val="none" w:sz="0" w:space="0" w:color="auto"/>
            <w:left w:val="none" w:sz="0" w:space="0" w:color="auto"/>
            <w:bottom w:val="none" w:sz="0" w:space="0" w:color="auto"/>
            <w:right w:val="none" w:sz="0" w:space="0" w:color="auto"/>
          </w:divBdr>
        </w:div>
        <w:div w:id="1588952485">
          <w:marLeft w:val="480"/>
          <w:marRight w:val="0"/>
          <w:marTop w:val="0"/>
          <w:marBottom w:val="0"/>
          <w:divBdr>
            <w:top w:val="none" w:sz="0" w:space="0" w:color="auto"/>
            <w:left w:val="none" w:sz="0" w:space="0" w:color="auto"/>
            <w:bottom w:val="none" w:sz="0" w:space="0" w:color="auto"/>
            <w:right w:val="none" w:sz="0" w:space="0" w:color="auto"/>
          </w:divBdr>
        </w:div>
        <w:div w:id="1779134339">
          <w:marLeft w:val="480"/>
          <w:marRight w:val="0"/>
          <w:marTop w:val="0"/>
          <w:marBottom w:val="0"/>
          <w:divBdr>
            <w:top w:val="none" w:sz="0" w:space="0" w:color="auto"/>
            <w:left w:val="none" w:sz="0" w:space="0" w:color="auto"/>
            <w:bottom w:val="none" w:sz="0" w:space="0" w:color="auto"/>
            <w:right w:val="none" w:sz="0" w:space="0" w:color="auto"/>
          </w:divBdr>
        </w:div>
        <w:div w:id="2071727856">
          <w:marLeft w:val="480"/>
          <w:marRight w:val="0"/>
          <w:marTop w:val="0"/>
          <w:marBottom w:val="0"/>
          <w:divBdr>
            <w:top w:val="none" w:sz="0" w:space="0" w:color="auto"/>
            <w:left w:val="none" w:sz="0" w:space="0" w:color="auto"/>
            <w:bottom w:val="none" w:sz="0" w:space="0" w:color="auto"/>
            <w:right w:val="none" w:sz="0" w:space="0" w:color="auto"/>
          </w:divBdr>
        </w:div>
        <w:div w:id="2134976039">
          <w:marLeft w:val="480"/>
          <w:marRight w:val="0"/>
          <w:marTop w:val="0"/>
          <w:marBottom w:val="0"/>
          <w:divBdr>
            <w:top w:val="none" w:sz="0" w:space="0" w:color="auto"/>
            <w:left w:val="none" w:sz="0" w:space="0" w:color="auto"/>
            <w:bottom w:val="none" w:sz="0" w:space="0" w:color="auto"/>
            <w:right w:val="none" w:sz="0" w:space="0" w:color="auto"/>
          </w:divBdr>
        </w:div>
      </w:divsChild>
    </w:div>
    <w:div w:id="140343947">
      <w:bodyDiv w:val="1"/>
      <w:marLeft w:val="0"/>
      <w:marRight w:val="0"/>
      <w:marTop w:val="0"/>
      <w:marBottom w:val="0"/>
      <w:divBdr>
        <w:top w:val="none" w:sz="0" w:space="0" w:color="auto"/>
        <w:left w:val="none" w:sz="0" w:space="0" w:color="auto"/>
        <w:bottom w:val="none" w:sz="0" w:space="0" w:color="auto"/>
        <w:right w:val="none" w:sz="0" w:space="0" w:color="auto"/>
      </w:divBdr>
      <w:divsChild>
        <w:div w:id="110442616">
          <w:marLeft w:val="480"/>
          <w:marRight w:val="0"/>
          <w:marTop w:val="0"/>
          <w:marBottom w:val="0"/>
          <w:divBdr>
            <w:top w:val="none" w:sz="0" w:space="0" w:color="auto"/>
            <w:left w:val="none" w:sz="0" w:space="0" w:color="auto"/>
            <w:bottom w:val="none" w:sz="0" w:space="0" w:color="auto"/>
            <w:right w:val="none" w:sz="0" w:space="0" w:color="auto"/>
          </w:divBdr>
        </w:div>
        <w:div w:id="118114714">
          <w:marLeft w:val="480"/>
          <w:marRight w:val="0"/>
          <w:marTop w:val="0"/>
          <w:marBottom w:val="0"/>
          <w:divBdr>
            <w:top w:val="none" w:sz="0" w:space="0" w:color="auto"/>
            <w:left w:val="none" w:sz="0" w:space="0" w:color="auto"/>
            <w:bottom w:val="none" w:sz="0" w:space="0" w:color="auto"/>
            <w:right w:val="none" w:sz="0" w:space="0" w:color="auto"/>
          </w:divBdr>
        </w:div>
        <w:div w:id="278419883">
          <w:marLeft w:val="480"/>
          <w:marRight w:val="0"/>
          <w:marTop w:val="0"/>
          <w:marBottom w:val="0"/>
          <w:divBdr>
            <w:top w:val="none" w:sz="0" w:space="0" w:color="auto"/>
            <w:left w:val="none" w:sz="0" w:space="0" w:color="auto"/>
            <w:bottom w:val="none" w:sz="0" w:space="0" w:color="auto"/>
            <w:right w:val="none" w:sz="0" w:space="0" w:color="auto"/>
          </w:divBdr>
        </w:div>
        <w:div w:id="385105920">
          <w:marLeft w:val="480"/>
          <w:marRight w:val="0"/>
          <w:marTop w:val="0"/>
          <w:marBottom w:val="0"/>
          <w:divBdr>
            <w:top w:val="none" w:sz="0" w:space="0" w:color="auto"/>
            <w:left w:val="none" w:sz="0" w:space="0" w:color="auto"/>
            <w:bottom w:val="none" w:sz="0" w:space="0" w:color="auto"/>
            <w:right w:val="none" w:sz="0" w:space="0" w:color="auto"/>
          </w:divBdr>
        </w:div>
        <w:div w:id="439451064">
          <w:marLeft w:val="480"/>
          <w:marRight w:val="0"/>
          <w:marTop w:val="0"/>
          <w:marBottom w:val="0"/>
          <w:divBdr>
            <w:top w:val="none" w:sz="0" w:space="0" w:color="auto"/>
            <w:left w:val="none" w:sz="0" w:space="0" w:color="auto"/>
            <w:bottom w:val="none" w:sz="0" w:space="0" w:color="auto"/>
            <w:right w:val="none" w:sz="0" w:space="0" w:color="auto"/>
          </w:divBdr>
        </w:div>
        <w:div w:id="587469339">
          <w:marLeft w:val="480"/>
          <w:marRight w:val="0"/>
          <w:marTop w:val="0"/>
          <w:marBottom w:val="0"/>
          <w:divBdr>
            <w:top w:val="none" w:sz="0" w:space="0" w:color="auto"/>
            <w:left w:val="none" w:sz="0" w:space="0" w:color="auto"/>
            <w:bottom w:val="none" w:sz="0" w:space="0" w:color="auto"/>
            <w:right w:val="none" w:sz="0" w:space="0" w:color="auto"/>
          </w:divBdr>
        </w:div>
        <w:div w:id="731540789">
          <w:marLeft w:val="480"/>
          <w:marRight w:val="0"/>
          <w:marTop w:val="0"/>
          <w:marBottom w:val="0"/>
          <w:divBdr>
            <w:top w:val="none" w:sz="0" w:space="0" w:color="auto"/>
            <w:left w:val="none" w:sz="0" w:space="0" w:color="auto"/>
            <w:bottom w:val="none" w:sz="0" w:space="0" w:color="auto"/>
            <w:right w:val="none" w:sz="0" w:space="0" w:color="auto"/>
          </w:divBdr>
        </w:div>
        <w:div w:id="786697416">
          <w:marLeft w:val="480"/>
          <w:marRight w:val="0"/>
          <w:marTop w:val="0"/>
          <w:marBottom w:val="0"/>
          <w:divBdr>
            <w:top w:val="none" w:sz="0" w:space="0" w:color="auto"/>
            <w:left w:val="none" w:sz="0" w:space="0" w:color="auto"/>
            <w:bottom w:val="none" w:sz="0" w:space="0" w:color="auto"/>
            <w:right w:val="none" w:sz="0" w:space="0" w:color="auto"/>
          </w:divBdr>
        </w:div>
        <w:div w:id="801768514">
          <w:marLeft w:val="480"/>
          <w:marRight w:val="0"/>
          <w:marTop w:val="0"/>
          <w:marBottom w:val="0"/>
          <w:divBdr>
            <w:top w:val="none" w:sz="0" w:space="0" w:color="auto"/>
            <w:left w:val="none" w:sz="0" w:space="0" w:color="auto"/>
            <w:bottom w:val="none" w:sz="0" w:space="0" w:color="auto"/>
            <w:right w:val="none" w:sz="0" w:space="0" w:color="auto"/>
          </w:divBdr>
        </w:div>
        <w:div w:id="1263225007">
          <w:marLeft w:val="480"/>
          <w:marRight w:val="0"/>
          <w:marTop w:val="0"/>
          <w:marBottom w:val="0"/>
          <w:divBdr>
            <w:top w:val="none" w:sz="0" w:space="0" w:color="auto"/>
            <w:left w:val="none" w:sz="0" w:space="0" w:color="auto"/>
            <w:bottom w:val="none" w:sz="0" w:space="0" w:color="auto"/>
            <w:right w:val="none" w:sz="0" w:space="0" w:color="auto"/>
          </w:divBdr>
        </w:div>
        <w:div w:id="1425803650">
          <w:marLeft w:val="480"/>
          <w:marRight w:val="0"/>
          <w:marTop w:val="0"/>
          <w:marBottom w:val="0"/>
          <w:divBdr>
            <w:top w:val="none" w:sz="0" w:space="0" w:color="auto"/>
            <w:left w:val="none" w:sz="0" w:space="0" w:color="auto"/>
            <w:bottom w:val="none" w:sz="0" w:space="0" w:color="auto"/>
            <w:right w:val="none" w:sz="0" w:space="0" w:color="auto"/>
          </w:divBdr>
        </w:div>
        <w:div w:id="1478910262">
          <w:marLeft w:val="480"/>
          <w:marRight w:val="0"/>
          <w:marTop w:val="0"/>
          <w:marBottom w:val="0"/>
          <w:divBdr>
            <w:top w:val="none" w:sz="0" w:space="0" w:color="auto"/>
            <w:left w:val="none" w:sz="0" w:space="0" w:color="auto"/>
            <w:bottom w:val="none" w:sz="0" w:space="0" w:color="auto"/>
            <w:right w:val="none" w:sz="0" w:space="0" w:color="auto"/>
          </w:divBdr>
        </w:div>
        <w:div w:id="1855800724">
          <w:marLeft w:val="480"/>
          <w:marRight w:val="0"/>
          <w:marTop w:val="0"/>
          <w:marBottom w:val="0"/>
          <w:divBdr>
            <w:top w:val="none" w:sz="0" w:space="0" w:color="auto"/>
            <w:left w:val="none" w:sz="0" w:space="0" w:color="auto"/>
            <w:bottom w:val="none" w:sz="0" w:space="0" w:color="auto"/>
            <w:right w:val="none" w:sz="0" w:space="0" w:color="auto"/>
          </w:divBdr>
        </w:div>
        <w:div w:id="1860118511">
          <w:marLeft w:val="480"/>
          <w:marRight w:val="0"/>
          <w:marTop w:val="0"/>
          <w:marBottom w:val="0"/>
          <w:divBdr>
            <w:top w:val="none" w:sz="0" w:space="0" w:color="auto"/>
            <w:left w:val="none" w:sz="0" w:space="0" w:color="auto"/>
            <w:bottom w:val="none" w:sz="0" w:space="0" w:color="auto"/>
            <w:right w:val="none" w:sz="0" w:space="0" w:color="auto"/>
          </w:divBdr>
        </w:div>
        <w:div w:id="1871915878">
          <w:marLeft w:val="480"/>
          <w:marRight w:val="0"/>
          <w:marTop w:val="0"/>
          <w:marBottom w:val="0"/>
          <w:divBdr>
            <w:top w:val="none" w:sz="0" w:space="0" w:color="auto"/>
            <w:left w:val="none" w:sz="0" w:space="0" w:color="auto"/>
            <w:bottom w:val="none" w:sz="0" w:space="0" w:color="auto"/>
            <w:right w:val="none" w:sz="0" w:space="0" w:color="auto"/>
          </w:divBdr>
        </w:div>
      </w:divsChild>
    </w:div>
    <w:div w:id="188378186">
      <w:bodyDiv w:val="1"/>
      <w:marLeft w:val="0"/>
      <w:marRight w:val="0"/>
      <w:marTop w:val="0"/>
      <w:marBottom w:val="0"/>
      <w:divBdr>
        <w:top w:val="none" w:sz="0" w:space="0" w:color="auto"/>
        <w:left w:val="none" w:sz="0" w:space="0" w:color="auto"/>
        <w:bottom w:val="none" w:sz="0" w:space="0" w:color="auto"/>
        <w:right w:val="none" w:sz="0" w:space="0" w:color="auto"/>
      </w:divBdr>
      <w:divsChild>
        <w:div w:id="389811261">
          <w:marLeft w:val="480"/>
          <w:marRight w:val="0"/>
          <w:marTop w:val="0"/>
          <w:marBottom w:val="0"/>
          <w:divBdr>
            <w:top w:val="none" w:sz="0" w:space="0" w:color="auto"/>
            <w:left w:val="none" w:sz="0" w:space="0" w:color="auto"/>
            <w:bottom w:val="none" w:sz="0" w:space="0" w:color="auto"/>
            <w:right w:val="none" w:sz="0" w:space="0" w:color="auto"/>
          </w:divBdr>
        </w:div>
        <w:div w:id="507136182">
          <w:marLeft w:val="480"/>
          <w:marRight w:val="0"/>
          <w:marTop w:val="0"/>
          <w:marBottom w:val="0"/>
          <w:divBdr>
            <w:top w:val="none" w:sz="0" w:space="0" w:color="auto"/>
            <w:left w:val="none" w:sz="0" w:space="0" w:color="auto"/>
            <w:bottom w:val="none" w:sz="0" w:space="0" w:color="auto"/>
            <w:right w:val="none" w:sz="0" w:space="0" w:color="auto"/>
          </w:divBdr>
        </w:div>
        <w:div w:id="563024665">
          <w:marLeft w:val="480"/>
          <w:marRight w:val="0"/>
          <w:marTop w:val="0"/>
          <w:marBottom w:val="0"/>
          <w:divBdr>
            <w:top w:val="none" w:sz="0" w:space="0" w:color="auto"/>
            <w:left w:val="none" w:sz="0" w:space="0" w:color="auto"/>
            <w:bottom w:val="none" w:sz="0" w:space="0" w:color="auto"/>
            <w:right w:val="none" w:sz="0" w:space="0" w:color="auto"/>
          </w:divBdr>
        </w:div>
        <w:div w:id="678432029">
          <w:marLeft w:val="480"/>
          <w:marRight w:val="0"/>
          <w:marTop w:val="0"/>
          <w:marBottom w:val="0"/>
          <w:divBdr>
            <w:top w:val="none" w:sz="0" w:space="0" w:color="auto"/>
            <w:left w:val="none" w:sz="0" w:space="0" w:color="auto"/>
            <w:bottom w:val="none" w:sz="0" w:space="0" w:color="auto"/>
            <w:right w:val="none" w:sz="0" w:space="0" w:color="auto"/>
          </w:divBdr>
        </w:div>
        <w:div w:id="693462289">
          <w:marLeft w:val="480"/>
          <w:marRight w:val="0"/>
          <w:marTop w:val="0"/>
          <w:marBottom w:val="0"/>
          <w:divBdr>
            <w:top w:val="none" w:sz="0" w:space="0" w:color="auto"/>
            <w:left w:val="none" w:sz="0" w:space="0" w:color="auto"/>
            <w:bottom w:val="none" w:sz="0" w:space="0" w:color="auto"/>
            <w:right w:val="none" w:sz="0" w:space="0" w:color="auto"/>
          </w:divBdr>
        </w:div>
        <w:div w:id="772869590">
          <w:marLeft w:val="480"/>
          <w:marRight w:val="0"/>
          <w:marTop w:val="0"/>
          <w:marBottom w:val="0"/>
          <w:divBdr>
            <w:top w:val="none" w:sz="0" w:space="0" w:color="auto"/>
            <w:left w:val="none" w:sz="0" w:space="0" w:color="auto"/>
            <w:bottom w:val="none" w:sz="0" w:space="0" w:color="auto"/>
            <w:right w:val="none" w:sz="0" w:space="0" w:color="auto"/>
          </w:divBdr>
        </w:div>
        <w:div w:id="1018891014">
          <w:marLeft w:val="480"/>
          <w:marRight w:val="0"/>
          <w:marTop w:val="0"/>
          <w:marBottom w:val="0"/>
          <w:divBdr>
            <w:top w:val="none" w:sz="0" w:space="0" w:color="auto"/>
            <w:left w:val="none" w:sz="0" w:space="0" w:color="auto"/>
            <w:bottom w:val="none" w:sz="0" w:space="0" w:color="auto"/>
            <w:right w:val="none" w:sz="0" w:space="0" w:color="auto"/>
          </w:divBdr>
        </w:div>
        <w:div w:id="1510099934">
          <w:marLeft w:val="480"/>
          <w:marRight w:val="0"/>
          <w:marTop w:val="0"/>
          <w:marBottom w:val="0"/>
          <w:divBdr>
            <w:top w:val="none" w:sz="0" w:space="0" w:color="auto"/>
            <w:left w:val="none" w:sz="0" w:space="0" w:color="auto"/>
            <w:bottom w:val="none" w:sz="0" w:space="0" w:color="auto"/>
            <w:right w:val="none" w:sz="0" w:space="0" w:color="auto"/>
          </w:divBdr>
        </w:div>
        <w:div w:id="1714649927">
          <w:marLeft w:val="480"/>
          <w:marRight w:val="0"/>
          <w:marTop w:val="0"/>
          <w:marBottom w:val="0"/>
          <w:divBdr>
            <w:top w:val="none" w:sz="0" w:space="0" w:color="auto"/>
            <w:left w:val="none" w:sz="0" w:space="0" w:color="auto"/>
            <w:bottom w:val="none" w:sz="0" w:space="0" w:color="auto"/>
            <w:right w:val="none" w:sz="0" w:space="0" w:color="auto"/>
          </w:divBdr>
        </w:div>
        <w:div w:id="1722946931">
          <w:marLeft w:val="480"/>
          <w:marRight w:val="0"/>
          <w:marTop w:val="0"/>
          <w:marBottom w:val="0"/>
          <w:divBdr>
            <w:top w:val="none" w:sz="0" w:space="0" w:color="auto"/>
            <w:left w:val="none" w:sz="0" w:space="0" w:color="auto"/>
            <w:bottom w:val="none" w:sz="0" w:space="0" w:color="auto"/>
            <w:right w:val="none" w:sz="0" w:space="0" w:color="auto"/>
          </w:divBdr>
        </w:div>
        <w:div w:id="1944193184">
          <w:marLeft w:val="480"/>
          <w:marRight w:val="0"/>
          <w:marTop w:val="0"/>
          <w:marBottom w:val="0"/>
          <w:divBdr>
            <w:top w:val="none" w:sz="0" w:space="0" w:color="auto"/>
            <w:left w:val="none" w:sz="0" w:space="0" w:color="auto"/>
            <w:bottom w:val="none" w:sz="0" w:space="0" w:color="auto"/>
            <w:right w:val="none" w:sz="0" w:space="0" w:color="auto"/>
          </w:divBdr>
        </w:div>
        <w:div w:id="1970165143">
          <w:marLeft w:val="480"/>
          <w:marRight w:val="0"/>
          <w:marTop w:val="0"/>
          <w:marBottom w:val="0"/>
          <w:divBdr>
            <w:top w:val="none" w:sz="0" w:space="0" w:color="auto"/>
            <w:left w:val="none" w:sz="0" w:space="0" w:color="auto"/>
            <w:bottom w:val="none" w:sz="0" w:space="0" w:color="auto"/>
            <w:right w:val="none" w:sz="0" w:space="0" w:color="auto"/>
          </w:divBdr>
        </w:div>
        <w:div w:id="1986740857">
          <w:marLeft w:val="480"/>
          <w:marRight w:val="0"/>
          <w:marTop w:val="0"/>
          <w:marBottom w:val="0"/>
          <w:divBdr>
            <w:top w:val="none" w:sz="0" w:space="0" w:color="auto"/>
            <w:left w:val="none" w:sz="0" w:space="0" w:color="auto"/>
            <w:bottom w:val="none" w:sz="0" w:space="0" w:color="auto"/>
            <w:right w:val="none" w:sz="0" w:space="0" w:color="auto"/>
          </w:divBdr>
        </w:div>
        <w:div w:id="2052151182">
          <w:marLeft w:val="480"/>
          <w:marRight w:val="0"/>
          <w:marTop w:val="0"/>
          <w:marBottom w:val="0"/>
          <w:divBdr>
            <w:top w:val="none" w:sz="0" w:space="0" w:color="auto"/>
            <w:left w:val="none" w:sz="0" w:space="0" w:color="auto"/>
            <w:bottom w:val="none" w:sz="0" w:space="0" w:color="auto"/>
            <w:right w:val="none" w:sz="0" w:space="0" w:color="auto"/>
          </w:divBdr>
        </w:div>
        <w:div w:id="2082946620">
          <w:marLeft w:val="480"/>
          <w:marRight w:val="0"/>
          <w:marTop w:val="0"/>
          <w:marBottom w:val="0"/>
          <w:divBdr>
            <w:top w:val="none" w:sz="0" w:space="0" w:color="auto"/>
            <w:left w:val="none" w:sz="0" w:space="0" w:color="auto"/>
            <w:bottom w:val="none" w:sz="0" w:space="0" w:color="auto"/>
            <w:right w:val="none" w:sz="0" w:space="0" w:color="auto"/>
          </w:divBdr>
        </w:div>
        <w:div w:id="2114669664">
          <w:marLeft w:val="480"/>
          <w:marRight w:val="0"/>
          <w:marTop w:val="0"/>
          <w:marBottom w:val="0"/>
          <w:divBdr>
            <w:top w:val="none" w:sz="0" w:space="0" w:color="auto"/>
            <w:left w:val="none" w:sz="0" w:space="0" w:color="auto"/>
            <w:bottom w:val="none" w:sz="0" w:space="0" w:color="auto"/>
            <w:right w:val="none" w:sz="0" w:space="0" w:color="auto"/>
          </w:divBdr>
        </w:div>
        <w:div w:id="2121676266">
          <w:marLeft w:val="480"/>
          <w:marRight w:val="0"/>
          <w:marTop w:val="0"/>
          <w:marBottom w:val="0"/>
          <w:divBdr>
            <w:top w:val="none" w:sz="0" w:space="0" w:color="auto"/>
            <w:left w:val="none" w:sz="0" w:space="0" w:color="auto"/>
            <w:bottom w:val="none" w:sz="0" w:space="0" w:color="auto"/>
            <w:right w:val="none" w:sz="0" w:space="0" w:color="auto"/>
          </w:divBdr>
        </w:div>
      </w:divsChild>
    </w:div>
    <w:div w:id="222329414">
      <w:bodyDiv w:val="1"/>
      <w:marLeft w:val="0"/>
      <w:marRight w:val="0"/>
      <w:marTop w:val="0"/>
      <w:marBottom w:val="0"/>
      <w:divBdr>
        <w:top w:val="none" w:sz="0" w:space="0" w:color="auto"/>
        <w:left w:val="none" w:sz="0" w:space="0" w:color="auto"/>
        <w:bottom w:val="none" w:sz="0" w:space="0" w:color="auto"/>
        <w:right w:val="none" w:sz="0" w:space="0" w:color="auto"/>
      </w:divBdr>
    </w:div>
    <w:div w:id="232588138">
      <w:bodyDiv w:val="1"/>
      <w:marLeft w:val="0"/>
      <w:marRight w:val="0"/>
      <w:marTop w:val="0"/>
      <w:marBottom w:val="0"/>
      <w:divBdr>
        <w:top w:val="none" w:sz="0" w:space="0" w:color="auto"/>
        <w:left w:val="none" w:sz="0" w:space="0" w:color="auto"/>
        <w:bottom w:val="none" w:sz="0" w:space="0" w:color="auto"/>
        <w:right w:val="none" w:sz="0" w:space="0" w:color="auto"/>
      </w:divBdr>
      <w:divsChild>
        <w:div w:id="130251892">
          <w:marLeft w:val="480"/>
          <w:marRight w:val="0"/>
          <w:marTop w:val="0"/>
          <w:marBottom w:val="0"/>
          <w:divBdr>
            <w:top w:val="none" w:sz="0" w:space="0" w:color="auto"/>
            <w:left w:val="none" w:sz="0" w:space="0" w:color="auto"/>
            <w:bottom w:val="none" w:sz="0" w:space="0" w:color="auto"/>
            <w:right w:val="none" w:sz="0" w:space="0" w:color="auto"/>
          </w:divBdr>
        </w:div>
        <w:div w:id="291982337">
          <w:marLeft w:val="480"/>
          <w:marRight w:val="0"/>
          <w:marTop w:val="0"/>
          <w:marBottom w:val="0"/>
          <w:divBdr>
            <w:top w:val="none" w:sz="0" w:space="0" w:color="auto"/>
            <w:left w:val="none" w:sz="0" w:space="0" w:color="auto"/>
            <w:bottom w:val="none" w:sz="0" w:space="0" w:color="auto"/>
            <w:right w:val="none" w:sz="0" w:space="0" w:color="auto"/>
          </w:divBdr>
        </w:div>
        <w:div w:id="569273782">
          <w:marLeft w:val="480"/>
          <w:marRight w:val="0"/>
          <w:marTop w:val="0"/>
          <w:marBottom w:val="0"/>
          <w:divBdr>
            <w:top w:val="none" w:sz="0" w:space="0" w:color="auto"/>
            <w:left w:val="none" w:sz="0" w:space="0" w:color="auto"/>
            <w:bottom w:val="none" w:sz="0" w:space="0" w:color="auto"/>
            <w:right w:val="none" w:sz="0" w:space="0" w:color="auto"/>
          </w:divBdr>
        </w:div>
        <w:div w:id="612782429">
          <w:marLeft w:val="480"/>
          <w:marRight w:val="0"/>
          <w:marTop w:val="0"/>
          <w:marBottom w:val="0"/>
          <w:divBdr>
            <w:top w:val="none" w:sz="0" w:space="0" w:color="auto"/>
            <w:left w:val="none" w:sz="0" w:space="0" w:color="auto"/>
            <w:bottom w:val="none" w:sz="0" w:space="0" w:color="auto"/>
            <w:right w:val="none" w:sz="0" w:space="0" w:color="auto"/>
          </w:divBdr>
        </w:div>
        <w:div w:id="650329265">
          <w:marLeft w:val="480"/>
          <w:marRight w:val="0"/>
          <w:marTop w:val="0"/>
          <w:marBottom w:val="0"/>
          <w:divBdr>
            <w:top w:val="none" w:sz="0" w:space="0" w:color="auto"/>
            <w:left w:val="none" w:sz="0" w:space="0" w:color="auto"/>
            <w:bottom w:val="none" w:sz="0" w:space="0" w:color="auto"/>
            <w:right w:val="none" w:sz="0" w:space="0" w:color="auto"/>
          </w:divBdr>
        </w:div>
        <w:div w:id="973944820">
          <w:marLeft w:val="480"/>
          <w:marRight w:val="0"/>
          <w:marTop w:val="0"/>
          <w:marBottom w:val="0"/>
          <w:divBdr>
            <w:top w:val="none" w:sz="0" w:space="0" w:color="auto"/>
            <w:left w:val="none" w:sz="0" w:space="0" w:color="auto"/>
            <w:bottom w:val="none" w:sz="0" w:space="0" w:color="auto"/>
            <w:right w:val="none" w:sz="0" w:space="0" w:color="auto"/>
          </w:divBdr>
        </w:div>
        <w:div w:id="1069352400">
          <w:marLeft w:val="480"/>
          <w:marRight w:val="0"/>
          <w:marTop w:val="0"/>
          <w:marBottom w:val="0"/>
          <w:divBdr>
            <w:top w:val="none" w:sz="0" w:space="0" w:color="auto"/>
            <w:left w:val="none" w:sz="0" w:space="0" w:color="auto"/>
            <w:bottom w:val="none" w:sz="0" w:space="0" w:color="auto"/>
            <w:right w:val="none" w:sz="0" w:space="0" w:color="auto"/>
          </w:divBdr>
        </w:div>
        <w:div w:id="1093209834">
          <w:marLeft w:val="480"/>
          <w:marRight w:val="0"/>
          <w:marTop w:val="0"/>
          <w:marBottom w:val="0"/>
          <w:divBdr>
            <w:top w:val="none" w:sz="0" w:space="0" w:color="auto"/>
            <w:left w:val="none" w:sz="0" w:space="0" w:color="auto"/>
            <w:bottom w:val="none" w:sz="0" w:space="0" w:color="auto"/>
            <w:right w:val="none" w:sz="0" w:space="0" w:color="auto"/>
          </w:divBdr>
        </w:div>
        <w:div w:id="1440222791">
          <w:marLeft w:val="480"/>
          <w:marRight w:val="0"/>
          <w:marTop w:val="0"/>
          <w:marBottom w:val="0"/>
          <w:divBdr>
            <w:top w:val="none" w:sz="0" w:space="0" w:color="auto"/>
            <w:left w:val="none" w:sz="0" w:space="0" w:color="auto"/>
            <w:bottom w:val="none" w:sz="0" w:space="0" w:color="auto"/>
            <w:right w:val="none" w:sz="0" w:space="0" w:color="auto"/>
          </w:divBdr>
        </w:div>
        <w:div w:id="1466696943">
          <w:marLeft w:val="480"/>
          <w:marRight w:val="0"/>
          <w:marTop w:val="0"/>
          <w:marBottom w:val="0"/>
          <w:divBdr>
            <w:top w:val="none" w:sz="0" w:space="0" w:color="auto"/>
            <w:left w:val="none" w:sz="0" w:space="0" w:color="auto"/>
            <w:bottom w:val="none" w:sz="0" w:space="0" w:color="auto"/>
            <w:right w:val="none" w:sz="0" w:space="0" w:color="auto"/>
          </w:divBdr>
        </w:div>
        <w:div w:id="1602563466">
          <w:marLeft w:val="480"/>
          <w:marRight w:val="0"/>
          <w:marTop w:val="0"/>
          <w:marBottom w:val="0"/>
          <w:divBdr>
            <w:top w:val="none" w:sz="0" w:space="0" w:color="auto"/>
            <w:left w:val="none" w:sz="0" w:space="0" w:color="auto"/>
            <w:bottom w:val="none" w:sz="0" w:space="0" w:color="auto"/>
            <w:right w:val="none" w:sz="0" w:space="0" w:color="auto"/>
          </w:divBdr>
        </w:div>
        <w:div w:id="1688289110">
          <w:marLeft w:val="480"/>
          <w:marRight w:val="0"/>
          <w:marTop w:val="0"/>
          <w:marBottom w:val="0"/>
          <w:divBdr>
            <w:top w:val="none" w:sz="0" w:space="0" w:color="auto"/>
            <w:left w:val="none" w:sz="0" w:space="0" w:color="auto"/>
            <w:bottom w:val="none" w:sz="0" w:space="0" w:color="auto"/>
            <w:right w:val="none" w:sz="0" w:space="0" w:color="auto"/>
          </w:divBdr>
        </w:div>
        <w:div w:id="1811513112">
          <w:marLeft w:val="480"/>
          <w:marRight w:val="0"/>
          <w:marTop w:val="0"/>
          <w:marBottom w:val="0"/>
          <w:divBdr>
            <w:top w:val="none" w:sz="0" w:space="0" w:color="auto"/>
            <w:left w:val="none" w:sz="0" w:space="0" w:color="auto"/>
            <w:bottom w:val="none" w:sz="0" w:space="0" w:color="auto"/>
            <w:right w:val="none" w:sz="0" w:space="0" w:color="auto"/>
          </w:divBdr>
        </w:div>
        <w:div w:id="1851749994">
          <w:marLeft w:val="480"/>
          <w:marRight w:val="0"/>
          <w:marTop w:val="0"/>
          <w:marBottom w:val="0"/>
          <w:divBdr>
            <w:top w:val="none" w:sz="0" w:space="0" w:color="auto"/>
            <w:left w:val="none" w:sz="0" w:space="0" w:color="auto"/>
            <w:bottom w:val="none" w:sz="0" w:space="0" w:color="auto"/>
            <w:right w:val="none" w:sz="0" w:space="0" w:color="auto"/>
          </w:divBdr>
        </w:div>
        <w:div w:id="2033797460">
          <w:marLeft w:val="480"/>
          <w:marRight w:val="0"/>
          <w:marTop w:val="0"/>
          <w:marBottom w:val="0"/>
          <w:divBdr>
            <w:top w:val="none" w:sz="0" w:space="0" w:color="auto"/>
            <w:left w:val="none" w:sz="0" w:space="0" w:color="auto"/>
            <w:bottom w:val="none" w:sz="0" w:space="0" w:color="auto"/>
            <w:right w:val="none" w:sz="0" w:space="0" w:color="auto"/>
          </w:divBdr>
        </w:div>
      </w:divsChild>
    </w:div>
    <w:div w:id="354424985">
      <w:bodyDiv w:val="1"/>
      <w:marLeft w:val="0"/>
      <w:marRight w:val="0"/>
      <w:marTop w:val="0"/>
      <w:marBottom w:val="0"/>
      <w:divBdr>
        <w:top w:val="none" w:sz="0" w:space="0" w:color="auto"/>
        <w:left w:val="none" w:sz="0" w:space="0" w:color="auto"/>
        <w:bottom w:val="none" w:sz="0" w:space="0" w:color="auto"/>
        <w:right w:val="none" w:sz="0" w:space="0" w:color="auto"/>
      </w:divBdr>
      <w:divsChild>
        <w:div w:id="52891009">
          <w:marLeft w:val="480"/>
          <w:marRight w:val="0"/>
          <w:marTop w:val="0"/>
          <w:marBottom w:val="0"/>
          <w:divBdr>
            <w:top w:val="none" w:sz="0" w:space="0" w:color="auto"/>
            <w:left w:val="none" w:sz="0" w:space="0" w:color="auto"/>
            <w:bottom w:val="none" w:sz="0" w:space="0" w:color="auto"/>
            <w:right w:val="none" w:sz="0" w:space="0" w:color="auto"/>
          </w:divBdr>
        </w:div>
        <w:div w:id="66390384">
          <w:marLeft w:val="480"/>
          <w:marRight w:val="0"/>
          <w:marTop w:val="0"/>
          <w:marBottom w:val="0"/>
          <w:divBdr>
            <w:top w:val="none" w:sz="0" w:space="0" w:color="auto"/>
            <w:left w:val="none" w:sz="0" w:space="0" w:color="auto"/>
            <w:bottom w:val="none" w:sz="0" w:space="0" w:color="auto"/>
            <w:right w:val="none" w:sz="0" w:space="0" w:color="auto"/>
          </w:divBdr>
        </w:div>
        <w:div w:id="104080572">
          <w:marLeft w:val="480"/>
          <w:marRight w:val="0"/>
          <w:marTop w:val="0"/>
          <w:marBottom w:val="0"/>
          <w:divBdr>
            <w:top w:val="none" w:sz="0" w:space="0" w:color="auto"/>
            <w:left w:val="none" w:sz="0" w:space="0" w:color="auto"/>
            <w:bottom w:val="none" w:sz="0" w:space="0" w:color="auto"/>
            <w:right w:val="none" w:sz="0" w:space="0" w:color="auto"/>
          </w:divBdr>
        </w:div>
        <w:div w:id="172572595">
          <w:marLeft w:val="480"/>
          <w:marRight w:val="0"/>
          <w:marTop w:val="0"/>
          <w:marBottom w:val="0"/>
          <w:divBdr>
            <w:top w:val="none" w:sz="0" w:space="0" w:color="auto"/>
            <w:left w:val="none" w:sz="0" w:space="0" w:color="auto"/>
            <w:bottom w:val="none" w:sz="0" w:space="0" w:color="auto"/>
            <w:right w:val="none" w:sz="0" w:space="0" w:color="auto"/>
          </w:divBdr>
        </w:div>
        <w:div w:id="257836514">
          <w:marLeft w:val="480"/>
          <w:marRight w:val="0"/>
          <w:marTop w:val="0"/>
          <w:marBottom w:val="0"/>
          <w:divBdr>
            <w:top w:val="none" w:sz="0" w:space="0" w:color="auto"/>
            <w:left w:val="none" w:sz="0" w:space="0" w:color="auto"/>
            <w:bottom w:val="none" w:sz="0" w:space="0" w:color="auto"/>
            <w:right w:val="none" w:sz="0" w:space="0" w:color="auto"/>
          </w:divBdr>
        </w:div>
        <w:div w:id="290670550">
          <w:marLeft w:val="480"/>
          <w:marRight w:val="0"/>
          <w:marTop w:val="0"/>
          <w:marBottom w:val="0"/>
          <w:divBdr>
            <w:top w:val="none" w:sz="0" w:space="0" w:color="auto"/>
            <w:left w:val="none" w:sz="0" w:space="0" w:color="auto"/>
            <w:bottom w:val="none" w:sz="0" w:space="0" w:color="auto"/>
            <w:right w:val="none" w:sz="0" w:space="0" w:color="auto"/>
          </w:divBdr>
        </w:div>
        <w:div w:id="913200731">
          <w:marLeft w:val="480"/>
          <w:marRight w:val="0"/>
          <w:marTop w:val="0"/>
          <w:marBottom w:val="0"/>
          <w:divBdr>
            <w:top w:val="none" w:sz="0" w:space="0" w:color="auto"/>
            <w:left w:val="none" w:sz="0" w:space="0" w:color="auto"/>
            <w:bottom w:val="none" w:sz="0" w:space="0" w:color="auto"/>
            <w:right w:val="none" w:sz="0" w:space="0" w:color="auto"/>
          </w:divBdr>
        </w:div>
        <w:div w:id="913780534">
          <w:marLeft w:val="480"/>
          <w:marRight w:val="0"/>
          <w:marTop w:val="0"/>
          <w:marBottom w:val="0"/>
          <w:divBdr>
            <w:top w:val="none" w:sz="0" w:space="0" w:color="auto"/>
            <w:left w:val="none" w:sz="0" w:space="0" w:color="auto"/>
            <w:bottom w:val="none" w:sz="0" w:space="0" w:color="auto"/>
            <w:right w:val="none" w:sz="0" w:space="0" w:color="auto"/>
          </w:divBdr>
        </w:div>
        <w:div w:id="1137064587">
          <w:marLeft w:val="480"/>
          <w:marRight w:val="0"/>
          <w:marTop w:val="0"/>
          <w:marBottom w:val="0"/>
          <w:divBdr>
            <w:top w:val="none" w:sz="0" w:space="0" w:color="auto"/>
            <w:left w:val="none" w:sz="0" w:space="0" w:color="auto"/>
            <w:bottom w:val="none" w:sz="0" w:space="0" w:color="auto"/>
            <w:right w:val="none" w:sz="0" w:space="0" w:color="auto"/>
          </w:divBdr>
        </w:div>
        <w:div w:id="1160779467">
          <w:marLeft w:val="480"/>
          <w:marRight w:val="0"/>
          <w:marTop w:val="0"/>
          <w:marBottom w:val="0"/>
          <w:divBdr>
            <w:top w:val="none" w:sz="0" w:space="0" w:color="auto"/>
            <w:left w:val="none" w:sz="0" w:space="0" w:color="auto"/>
            <w:bottom w:val="none" w:sz="0" w:space="0" w:color="auto"/>
            <w:right w:val="none" w:sz="0" w:space="0" w:color="auto"/>
          </w:divBdr>
        </w:div>
        <w:div w:id="1479566358">
          <w:marLeft w:val="480"/>
          <w:marRight w:val="0"/>
          <w:marTop w:val="0"/>
          <w:marBottom w:val="0"/>
          <w:divBdr>
            <w:top w:val="none" w:sz="0" w:space="0" w:color="auto"/>
            <w:left w:val="none" w:sz="0" w:space="0" w:color="auto"/>
            <w:bottom w:val="none" w:sz="0" w:space="0" w:color="auto"/>
            <w:right w:val="none" w:sz="0" w:space="0" w:color="auto"/>
          </w:divBdr>
        </w:div>
        <w:div w:id="1577595921">
          <w:marLeft w:val="480"/>
          <w:marRight w:val="0"/>
          <w:marTop w:val="0"/>
          <w:marBottom w:val="0"/>
          <w:divBdr>
            <w:top w:val="none" w:sz="0" w:space="0" w:color="auto"/>
            <w:left w:val="none" w:sz="0" w:space="0" w:color="auto"/>
            <w:bottom w:val="none" w:sz="0" w:space="0" w:color="auto"/>
            <w:right w:val="none" w:sz="0" w:space="0" w:color="auto"/>
          </w:divBdr>
        </w:div>
        <w:div w:id="2009598777">
          <w:marLeft w:val="480"/>
          <w:marRight w:val="0"/>
          <w:marTop w:val="0"/>
          <w:marBottom w:val="0"/>
          <w:divBdr>
            <w:top w:val="none" w:sz="0" w:space="0" w:color="auto"/>
            <w:left w:val="none" w:sz="0" w:space="0" w:color="auto"/>
            <w:bottom w:val="none" w:sz="0" w:space="0" w:color="auto"/>
            <w:right w:val="none" w:sz="0" w:space="0" w:color="auto"/>
          </w:divBdr>
        </w:div>
        <w:div w:id="2029524662">
          <w:marLeft w:val="480"/>
          <w:marRight w:val="0"/>
          <w:marTop w:val="0"/>
          <w:marBottom w:val="0"/>
          <w:divBdr>
            <w:top w:val="none" w:sz="0" w:space="0" w:color="auto"/>
            <w:left w:val="none" w:sz="0" w:space="0" w:color="auto"/>
            <w:bottom w:val="none" w:sz="0" w:space="0" w:color="auto"/>
            <w:right w:val="none" w:sz="0" w:space="0" w:color="auto"/>
          </w:divBdr>
        </w:div>
        <w:div w:id="2147383232">
          <w:marLeft w:val="480"/>
          <w:marRight w:val="0"/>
          <w:marTop w:val="0"/>
          <w:marBottom w:val="0"/>
          <w:divBdr>
            <w:top w:val="none" w:sz="0" w:space="0" w:color="auto"/>
            <w:left w:val="none" w:sz="0" w:space="0" w:color="auto"/>
            <w:bottom w:val="none" w:sz="0" w:space="0" w:color="auto"/>
            <w:right w:val="none" w:sz="0" w:space="0" w:color="auto"/>
          </w:divBdr>
        </w:div>
      </w:divsChild>
    </w:div>
    <w:div w:id="365327650">
      <w:bodyDiv w:val="1"/>
      <w:marLeft w:val="0"/>
      <w:marRight w:val="0"/>
      <w:marTop w:val="0"/>
      <w:marBottom w:val="0"/>
      <w:divBdr>
        <w:top w:val="none" w:sz="0" w:space="0" w:color="auto"/>
        <w:left w:val="none" w:sz="0" w:space="0" w:color="auto"/>
        <w:bottom w:val="none" w:sz="0" w:space="0" w:color="auto"/>
        <w:right w:val="none" w:sz="0" w:space="0" w:color="auto"/>
      </w:divBdr>
      <w:divsChild>
        <w:div w:id="667807">
          <w:marLeft w:val="480"/>
          <w:marRight w:val="0"/>
          <w:marTop w:val="0"/>
          <w:marBottom w:val="0"/>
          <w:divBdr>
            <w:top w:val="none" w:sz="0" w:space="0" w:color="auto"/>
            <w:left w:val="none" w:sz="0" w:space="0" w:color="auto"/>
            <w:bottom w:val="none" w:sz="0" w:space="0" w:color="auto"/>
            <w:right w:val="none" w:sz="0" w:space="0" w:color="auto"/>
          </w:divBdr>
        </w:div>
        <w:div w:id="34696157">
          <w:marLeft w:val="480"/>
          <w:marRight w:val="0"/>
          <w:marTop w:val="0"/>
          <w:marBottom w:val="0"/>
          <w:divBdr>
            <w:top w:val="none" w:sz="0" w:space="0" w:color="auto"/>
            <w:left w:val="none" w:sz="0" w:space="0" w:color="auto"/>
            <w:bottom w:val="none" w:sz="0" w:space="0" w:color="auto"/>
            <w:right w:val="none" w:sz="0" w:space="0" w:color="auto"/>
          </w:divBdr>
        </w:div>
        <w:div w:id="114102512">
          <w:marLeft w:val="480"/>
          <w:marRight w:val="0"/>
          <w:marTop w:val="0"/>
          <w:marBottom w:val="0"/>
          <w:divBdr>
            <w:top w:val="none" w:sz="0" w:space="0" w:color="auto"/>
            <w:left w:val="none" w:sz="0" w:space="0" w:color="auto"/>
            <w:bottom w:val="none" w:sz="0" w:space="0" w:color="auto"/>
            <w:right w:val="none" w:sz="0" w:space="0" w:color="auto"/>
          </w:divBdr>
        </w:div>
        <w:div w:id="117260057">
          <w:marLeft w:val="480"/>
          <w:marRight w:val="0"/>
          <w:marTop w:val="0"/>
          <w:marBottom w:val="0"/>
          <w:divBdr>
            <w:top w:val="none" w:sz="0" w:space="0" w:color="auto"/>
            <w:left w:val="none" w:sz="0" w:space="0" w:color="auto"/>
            <w:bottom w:val="none" w:sz="0" w:space="0" w:color="auto"/>
            <w:right w:val="none" w:sz="0" w:space="0" w:color="auto"/>
          </w:divBdr>
        </w:div>
        <w:div w:id="196241309">
          <w:marLeft w:val="480"/>
          <w:marRight w:val="0"/>
          <w:marTop w:val="0"/>
          <w:marBottom w:val="0"/>
          <w:divBdr>
            <w:top w:val="none" w:sz="0" w:space="0" w:color="auto"/>
            <w:left w:val="none" w:sz="0" w:space="0" w:color="auto"/>
            <w:bottom w:val="none" w:sz="0" w:space="0" w:color="auto"/>
            <w:right w:val="none" w:sz="0" w:space="0" w:color="auto"/>
          </w:divBdr>
        </w:div>
        <w:div w:id="329141735">
          <w:marLeft w:val="480"/>
          <w:marRight w:val="0"/>
          <w:marTop w:val="0"/>
          <w:marBottom w:val="0"/>
          <w:divBdr>
            <w:top w:val="none" w:sz="0" w:space="0" w:color="auto"/>
            <w:left w:val="none" w:sz="0" w:space="0" w:color="auto"/>
            <w:bottom w:val="none" w:sz="0" w:space="0" w:color="auto"/>
            <w:right w:val="none" w:sz="0" w:space="0" w:color="auto"/>
          </w:divBdr>
        </w:div>
        <w:div w:id="329212441">
          <w:marLeft w:val="480"/>
          <w:marRight w:val="0"/>
          <w:marTop w:val="0"/>
          <w:marBottom w:val="0"/>
          <w:divBdr>
            <w:top w:val="none" w:sz="0" w:space="0" w:color="auto"/>
            <w:left w:val="none" w:sz="0" w:space="0" w:color="auto"/>
            <w:bottom w:val="none" w:sz="0" w:space="0" w:color="auto"/>
            <w:right w:val="none" w:sz="0" w:space="0" w:color="auto"/>
          </w:divBdr>
        </w:div>
        <w:div w:id="461577792">
          <w:marLeft w:val="480"/>
          <w:marRight w:val="0"/>
          <w:marTop w:val="0"/>
          <w:marBottom w:val="0"/>
          <w:divBdr>
            <w:top w:val="none" w:sz="0" w:space="0" w:color="auto"/>
            <w:left w:val="none" w:sz="0" w:space="0" w:color="auto"/>
            <w:bottom w:val="none" w:sz="0" w:space="0" w:color="auto"/>
            <w:right w:val="none" w:sz="0" w:space="0" w:color="auto"/>
          </w:divBdr>
        </w:div>
        <w:div w:id="530455701">
          <w:marLeft w:val="480"/>
          <w:marRight w:val="0"/>
          <w:marTop w:val="0"/>
          <w:marBottom w:val="0"/>
          <w:divBdr>
            <w:top w:val="none" w:sz="0" w:space="0" w:color="auto"/>
            <w:left w:val="none" w:sz="0" w:space="0" w:color="auto"/>
            <w:bottom w:val="none" w:sz="0" w:space="0" w:color="auto"/>
            <w:right w:val="none" w:sz="0" w:space="0" w:color="auto"/>
          </w:divBdr>
        </w:div>
        <w:div w:id="548689096">
          <w:marLeft w:val="480"/>
          <w:marRight w:val="0"/>
          <w:marTop w:val="0"/>
          <w:marBottom w:val="0"/>
          <w:divBdr>
            <w:top w:val="none" w:sz="0" w:space="0" w:color="auto"/>
            <w:left w:val="none" w:sz="0" w:space="0" w:color="auto"/>
            <w:bottom w:val="none" w:sz="0" w:space="0" w:color="auto"/>
            <w:right w:val="none" w:sz="0" w:space="0" w:color="auto"/>
          </w:divBdr>
        </w:div>
        <w:div w:id="666052502">
          <w:marLeft w:val="480"/>
          <w:marRight w:val="0"/>
          <w:marTop w:val="0"/>
          <w:marBottom w:val="0"/>
          <w:divBdr>
            <w:top w:val="none" w:sz="0" w:space="0" w:color="auto"/>
            <w:left w:val="none" w:sz="0" w:space="0" w:color="auto"/>
            <w:bottom w:val="none" w:sz="0" w:space="0" w:color="auto"/>
            <w:right w:val="none" w:sz="0" w:space="0" w:color="auto"/>
          </w:divBdr>
        </w:div>
        <w:div w:id="671183970">
          <w:marLeft w:val="480"/>
          <w:marRight w:val="0"/>
          <w:marTop w:val="0"/>
          <w:marBottom w:val="0"/>
          <w:divBdr>
            <w:top w:val="none" w:sz="0" w:space="0" w:color="auto"/>
            <w:left w:val="none" w:sz="0" w:space="0" w:color="auto"/>
            <w:bottom w:val="none" w:sz="0" w:space="0" w:color="auto"/>
            <w:right w:val="none" w:sz="0" w:space="0" w:color="auto"/>
          </w:divBdr>
        </w:div>
        <w:div w:id="822544775">
          <w:marLeft w:val="480"/>
          <w:marRight w:val="0"/>
          <w:marTop w:val="0"/>
          <w:marBottom w:val="0"/>
          <w:divBdr>
            <w:top w:val="none" w:sz="0" w:space="0" w:color="auto"/>
            <w:left w:val="none" w:sz="0" w:space="0" w:color="auto"/>
            <w:bottom w:val="none" w:sz="0" w:space="0" w:color="auto"/>
            <w:right w:val="none" w:sz="0" w:space="0" w:color="auto"/>
          </w:divBdr>
        </w:div>
        <w:div w:id="1164124576">
          <w:marLeft w:val="480"/>
          <w:marRight w:val="0"/>
          <w:marTop w:val="0"/>
          <w:marBottom w:val="0"/>
          <w:divBdr>
            <w:top w:val="none" w:sz="0" w:space="0" w:color="auto"/>
            <w:left w:val="none" w:sz="0" w:space="0" w:color="auto"/>
            <w:bottom w:val="none" w:sz="0" w:space="0" w:color="auto"/>
            <w:right w:val="none" w:sz="0" w:space="0" w:color="auto"/>
          </w:divBdr>
        </w:div>
        <w:div w:id="1533881203">
          <w:marLeft w:val="480"/>
          <w:marRight w:val="0"/>
          <w:marTop w:val="0"/>
          <w:marBottom w:val="0"/>
          <w:divBdr>
            <w:top w:val="none" w:sz="0" w:space="0" w:color="auto"/>
            <w:left w:val="none" w:sz="0" w:space="0" w:color="auto"/>
            <w:bottom w:val="none" w:sz="0" w:space="0" w:color="auto"/>
            <w:right w:val="none" w:sz="0" w:space="0" w:color="auto"/>
          </w:divBdr>
        </w:div>
        <w:div w:id="1592658558">
          <w:marLeft w:val="480"/>
          <w:marRight w:val="0"/>
          <w:marTop w:val="0"/>
          <w:marBottom w:val="0"/>
          <w:divBdr>
            <w:top w:val="none" w:sz="0" w:space="0" w:color="auto"/>
            <w:left w:val="none" w:sz="0" w:space="0" w:color="auto"/>
            <w:bottom w:val="none" w:sz="0" w:space="0" w:color="auto"/>
            <w:right w:val="none" w:sz="0" w:space="0" w:color="auto"/>
          </w:divBdr>
        </w:div>
        <w:div w:id="1698197275">
          <w:marLeft w:val="480"/>
          <w:marRight w:val="0"/>
          <w:marTop w:val="0"/>
          <w:marBottom w:val="0"/>
          <w:divBdr>
            <w:top w:val="none" w:sz="0" w:space="0" w:color="auto"/>
            <w:left w:val="none" w:sz="0" w:space="0" w:color="auto"/>
            <w:bottom w:val="none" w:sz="0" w:space="0" w:color="auto"/>
            <w:right w:val="none" w:sz="0" w:space="0" w:color="auto"/>
          </w:divBdr>
        </w:div>
      </w:divsChild>
    </w:div>
    <w:div w:id="379864881">
      <w:bodyDiv w:val="1"/>
      <w:marLeft w:val="0"/>
      <w:marRight w:val="0"/>
      <w:marTop w:val="0"/>
      <w:marBottom w:val="0"/>
      <w:divBdr>
        <w:top w:val="none" w:sz="0" w:space="0" w:color="auto"/>
        <w:left w:val="none" w:sz="0" w:space="0" w:color="auto"/>
        <w:bottom w:val="none" w:sz="0" w:space="0" w:color="auto"/>
        <w:right w:val="none" w:sz="0" w:space="0" w:color="auto"/>
      </w:divBdr>
      <w:divsChild>
        <w:div w:id="129520082">
          <w:marLeft w:val="480"/>
          <w:marRight w:val="0"/>
          <w:marTop w:val="0"/>
          <w:marBottom w:val="0"/>
          <w:divBdr>
            <w:top w:val="none" w:sz="0" w:space="0" w:color="auto"/>
            <w:left w:val="none" w:sz="0" w:space="0" w:color="auto"/>
            <w:bottom w:val="none" w:sz="0" w:space="0" w:color="auto"/>
            <w:right w:val="none" w:sz="0" w:space="0" w:color="auto"/>
          </w:divBdr>
        </w:div>
        <w:div w:id="275410116">
          <w:marLeft w:val="480"/>
          <w:marRight w:val="0"/>
          <w:marTop w:val="0"/>
          <w:marBottom w:val="0"/>
          <w:divBdr>
            <w:top w:val="none" w:sz="0" w:space="0" w:color="auto"/>
            <w:left w:val="none" w:sz="0" w:space="0" w:color="auto"/>
            <w:bottom w:val="none" w:sz="0" w:space="0" w:color="auto"/>
            <w:right w:val="none" w:sz="0" w:space="0" w:color="auto"/>
          </w:divBdr>
        </w:div>
        <w:div w:id="532110901">
          <w:marLeft w:val="480"/>
          <w:marRight w:val="0"/>
          <w:marTop w:val="0"/>
          <w:marBottom w:val="0"/>
          <w:divBdr>
            <w:top w:val="none" w:sz="0" w:space="0" w:color="auto"/>
            <w:left w:val="none" w:sz="0" w:space="0" w:color="auto"/>
            <w:bottom w:val="none" w:sz="0" w:space="0" w:color="auto"/>
            <w:right w:val="none" w:sz="0" w:space="0" w:color="auto"/>
          </w:divBdr>
        </w:div>
        <w:div w:id="584994315">
          <w:marLeft w:val="480"/>
          <w:marRight w:val="0"/>
          <w:marTop w:val="0"/>
          <w:marBottom w:val="0"/>
          <w:divBdr>
            <w:top w:val="none" w:sz="0" w:space="0" w:color="auto"/>
            <w:left w:val="none" w:sz="0" w:space="0" w:color="auto"/>
            <w:bottom w:val="none" w:sz="0" w:space="0" w:color="auto"/>
            <w:right w:val="none" w:sz="0" w:space="0" w:color="auto"/>
          </w:divBdr>
        </w:div>
        <w:div w:id="693502290">
          <w:marLeft w:val="480"/>
          <w:marRight w:val="0"/>
          <w:marTop w:val="0"/>
          <w:marBottom w:val="0"/>
          <w:divBdr>
            <w:top w:val="none" w:sz="0" w:space="0" w:color="auto"/>
            <w:left w:val="none" w:sz="0" w:space="0" w:color="auto"/>
            <w:bottom w:val="none" w:sz="0" w:space="0" w:color="auto"/>
            <w:right w:val="none" w:sz="0" w:space="0" w:color="auto"/>
          </w:divBdr>
        </w:div>
        <w:div w:id="729377953">
          <w:marLeft w:val="480"/>
          <w:marRight w:val="0"/>
          <w:marTop w:val="0"/>
          <w:marBottom w:val="0"/>
          <w:divBdr>
            <w:top w:val="none" w:sz="0" w:space="0" w:color="auto"/>
            <w:left w:val="none" w:sz="0" w:space="0" w:color="auto"/>
            <w:bottom w:val="none" w:sz="0" w:space="0" w:color="auto"/>
            <w:right w:val="none" w:sz="0" w:space="0" w:color="auto"/>
          </w:divBdr>
        </w:div>
        <w:div w:id="822088477">
          <w:marLeft w:val="480"/>
          <w:marRight w:val="0"/>
          <w:marTop w:val="0"/>
          <w:marBottom w:val="0"/>
          <w:divBdr>
            <w:top w:val="none" w:sz="0" w:space="0" w:color="auto"/>
            <w:left w:val="none" w:sz="0" w:space="0" w:color="auto"/>
            <w:bottom w:val="none" w:sz="0" w:space="0" w:color="auto"/>
            <w:right w:val="none" w:sz="0" w:space="0" w:color="auto"/>
          </w:divBdr>
        </w:div>
        <w:div w:id="1100641705">
          <w:marLeft w:val="480"/>
          <w:marRight w:val="0"/>
          <w:marTop w:val="0"/>
          <w:marBottom w:val="0"/>
          <w:divBdr>
            <w:top w:val="none" w:sz="0" w:space="0" w:color="auto"/>
            <w:left w:val="none" w:sz="0" w:space="0" w:color="auto"/>
            <w:bottom w:val="none" w:sz="0" w:space="0" w:color="auto"/>
            <w:right w:val="none" w:sz="0" w:space="0" w:color="auto"/>
          </w:divBdr>
        </w:div>
        <w:div w:id="1107195118">
          <w:marLeft w:val="480"/>
          <w:marRight w:val="0"/>
          <w:marTop w:val="0"/>
          <w:marBottom w:val="0"/>
          <w:divBdr>
            <w:top w:val="none" w:sz="0" w:space="0" w:color="auto"/>
            <w:left w:val="none" w:sz="0" w:space="0" w:color="auto"/>
            <w:bottom w:val="none" w:sz="0" w:space="0" w:color="auto"/>
            <w:right w:val="none" w:sz="0" w:space="0" w:color="auto"/>
          </w:divBdr>
        </w:div>
        <w:div w:id="1135948731">
          <w:marLeft w:val="480"/>
          <w:marRight w:val="0"/>
          <w:marTop w:val="0"/>
          <w:marBottom w:val="0"/>
          <w:divBdr>
            <w:top w:val="none" w:sz="0" w:space="0" w:color="auto"/>
            <w:left w:val="none" w:sz="0" w:space="0" w:color="auto"/>
            <w:bottom w:val="none" w:sz="0" w:space="0" w:color="auto"/>
            <w:right w:val="none" w:sz="0" w:space="0" w:color="auto"/>
          </w:divBdr>
        </w:div>
        <w:div w:id="1528833108">
          <w:marLeft w:val="480"/>
          <w:marRight w:val="0"/>
          <w:marTop w:val="0"/>
          <w:marBottom w:val="0"/>
          <w:divBdr>
            <w:top w:val="none" w:sz="0" w:space="0" w:color="auto"/>
            <w:left w:val="none" w:sz="0" w:space="0" w:color="auto"/>
            <w:bottom w:val="none" w:sz="0" w:space="0" w:color="auto"/>
            <w:right w:val="none" w:sz="0" w:space="0" w:color="auto"/>
          </w:divBdr>
        </w:div>
        <w:div w:id="1690251111">
          <w:marLeft w:val="480"/>
          <w:marRight w:val="0"/>
          <w:marTop w:val="0"/>
          <w:marBottom w:val="0"/>
          <w:divBdr>
            <w:top w:val="none" w:sz="0" w:space="0" w:color="auto"/>
            <w:left w:val="none" w:sz="0" w:space="0" w:color="auto"/>
            <w:bottom w:val="none" w:sz="0" w:space="0" w:color="auto"/>
            <w:right w:val="none" w:sz="0" w:space="0" w:color="auto"/>
          </w:divBdr>
        </w:div>
        <w:div w:id="1912234971">
          <w:marLeft w:val="480"/>
          <w:marRight w:val="0"/>
          <w:marTop w:val="0"/>
          <w:marBottom w:val="0"/>
          <w:divBdr>
            <w:top w:val="none" w:sz="0" w:space="0" w:color="auto"/>
            <w:left w:val="none" w:sz="0" w:space="0" w:color="auto"/>
            <w:bottom w:val="none" w:sz="0" w:space="0" w:color="auto"/>
            <w:right w:val="none" w:sz="0" w:space="0" w:color="auto"/>
          </w:divBdr>
        </w:div>
        <w:div w:id="1940065854">
          <w:marLeft w:val="480"/>
          <w:marRight w:val="0"/>
          <w:marTop w:val="0"/>
          <w:marBottom w:val="0"/>
          <w:divBdr>
            <w:top w:val="none" w:sz="0" w:space="0" w:color="auto"/>
            <w:left w:val="none" w:sz="0" w:space="0" w:color="auto"/>
            <w:bottom w:val="none" w:sz="0" w:space="0" w:color="auto"/>
            <w:right w:val="none" w:sz="0" w:space="0" w:color="auto"/>
          </w:divBdr>
        </w:div>
        <w:div w:id="2105028660">
          <w:marLeft w:val="480"/>
          <w:marRight w:val="0"/>
          <w:marTop w:val="0"/>
          <w:marBottom w:val="0"/>
          <w:divBdr>
            <w:top w:val="none" w:sz="0" w:space="0" w:color="auto"/>
            <w:left w:val="none" w:sz="0" w:space="0" w:color="auto"/>
            <w:bottom w:val="none" w:sz="0" w:space="0" w:color="auto"/>
            <w:right w:val="none" w:sz="0" w:space="0" w:color="auto"/>
          </w:divBdr>
        </w:div>
      </w:divsChild>
    </w:div>
    <w:div w:id="436759233">
      <w:bodyDiv w:val="1"/>
      <w:marLeft w:val="0"/>
      <w:marRight w:val="0"/>
      <w:marTop w:val="0"/>
      <w:marBottom w:val="0"/>
      <w:divBdr>
        <w:top w:val="none" w:sz="0" w:space="0" w:color="auto"/>
        <w:left w:val="none" w:sz="0" w:space="0" w:color="auto"/>
        <w:bottom w:val="none" w:sz="0" w:space="0" w:color="auto"/>
        <w:right w:val="none" w:sz="0" w:space="0" w:color="auto"/>
      </w:divBdr>
      <w:divsChild>
        <w:div w:id="1442266740">
          <w:marLeft w:val="0"/>
          <w:marRight w:val="0"/>
          <w:marTop w:val="0"/>
          <w:marBottom w:val="0"/>
          <w:divBdr>
            <w:top w:val="none" w:sz="0" w:space="0" w:color="auto"/>
            <w:left w:val="none" w:sz="0" w:space="0" w:color="auto"/>
            <w:bottom w:val="none" w:sz="0" w:space="0" w:color="auto"/>
            <w:right w:val="none" w:sz="0" w:space="0" w:color="auto"/>
          </w:divBdr>
          <w:divsChild>
            <w:div w:id="1189687023">
              <w:marLeft w:val="0"/>
              <w:marRight w:val="0"/>
              <w:marTop w:val="0"/>
              <w:marBottom w:val="0"/>
              <w:divBdr>
                <w:top w:val="none" w:sz="0" w:space="0" w:color="auto"/>
                <w:left w:val="none" w:sz="0" w:space="0" w:color="auto"/>
                <w:bottom w:val="none" w:sz="0" w:space="0" w:color="auto"/>
                <w:right w:val="none" w:sz="0" w:space="0" w:color="auto"/>
              </w:divBdr>
              <w:divsChild>
                <w:div w:id="540216193">
                  <w:marLeft w:val="0"/>
                  <w:marRight w:val="0"/>
                  <w:marTop w:val="0"/>
                  <w:marBottom w:val="0"/>
                  <w:divBdr>
                    <w:top w:val="none" w:sz="0" w:space="0" w:color="auto"/>
                    <w:left w:val="none" w:sz="0" w:space="0" w:color="auto"/>
                    <w:bottom w:val="none" w:sz="0" w:space="0" w:color="auto"/>
                    <w:right w:val="none" w:sz="0" w:space="0" w:color="auto"/>
                  </w:divBdr>
                  <w:divsChild>
                    <w:div w:id="6844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065588">
      <w:bodyDiv w:val="1"/>
      <w:marLeft w:val="0"/>
      <w:marRight w:val="0"/>
      <w:marTop w:val="0"/>
      <w:marBottom w:val="0"/>
      <w:divBdr>
        <w:top w:val="none" w:sz="0" w:space="0" w:color="auto"/>
        <w:left w:val="none" w:sz="0" w:space="0" w:color="auto"/>
        <w:bottom w:val="none" w:sz="0" w:space="0" w:color="auto"/>
        <w:right w:val="none" w:sz="0" w:space="0" w:color="auto"/>
      </w:divBdr>
      <w:divsChild>
        <w:div w:id="32655509">
          <w:marLeft w:val="480"/>
          <w:marRight w:val="0"/>
          <w:marTop w:val="0"/>
          <w:marBottom w:val="0"/>
          <w:divBdr>
            <w:top w:val="none" w:sz="0" w:space="0" w:color="auto"/>
            <w:left w:val="none" w:sz="0" w:space="0" w:color="auto"/>
            <w:bottom w:val="none" w:sz="0" w:space="0" w:color="auto"/>
            <w:right w:val="none" w:sz="0" w:space="0" w:color="auto"/>
          </w:divBdr>
        </w:div>
        <w:div w:id="83648651">
          <w:marLeft w:val="480"/>
          <w:marRight w:val="0"/>
          <w:marTop w:val="0"/>
          <w:marBottom w:val="0"/>
          <w:divBdr>
            <w:top w:val="none" w:sz="0" w:space="0" w:color="auto"/>
            <w:left w:val="none" w:sz="0" w:space="0" w:color="auto"/>
            <w:bottom w:val="none" w:sz="0" w:space="0" w:color="auto"/>
            <w:right w:val="none" w:sz="0" w:space="0" w:color="auto"/>
          </w:divBdr>
        </w:div>
        <w:div w:id="121848616">
          <w:marLeft w:val="480"/>
          <w:marRight w:val="0"/>
          <w:marTop w:val="0"/>
          <w:marBottom w:val="0"/>
          <w:divBdr>
            <w:top w:val="none" w:sz="0" w:space="0" w:color="auto"/>
            <w:left w:val="none" w:sz="0" w:space="0" w:color="auto"/>
            <w:bottom w:val="none" w:sz="0" w:space="0" w:color="auto"/>
            <w:right w:val="none" w:sz="0" w:space="0" w:color="auto"/>
          </w:divBdr>
        </w:div>
        <w:div w:id="379597895">
          <w:marLeft w:val="480"/>
          <w:marRight w:val="0"/>
          <w:marTop w:val="0"/>
          <w:marBottom w:val="0"/>
          <w:divBdr>
            <w:top w:val="none" w:sz="0" w:space="0" w:color="auto"/>
            <w:left w:val="none" w:sz="0" w:space="0" w:color="auto"/>
            <w:bottom w:val="none" w:sz="0" w:space="0" w:color="auto"/>
            <w:right w:val="none" w:sz="0" w:space="0" w:color="auto"/>
          </w:divBdr>
        </w:div>
        <w:div w:id="547570065">
          <w:marLeft w:val="480"/>
          <w:marRight w:val="0"/>
          <w:marTop w:val="0"/>
          <w:marBottom w:val="0"/>
          <w:divBdr>
            <w:top w:val="none" w:sz="0" w:space="0" w:color="auto"/>
            <w:left w:val="none" w:sz="0" w:space="0" w:color="auto"/>
            <w:bottom w:val="none" w:sz="0" w:space="0" w:color="auto"/>
            <w:right w:val="none" w:sz="0" w:space="0" w:color="auto"/>
          </w:divBdr>
        </w:div>
        <w:div w:id="573047290">
          <w:marLeft w:val="480"/>
          <w:marRight w:val="0"/>
          <w:marTop w:val="0"/>
          <w:marBottom w:val="0"/>
          <w:divBdr>
            <w:top w:val="none" w:sz="0" w:space="0" w:color="auto"/>
            <w:left w:val="none" w:sz="0" w:space="0" w:color="auto"/>
            <w:bottom w:val="none" w:sz="0" w:space="0" w:color="auto"/>
            <w:right w:val="none" w:sz="0" w:space="0" w:color="auto"/>
          </w:divBdr>
        </w:div>
        <w:div w:id="581987923">
          <w:marLeft w:val="480"/>
          <w:marRight w:val="0"/>
          <w:marTop w:val="0"/>
          <w:marBottom w:val="0"/>
          <w:divBdr>
            <w:top w:val="none" w:sz="0" w:space="0" w:color="auto"/>
            <w:left w:val="none" w:sz="0" w:space="0" w:color="auto"/>
            <w:bottom w:val="none" w:sz="0" w:space="0" w:color="auto"/>
            <w:right w:val="none" w:sz="0" w:space="0" w:color="auto"/>
          </w:divBdr>
        </w:div>
        <w:div w:id="759834077">
          <w:marLeft w:val="480"/>
          <w:marRight w:val="0"/>
          <w:marTop w:val="0"/>
          <w:marBottom w:val="0"/>
          <w:divBdr>
            <w:top w:val="none" w:sz="0" w:space="0" w:color="auto"/>
            <w:left w:val="none" w:sz="0" w:space="0" w:color="auto"/>
            <w:bottom w:val="none" w:sz="0" w:space="0" w:color="auto"/>
            <w:right w:val="none" w:sz="0" w:space="0" w:color="auto"/>
          </w:divBdr>
        </w:div>
        <w:div w:id="924533209">
          <w:marLeft w:val="480"/>
          <w:marRight w:val="0"/>
          <w:marTop w:val="0"/>
          <w:marBottom w:val="0"/>
          <w:divBdr>
            <w:top w:val="none" w:sz="0" w:space="0" w:color="auto"/>
            <w:left w:val="none" w:sz="0" w:space="0" w:color="auto"/>
            <w:bottom w:val="none" w:sz="0" w:space="0" w:color="auto"/>
            <w:right w:val="none" w:sz="0" w:space="0" w:color="auto"/>
          </w:divBdr>
        </w:div>
        <w:div w:id="1195538647">
          <w:marLeft w:val="480"/>
          <w:marRight w:val="0"/>
          <w:marTop w:val="0"/>
          <w:marBottom w:val="0"/>
          <w:divBdr>
            <w:top w:val="none" w:sz="0" w:space="0" w:color="auto"/>
            <w:left w:val="none" w:sz="0" w:space="0" w:color="auto"/>
            <w:bottom w:val="none" w:sz="0" w:space="0" w:color="auto"/>
            <w:right w:val="none" w:sz="0" w:space="0" w:color="auto"/>
          </w:divBdr>
        </w:div>
        <w:div w:id="1242325906">
          <w:marLeft w:val="480"/>
          <w:marRight w:val="0"/>
          <w:marTop w:val="0"/>
          <w:marBottom w:val="0"/>
          <w:divBdr>
            <w:top w:val="none" w:sz="0" w:space="0" w:color="auto"/>
            <w:left w:val="none" w:sz="0" w:space="0" w:color="auto"/>
            <w:bottom w:val="none" w:sz="0" w:space="0" w:color="auto"/>
            <w:right w:val="none" w:sz="0" w:space="0" w:color="auto"/>
          </w:divBdr>
        </w:div>
        <w:div w:id="1515343966">
          <w:marLeft w:val="480"/>
          <w:marRight w:val="0"/>
          <w:marTop w:val="0"/>
          <w:marBottom w:val="0"/>
          <w:divBdr>
            <w:top w:val="none" w:sz="0" w:space="0" w:color="auto"/>
            <w:left w:val="none" w:sz="0" w:space="0" w:color="auto"/>
            <w:bottom w:val="none" w:sz="0" w:space="0" w:color="auto"/>
            <w:right w:val="none" w:sz="0" w:space="0" w:color="auto"/>
          </w:divBdr>
        </w:div>
        <w:div w:id="1592351421">
          <w:marLeft w:val="480"/>
          <w:marRight w:val="0"/>
          <w:marTop w:val="0"/>
          <w:marBottom w:val="0"/>
          <w:divBdr>
            <w:top w:val="none" w:sz="0" w:space="0" w:color="auto"/>
            <w:left w:val="none" w:sz="0" w:space="0" w:color="auto"/>
            <w:bottom w:val="none" w:sz="0" w:space="0" w:color="auto"/>
            <w:right w:val="none" w:sz="0" w:space="0" w:color="auto"/>
          </w:divBdr>
        </w:div>
        <w:div w:id="1789468522">
          <w:marLeft w:val="480"/>
          <w:marRight w:val="0"/>
          <w:marTop w:val="0"/>
          <w:marBottom w:val="0"/>
          <w:divBdr>
            <w:top w:val="none" w:sz="0" w:space="0" w:color="auto"/>
            <w:left w:val="none" w:sz="0" w:space="0" w:color="auto"/>
            <w:bottom w:val="none" w:sz="0" w:space="0" w:color="auto"/>
            <w:right w:val="none" w:sz="0" w:space="0" w:color="auto"/>
          </w:divBdr>
        </w:div>
        <w:div w:id="1886672215">
          <w:marLeft w:val="480"/>
          <w:marRight w:val="0"/>
          <w:marTop w:val="0"/>
          <w:marBottom w:val="0"/>
          <w:divBdr>
            <w:top w:val="none" w:sz="0" w:space="0" w:color="auto"/>
            <w:left w:val="none" w:sz="0" w:space="0" w:color="auto"/>
            <w:bottom w:val="none" w:sz="0" w:space="0" w:color="auto"/>
            <w:right w:val="none" w:sz="0" w:space="0" w:color="auto"/>
          </w:divBdr>
        </w:div>
        <w:div w:id="1938096793">
          <w:marLeft w:val="480"/>
          <w:marRight w:val="0"/>
          <w:marTop w:val="0"/>
          <w:marBottom w:val="0"/>
          <w:divBdr>
            <w:top w:val="none" w:sz="0" w:space="0" w:color="auto"/>
            <w:left w:val="none" w:sz="0" w:space="0" w:color="auto"/>
            <w:bottom w:val="none" w:sz="0" w:space="0" w:color="auto"/>
            <w:right w:val="none" w:sz="0" w:space="0" w:color="auto"/>
          </w:divBdr>
        </w:div>
        <w:div w:id="2110469760">
          <w:marLeft w:val="480"/>
          <w:marRight w:val="0"/>
          <w:marTop w:val="0"/>
          <w:marBottom w:val="0"/>
          <w:divBdr>
            <w:top w:val="none" w:sz="0" w:space="0" w:color="auto"/>
            <w:left w:val="none" w:sz="0" w:space="0" w:color="auto"/>
            <w:bottom w:val="none" w:sz="0" w:space="0" w:color="auto"/>
            <w:right w:val="none" w:sz="0" w:space="0" w:color="auto"/>
          </w:divBdr>
        </w:div>
      </w:divsChild>
    </w:div>
    <w:div w:id="526993667">
      <w:bodyDiv w:val="1"/>
      <w:marLeft w:val="0"/>
      <w:marRight w:val="0"/>
      <w:marTop w:val="0"/>
      <w:marBottom w:val="0"/>
      <w:divBdr>
        <w:top w:val="none" w:sz="0" w:space="0" w:color="auto"/>
        <w:left w:val="none" w:sz="0" w:space="0" w:color="auto"/>
        <w:bottom w:val="none" w:sz="0" w:space="0" w:color="auto"/>
        <w:right w:val="none" w:sz="0" w:space="0" w:color="auto"/>
      </w:divBdr>
      <w:divsChild>
        <w:div w:id="39671802">
          <w:marLeft w:val="480"/>
          <w:marRight w:val="0"/>
          <w:marTop w:val="0"/>
          <w:marBottom w:val="0"/>
          <w:divBdr>
            <w:top w:val="none" w:sz="0" w:space="0" w:color="auto"/>
            <w:left w:val="none" w:sz="0" w:space="0" w:color="auto"/>
            <w:bottom w:val="none" w:sz="0" w:space="0" w:color="auto"/>
            <w:right w:val="none" w:sz="0" w:space="0" w:color="auto"/>
          </w:divBdr>
        </w:div>
        <w:div w:id="135533396">
          <w:marLeft w:val="480"/>
          <w:marRight w:val="0"/>
          <w:marTop w:val="0"/>
          <w:marBottom w:val="0"/>
          <w:divBdr>
            <w:top w:val="none" w:sz="0" w:space="0" w:color="auto"/>
            <w:left w:val="none" w:sz="0" w:space="0" w:color="auto"/>
            <w:bottom w:val="none" w:sz="0" w:space="0" w:color="auto"/>
            <w:right w:val="none" w:sz="0" w:space="0" w:color="auto"/>
          </w:divBdr>
        </w:div>
        <w:div w:id="179860362">
          <w:marLeft w:val="480"/>
          <w:marRight w:val="0"/>
          <w:marTop w:val="0"/>
          <w:marBottom w:val="0"/>
          <w:divBdr>
            <w:top w:val="none" w:sz="0" w:space="0" w:color="auto"/>
            <w:left w:val="none" w:sz="0" w:space="0" w:color="auto"/>
            <w:bottom w:val="none" w:sz="0" w:space="0" w:color="auto"/>
            <w:right w:val="none" w:sz="0" w:space="0" w:color="auto"/>
          </w:divBdr>
        </w:div>
        <w:div w:id="554196957">
          <w:marLeft w:val="480"/>
          <w:marRight w:val="0"/>
          <w:marTop w:val="0"/>
          <w:marBottom w:val="0"/>
          <w:divBdr>
            <w:top w:val="none" w:sz="0" w:space="0" w:color="auto"/>
            <w:left w:val="none" w:sz="0" w:space="0" w:color="auto"/>
            <w:bottom w:val="none" w:sz="0" w:space="0" w:color="auto"/>
            <w:right w:val="none" w:sz="0" w:space="0" w:color="auto"/>
          </w:divBdr>
        </w:div>
        <w:div w:id="815607476">
          <w:marLeft w:val="480"/>
          <w:marRight w:val="0"/>
          <w:marTop w:val="0"/>
          <w:marBottom w:val="0"/>
          <w:divBdr>
            <w:top w:val="none" w:sz="0" w:space="0" w:color="auto"/>
            <w:left w:val="none" w:sz="0" w:space="0" w:color="auto"/>
            <w:bottom w:val="none" w:sz="0" w:space="0" w:color="auto"/>
            <w:right w:val="none" w:sz="0" w:space="0" w:color="auto"/>
          </w:divBdr>
        </w:div>
        <w:div w:id="859010290">
          <w:marLeft w:val="480"/>
          <w:marRight w:val="0"/>
          <w:marTop w:val="0"/>
          <w:marBottom w:val="0"/>
          <w:divBdr>
            <w:top w:val="none" w:sz="0" w:space="0" w:color="auto"/>
            <w:left w:val="none" w:sz="0" w:space="0" w:color="auto"/>
            <w:bottom w:val="none" w:sz="0" w:space="0" w:color="auto"/>
            <w:right w:val="none" w:sz="0" w:space="0" w:color="auto"/>
          </w:divBdr>
        </w:div>
        <w:div w:id="874659899">
          <w:marLeft w:val="480"/>
          <w:marRight w:val="0"/>
          <w:marTop w:val="0"/>
          <w:marBottom w:val="0"/>
          <w:divBdr>
            <w:top w:val="none" w:sz="0" w:space="0" w:color="auto"/>
            <w:left w:val="none" w:sz="0" w:space="0" w:color="auto"/>
            <w:bottom w:val="none" w:sz="0" w:space="0" w:color="auto"/>
            <w:right w:val="none" w:sz="0" w:space="0" w:color="auto"/>
          </w:divBdr>
        </w:div>
        <w:div w:id="976567165">
          <w:marLeft w:val="480"/>
          <w:marRight w:val="0"/>
          <w:marTop w:val="0"/>
          <w:marBottom w:val="0"/>
          <w:divBdr>
            <w:top w:val="none" w:sz="0" w:space="0" w:color="auto"/>
            <w:left w:val="none" w:sz="0" w:space="0" w:color="auto"/>
            <w:bottom w:val="none" w:sz="0" w:space="0" w:color="auto"/>
            <w:right w:val="none" w:sz="0" w:space="0" w:color="auto"/>
          </w:divBdr>
        </w:div>
        <w:div w:id="1201698393">
          <w:marLeft w:val="480"/>
          <w:marRight w:val="0"/>
          <w:marTop w:val="0"/>
          <w:marBottom w:val="0"/>
          <w:divBdr>
            <w:top w:val="none" w:sz="0" w:space="0" w:color="auto"/>
            <w:left w:val="none" w:sz="0" w:space="0" w:color="auto"/>
            <w:bottom w:val="none" w:sz="0" w:space="0" w:color="auto"/>
            <w:right w:val="none" w:sz="0" w:space="0" w:color="auto"/>
          </w:divBdr>
        </w:div>
        <w:div w:id="1224368615">
          <w:marLeft w:val="480"/>
          <w:marRight w:val="0"/>
          <w:marTop w:val="0"/>
          <w:marBottom w:val="0"/>
          <w:divBdr>
            <w:top w:val="none" w:sz="0" w:space="0" w:color="auto"/>
            <w:left w:val="none" w:sz="0" w:space="0" w:color="auto"/>
            <w:bottom w:val="none" w:sz="0" w:space="0" w:color="auto"/>
            <w:right w:val="none" w:sz="0" w:space="0" w:color="auto"/>
          </w:divBdr>
        </w:div>
        <w:div w:id="1405032396">
          <w:marLeft w:val="480"/>
          <w:marRight w:val="0"/>
          <w:marTop w:val="0"/>
          <w:marBottom w:val="0"/>
          <w:divBdr>
            <w:top w:val="none" w:sz="0" w:space="0" w:color="auto"/>
            <w:left w:val="none" w:sz="0" w:space="0" w:color="auto"/>
            <w:bottom w:val="none" w:sz="0" w:space="0" w:color="auto"/>
            <w:right w:val="none" w:sz="0" w:space="0" w:color="auto"/>
          </w:divBdr>
        </w:div>
        <w:div w:id="1462575218">
          <w:marLeft w:val="480"/>
          <w:marRight w:val="0"/>
          <w:marTop w:val="0"/>
          <w:marBottom w:val="0"/>
          <w:divBdr>
            <w:top w:val="none" w:sz="0" w:space="0" w:color="auto"/>
            <w:left w:val="none" w:sz="0" w:space="0" w:color="auto"/>
            <w:bottom w:val="none" w:sz="0" w:space="0" w:color="auto"/>
            <w:right w:val="none" w:sz="0" w:space="0" w:color="auto"/>
          </w:divBdr>
        </w:div>
        <w:div w:id="1469278590">
          <w:marLeft w:val="480"/>
          <w:marRight w:val="0"/>
          <w:marTop w:val="0"/>
          <w:marBottom w:val="0"/>
          <w:divBdr>
            <w:top w:val="none" w:sz="0" w:space="0" w:color="auto"/>
            <w:left w:val="none" w:sz="0" w:space="0" w:color="auto"/>
            <w:bottom w:val="none" w:sz="0" w:space="0" w:color="auto"/>
            <w:right w:val="none" w:sz="0" w:space="0" w:color="auto"/>
          </w:divBdr>
        </w:div>
        <w:div w:id="1736004987">
          <w:marLeft w:val="480"/>
          <w:marRight w:val="0"/>
          <w:marTop w:val="0"/>
          <w:marBottom w:val="0"/>
          <w:divBdr>
            <w:top w:val="none" w:sz="0" w:space="0" w:color="auto"/>
            <w:left w:val="none" w:sz="0" w:space="0" w:color="auto"/>
            <w:bottom w:val="none" w:sz="0" w:space="0" w:color="auto"/>
            <w:right w:val="none" w:sz="0" w:space="0" w:color="auto"/>
          </w:divBdr>
        </w:div>
        <w:div w:id="2030376594">
          <w:marLeft w:val="480"/>
          <w:marRight w:val="0"/>
          <w:marTop w:val="0"/>
          <w:marBottom w:val="0"/>
          <w:divBdr>
            <w:top w:val="none" w:sz="0" w:space="0" w:color="auto"/>
            <w:left w:val="none" w:sz="0" w:space="0" w:color="auto"/>
            <w:bottom w:val="none" w:sz="0" w:space="0" w:color="auto"/>
            <w:right w:val="none" w:sz="0" w:space="0" w:color="auto"/>
          </w:divBdr>
        </w:div>
        <w:div w:id="2054956856">
          <w:marLeft w:val="480"/>
          <w:marRight w:val="0"/>
          <w:marTop w:val="0"/>
          <w:marBottom w:val="0"/>
          <w:divBdr>
            <w:top w:val="none" w:sz="0" w:space="0" w:color="auto"/>
            <w:left w:val="none" w:sz="0" w:space="0" w:color="auto"/>
            <w:bottom w:val="none" w:sz="0" w:space="0" w:color="auto"/>
            <w:right w:val="none" w:sz="0" w:space="0" w:color="auto"/>
          </w:divBdr>
        </w:div>
        <w:div w:id="2089765686">
          <w:marLeft w:val="480"/>
          <w:marRight w:val="0"/>
          <w:marTop w:val="0"/>
          <w:marBottom w:val="0"/>
          <w:divBdr>
            <w:top w:val="none" w:sz="0" w:space="0" w:color="auto"/>
            <w:left w:val="none" w:sz="0" w:space="0" w:color="auto"/>
            <w:bottom w:val="none" w:sz="0" w:space="0" w:color="auto"/>
            <w:right w:val="none" w:sz="0" w:space="0" w:color="auto"/>
          </w:divBdr>
        </w:div>
      </w:divsChild>
    </w:div>
    <w:div w:id="534272809">
      <w:bodyDiv w:val="1"/>
      <w:marLeft w:val="0"/>
      <w:marRight w:val="0"/>
      <w:marTop w:val="0"/>
      <w:marBottom w:val="0"/>
      <w:divBdr>
        <w:top w:val="none" w:sz="0" w:space="0" w:color="auto"/>
        <w:left w:val="none" w:sz="0" w:space="0" w:color="auto"/>
        <w:bottom w:val="none" w:sz="0" w:space="0" w:color="auto"/>
        <w:right w:val="none" w:sz="0" w:space="0" w:color="auto"/>
      </w:divBdr>
      <w:divsChild>
        <w:div w:id="97261911">
          <w:marLeft w:val="480"/>
          <w:marRight w:val="0"/>
          <w:marTop w:val="0"/>
          <w:marBottom w:val="0"/>
          <w:divBdr>
            <w:top w:val="none" w:sz="0" w:space="0" w:color="auto"/>
            <w:left w:val="none" w:sz="0" w:space="0" w:color="auto"/>
            <w:bottom w:val="none" w:sz="0" w:space="0" w:color="auto"/>
            <w:right w:val="none" w:sz="0" w:space="0" w:color="auto"/>
          </w:divBdr>
        </w:div>
        <w:div w:id="367723266">
          <w:marLeft w:val="480"/>
          <w:marRight w:val="0"/>
          <w:marTop w:val="0"/>
          <w:marBottom w:val="0"/>
          <w:divBdr>
            <w:top w:val="none" w:sz="0" w:space="0" w:color="auto"/>
            <w:left w:val="none" w:sz="0" w:space="0" w:color="auto"/>
            <w:bottom w:val="none" w:sz="0" w:space="0" w:color="auto"/>
            <w:right w:val="none" w:sz="0" w:space="0" w:color="auto"/>
          </w:divBdr>
        </w:div>
        <w:div w:id="413746105">
          <w:marLeft w:val="480"/>
          <w:marRight w:val="0"/>
          <w:marTop w:val="0"/>
          <w:marBottom w:val="0"/>
          <w:divBdr>
            <w:top w:val="none" w:sz="0" w:space="0" w:color="auto"/>
            <w:left w:val="none" w:sz="0" w:space="0" w:color="auto"/>
            <w:bottom w:val="none" w:sz="0" w:space="0" w:color="auto"/>
            <w:right w:val="none" w:sz="0" w:space="0" w:color="auto"/>
          </w:divBdr>
        </w:div>
        <w:div w:id="538666180">
          <w:marLeft w:val="480"/>
          <w:marRight w:val="0"/>
          <w:marTop w:val="0"/>
          <w:marBottom w:val="0"/>
          <w:divBdr>
            <w:top w:val="none" w:sz="0" w:space="0" w:color="auto"/>
            <w:left w:val="none" w:sz="0" w:space="0" w:color="auto"/>
            <w:bottom w:val="none" w:sz="0" w:space="0" w:color="auto"/>
            <w:right w:val="none" w:sz="0" w:space="0" w:color="auto"/>
          </w:divBdr>
        </w:div>
        <w:div w:id="567762223">
          <w:marLeft w:val="480"/>
          <w:marRight w:val="0"/>
          <w:marTop w:val="0"/>
          <w:marBottom w:val="0"/>
          <w:divBdr>
            <w:top w:val="none" w:sz="0" w:space="0" w:color="auto"/>
            <w:left w:val="none" w:sz="0" w:space="0" w:color="auto"/>
            <w:bottom w:val="none" w:sz="0" w:space="0" w:color="auto"/>
            <w:right w:val="none" w:sz="0" w:space="0" w:color="auto"/>
          </w:divBdr>
        </w:div>
        <w:div w:id="680162986">
          <w:marLeft w:val="480"/>
          <w:marRight w:val="0"/>
          <w:marTop w:val="0"/>
          <w:marBottom w:val="0"/>
          <w:divBdr>
            <w:top w:val="none" w:sz="0" w:space="0" w:color="auto"/>
            <w:left w:val="none" w:sz="0" w:space="0" w:color="auto"/>
            <w:bottom w:val="none" w:sz="0" w:space="0" w:color="auto"/>
            <w:right w:val="none" w:sz="0" w:space="0" w:color="auto"/>
          </w:divBdr>
        </w:div>
        <w:div w:id="799955329">
          <w:marLeft w:val="480"/>
          <w:marRight w:val="0"/>
          <w:marTop w:val="0"/>
          <w:marBottom w:val="0"/>
          <w:divBdr>
            <w:top w:val="none" w:sz="0" w:space="0" w:color="auto"/>
            <w:left w:val="none" w:sz="0" w:space="0" w:color="auto"/>
            <w:bottom w:val="none" w:sz="0" w:space="0" w:color="auto"/>
            <w:right w:val="none" w:sz="0" w:space="0" w:color="auto"/>
          </w:divBdr>
        </w:div>
        <w:div w:id="962805113">
          <w:marLeft w:val="480"/>
          <w:marRight w:val="0"/>
          <w:marTop w:val="0"/>
          <w:marBottom w:val="0"/>
          <w:divBdr>
            <w:top w:val="none" w:sz="0" w:space="0" w:color="auto"/>
            <w:left w:val="none" w:sz="0" w:space="0" w:color="auto"/>
            <w:bottom w:val="none" w:sz="0" w:space="0" w:color="auto"/>
            <w:right w:val="none" w:sz="0" w:space="0" w:color="auto"/>
          </w:divBdr>
        </w:div>
        <w:div w:id="1022701926">
          <w:marLeft w:val="480"/>
          <w:marRight w:val="0"/>
          <w:marTop w:val="0"/>
          <w:marBottom w:val="0"/>
          <w:divBdr>
            <w:top w:val="none" w:sz="0" w:space="0" w:color="auto"/>
            <w:left w:val="none" w:sz="0" w:space="0" w:color="auto"/>
            <w:bottom w:val="none" w:sz="0" w:space="0" w:color="auto"/>
            <w:right w:val="none" w:sz="0" w:space="0" w:color="auto"/>
          </w:divBdr>
        </w:div>
        <w:div w:id="1239174213">
          <w:marLeft w:val="480"/>
          <w:marRight w:val="0"/>
          <w:marTop w:val="0"/>
          <w:marBottom w:val="0"/>
          <w:divBdr>
            <w:top w:val="none" w:sz="0" w:space="0" w:color="auto"/>
            <w:left w:val="none" w:sz="0" w:space="0" w:color="auto"/>
            <w:bottom w:val="none" w:sz="0" w:space="0" w:color="auto"/>
            <w:right w:val="none" w:sz="0" w:space="0" w:color="auto"/>
          </w:divBdr>
        </w:div>
        <w:div w:id="1436245165">
          <w:marLeft w:val="480"/>
          <w:marRight w:val="0"/>
          <w:marTop w:val="0"/>
          <w:marBottom w:val="0"/>
          <w:divBdr>
            <w:top w:val="none" w:sz="0" w:space="0" w:color="auto"/>
            <w:left w:val="none" w:sz="0" w:space="0" w:color="auto"/>
            <w:bottom w:val="none" w:sz="0" w:space="0" w:color="auto"/>
            <w:right w:val="none" w:sz="0" w:space="0" w:color="auto"/>
          </w:divBdr>
        </w:div>
        <w:div w:id="1538086643">
          <w:marLeft w:val="480"/>
          <w:marRight w:val="0"/>
          <w:marTop w:val="0"/>
          <w:marBottom w:val="0"/>
          <w:divBdr>
            <w:top w:val="none" w:sz="0" w:space="0" w:color="auto"/>
            <w:left w:val="none" w:sz="0" w:space="0" w:color="auto"/>
            <w:bottom w:val="none" w:sz="0" w:space="0" w:color="auto"/>
            <w:right w:val="none" w:sz="0" w:space="0" w:color="auto"/>
          </w:divBdr>
        </w:div>
        <w:div w:id="1659382289">
          <w:marLeft w:val="480"/>
          <w:marRight w:val="0"/>
          <w:marTop w:val="0"/>
          <w:marBottom w:val="0"/>
          <w:divBdr>
            <w:top w:val="none" w:sz="0" w:space="0" w:color="auto"/>
            <w:left w:val="none" w:sz="0" w:space="0" w:color="auto"/>
            <w:bottom w:val="none" w:sz="0" w:space="0" w:color="auto"/>
            <w:right w:val="none" w:sz="0" w:space="0" w:color="auto"/>
          </w:divBdr>
        </w:div>
        <w:div w:id="1704744603">
          <w:marLeft w:val="480"/>
          <w:marRight w:val="0"/>
          <w:marTop w:val="0"/>
          <w:marBottom w:val="0"/>
          <w:divBdr>
            <w:top w:val="none" w:sz="0" w:space="0" w:color="auto"/>
            <w:left w:val="none" w:sz="0" w:space="0" w:color="auto"/>
            <w:bottom w:val="none" w:sz="0" w:space="0" w:color="auto"/>
            <w:right w:val="none" w:sz="0" w:space="0" w:color="auto"/>
          </w:divBdr>
        </w:div>
        <w:div w:id="1791699434">
          <w:marLeft w:val="480"/>
          <w:marRight w:val="0"/>
          <w:marTop w:val="0"/>
          <w:marBottom w:val="0"/>
          <w:divBdr>
            <w:top w:val="none" w:sz="0" w:space="0" w:color="auto"/>
            <w:left w:val="none" w:sz="0" w:space="0" w:color="auto"/>
            <w:bottom w:val="none" w:sz="0" w:space="0" w:color="auto"/>
            <w:right w:val="none" w:sz="0" w:space="0" w:color="auto"/>
          </w:divBdr>
        </w:div>
        <w:div w:id="1921479262">
          <w:marLeft w:val="480"/>
          <w:marRight w:val="0"/>
          <w:marTop w:val="0"/>
          <w:marBottom w:val="0"/>
          <w:divBdr>
            <w:top w:val="none" w:sz="0" w:space="0" w:color="auto"/>
            <w:left w:val="none" w:sz="0" w:space="0" w:color="auto"/>
            <w:bottom w:val="none" w:sz="0" w:space="0" w:color="auto"/>
            <w:right w:val="none" w:sz="0" w:space="0" w:color="auto"/>
          </w:divBdr>
        </w:div>
        <w:div w:id="2084840061">
          <w:marLeft w:val="480"/>
          <w:marRight w:val="0"/>
          <w:marTop w:val="0"/>
          <w:marBottom w:val="0"/>
          <w:divBdr>
            <w:top w:val="none" w:sz="0" w:space="0" w:color="auto"/>
            <w:left w:val="none" w:sz="0" w:space="0" w:color="auto"/>
            <w:bottom w:val="none" w:sz="0" w:space="0" w:color="auto"/>
            <w:right w:val="none" w:sz="0" w:space="0" w:color="auto"/>
          </w:divBdr>
        </w:div>
      </w:divsChild>
    </w:div>
    <w:div w:id="546799405">
      <w:bodyDiv w:val="1"/>
      <w:marLeft w:val="0"/>
      <w:marRight w:val="0"/>
      <w:marTop w:val="0"/>
      <w:marBottom w:val="0"/>
      <w:divBdr>
        <w:top w:val="none" w:sz="0" w:space="0" w:color="auto"/>
        <w:left w:val="none" w:sz="0" w:space="0" w:color="auto"/>
        <w:bottom w:val="none" w:sz="0" w:space="0" w:color="auto"/>
        <w:right w:val="none" w:sz="0" w:space="0" w:color="auto"/>
      </w:divBdr>
      <w:divsChild>
        <w:div w:id="92477100">
          <w:marLeft w:val="480"/>
          <w:marRight w:val="0"/>
          <w:marTop w:val="0"/>
          <w:marBottom w:val="0"/>
          <w:divBdr>
            <w:top w:val="none" w:sz="0" w:space="0" w:color="auto"/>
            <w:left w:val="none" w:sz="0" w:space="0" w:color="auto"/>
            <w:bottom w:val="none" w:sz="0" w:space="0" w:color="auto"/>
            <w:right w:val="none" w:sz="0" w:space="0" w:color="auto"/>
          </w:divBdr>
        </w:div>
        <w:div w:id="107556031">
          <w:marLeft w:val="480"/>
          <w:marRight w:val="0"/>
          <w:marTop w:val="0"/>
          <w:marBottom w:val="0"/>
          <w:divBdr>
            <w:top w:val="none" w:sz="0" w:space="0" w:color="auto"/>
            <w:left w:val="none" w:sz="0" w:space="0" w:color="auto"/>
            <w:bottom w:val="none" w:sz="0" w:space="0" w:color="auto"/>
            <w:right w:val="none" w:sz="0" w:space="0" w:color="auto"/>
          </w:divBdr>
        </w:div>
        <w:div w:id="177473009">
          <w:marLeft w:val="480"/>
          <w:marRight w:val="0"/>
          <w:marTop w:val="0"/>
          <w:marBottom w:val="0"/>
          <w:divBdr>
            <w:top w:val="none" w:sz="0" w:space="0" w:color="auto"/>
            <w:left w:val="none" w:sz="0" w:space="0" w:color="auto"/>
            <w:bottom w:val="none" w:sz="0" w:space="0" w:color="auto"/>
            <w:right w:val="none" w:sz="0" w:space="0" w:color="auto"/>
          </w:divBdr>
        </w:div>
        <w:div w:id="190144653">
          <w:marLeft w:val="480"/>
          <w:marRight w:val="0"/>
          <w:marTop w:val="0"/>
          <w:marBottom w:val="0"/>
          <w:divBdr>
            <w:top w:val="none" w:sz="0" w:space="0" w:color="auto"/>
            <w:left w:val="none" w:sz="0" w:space="0" w:color="auto"/>
            <w:bottom w:val="none" w:sz="0" w:space="0" w:color="auto"/>
            <w:right w:val="none" w:sz="0" w:space="0" w:color="auto"/>
          </w:divBdr>
        </w:div>
        <w:div w:id="736590411">
          <w:marLeft w:val="480"/>
          <w:marRight w:val="0"/>
          <w:marTop w:val="0"/>
          <w:marBottom w:val="0"/>
          <w:divBdr>
            <w:top w:val="none" w:sz="0" w:space="0" w:color="auto"/>
            <w:left w:val="none" w:sz="0" w:space="0" w:color="auto"/>
            <w:bottom w:val="none" w:sz="0" w:space="0" w:color="auto"/>
            <w:right w:val="none" w:sz="0" w:space="0" w:color="auto"/>
          </w:divBdr>
        </w:div>
        <w:div w:id="746540967">
          <w:marLeft w:val="480"/>
          <w:marRight w:val="0"/>
          <w:marTop w:val="0"/>
          <w:marBottom w:val="0"/>
          <w:divBdr>
            <w:top w:val="none" w:sz="0" w:space="0" w:color="auto"/>
            <w:left w:val="none" w:sz="0" w:space="0" w:color="auto"/>
            <w:bottom w:val="none" w:sz="0" w:space="0" w:color="auto"/>
            <w:right w:val="none" w:sz="0" w:space="0" w:color="auto"/>
          </w:divBdr>
        </w:div>
        <w:div w:id="770777555">
          <w:marLeft w:val="480"/>
          <w:marRight w:val="0"/>
          <w:marTop w:val="0"/>
          <w:marBottom w:val="0"/>
          <w:divBdr>
            <w:top w:val="none" w:sz="0" w:space="0" w:color="auto"/>
            <w:left w:val="none" w:sz="0" w:space="0" w:color="auto"/>
            <w:bottom w:val="none" w:sz="0" w:space="0" w:color="auto"/>
            <w:right w:val="none" w:sz="0" w:space="0" w:color="auto"/>
          </w:divBdr>
        </w:div>
        <w:div w:id="882330554">
          <w:marLeft w:val="480"/>
          <w:marRight w:val="0"/>
          <w:marTop w:val="0"/>
          <w:marBottom w:val="0"/>
          <w:divBdr>
            <w:top w:val="none" w:sz="0" w:space="0" w:color="auto"/>
            <w:left w:val="none" w:sz="0" w:space="0" w:color="auto"/>
            <w:bottom w:val="none" w:sz="0" w:space="0" w:color="auto"/>
            <w:right w:val="none" w:sz="0" w:space="0" w:color="auto"/>
          </w:divBdr>
        </w:div>
        <w:div w:id="986011558">
          <w:marLeft w:val="480"/>
          <w:marRight w:val="0"/>
          <w:marTop w:val="0"/>
          <w:marBottom w:val="0"/>
          <w:divBdr>
            <w:top w:val="none" w:sz="0" w:space="0" w:color="auto"/>
            <w:left w:val="none" w:sz="0" w:space="0" w:color="auto"/>
            <w:bottom w:val="none" w:sz="0" w:space="0" w:color="auto"/>
            <w:right w:val="none" w:sz="0" w:space="0" w:color="auto"/>
          </w:divBdr>
        </w:div>
        <w:div w:id="1037046208">
          <w:marLeft w:val="480"/>
          <w:marRight w:val="0"/>
          <w:marTop w:val="0"/>
          <w:marBottom w:val="0"/>
          <w:divBdr>
            <w:top w:val="none" w:sz="0" w:space="0" w:color="auto"/>
            <w:left w:val="none" w:sz="0" w:space="0" w:color="auto"/>
            <w:bottom w:val="none" w:sz="0" w:space="0" w:color="auto"/>
            <w:right w:val="none" w:sz="0" w:space="0" w:color="auto"/>
          </w:divBdr>
        </w:div>
        <w:div w:id="1083187419">
          <w:marLeft w:val="480"/>
          <w:marRight w:val="0"/>
          <w:marTop w:val="0"/>
          <w:marBottom w:val="0"/>
          <w:divBdr>
            <w:top w:val="none" w:sz="0" w:space="0" w:color="auto"/>
            <w:left w:val="none" w:sz="0" w:space="0" w:color="auto"/>
            <w:bottom w:val="none" w:sz="0" w:space="0" w:color="auto"/>
            <w:right w:val="none" w:sz="0" w:space="0" w:color="auto"/>
          </w:divBdr>
        </w:div>
        <w:div w:id="1212185066">
          <w:marLeft w:val="480"/>
          <w:marRight w:val="0"/>
          <w:marTop w:val="0"/>
          <w:marBottom w:val="0"/>
          <w:divBdr>
            <w:top w:val="none" w:sz="0" w:space="0" w:color="auto"/>
            <w:left w:val="none" w:sz="0" w:space="0" w:color="auto"/>
            <w:bottom w:val="none" w:sz="0" w:space="0" w:color="auto"/>
            <w:right w:val="none" w:sz="0" w:space="0" w:color="auto"/>
          </w:divBdr>
        </w:div>
        <w:div w:id="1263957345">
          <w:marLeft w:val="480"/>
          <w:marRight w:val="0"/>
          <w:marTop w:val="0"/>
          <w:marBottom w:val="0"/>
          <w:divBdr>
            <w:top w:val="none" w:sz="0" w:space="0" w:color="auto"/>
            <w:left w:val="none" w:sz="0" w:space="0" w:color="auto"/>
            <w:bottom w:val="none" w:sz="0" w:space="0" w:color="auto"/>
            <w:right w:val="none" w:sz="0" w:space="0" w:color="auto"/>
          </w:divBdr>
        </w:div>
        <w:div w:id="1408843245">
          <w:marLeft w:val="480"/>
          <w:marRight w:val="0"/>
          <w:marTop w:val="0"/>
          <w:marBottom w:val="0"/>
          <w:divBdr>
            <w:top w:val="none" w:sz="0" w:space="0" w:color="auto"/>
            <w:left w:val="none" w:sz="0" w:space="0" w:color="auto"/>
            <w:bottom w:val="none" w:sz="0" w:space="0" w:color="auto"/>
            <w:right w:val="none" w:sz="0" w:space="0" w:color="auto"/>
          </w:divBdr>
        </w:div>
        <w:div w:id="1614551305">
          <w:marLeft w:val="480"/>
          <w:marRight w:val="0"/>
          <w:marTop w:val="0"/>
          <w:marBottom w:val="0"/>
          <w:divBdr>
            <w:top w:val="none" w:sz="0" w:space="0" w:color="auto"/>
            <w:left w:val="none" w:sz="0" w:space="0" w:color="auto"/>
            <w:bottom w:val="none" w:sz="0" w:space="0" w:color="auto"/>
            <w:right w:val="none" w:sz="0" w:space="0" w:color="auto"/>
          </w:divBdr>
        </w:div>
        <w:div w:id="1635678142">
          <w:marLeft w:val="480"/>
          <w:marRight w:val="0"/>
          <w:marTop w:val="0"/>
          <w:marBottom w:val="0"/>
          <w:divBdr>
            <w:top w:val="none" w:sz="0" w:space="0" w:color="auto"/>
            <w:left w:val="none" w:sz="0" w:space="0" w:color="auto"/>
            <w:bottom w:val="none" w:sz="0" w:space="0" w:color="auto"/>
            <w:right w:val="none" w:sz="0" w:space="0" w:color="auto"/>
          </w:divBdr>
        </w:div>
        <w:div w:id="1694383803">
          <w:marLeft w:val="480"/>
          <w:marRight w:val="0"/>
          <w:marTop w:val="0"/>
          <w:marBottom w:val="0"/>
          <w:divBdr>
            <w:top w:val="none" w:sz="0" w:space="0" w:color="auto"/>
            <w:left w:val="none" w:sz="0" w:space="0" w:color="auto"/>
            <w:bottom w:val="none" w:sz="0" w:space="0" w:color="auto"/>
            <w:right w:val="none" w:sz="0" w:space="0" w:color="auto"/>
          </w:divBdr>
        </w:div>
        <w:div w:id="1797596815">
          <w:marLeft w:val="480"/>
          <w:marRight w:val="0"/>
          <w:marTop w:val="0"/>
          <w:marBottom w:val="0"/>
          <w:divBdr>
            <w:top w:val="none" w:sz="0" w:space="0" w:color="auto"/>
            <w:left w:val="none" w:sz="0" w:space="0" w:color="auto"/>
            <w:bottom w:val="none" w:sz="0" w:space="0" w:color="auto"/>
            <w:right w:val="none" w:sz="0" w:space="0" w:color="auto"/>
          </w:divBdr>
        </w:div>
        <w:div w:id="1816216430">
          <w:marLeft w:val="480"/>
          <w:marRight w:val="0"/>
          <w:marTop w:val="0"/>
          <w:marBottom w:val="0"/>
          <w:divBdr>
            <w:top w:val="none" w:sz="0" w:space="0" w:color="auto"/>
            <w:left w:val="none" w:sz="0" w:space="0" w:color="auto"/>
            <w:bottom w:val="none" w:sz="0" w:space="0" w:color="auto"/>
            <w:right w:val="none" w:sz="0" w:space="0" w:color="auto"/>
          </w:divBdr>
        </w:div>
      </w:divsChild>
    </w:div>
    <w:div w:id="601300583">
      <w:bodyDiv w:val="1"/>
      <w:marLeft w:val="0"/>
      <w:marRight w:val="0"/>
      <w:marTop w:val="0"/>
      <w:marBottom w:val="0"/>
      <w:divBdr>
        <w:top w:val="none" w:sz="0" w:space="0" w:color="auto"/>
        <w:left w:val="none" w:sz="0" w:space="0" w:color="auto"/>
        <w:bottom w:val="none" w:sz="0" w:space="0" w:color="auto"/>
        <w:right w:val="none" w:sz="0" w:space="0" w:color="auto"/>
      </w:divBdr>
    </w:div>
    <w:div w:id="621418696">
      <w:bodyDiv w:val="1"/>
      <w:marLeft w:val="0"/>
      <w:marRight w:val="0"/>
      <w:marTop w:val="0"/>
      <w:marBottom w:val="0"/>
      <w:divBdr>
        <w:top w:val="none" w:sz="0" w:space="0" w:color="auto"/>
        <w:left w:val="none" w:sz="0" w:space="0" w:color="auto"/>
        <w:bottom w:val="none" w:sz="0" w:space="0" w:color="auto"/>
        <w:right w:val="none" w:sz="0" w:space="0" w:color="auto"/>
      </w:divBdr>
      <w:divsChild>
        <w:div w:id="275528542">
          <w:marLeft w:val="480"/>
          <w:marRight w:val="0"/>
          <w:marTop w:val="0"/>
          <w:marBottom w:val="0"/>
          <w:divBdr>
            <w:top w:val="none" w:sz="0" w:space="0" w:color="auto"/>
            <w:left w:val="none" w:sz="0" w:space="0" w:color="auto"/>
            <w:bottom w:val="none" w:sz="0" w:space="0" w:color="auto"/>
            <w:right w:val="none" w:sz="0" w:space="0" w:color="auto"/>
          </w:divBdr>
        </w:div>
        <w:div w:id="361439389">
          <w:marLeft w:val="480"/>
          <w:marRight w:val="0"/>
          <w:marTop w:val="0"/>
          <w:marBottom w:val="0"/>
          <w:divBdr>
            <w:top w:val="none" w:sz="0" w:space="0" w:color="auto"/>
            <w:left w:val="none" w:sz="0" w:space="0" w:color="auto"/>
            <w:bottom w:val="none" w:sz="0" w:space="0" w:color="auto"/>
            <w:right w:val="none" w:sz="0" w:space="0" w:color="auto"/>
          </w:divBdr>
        </w:div>
        <w:div w:id="435715420">
          <w:marLeft w:val="480"/>
          <w:marRight w:val="0"/>
          <w:marTop w:val="0"/>
          <w:marBottom w:val="0"/>
          <w:divBdr>
            <w:top w:val="none" w:sz="0" w:space="0" w:color="auto"/>
            <w:left w:val="none" w:sz="0" w:space="0" w:color="auto"/>
            <w:bottom w:val="none" w:sz="0" w:space="0" w:color="auto"/>
            <w:right w:val="none" w:sz="0" w:space="0" w:color="auto"/>
          </w:divBdr>
        </w:div>
        <w:div w:id="614020645">
          <w:marLeft w:val="480"/>
          <w:marRight w:val="0"/>
          <w:marTop w:val="0"/>
          <w:marBottom w:val="0"/>
          <w:divBdr>
            <w:top w:val="none" w:sz="0" w:space="0" w:color="auto"/>
            <w:left w:val="none" w:sz="0" w:space="0" w:color="auto"/>
            <w:bottom w:val="none" w:sz="0" w:space="0" w:color="auto"/>
            <w:right w:val="none" w:sz="0" w:space="0" w:color="auto"/>
          </w:divBdr>
        </w:div>
        <w:div w:id="625043569">
          <w:marLeft w:val="480"/>
          <w:marRight w:val="0"/>
          <w:marTop w:val="0"/>
          <w:marBottom w:val="0"/>
          <w:divBdr>
            <w:top w:val="none" w:sz="0" w:space="0" w:color="auto"/>
            <w:left w:val="none" w:sz="0" w:space="0" w:color="auto"/>
            <w:bottom w:val="none" w:sz="0" w:space="0" w:color="auto"/>
            <w:right w:val="none" w:sz="0" w:space="0" w:color="auto"/>
          </w:divBdr>
        </w:div>
        <w:div w:id="651372726">
          <w:marLeft w:val="480"/>
          <w:marRight w:val="0"/>
          <w:marTop w:val="0"/>
          <w:marBottom w:val="0"/>
          <w:divBdr>
            <w:top w:val="none" w:sz="0" w:space="0" w:color="auto"/>
            <w:left w:val="none" w:sz="0" w:space="0" w:color="auto"/>
            <w:bottom w:val="none" w:sz="0" w:space="0" w:color="auto"/>
            <w:right w:val="none" w:sz="0" w:space="0" w:color="auto"/>
          </w:divBdr>
        </w:div>
        <w:div w:id="880282667">
          <w:marLeft w:val="480"/>
          <w:marRight w:val="0"/>
          <w:marTop w:val="0"/>
          <w:marBottom w:val="0"/>
          <w:divBdr>
            <w:top w:val="none" w:sz="0" w:space="0" w:color="auto"/>
            <w:left w:val="none" w:sz="0" w:space="0" w:color="auto"/>
            <w:bottom w:val="none" w:sz="0" w:space="0" w:color="auto"/>
            <w:right w:val="none" w:sz="0" w:space="0" w:color="auto"/>
          </w:divBdr>
        </w:div>
        <w:div w:id="1017732082">
          <w:marLeft w:val="480"/>
          <w:marRight w:val="0"/>
          <w:marTop w:val="0"/>
          <w:marBottom w:val="0"/>
          <w:divBdr>
            <w:top w:val="none" w:sz="0" w:space="0" w:color="auto"/>
            <w:left w:val="none" w:sz="0" w:space="0" w:color="auto"/>
            <w:bottom w:val="none" w:sz="0" w:space="0" w:color="auto"/>
            <w:right w:val="none" w:sz="0" w:space="0" w:color="auto"/>
          </w:divBdr>
        </w:div>
        <w:div w:id="1251279024">
          <w:marLeft w:val="480"/>
          <w:marRight w:val="0"/>
          <w:marTop w:val="0"/>
          <w:marBottom w:val="0"/>
          <w:divBdr>
            <w:top w:val="none" w:sz="0" w:space="0" w:color="auto"/>
            <w:left w:val="none" w:sz="0" w:space="0" w:color="auto"/>
            <w:bottom w:val="none" w:sz="0" w:space="0" w:color="auto"/>
            <w:right w:val="none" w:sz="0" w:space="0" w:color="auto"/>
          </w:divBdr>
        </w:div>
        <w:div w:id="1419912265">
          <w:marLeft w:val="480"/>
          <w:marRight w:val="0"/>
          <w:marTop w:val="0"/>
          <w:marBottom w:val="0"/>
          <w:divBdr>
            <w:top w:val="none" w:sz="0" w:space="0" w:color="auto"/>
            <w:left w:val="none" w:sz="0" w:space="0" w:color="auto"/>
            <w:bottom w:val="none" w:sz="0" w:space="0" w:color="auto"/>
            <w:right w:val="none" w:sz="0" w:space="0" w:color="auto"/>
          </w:divBdr>
        </w:div>
        <w:div w:id="1446584884">
          <w:marLeft w:val="480"/>
          <w:marRight w:val="0"/>
          <w:marTop w:val="0"/>
          <w:marBottom w:val="0"/>
          <w:divBdr>
            <w:top w:val="none" w:sz="0" w:space="0" w:color="auto"/>
            <w:left w:val="none" w:sz="0" w:space="0" w:color="auto"/>
            <w:bottom w:val="none" w:sz="0" w:space="0" w:color="auto"/>
            <w:right w:val="none" w:sz="0" w:space="0" w:color="auto"/>
          </w:divBdr>
        </w:div>
        <w:div w:id="1515538764">
          <w:marLeft w:val="480"/>
          <w:marRight w:val="0"/>
          <w:marTop w:val="0"/>
          <w:marBottom w:val="0"/>
          <w:divBdr>
            <w:top w:val="none" w:sz="0" w:space="0" w:color="auto"/>
            <w:left w:val="none" w:sz="0" w:space="0" w:color="auto"/>
            <w:bottom w:val="none" w:sz="0" w:space="0" w:color="auto"/>
            <w:right w:val="none" w:sz="0" w:space="0" w:color="auto"/>
          </w:divBdr>
        </w:div>
        <w:div w:id="1701858746">
          <w:marLeft w:val="480"/>
          <w:marRight w:val="0"/>
          <w:marTop w:val="0"/>
          <w:marBottom w:val="0"/>
          <w:divBdr>
            <w:top w:val="none" w:sz="0" w:space="0" w:color="auto"/>
            <w:left w:val="none" w:sz="0" w:space="0" w:color="auto"/>
            <w:bottom w:val="none" w:sz="0" w:space="0" w:color="auto"/>
            <w:right w:val="none" w:sz="0" w:space="0" w:color="auto"/>
          </w:divBdr>
        </w:div>
        <w:div w:id="1712414100">
          <w:marLeft w:val="480"/>
          <w:marRight w:val="0"/>
          <w:marTop w:val="0"/>
          <w:marBottom w:val="0"/>
          <w:divBdr>
            <w:top w:val="none" w:sz="0" w:space="0" w:color="auto"/>
            <w:left w:val="none" w:sz="0" w:space="0" w:color="auto"/>
            <w:bottom w:val="none" w:sz="0" w:space="0" w:color="auto"/>
            <w:right w:val="none" w:sz="0" w:space="0" w:color="auto"/>
          </w:divBdr>
        </w:div>
        <w:div w:id="1765565050">
          <w:marLeft w:val="480"/>
          <w:marRight w:val="0"/>
          <w:marTop w:val="0"/>
          <w:marBottom w:val="0"/>
          <w:divBdr>
            <w:top w:val="none" w:sz="0" w:space="0" w:color="auto"/>
            <w:left w:val="none" w:sz="0" w:space="0" w:color="auto"/>
            <w:bottom w:val="none" w:sz="0" w:space="0" w:color="auto"/>
            <w:right w:val="none" w:sz="0" w:space="0" w:color="auto"/>
          </w:divBdr>
        </w:div>
        <w:div w:id="1873611248">
          <w:marLeft w:val="480"/>
          <w:marRight w:val="0"/>
          <w:marTop w:val="0"/>
          <w:marBottom w:val="0"/>
          <w:divBdr>
            <w:top w:val="none" w:sz="0" w:space="0" w:color="auto"/>
            <w:left w:val="none" w:sz="0" w:space="0" w:color="auto"/>
            <w:bottom w:val="none" w:sz="0" w:space="0" w:color="auto"/>
            <w:right w:val="none" w:sz="0" w:space="0" w:color="auto"/>
          </w:divBdr>
        </w:div>
      </w:divsChild>
    </w:div>
    <w:div w:id="649098536">
      <w:bodyDiv w:val="1"/>
      <w:marLeft w:val="0"/>
      <w:marRight w:val="0"/>
      <w:marTop w:val="0"/>
      <w:marBottom w:val="0"/>
      <w:divBdr>
        <w:top w:val="none" w:sz="0" w:space="0" w:color="auto"/>
        <w:left w:val="none" w:sz="0" w:space="0" w:color="auto"/>
        <w:bottom w:val="none" w:sz="0" w:space="0" w:color="auto"/>
        <w:right w:val="none" w:sz="0" w:space="0" w:color="auto"/>
      </w:divBdr>
      <w:divsChild>
        <w:div w:id="19088460">
          <w:marLeft w:val="480"/>
          <w:marRight w:val="0"/>
          <w:marTop w:val="0"/>
          <w:marBottom w:val="0"/>
          <w:divBdr>
            <w:top w:val="none" w:sz="0" w:space="0" w:color="auto"/>
            <w:left w:val="none" w:sz="0" w:space="0" w:color="auto"/>
            <w:bottom w:val="none" w:sz="0" w:space="0" w:color="auto"/>
            <w:right w:val="none" w:sz="0" w:space="0" w:color="auto"/>
          </w:divBdr>
        </w:div>
        <w:div w:id="109713636">
          <w:marLeft w:val="480"/>
          <w:marRight w:val="0"/>
          <w:marTop w:val="0"/>
          <w:marBottom w:val="0"/>
          <w:divBdr>
            <w:top w:val="none" w:sz="0" w:space="0" w:color="auto"/>
            <w:left w:val="none" w:sz="0" w:space="0" w:color="auto"/>
            <w:bottom w:val="none" w:sz="0" w:space="0" w:color="auto"/>
            <w:right w:val="none" w:sz="0" w:space="0" w:color="auto"/>
          </w:divBdr>
        </w:div>
        <w:div w:id="273487583">
          <w:marLeft w:val="480"/>
          <w:marRight w:val="0"/>
          <w:marTop w:val="0"/>
          <w:marBottom w:val="0"/>
          <w:divBdr>
            <w:top w:val="none" w:sz="0" w:space="0" w:color="auto"/>
            <w:left w:val="none" w:sz="0" w:space="0" w:color="auto"/>
            <w:bottom w:val="none" w:sz="0" w:space="0" w:color="auto"/>
            <w:right w:val="none" w:sz="0" w:space="0" w:color="auto"/>
          </w:divBdr>
        </w:div>
        <w:div w:id="548684727">
          <w:marLeft w:val="480"/>
          <w:marRight w:val="0"/>
          <w:marTop w:val="0"/>
          <w:marBottom w:val="0"/>
          <w:divBdr>
            <w:top w:val="none" w:sz="0" w:space="0" w:color="auto"/>
            <w:left w:val="none" w:sz="0" w:space="0" w:color="auto"/>
            <w:bottom w:val="none" w:sz="0" w:space="0" w:color="auto"/>
            <w:right w:val="none" w:sz="0" w:space="0" w:color="auto"/>
          </w:divBdr>
        </w:div>
        <w:div w:id="608855371">
          <w:marLeft w:val="480"/>
          <w:marRight w:val="0"/>
          <w:marTop w:val="0"/>
          <w:marBottom w:val="0"/>
          <w:divBdr>
            <w:top w:val="none" w:sz="0" w:space="0" w:color="auto"/>
            <w:left w:val="none" w:sz="0" w:space="0" w:color="auto"/>
            <w:bottom w:val="none" w:sz="0" w:space="0" w:color="auto"/>
            <w:right w:val="none" w:sz="0" w:space="0" w:color="auto"/>
          </w:divBdr>
        </w:div>
        <w:div w:id="624042504">
          <w:marLeft w:val="480"/>
          <w:marRight w:val="0"/>
          <w:marTop w:val="0"/>
          <w:marBottom w:val="0"/>
          <w:divBdr>
            <w:top w:val="none" w:sz="0" w:space="0" w:color="auto"/>
            <w:left w:val="none" w:sz="0" w:space="0" w:color="auto"/>
            <w:bottom w:val="none" w:sz="0" w:space="0" w:color="auto"/>
            <w:right w:val="none" w:sz="0" w:space="0" w:color="auto"/>
          </w:divBdr>
        </w:div>
        <w:div w:id="728575802">
          <w:marLeft w:val="480"/>
          <w:marRight w:val="0"/>
          <w:marTop w:val="0"/>
          <w:marBottom w:val="0"/>
          <w:divBdr>
            <w:top w:val="none" w:sz="0" w:space="0" w:color="auto"/>
            <w:left w:val="none" w:sz="0" w:space="0" w:color="auto"/>
            <w:bottom w:val="none" w:sz="0" w:space="0" w:color="auto"/>
            <w:right w:val="none" w:sz="0" w:space="0" w:color="auto"/>
          </w:divBdr>
        </w:div>
        <w:div w:id="738557167">
          <w:marLeft w:val="480"/>
          <w:marRight w:val="0"/>
          <w:marTop w:val="0"/>
          <w:marBottom w:val="0"/>
          <w:divBdr>
            <w:top w:val="none" w:sz="0" w:space="0" w:color="auto"/>
            <w:left w:val="none" w:sz="0" w:space="0" w:color="auto"/>
            <w:bottom w:val="none" w:sz="0" w:space="0" w:color="auto"/>
            <w:right w:val="none" w:sz="0" w:space="0" w:color="auto"/>
          </w:divBdr>
        </w:div>
        <w:div w:id="786118962">
          <w:marLeft w:val="480"/>
          <w:marRight w:val="0"/>
          <w:marTop w:val="0"/>
          <w:marBottom w:val="0"/>
          <w:divBdr>
            <w:top w:val="none" w:sz="0" w:space="0" w:color="auto"/>
            <w:left w:val="none" w:sz="0" w:space="0" w:color="auto"/>
            <w:bottom w:val="none" w:sz="0" w:space="0" w:color="auto"/>
            <w:right w:val="none" w:sz="0" w:space="0" w:color="auto"/>
          </w:divBdr>
        </w:div>
        <w:div w:id="1174034766">
          <w:marLeft w:val="480"/>
          <w:marRight w:val="0"/>
          <w:marTop w:val="0"/>
          <w:marBottom w:val="0"/>
          <w:divBdr>
            <w:top w:val="none" w:sz="0" w:space="0" w:color="auto"/>
            <w:left w:val="none" w:sz="0" w:space="0" w:color="auto"/>
            <w:bottom w:val="none" w:sz="0" w:space="0" w:color="auto"/>
            <w:right w:val="none" w:sz="0" w:space="0" w:color="auto"/>
          </w:divBdr>
        </w:div>
        <w:div w:id="1286429839">
          <w:marLeft w:val="480"/>
          <w:marRight w:val="0"/>
          <w:marTop w:val="0"/>
          <w:marBottom w:val="0"/>
          <w:divBdr>
            <w:top w:val="none" w:sz="0" w:space="0" w:color="auto"/>
            <w:left w:val="none" w:sz="0" w:space="0" w:color="auto"/>
            <w:bottom w:val="none" w:sz="0" w:space="0" w:color="auto"/>
            <w:right w:val="none" w:sz="0" w:space="0" w:color="auto"/>
          </w:divBdr>
        </w:div>
        <w:div w:id="1589539364">
          <w:marLeft w:val="480"/>
          <w:marRight w:val="0"/>
          <w:marTop w:val="0"/>
          <w:marBottom w:val="0"/>
          <w:divBdr>
            <w:top w:val="none" w:sz="0" w:space="0" w:color="auto"/>
            <w:left w:val="none" w:sz="0" w:space="0" w:color="auto"/>
            <w:bottom w:val="none" w:sz="0" w:space="0" w:color="auto"/>
            <w:right w:val="none" w:sz="0" w:space="0" w:color="auto"/>
          </w:divBdr>
        </w:div>
        <w:div w:id="1787968691">
          <w:marLeft w:val="480"/>
          <w:marRight w:val="0"/>
          <w:marTop w:val="0"/>
          <w:marBottom w:val="0"/>
          <w:divBdr>
            <w:top w:val="none" w:sz="0" w:space="0" w:color="auto"/>
            <w:left w:val="none" w:sz="0" w:space="0" w:color="auto"/>
            <w:bottom w:val="none" w:sz="0" w:space="0" w:color="auto"/>
            <w:right w:val="none" w:sz="0" w:space="0" w:color="auto"/>
          </w:divBdr>
        </w:div>
        <w:div w:id="1813670610">
          <w:marLeft w:val="480"/>
          <w:marRight w:val="0"/>
          <w:marTop w:val="0"/>
          <w:marBottom w:val="0"/>
          <w:divBdr>
            <w:top w:val="none" w:sz="0" w:space="0" w:color="auto"/>
            <w:left w:val="none" w:sz="0" w:space="0" w:color="auto"/>
            <w:bottom w:val="none" w:sz="0" w:space="0" w:color="auto"/>
            <w:right w:val="none" w:sz="0" w:space="0" w:color="auto"/>
          </w:divBdr>
        </w:div>
        <w:div w:id="1816875021">
          <w:marLeft w:val="480"/>
          <w:marRight w:val="0"/>
          <w:marTop w:val="0"/>
          <w:marBottom w:val="0"/>
          <w:divBdr>
            <w:top w:val="none" w:sz="0" w:space="0" w:color="auto"/>
            <w:left w:val="none" w:sz="0" w:space="0" w:color="auto"/>
            <w:bottom w:val="none" w:sz="0" w:space="0" w:color="auto"/>
            <w:right w:val="none" w:sz="0" w:space="0" w:color="auto"/>
          </w:divBdr>
        </w:div>
        <w:div w:id="2111394270">
          <w:marLeft w:val="480"/>
          <w:marRight w:val="0"/>
          <w:marTop w:val="0"/>
          <w:marBottom w:val="0"/>
          <w:divBdr>
            <w:top w:val="none" w:sz="0" w:space="0" w:color="auto"/>
            <w:left w:val="none" w:sz="0" w:space="0" w:color="auto"/>
            <w:bottom w:val="none" w:sz="0" w:space="0" w:color="auto"/>
            <w:right w:val="none" w:sz="0" w:space="0" w:color="auto"/>
          </w:divBdr>
        </w:div>
      </w:divsChild>
    </w:div>
    <w:div w:id="688072058">
      <w:bodyDiv w:val="1"/>
      <w:marLeft w:val="0"/>
      <w:marRight w:val="0"/>
      <w:marTop w:val="0"/>
      <w:marBottom w:val="0"/>
      <w:divBdr>
        <w:top w:val="none" w:sz="0" w:space="0" w:color="auto"/>
        <w:left w:val="none" w:sz="0" w:space="0" w:color="auto"/>
        <w:bottom w:val="none" w:sz="0" w:space="0" w:color="auto"/>
        <w:right w:val="none" w:sz="0" w:space="0" w:color="auto"/>
      </w:divBdr>
      <w:divsChild>
        <w:div w:id="173809299">
          <w:marLeft w:val="480"/>
          <w:marRight w:val="0"/>
          <w:marTop w:val="0"/>
          <w:marBottom w:val="0"/>
          <w:divBdr>
            <w:top w:val="none" w:sz="0" w:space="0" w:color="auto"/>
            <w:left w:val="none" w:sz="0" w:space="0" w:color="auto"/>
            <w:bottom w:val="none" w:sz="0" w:space="0" w:color="auto"/>
            <w:right w:val="none" w:sz="0" w:space="0" w:color="auto"/>
          </w:divBdr>
        </w:div>
        <w:div w:id="274409996">
          <w:marLeft w:val="480"/>
          <w:marRight w:val="0"/>
          <w:marTop w:val="0"/>
          <w:marBottom w:val="0"/>
          <w:divBdr>
            <w:top w:val="none" w:sz="0" w:space="0" w:color="auto"/>
            <w:left w:val="none" w:sz="0" w:space="0" w:color="auto"/>
            <w:bottom w:val="none" w:sz="0" w:space="0" w:color="auto"/>
            <w:right w:val="none" w:sz="0" w:space="0" w:color="auto"/>
          </w:divBdr>
        </w:div>
        <w:div w:id="539903610">
          <w:marLeft w:val="480"/>
          <w:marRight w:val="0"/>
          <w:marTop w:val="0"/>
          <w:marBottom w:val="0"/>
          <w:divBdr>
            <w:top w:val="none" w:sz="0" w:space="0" w:color="auto"/>
            <w:left w:val="none" w:sz="0" w:space="0" w:color="auto"/>
            <w:bottom w:val="none" w:sz="0" w:space="0" w:color="auto"/>
            <w:right w:val="none" w:sz="0" w:space="0" w:color="auto"/>
          </w:divBdr>
        </w:div>
        <w:div w:id="685639943">
          <w:marLeft w:val="480"/>
          <w:marRight w:val="0"/>
          <w:marTop w:val="0"/>
          <w:marBottom w:val="0"/>
          <w:divBdr>
            <w:top w:val="none" w:sz="0" w:space="0" w:color="auto"/>
            <w:left w:val="none" w:sz="0" w:space="0" w:color="auto"/>
            <w:bottom w:val="none" w:sz="0" w:space="0" w:color="auto"/>
            <w:right w:val="none" w:sz="0" w:space="0" w:color="auto"/>
          </w:divBdr>
        </w:div>
        <w:div w:id="945387710">
          <w:marLeft w:val="480"/>
          <w:marRight w:val="0"/>
          <w:marTop w:val="0"/>
          <w:marBottom w:val="0"/>
          <w:divBdr>
            <w:top w:val="none" w:sz="0" w:space="0" w:color="auto"/>
            <w:left w:val="none" w:sz="0" w:space="0" w:color="auto"/>
            <w:bottom w:val="none" w:sz="0" w:space="0" w:color="auto"/>
            <w:right w:val="none" w:sz="0" w:space="0" w:color="auto"/>
          </w:divBdr>
        </w:div>
        <w:div w:id="1178737385">
          <w:marLeft w:val="480"/>
          <w:marRight w:val="0"/>
          <w:marTop w:val="0"/>
          <w:marBottom w:val="0"/>
          <w:divBdr>
            <w:top w:val="none" w:sz="0" w:space="0" w:color="auto"/>
            <w:left w:val="none" w:sz="0" w:space="0" w:color="auto"/>
            <w:bottom w:val="none" w:sz="0" w:space="0" w:color="auto"/>
            <w:right w:val="none" w:sz="0" w:space="0" w:color="auto"/>
          </w:divBdr>
        </w:div>
        <w:div w:id="1305311181">
          <w:marLeft w:val="480"/>
          <w:marRight w:val="0"/>
          <w:marTop w:val="0"/>
          <w:marBottom w:val="0"/>
          <w:divBdr>
            <w:top w:val="none" w:sz="0" w:space="0" w:color="auto"/>
            <w:left w:val="none" w:sz="0" w:space="0" w:color="auto"/>
            <w:bottom w:val="none" w:sz="0" w:space="0" w:color="auto"/>
            <w:right w:val="none" w:sz="0" w:space="0" w:color="auto"/>
          </w:divBdr>
        </w:div>
        <w:div w:id="1429082067">
          <w:marLeft w:val="480"/>
          <w:marRight w:val="0"/>
          <w:marTop w:val="0"/>
          <w:marBottom w:val="0"/>
          <w:divBdr>
            <w:top w:val="none" w:sz="0" w:space="0" w:color="auto"/>
            <w:left w:val="none" w:sz="0" w:space="0" w:color="auto"/>
            <w:bottom w:val="none" w:sz="0" w:space="0" w:color="auto"/>
            <w:right w:val="none" w:sz="0" w:space="0" w:color="auto"/>
          </w:divBdr>
        </w:div>
        <w:div w:id="1515723677">
          <w:marLeft w:val="480"/>
          <w:marRight w:val="0"/>
          <w:marTop w:val="0"/>
          <w:marBottom w:val="0"/>
          <w:divBdr>
            <w:top w:val="none" w:sz="0" w:space="0" w:color="auto"/>
            <w:left w:val="none" w:sz="0" w:space="0" w:color="auto"/>
            <w:bottom w:val="none" w:sz="0" w:space="0" w:color="auto"/>
            <w:right w:val="none" w:sz="0" w:space="0" w:color="auto"/>
          </w:divBdr>
        </w:div>
        <w:div w:id="1569729779">
          <w:marLeft w:val="480"/>
          <w:marRight w:val="0"/>
          <w:marTop w:val="0"/>
          <w:marBottom w:val="0"/>
          <w:divBdr>
            <w:top w:val="none" w:sz="0" w:space="0" w:color="auto"/>
            <w:left w:val="none" w:sz="0" w:space="0" w:color="auto"/>
            <w:bottom w:val="none" w:sz="0" w:space="0" w:color="auto"/>
            <w:right w:val="none" w:sz="0" w:space="0" w:color="auto"/>
          </w:divBdr>
        </w:div>
        <w:div w:id="1725327506">
          <w:marLeft w:val="480"/>
          <w:marRight w:val="0"/>
          <w:marTop w:val="0"/>
          <w:marBottom w:val="0"/>
          <w:divBdr>
            <w:top w:val="none" w:sz="0" w:space="0" w:color="auto"/>
            <w:left w:val="none" w:sz="0" w:space="0" w:color="auto"/>
            <w:bottom w:val="none" w:sz="0" w:space="0" w:color="auto"/>
            <w:right w:val="none" w:sz="0" w:space="0" w:color="auto"/>
          </w:divBdr>
        </w:div>
        <w:div w:id="1744718887">
          <w:marLeft w:val="480"/>
          <w:marRight w:val="0"/>
          <w:marTop w:val="0"/>
          <w:marBottom w:val="0"/>
          <w:divBdr>
            <w:top w:val="none" w:sz="0" w:space="0" w:color="auto"/>
            <w:left w:val="none" w:sz="0" w:space="0" w:color="auto"/>
            <w:bottom w:val="none" w:sz="0" w:space="0" w:color="auto"/>
            <w:right w:val="none" w:sz="0" w:space="0" w:color="auto"/>
          </w:divBdr>
        </w:div>
        <w:div w:id="1778914245">
          <w:marLeft w:val="480"/>
          <w:marRight w:val="0"/>
          <w:marTop w:val="0"/>
          <w:marBottom w:val="0"/>
          <w:divBdr>
            <w:top w:val="none" w:sz="0" w:space="0" w:color="auto"/>
            <w:left w:val="none" w:sz="0" w:space="0" w:color="auto"/>
            <w:bottom w:val="none" w:sz="0" w:space="0" w:color="auto"/>
            <w:right w:val="none" w:sz="0" w:space="0" w:color="auto"/>
          </w:divBdr>
        </w:div>
        <w:div w:id="1848128768">
          <w:marLeft w:val="480"/>
          <w:marRight w:val="0"/>
          <w:marTop w:val="0"/>
          <w:marBottom w:val="0"/>
          <w:divBdr>
            <w:top w:val="none" w:sz="0" w:space="0" w:color="auto"/>
            <w:left w:val="none" w:sz="0" w:space="0" w:color="auto"/>
            <w:bottom w:val="none" w:sz="0" w:space="0" w:color="auto"/>
            <w:right w:val="none" w:sz="0" w:space="0" w:color="auto"/>
          </w:divBdr>
        </w:div>
        <w:div w:id="1990862457">
          <w:marLeft w:val="480"/>
          <w:marRight w:val="0"/>
          <w:marTop w:val="0"/>
          <w:marBottom w:val="0"/>
          <w:divBdr>
            <w:top w:val="none" w:sz="0" w:space="0" w:color="auto"/>
            <w:left w:val="none" w:sz="0" w:space="0" w:color="auto"/>
            <w:bottom w:val="none" w:sz="0" w:space="0" w:color="auto"/>
            <w:right w:val="none" w:sz="0" w:space="0" w:color="auto"/>
          </w:divBdr>
        </w:div>
        <w:div w:id="1995640534">
          <w:marLeft w:val="480"/>
          <w:marRight w:val="0"/>
          <w:marTop w:val="0"/>
          <w:marBottom w:val="0"/>
          <w:divBdr>
            <w:top w:val="none" w:sz="0" w:space="0" w:color="auto"/>
            <w:left w:val="none" w:sz="0" w:space="0" w:color="auto"/>
            <w:bottom w:val="none" w:sz="0" w:space="0" w:color="auto"/>
            <w:right w:val="none" w:sz="0" w:space="0" w:color="auto"/>
          </w:divBdr>
        </w:div>
        <w:div w:id="2022733974">
          <w:marLeft w:val="480"/>
          <w:marRight w:val="0"/>
          <w:marTop w:val="0"/>
          <w:marBottom w:val="0"/>
          <w:divBdr>
            <w:top w:val="none" w:sz="0" w:space="0" w:color="auto"/>
            <w:left w:val="none" w:sz="0" w:space="0" w:color="auto"/>
            <w:bottom w:val="none" w:sz="0" w:space="0" w:color="auto"/>
            <w:right w:val="none" w:sz="0" w:space="0" w:color="auto"/>
          </w:divBdr>
        </w:div>
      </w:divsChild>
    </w:div>
    <w:div w:id="782267043">
      <w:bodyDiv w:val="1"/>
      <w:marLeft w:val="0"/>
      <w:marRight w:val="0"/>
      <w:marTop w:val="0"/>
      <w:marBottom w:val="0"/>
      <w:divBdr>
        <w:top w:val="none" w:sz="0" w:space="0" w:color="auto"/>
        <w:left w:val="none" w:sz="0" w:space="0" w:color="auto"/>
        <w:bottom w:val="none" w:sz="0" w:space="0" w:color="auto"/>
        <w:right w:val="none" w:sz="0" w:space="0" w:color="auto"/>
      </w:divBdr>
    </w:div>
    <w:div w:id="799494568">
      <w:bodyDiv w:val="1"/>
      <w:marLeft w:val="0"/>
      <w:marRight w:val="0"/>
      <w:marTop w:val="0"/>
      <w:marBottom w:val="0"/>
      <w:divBdr>
        <w:top w:val="none" w:sz="0" w:space="0" w:color="auto"/>
        <w:left w:val="none" w:sz="0" w:space="0" w:color="auto"/>
        <w:bottom w:val="none" w:sz="0" w:space="0" w:color="auto"/>
        <w:right w:val="none" w:sz="0" w:space="0" w:color="auto"/>
      </w:divBdr>
    </w:div>
    <w:div w:id="908609616">
      <w:bodyDiv w:val="1"/>
      <w:marLeft w:val="0"/>
      <w:marRight w:val="0"/>
      <w:marTop w:val="0"/>
      <w:marBottom w:val="0"/>
      <w:divBdr>
        <w:top w:val="none" w:sz="0" w:space="0" w:color="auto"/>
        <w:left w:val="none" w:sz="0" w:space="0" w:color="auto"/>
        <w:bottom w:val="none" w:sz="0" w:space="0" w:color="auto"/>
        <w:right w:val="none" w:sz="0" w:space="0" w:color="auto"/>
      </w:divBdr>
      <w:divsChild>
        <w:div w:id="91166250">
          <w:marLeft w:val="480"/>
          <w:marRight w:val="0"/>
          <w:marTop w:val="0"/>
          <w:marBottom w:val="0"/>
          <w:divBdr>
            <w:top w:val="none" w:sz="0" w:space="0" w:color="auto"/>
            <w:left w:val="none" w:sz="0" w:space="0" w:color="auto"/>
            <w:bottom w:val="none" w:sz="0" w:space="0" w:color="auto"/>
            <w:right w:val="none" w:sz="0" w:space="0" w:color="auto"/>
          </w:divBdr>
        </w:div>
        <w:div w:id="201287035">
          <w:marLeft w:val="480"/>
          <w:marRight w:val="0"/>
          <w:marTop w:val="0"/>
          <w:marBottom w:val="0"/>
          <w:divBdr>
            <w:top w:val="none" w:sz="0" w:space="0" w:color="auto"/>
            <w:left w:val="none" w:sz="0" w:space="0" w:color="auto"/>
            <w:bottom w:val="none" w:sz="0" w:space="0" w:color="auto"/>
            <w:right w:val="none" w:sz="0" w:space="0" w:color="auto"/>
          </w:divBdr>
        </w:div>
        <w:div w:id="243105453">
          <w:marLeft w:val="480"/>
          <w:marRight w:val="0"/>
          <w:marTop w:val="0"/>
          <w:marBottom w:val="0"/>
          <w:divBdr>
            <w:top w:val="none" w:sz="0" w:space="0" w:color="auto"/>
            <w:left w:val="none" w:sz="0" w:space="0" w:color="auto"/>
            <w:bottom w:val="none" w:sz="0" w:space="0" w:color="auto"/>
            <w:right w:val="none" w:sz="0" w:space="0" w:color="auto"/>
          </w:divBdr>
        </w:div>
        <w:div w:id="363091966">
          <w:marLeft w:val="480"/>
          <w:marRight w:val="0"/>
          <w:marTop w:val="0"/>
          <w:marBottom w:val="0"/>
          <w:divBdr>
            <w:top w:val="none" w:sz="0" w:space="0" w:color="auto"/>
            <w:left w:val="none" w:sz="0" w:space="0" w:color="auto"/>
            <w:bottom w:val="none" w:sz="0" w:space="0" w:color="auto"/>
            <w:right w:val="none" w:sz="0" w:space="0" w:color="auto"/>
          </w:divBdr>
        </w:div>
        <w:div w:id="575088045">
          <w:marLeft w:val="480"/>
          <w:marRight w:val="0"/>
          <w:marTop w:val="0"/>
          <w:marBottom w:val="0"/>
          <w:divBdr>
            <w:top w:val="none" w:sz="0" w:space="0" w:color="auto"/>
            <w:left w:val="none" w:sz="0" w:space="0" w:color="auto"/>
            <w:bottom w:val="none" w:sz="0" w:space="0" w:color="auto"/>
            <w:right w:val="none" w:sz="0" w:space="0" w:color="auto"/>
          </w:divBdr>
        </w:div>
        <w:div w:id="905066810">
          <w:marLeft w:val="480"/>
          <w:marRight w:val="0"/>
          <w:marTop w:val="0"/>
          <w:marBottom w:val="0"/>
          <w:divBdr>
            <w:top w:val="none" w:sz="0" w:space="0" w:color="auto"/>
            <w:left w:val="none" w:sz="0" w:space="0" w:color="auto"/>
            <w:bottom w:val="none" w:sz="0" w:space="0" w:color="auto"/>
            <w:right w:val="none" w:sz="0" w:space="0" w:color="auto"/>
          </w:divBdr>
        </w:div>
        <w:div w:id="956719131">
          <w:marLeft w:val="480"/>
          <w:marRight w:val="0"/>
          <w:marTop w:val="0"/>
          <w:marBottom w:val="0"/>
          <w:divBdr>
            <w:top w:val="none" w:sz="0" w:space="0" w:color="auto"/>
            <w:left w:val="none" w:sz="0" w:space="0" w:color="auto"/>
            <w:bottom w:val="none" w:sz="0" w:space="0" w:color="auto"/>
            <w:right w:val="none" w:sz="0" w:space="0" w:color="auto"/>
          </w:divBdr>
        </w:div>
        <w:div w:id="1015766391">
          <w:marLeft w:val="480"/>
          <w:marRight w:val="0"/>
          <w:marTop w:val="0"/>
          <w:marBottom w:val="0"/>
          <w:divBdr>
            <w:top w:val="none" w:sz="0" w:space="0" w:color="auto"/>
            <w:left w:val="none" w:sz="0" w:space="0" w:color="auto"/>
            <w:bottom w:val="none" w:sz="0" w:space="0" w:color="auto"/>
            <w:right w:val="none" w:sz="0" w:space="0" w:color="auto"/>
          </w:divBdr>
        </w:div>
        <w:div w:id="1139418700">
          <w:marLeft w:val="480"/>
          <w:marRight w:val="0"/>
          <w:marTop w:val="0"/>
          <w:marBottom w:val="0"/>
          <w:divBdr>
            <w:top w:val="none" w:sz="0" w:space="0" w:color="auto"/>
            <w:left w:val="none" w:sz="0" w:space="0" w:color="auto"/>
            <w:bottom w:val="none" w:sz="0" w:space="0" w:color="auto"/>
            <w:right w:val="none" w:sz="0" w:space="0" w:color="auto"/>
          </w:divBdr>
        </w:div>
        <w:div w:id="1207837072">
          <w:marLeft w:val="480"/>
          <w:marRight w:val="0"/>
          <w:marTop w:val="0"/>
          <w:marBottom w:val="0"/>
          <w:divBdr>
            <w:top w:val="none" w:sz="0" w:space="0" w:color="auto"/>
            <w:left w:val="none" w:sz="0" w:space="0" w:color="auto"/>
            <w:bottom w:val="none" w:sz="0" w:space="0" w:color="auto"/>
            <w:right w:val="none" w:sz="0" w:space="0" w:color="auto"/>
          </w:divBdr>
        </w:div>
        <w:div w:id="1244997171">
          <w:marLeft w:val="480"/>
          <w:marRight w:val="0"/>
          <w:marTop w:val="0"/>
          <w:marBottom w:val="0"/>
          <w:divBdr>
            <w:top w:val="none" w:sz="0" w:space="0" w:color="auto"/>
            <w:left w:val="none" w:sz="0" w:space="0" w:color="auto"/>
            <w:bottom w:val="none" w:sz="0" w:space="0" w:color="auto"/>
            <w:right w:val="none" w:sz="0" w:space="0" w:color="auto"/>
          </w:divBdr>
        </w:div>
        <w:div w:id="1504126810">
          <w:marLeft w:val="480"/>
          <w:marRight w:val="0"/>
          <w:marTop w:val="0"/>
          <w:marBottom w:val="0"/>
          <w:divBdr>
            <w:top w:val="none" w:sz="0" w:space="0" w:color="auto"/>
            <w:left w:val="none" w:sz="0" w:space="0" w:color="auto"/>
            <w:bottom w:val="none" w:sz="0" w:space="0" w:color="auto"/>
            <w:right w:val="none" w:sz="0" w:space="0" w:color="auto"/>
          </w:divBdr>
        </w:div>
        <w:div w:id="1982037438">
          <w:marLeft w:val="480"/>
          <w:marRight w:val="0"/>
          <w:marTop w:val="0"/>
          <w:marBottom w:val="0"/>
          <w:divBdr>
            <w:top w:val="none" w:sz="0" w:space="0" w:color="auto"/>
            <w:left w:val="none" w:sz="0" w:space="0" w:color="auto"/>
            <w:bottom w:val="none" w:sz="0" w:space="0" w:color="auto"/>
            <w:right w:val="none" w:sz="0" w:space="0" w:color="auto"/>
          </w:divBdr>
        </w:div>
        <w:div w:id="1992253614">
          <w:marLeft w:val="480"/>
          <w:marRight w:val="0"/>
          <w:marTop w:val="0"/>
          <w:marBottom w:val="0"/>
          <w:divBdr>
            <w:top w:val="none" w:sz="0" w:space="0" w:color="auto"/>
            <w:left w:val="none" w:sz="0" w:space="0" w:color="auto"/>
            <w:bottom w:val="none" w:sz="0" w:space="0" w:color="auto"/>
            <w:right w:val="none" w:sz="0" w:space="0" w:color="auto"/>
          </w:divBdr>
        </w:div>
        <w:div w:id="2044011457">
          <w:marLeft w:val="480"/>
          <w:marRight w:val="0"/>
          <w:marTop w:val="0"/>
          <w:marBottom w:val="0"/>
          <w:divBdr>
            <w:top w:val="none" w:sz="0" w:space="0" w:color="auto"/>
            <w:left w:val="none" w:sz="0" w:space="0" w:color="auto"/>
            <w:bottom w:val="none" w:sz="0" w:space="0" w:color="auto"/>
            <w:right w:val="none" w:sz="0" w:space="0" w:color="auto"/>
          </w:divBdr>
        </w:div>
        <w:div w:id="2147234456">
          <w:marLeft w:val="480"/>
          <w:marRight w:val="0"/>
          <w:marTop w:val="0"/>
          <w:marBottom w:val="0"/>
          <w:divBdr>
            <w:top w:val="none" w:sz="0" w:space="0" w:color="auto"/>
            <w:left w:val="none" w:sz="0" w:space="0" w:color="auto"/>
            <w:bottom w:val="none" w:sz="0" w:space="0" w:color="auto"/>
            <w:right w:val="none" w:sz="0" w:space="0" w:color="auto"/>
          </w:divBdr>
        </w:div>
      </w:divsChild>
    </w:div>
    <w:div w:id="945381164">
      <w:bodyDiv w:val="1"/>
      <w:marLeft w:val="0"/>
      <w:marRight w:val="0"/>
      <w:marTop w:val="0"/>
      <w:marBottom w:val="0"/>
      <w:divBdr>
        <w:top w:val="none" w:sz="0" w:space="0" w:color="auto"/>
        <w:left w:val="none" w:sz="0" w:space="0" w:color="auto"/>
        <w:bottom w:val="none" w:sz="0" w:space="0" w:color="auto"/>
        <w:right w:val="none" w:sz="0" w:space="0" w:color="auto"/>
      </w:divBdr>
      <w:divsChild>
        <w:div w:id="770977426">
          <w:marLeft w:val="480"/>
          <w:marRight w:val="0"/>
          <w:marTop w:val="0"/>
          <w:marBottom w:val="0"/>
          <w:divBdr>
            <w:top w:val="none" w:sz="0" w:space="0" w:color="auto"/>
            <w:left w:val="none" w:sz="0" w:space="0" w:color="auto"/>
            <w:bottom w:val="none" w:sz="0" w:space="0" w:color="auto"/>
            <w:right w:val="none" w:sz="0" w:space="0" w:color="auto"/>
          </w:divBdr>
        </w:div>
        <w:div w:id="883716035">
          <w:marLeft w:val="480"/>
          <w:marRight w:val="0"/>
          <w:marTop w:val="0"/>
          <w:marBottom w:val="0"/>
          <w:divBdr>
            <w:top w:val="none" w:sz="0" w:space="0" w:color="auto"/>
            <w:left w:val="none" w:sz="0" w:space="0" w:color="auto"/>
            <w:bottom w:val="none" w:sz="0" w:space="0" w:color="auto"/>
            <w:right w:val="none" w:sz="0" w:space="0" w:color="auto"/>
          </w:divBdr>
        </w:div>
      </w:divsChild>
    </w:div>
    <w:div w:id="971248236">
      <w:bodyDiv w:val="1"/>
      <w:marLeft w:val="0"/>
      <w:marRight w:val="0"/>
      <w:marTop w:val="0"/>
      <w:marBottom w:val="0"/>
      <w:divBdr>
        <w:top w:val="none" w:sz="0" w:space="0" w:color="auto"/>
        <w:left w:val="none" w:sz="0" w:space="0" w:color="auto"/>
        <w:bottom w:val="none" w:sz="0" w:space="0" w:color="auto"/>
        <w:right w:val="none" w:sz="0" w:space="0" w:color="auto"/>
      </w:divBdr>
    </w:div>
    <w:div w:id="1017577846">
      <w:bodyDiv w:val="1"/>
      <w:marLeft w:val="0"/>
      <w:marRight w:val="0"/>
      <w:marTop w:val="0"/>
      <w:marBottom w:val="0"/>
      <w:divBdr>
        <w:top w:val="none" w:sz="0" w:space="0" w:color="auto"/>
        <w:left w:val="none" w:sz="0" w:space="0" w:color="auto"/>
        <w:bottom w:val="none" w:sz="0" w:space="0" w:color="auto"/>
        <w:right w:val="none" w:sz="0" w:space="0" w:color="auto"/>
      </w:divBdr>
      <w:divsChild>
        <w:div w:id="25645630">
          <w:marLeft w:val="480"/>
          <w:marRight w:val="0"/>
          <w:marTop w:val="0"/>
          <w:marBottom w:val="0"/>
          <w:divBdr>
            <w:top w:val="none" w:sz="0" w:space="0" w:color="auto"/>
            <w:left w:val="none" w:sz="0" w:space="0" w:color="auto"/>
            <w:bottom w:val="none" w:sz="0" w:space="0" w:color="auto"/>
            <w:right w:val="none" w:sz="0" w:space="0" w:color="auto"/>
          </w:divBdr>
        </w:div>
        <w:div w:id="118301438">
          <w:marLeft w:val="480"/>
          <w:marRight w:val="0"/>
          <w:marTop w:val="0"/>
          <w:marBottom w:val="0"/>
          <w:divBdr>
            <w:top w:val="none" w:sz="0" w:space="0" w:color="auto"/>
            <w:left w:val="none" w:sz="0" w:space="0" w:color="auto"/>
            <w:bottom w:val="none" w:sz="0" w:space="0" w:color="auto"/>
            <w:right w:val="none" w:sz="0" w:space="0" w:color="auto"/>
          </w:divBdr>
        </w:div>
        <w:div w:id="130366969">
          <w:marLeft w:val="480"/>
          <w:marRight w:val="0"/>
          <w:marTop w:val="0"/>
          <w:marBottom w:val="0"/>
          <w:divBdr>
            <w:top w:val="none" w:sz="0" w:space="0" w:color="auto"/>
            <w:left w:val="none" w:sz="0" w:space="0" w:color="auto"/>
            <w:bottom w:val="none" w:sz="0" w:space="0" w:color="auto"/>
            <w:right w:val="none" w:sz="0" w:space="0" w:color="auto"/>
          </w:divBdr>
        </w:div>
        <w:div w:id="198862476">
          <w:marLeft w:val="480"/>
          <w:marRight w:val="0"/>
          <w:marTop w:val="0"/>
          <w:marBottom w:val="0"/>
          <w:divBdr>
            <w:top w:val="none" w:sz="0" w:space="0" w:color="auto"/>
            <w:left w:val="none" w:sz="0" w:space="0" w:color="auto"/>
            <w:bottom w:val="none" w:sz="0" w:space="0" w:color="auto"/>
            <w:right w:val="none" w:sz="0" w:space="0" w:color="auto"/>
          </w:divBdr>
        </w:div>
        <w:div w:id="230845489">
          <w:marLeft w:val="480"/>
          <w:marRight w:val="0"/>
          <w:marTop w:val="0"/>
          <w:marBottom w:val="0"/>
          <w:divBdr>
            <w:top w:val="none" w:sz="0" w:space="0" w:color="auto"/>
            <w:left w:val="none" w:sz="0" w:space="0" w:color="auto"/>
            <w:bottom w:val="none" w:sz="0" w:space="0" w:color="auto"/>
            <w:right w:val="none" w:sz="0" w:space="0" w:color="auto"/>
          </w:divBdr>
        </w:div>
        <w:div w:id="809633435">
          <w:marLeft w:val="480"/>
          <w:marRight w:val="0"/>
          <w:marTop w:val="0"/>
          <w:marBottom w:val="0"/>
          <w:divBdr>
            <w:top w:val="none" w:sz="0" w:space="0" w:color="auto"/>
            <w:left w:val="none" w:sz="0" w:space="0" w:color="auto"/>
            <w:bottom w:val="none" w:sz="0" w:space="0" w:color="auto"/>
            <w:right w:val="none" w:sz="0" w:space="0" w:color="auto"/>
          </w:divBdr>
        </w:div>
        <w:div w:id="1030181072">
          <w:marLeft w:val="480"/>
          <w:marRight w:val="0"/>
          <w:marTop w:val="0"/>
          <w:marBottom w:val="0"/>
          <w:divBdr>
            <w:top w:val="none" w:sz="0" w:space="0" w:color="auto"/>
            <w:left w:val="none" w:sz="0" w:space="0" w:color="auto"/>
            <w:bottom w:val="none" w:sz="0" w:space="0" w:color="auto"/>
            <w:right w:val="none" w:sz="0" w:space="0" w:color="auto"/>
          </w:divBdr>
        </w:div>
        <w:div w:id="1154640793">
          <w:marLeft w:val="480"/>
          <w:marRight w:val="0"/>
          <w:marTop w:val="0"/>
          <w:marBottom w:val="0"/>
          <w:divBdr>
            <w:top w:val="none" w:sz="0" w:space="0" w:color="auto"/>
            <w:left w:val="none" w:sz="0" w:space="0" w:color="auto"/>
            <w:bottom w:val="none" w:sz="0" w:space="0" w:color="auto"/>
            <w:right w:val="none" w:sz="0" w:space="0" w:color="auto"/>
          </w:divBdr>
        </w:div>
        <w:div w:id="1162741052">
          <w:marLeft w:val="480"/>
          <w:marRight w:val="0"/>
          <w:marTop w:val="0"/>
          <w:marBottom w:val="0"/>
          <w:divBdr>
            <w:top w:val="none" w:sz="0" w:space="0" w:color="auto"/>
            <w:left w:val="none" w:sz="0" w:space="0" w:color="auto"/>
            <w:bottom w:val="none" w:sz="0" w:space="0" w:color="auto"/>
            <w:right w:val="none" w:sz="0" w:space="0" w:color="auto"/>
          </w:divBdr>
        </w:div>
        <w:div w:id="1182744901">
          <w:marLeft w:val="480"/>
          <w:marRight w:val="0"/>
          <w:marTop w:val="0"/>
          <w:marBottom w:val="0"/>
          <w:divBdr>
            <w:top w:val="none" w:sz="0" w:space="0" w:color="auto"/>
            <w:left w:val="none" w:sz="0" w:space="0" w:color="auto"/>
            <w:bottom w:val="none" w:sz="0" w:space="0" w:color="auto"/>
            <w:right w:val="none" w:sz="0" w:space="0" w:color="auto"/>
          </w:divBdr>
        </w:div>
        <w:div w:id="1508247000">
          <w:marLeft w:val="480"/>
          <w:marRight w:val="0"/>
          <w:marTop w:val="0"/>
          <w:marBottom w:val="0"/>
          <w:divBdr>
            <w:top w:val="none" w:sz="0" w:space="0" w:color="auto"/>
            <w:left w:val="none" w:sz="0" w:space="0" w:color="auto"/>
            <w:bottom w:val="none" w:sz="0" w:space="0" w:color="auto"/>
            <w:right w:val="none" w:sz="0" w:space="0" w:color="auto"/>
          </w:divBdr>
        </w:div>
        <w:div w:id="1606036475">
          <w:marLeft w:val="480"/>
          <w:marRight w:val="0"/>
          <w:marTop w:val="0"/>
          <w:marBottom w:val="0"/>
          <w:divBdr>
            <w:top w:val="none" w:sz="0" w:space="0" w:color="auto"/>
            <w:left w:val="none" w:sz="0" w:space="0" w:color="auto"/>
            <w:bottom w:val="none" w:sz="0" w:space="0" w:color="auto"/>
            <w:right w:val="none" w:sz="0" w:space="0" w:color="auto"/>
          </w:divBdr>
        </w:div>
        <w:div w:id="1655336994">
          <w:marLeft w:val="480"/>
          <w:marRight w:val="0"/>
          <w:marTop w:val="0"/>
          <w:marBottom w:val="0"/>
          <w:divBdr>
            <w:top w:val="none" w:sz="0" w:space="0" w:color="auto"/>
            <w:left w:val="none" w:sz="0" w:space="0" w:color="auto"/>
            <w:bottom w:val="none" w:sz="0" w:space="0" w:color="auto"/>
            <w:right w:val="none" w:sz="0" w:space="0" w:color="auto"/>
          </w:divBdr>
        </w:div>
        <w:div w:id="1806855225">
          <w:marLeft w:val="480"/>
          <w:marRight w:val="0"/>
          <w:marTop w:val="0"/>
          <w:marBottom w:val="0"/>
          <w:divBdr>
            <w:top w:val="none" w:sz="0" w:space="0" w:color="auto"/>
            <w:left w:val="none" w:sz="0" w:space="0" w:color="auto"/>
            <w:bottom w:val="none" w:sz="0" w:space="0" w:color="auto"/>
            <w:right w:val="none" w:sz="0" w:space="0" w:color="auto"/>
          </w:divBdr>
        </w:div>
        <w:div w:id="2036418285">
          <w:marLeft w:val="480"/>
          <w:marRight w:val="0"/>
          <w:marTop w:val="0"/>
          <w:marBottom w:val="0"/>
          <w:divBdr>
            <w:top w:val="none" w:sz="0" w:space="0" w:color="auto"/>
            <w:left w:val="none" w:sz="0" w:space="0" w:color="auto"/>
            <w:bottom w:val="none" w:sz="0" w:space="0" w:color="auto"/>
            <w:right w:val="none" w:sz="0" w:space="0" w:color="auto"/>
          </w:divBdr>
        </w:div>
        <w:div w:id="2070955767">
          <w:marLeft w:val="480"/>
          <w:marRight w:val="0"/>
          <w:marTop w:val="0"/>
          <w:marBottom w:val="0"/>
          <w:divBdr>
            <w:top w:val="none" w:sz="0" w:space="0" w:color="auto"/>
            <w:left w:val="none" w:sz="0" w:space="0" w:color="auto"/>
            <w:bottom w:val="none" w:sz="0" w:space="0" w:color="auto"/>
            <w:right w:val="none" w:sz="0" w:space="0" w:color="auto"/>
          </w:divBdr>
        </w:div>
      </w:divsChild>
    </w:div>
    <w:div w:id="1083335524">
      <w:bodyDiv w:val="1"/>
      <w:marLeft w:val="0"/>
      <w:marRight w:val="0"/>
      <w:marTop w:val="0"/>
      <w:marBottom w:val="0"/>
      <w:divBdr>
        <w:top w:val="none" w:sz="0" w:space="0" w:color="auto"/>
        <w:left w:val="none" w:sz="0" w:space="0" w:color="auto"/>
        <w:bottom w:val="none" w:sz="0" w:space="0" w:color="auto"/>
        <w:right w:val="none" w:sz="0" w:space="0" w:color="auto"/>
      </w:divBdr>
      <w:divsChild>
        <w:div w:id="1477140325">
          <w:marLeft w:val="0"/>
          <w:marRight w:val="0"/>
          <w:marTop w:val="0"/>
          <w:marBottom w:val="0"/>
          <w:divBdr>
            <w:top w:val="none" w:sz="0" w:space="0" w:color="auto"/>
            <w:left w:val="none" w:sz="0" w:space="0" w:color="auto"/>
            <w:bottom w:val="none" w:sz="0" w:space="0" w:color="auto"/>
            <w:right w:val="none" w:sz="0" w:space="0" w:color="auto"/>
          </w:divBdr>
        </w:div>
      </w:divsChild>
    </w:div>
    <w:div w:id="1098990279">
      <w:bodyDiv w:val="1"/>
      <w:marLeft w:val="0"/>
      <w:marRight w:val="0"/>
      <w:marTop w:val="0"/>
      <w:marBottom w:val="0"/>
      <w:divBdr>
        <w:top w:val="none" w:sz="0" w:space="0" w:color="auto"/>
        <w:left w:val="none" w:sz="0" w:space="0" w:color="auto"/>
        <w:bottom w:val="none" w:sz="0" w:space="0" w:color="auto"/>
        <w:right w:val="none" w:sz="0" w:space="0" w:color="auto"/>
      </w:divBdr>
      <w:divsChild>
        <w:div w:id="1901643">
          <w:marLeft w:val="480"/>
          <w:marRight w:val="0"/>
          <w:marTop w:val="0"/>
          <w:marBottom w:val="0"/>
          <w:divBdr>
            <w:top w:val="none" w:sz="0" w:space="0" w:color="auto"/>
            <w:left w:val="none" w:sz="0" w:space="0" w:color="auto"/>
            <w:bottom w:val="none" w:sz="0" w:space="0" w:color="auto"/>
            <w:right w:val="none" w:sz="0" w:space="0" w:color="auto"/>
          </w:divBdr>
        </w:div>
        <w:div w:id="377776068">
          <w:marLeft w:val="480"/>
          <w:marRight w:val="0"/>
          <w:marTop w:val="0"/>
          <w:marBottom w:val="0"/>
          <w:divBdr>
            <w:top w:val="none" w:sz="0" w:space="0" w:color="auto"/>
            <w:left w:val="none" w:sz="0" w:space="0" w:color="auto"/>
            <w:bottom w:val="none" w:sz="0" w:space="0" w:color="auto"/>
            <w:right w:val="none" w:sz="0" w:space="0" w:color="auto"/>
          </w:divBdr>
        </w:div>
        <w:div w:id="633830442">
          <w:marLeft w:val="480"/>
          <w:marRight w:val="0"/>
          <w:marTop w:val="0"/>
          <w:marBottom w:val="0"/>
          <w:divBdr>
            <w:top w:val="none" w:sz="0" w:space="0" w:color="auto"/>
            <w:left w:val="none" w:sz="0" w:space="0" w:color="auto"/>
            <w:bottom w:val="none" w:sz="0" w:space="0" w:color="auto"/>
            <w:right w:val="none" w:sz="0" w:space="0" w:color="auto"/>
          </w:divBdr>
        </w:div>
        <w:div w:id="686641715">
          <w:marLeft w:val="480"/>
          <w:marRight w:val="0"/>
          <w:marTop w:val="0"/>
          <w:marBottom w:val="0"/>
          <w:divBdr>
            <w:top w:val="none" w:sz="0" w:space="0" w:color="auto"/>
            <w:left w:val="none" w:sz="0" w:space="0" w:color="auto"/>
            <w:bottom w:val="none" w:sz="0" w:space="0" w:color="auto"/>
            <w:right w:val="none" w:sz="0" w:space="0" w:color="auto"/>
          </w:divBdr>
        </w:div>
        <w:div w:id="950017430">
          <w:marLeft w:val="480"/>
          <w:marRight w:val="0"/>
          <w:marTop w:val="0"/>
          <w:marBottom w:val="0"/>
          <w:divBdr>
            <w:top w:val="none" w:sz="0" w:space="0" w:color="auto"/>
            <w:left w:val="none" w:sz="0" w:space="0" w:color="auto"/>
            <w:bottom w:val="none" w:sz="0" w:space="0" w:color="auto"/>
            <w:right w:val="none" w:sz="0" w:space="0" w:color="auto"/>
          </w:divBdr>
        </w:div>
        <w:div w:id="1027947272">
          <w:marLeft w:val="480"/>
          <w:marRight w:val="0"/>
          <w:marTop w:val="0"/>
          <w:marBottom w:val="0"/>
          <w:divBdr>
            <w:top w:val="none" w:sz="0" w:space="0" w:color="auto"/>
            <w:left w:val="none" w:sz="0" w:space="0" w:color="auto"/>
            <w:bottom w:val="none" w:sz="0" w:space="0" w:color="auto"/>
            <w:right w:val="none" w:sz="0" w:space="0" w:color="auto"/>
          </w:divBdr>
        </w:div>
        <w:div w:id="1174615927">
          <w:marLeft w:val="480"/>
          <w:marRight w:val="0"/>
          <w:marTop w:val="0"/>
          <w:marBottom w:val="0"/>
          <w:divBdr>
            <w:top w:val="none" w:sz="0" w:space="0" w:color="auto"/>
            <w:left w:val="none" w:sz="0" w:space="0" w:color="auto"/>
            <w:bottom w:val="none" w:sz="0" w:space="0" w:color="auto"/>
            <w:right w:val="none" w:sz="0" w:space="0" w:color="auto"/>
          </w:divBdr>
        </w:div>
        <w:div w:id="1290471948">
          <w:marLeft w:val="480"/>
          <w:marRight w:val="0"/>
          <w:marTop w:val="0"/>
          <w:marBottom w:val="0"/>
          <w:divBdr>
            <w:top w:val="none" w:sz="0" w:space="0" w:color="auto"/>
            <w:left w:val="none" w:sz="0" w:space="0" w:color="auto"/>
            <w:bottom w:val="none" w:sz="0" w:space="0" w:color="auto"/>
            <w:right w:val="none" w:sz="0" w:space="0" w:color="auto"/>
          </w:divBdr>
        </w:div>
        <w:div w:id="1397120649">
          <w:marLeft w:val="480"/>
          <w:marRight w:val="0"/>
          <w:marTop w:val="0"/>
          <w:marBottom w:val="0"/>
          <w:divBdr>
            <w:top w:val="none" w:sz="0" w:space="0" w:color="auto"/>
            <w:left w:val="none" w:sz="0" w:space="0" w:color="auto"/>
            <w:bottom w:val="none" w:sz="0" w:space="0" w:color="auto"/>
            <w:right w:val="none" w:sz="0" w:space="0" w:color="auto"/>
          </w:divBdr>
        </w:div>
        <w:div w:id="1438140694">
          <w:marLeft w:val="480"/>
          <w:marRight w:val="0"/>
          <w:marTop w:val="0"/>
          <w:marBottom w:val="0"/>
          <w:divBdr>
            <w:top w:val="none" w:sz="0" w:space="0" w:color="auto"/>
            <w:left w:val="none" w:sz="0" w:space="0" w:color="auto"/>
            <w:bottom w:val="none" w:sz="0" w:space="0" w:color="auto"/>
            <w:right w:val="none" w:sz="0" w:space="0" w:color="auto"/>
          </w:divBdr>
        </w:div>
        <w:div w:id="1575315576">
          <w:marLeft w:val="480"/>
          <w:marRight w:val="0"/>
          <w:marTop w:val="0"/>
          <w:marBottom w:val="0"/>
          <w:divBdr>
            <w:top w:val="none" w:sz="0" w:space="0" w:color="auto"/>
            <w:left w:val="none" w:sz="0" w:space="0" w:color="auto"/>
            <w:bottom w:val="none" w:sz="0" w:space="0" w:color="auto"/>
            <w:right w:val="none" w:sz="0" w:space="0" w:color="auto"/>
          </w:divBdr>
        </w:div>
        <w:div w:id="1724056364">
          <w:marLeft w:val="480"/>
          <w:marRight w:val="0"/>
          <w:marTop w:val="0"/>
          <w:marBottom w:val="0"/>
          <w:divBdr>
            <w:top w:val="none" w:sz="0" w:space="0" w:color="auto"/>
            <w:left w:val="none" w:sz="0" w:space="0" w:color="auto"/>
            <w:bottom w:val="none" w:sz="0" w:space="0" w:color="auto"/>
            <w:right w:val="none" w:sz="0" w:space="0" w:color="auto"/>
          </w:divBdr>
        </w:div>
        <w:div w:id="1899588697">
          <w:marLeft w:val="480"/>
          <w:marRight w:val="0"/>
          <w:marTop w:val="0"/>
          <w:marBottom w:val="0"/>
          <w:divBdr>
            <w:top w:val="none" w:sz="0" w:space="0" w:color="auto"/>
            <w:left w:val="none" w:sz="0" w:space="0" w:color="auto"/>
            <w:bottom w:val="none" w:sz="0" w:space="0" w:color="auto"/>
            <w:right w:val="none" w:sz="0" w:space="0" w:color="auto"/>
          </w:divBdr>
        </w:div>
        <w:div w:id="1925652461">
          <w:marLeft w:val="480"/>
          <w:marRight w:val="0"/>
          <w:marTop w:val="0"/>
          <w:marBottom w:val="0"/>
          <w:divBdr>
            <w:top w:val="none" w:sz="0" w:space="0" w:color="auto"/>
            <w:left w:val="none" w:sz="0" w:space="0" w:color="auto"/>
            <w:bottom w:val="none" w:sz="0" w:space="0" w:color="auto"/>
            <w:right w:val="none" w:sz="0" w:space="0" w:color="auto"/>
          </w:divBdr>
        </w:div>
        <w:div w:id="1966349707">
          <w:marLeft w:val="480"/>
          <w:marRight w:val="0"/>
          <w:marTop w:val="0"/>
          <w:marBottom w:val="0"/>
          <w:divBdr>
            <w:top w:val="none" w:sz="0" w:space="0" w:color="auto"/>
            <w:left w:val="none" w:sz="0" w:space="0" w:color="auto"/>
            <w:bottom w:val="none" w:sz="0" w:space="0" w:color="auto"/>
            <w:right w:val="none" w:sz="0" w:space="0" w:color="auto"/>
          </w:divBdr>
        </w:div>
        <w:div w:id="1983926533">
          <w:marLeft w:val="480"/>
          <w:marRight w:val="0"/>
          <w:marTop w:val="0"/>
          <w:marBottom w:val="0"/>
          <w:divBdr>
            <w:top w:val="none" w:sz="0" w:space="0" w:color="auto"/>
            <w:left w:val="none" w:sz="0" w:space="0" w:color="auto"/>
            <w:bottom w:val="none" w:sz="0" w:space="0" w:color="auto"/>
            <w:right w:val="none" w:sz="0" w:space="0" w:color="auto"/>
          </w:divBdr>
        </w:div>
        <w:div w:id="2017071010">
          <w:marLeft w:val="480"/>
          <w:marRight w:val="0"/>
          <w:marTop w:val="0"/>
          <w:marBottom w:val="0"/>
          <w:divBdr>
            <w:top w:val="none" w:sz="0" w:space="0" w:color="auto"/>
            <w:left w:val="none" w:sz="0" w:space="0" w:color="auto"/>
            <w:bottom w:val="none" w:sz="0" w:space="0" w:color="auto"/>
            <w:right w:val="none" w:sz="0" w:space="0" w:color="auto"/>
          </w:divBdr>
        </w:div>
      </w:divsChild>
    </w:div>
    <w:div w:id="1110855701">
      <w:bodyDiv w:val="1"/>
      <w:marLeft w:val="0"/>
      <w:marRight w:val="0"/>
      <w:marTop w:val="0"/>
      <w:marBottom w:val="0"/>
      <w:divBdr>
        <w:top w:val="none" w:sz="0" w:space="0" w:color="auto"/>
        <w:left w:val="none" w:sz="0" w:space="0" w:color="auto"/>
        <w:bottom w:val="none" w:sz="0" w:space="0" w:color="auto"/>
        <w:right w:val="none" w:sz="0" w:space="0" w:color="auto"/>
      </w:divBdr>
      <w:divsChild>
        <w:div w:id="83235072">
          <w:marLeft w:val="480"/>
          <w:marRight w:val="0"/>
          <w:marTop w:val="0"/>
          <w:marBottom w:val="0"/>
          <w:divBdr>
            <w:top w:val="none" w:sz="0" w:space="0" w:color="auto"/>
            <w:left w:val="none" w:sz="0" w:space="0" w:color="auto"/>
            <w:bottom w:val="none" w:sz="0" w:space="0" w:color="auto"/>
            <w:right w:val="none" w:sz="0" w:space="0" w:color="auto"/>
          </w:divBdr>
        </w:div>
        <w:div w:id="97792769">
          <w:marLeft w:val="480"/>
          <w:marRight w:val="0"/>
          <w:marTop w:val="0"/>
          <w:marBottom w:val="0"/>
          <w:divBdr>
            <w:top w:val="none" w:sz="0" w:space="0" w:color="auto"/>
            <w:left w:val="none" w:sz="0" w:space="0" w:color="auto"/>
            <w:bottom w:val="none" w:sz="0" w:space="0" w:color="auto"/>
            <w:right w:val="none" w:sz="0" w:space="0" w:color="auto"/>
          </w:divBdr>
        </w:div>
        <w:div w:id="175193360">
          <w:marLeft w:val="480"/>
          <w:marRight w:val="0"/>
          <w:marTop w:val="0"/>
          <w:marBottom w:val="0"/>
          <w:divBdr>
            <w:top w:val="none" w:sz="0" w:space="0" w:color="auto"/>
            <w:left w:val="none" w:sz="0" w:space="0" w:color="auto"/>
            <w:bottom w:val="none" w:sz="0" w:space="0" w:color="auto"/>
            <w:right w:val="none" w:sz="0" w:space="0" w:color="auto"/>
          </w:divBdr>
        </w:div>
        <w:div w:id="391660719">
          <w:marLeft w:val="480"/>
          <w:marRight w:val="0"/>
          <w:marTop w:val="0"/>
          <w:marBottom w:val="0"/>
          <w:divBdr>
            <w:top w:val="none" w:sz="0" w:space="0" w:color="auto"/>
            <w:left w:val="none" w:sz="0" w:space="0" w:color="auto"/>
            <w:bottom w:val="none" w:sz="0" w:space="0" w:color="auto"/>
            <w:right w:val="none" w:sz="0" w:space="0" w:color="auto"/>
          </w:divBdr>
        </w:div>
        <w:div w:id="426583680">
          <w:marLeft w:val="480"/>
          <w:marRight w:val="0"/>
          <w:marTop w:val="0"/>
          <w:marBottom w:val="0"/>
          <w:divBdr>
            <w:top w:val="none" w:sz="0" w:space="0" w:color="auto"/>
            <w:left w:val="none" w:sz="0" w:space="0" w:color="auto"/>
            <w:bottom w:val="none" w:sz="0" w:space="0" w:color="auto"/>
            <w:right w:val="none" w:sz="0" w:space="0" w:color="auto"/>
          </w:divBdr>
        </w:div>
        <w:div w:id="443155801">
          <w:marLeft w:val="480"/>
          <w:marRight w:val="0"/>
          <w:marTop w:val="0"/>
          <w:marBottom w:val="0"/>
          <w:divBdr>
            <w:top w:val="none" w:sz="0" w:space="0" w:color="auto"/>
            <w:left w:val="none" w:sz="0" w:space="0" w:color="auto"/>
            <w:bottom w:val="none" w:sz="0" w:space="0" w:color="auto"/>
            <w:right w:val="none" w:sz="0" w:space="0" w:color="auto"/>
          </w:divBdr>
        </w:div>
        <w:div w:id="591209188">
          <w:marLeft w:val="480"/>
          <w:marRight w:val="0"/>
          <w:marTop w:val="0"/>
          <w:marBottom w:val="0"/>
          <w:divBdr>
            <w:top w:val="none" w:sz="0" w:space="0" w:color="auto"/>
            <w:left w:val="none" w:sz="0" w:space="0" w:color="auto"/>
            <w:bottom w:val="none" w:sz="0" w:space="0" w:color="auto"/>
            <w:right w:val="none" w:sz="0" w:space="0" w:color="auto"/>
          </w:divBdr>
        </w:div>
        <w:div w:id="704137915">
          <w:marLeft w:val="480"/>
          <w:marRight w:val="0"/>
          <w:marTop w:val="0"/>
          <w:marBottom w:val="0"/>
          <w:divBdr>
            <w:top w:val="none" w:sz="0" w:space="0" w:color="auto"/>
            <w:left w:val="none" w:sz="0" w:space="0" w:color="auto"/>
            <w:bottom w:val="none" w:sz="0" w:space="0" w:color="auto"/>
            <w:right w:val="none" w:sz="0" w:space="0" w:color="auto"/>
          </w:divBdr>
        </w:div>
        <w:div w:id="712463299">
          <w:marLeft w:val="480"/>
          <w:marRight w:val="0"/>
          <w:marTop w:val="0"/>
          <w:marBottom w:val="0"/>
          <w:divBdr>
            <w:top w:val="none" w:sz="0" w:space="0" w:color="auto"/>
            <w:left w:val="none" w:sz="0" w:space="0" w:color="auto"/>
            <w:bottom w:val="none" w:sz="0" w:space="0" w:color="auto"/>
            <w:right w:val="none" w:sz="0" w:space="0" w:color="auto"/>
          </w:divBdr>
        </w:div>
        <w:div w:id="767969475">
          <w:marLeft w:val="480"/>
          <w:marRight w:val="0"/>
          <w:marTop w:val="0"/>
          <w:marBottom w:val="0"/>
          <w:divBdr>
            <w:top w:val="none" w:sz="0" w:space="0" w:color="auto"/>
            <w:left w:val="none" w:sz="0" w:space="0" w:color="auto"/>
            <w:bottom w:val="none" w:sz="0" w:space="0" w:color="auto"/>
            <w:right w:val="none" w:sz="0" w:space="0" w:color="auto"/>
          </w:divBdr>
        </w:div>
        <w:div w:id="1079444776">
          <w:marLeft w:val="480"/>
          <w:marRight w:val="0"/>
          <w:marTop w:val="0"/>
          <w:marBottom w:val="0"/>
          <w:divBdr>
            <w:top w:val="none" w:sz="0" w:space="0" w:color="auto"/>
            <w:left w:val="none" w:sz="0" w:space="0" w:color="auto"/>
            <w:bottom w:val="none" w:sz="0" w:space="0" w:color="auto"/>
            <w:right w:val="none" w:sz="0" w:space="0" w:color="auto"/>
          </w:divBdr>
        </w:div>
        <w:div w:id="1425416211">
          <w:marLeft w:val="480"/>
          <w:marRight w:val="0"/>
          <w:marTop w:val="0"/>
          <w:marBottom w:val="0"/>
          <w:divBdr>
            <w:top w:val="none" w:sz="0" w:space="0" w:color="auto"/>
            <w:left w:val="none" w:sz="0" w:space="0" w:color="auto"/>
            <w:bottom w:val="none" w:sz="0" w:space="0" w:color="auto"/>
            <w:right w:val="none" w:sz="0" w:space="0" w:color="auto"/>
          </w:divBdr>
        </w:div>
        <w:div w:id="1478960427">
          <w:marLeft w:val="480"/>
          <w:marRight w:val="0"/>
          <w:marTop w:val="0"/>
          <w:marBottom w:val="0"/>
          <w:divBdr>
            <w:top w:val="none" w:sz="0" w:space="0" w:color="auto"/>
            <w:left w:val="none" w:sz="0" w:space="0" w:color="auto"/>
            <w:bottom w:val="none" w:sz="0" w:space="0" w:color="auto"/>
            <w:right w:val="none" w:sz="0" w:space="0" w:color="auto"/>
          </w:divBdr>
        </w:div>
        <w:div w:id="1811435070">
          <w:marLeft w:val="480"/>
          <w:marRight w:val="0"/>
          <w:marTop w:val="0"/>
          <w:marBottom w:val="0"/>
          <w:divBdr>
            <w:top w:val="none" w:sz="0" w:space="0" w:color="auto"/>
            <w:left w:val="none" w:sz="0" w:space="0" w:color="auto"/>
            <w:bottom w:val="none" w:sz="0" w:space="0" w:color="auto"/>
            <w:right w:val="none" w:sz="0" w:space="0" w:color="auto"/>
          </w:divBdr>
        </w:div>
        <w:div w:id="1929844798">
          <w:marLeft w:val="480"/>
          <w:marRight w:val="0"/>
          <w:marTop w:val="0"/>
          <w:marBottom w:val="0"/>
          <w:divBdr>
            <w:top w:val="none" w:sz="0" w:space="0" w:color="auto"/>
            <w:left w:val="none" w:sz="0" w:space="0" w:color="auto"/>
            <w:bottom w:val="none" w:sz="0" w:space="0" w:color="auto"/>
            <w:right w:val="none" w:sz="0" w:space="0" w:color="auto"/>
          </w:divBdr>
        </w:div>
        <w:div w:id="1972858934">
          <w:marLeft w:val="480"/>
          <w:marRight w:val="0"/>
          <w:marTop w:val="0"/>
          <w:marBottom w:val="0"/>
          <w:divBdr>
            <w:top w:val="none" w:sz="0" w:space="0" w:color="auto"/>
            <w:left w:val="none" w:sz="0" w:space="0" w:color="auto"/>
            <w:bottom w:val="none" w:sz="0" w:space="0" w:color="auto"/>
            <w:right w:val="none" w:sz="0" w:space="0" w:color="auto"/>
          </w:divBdr>
        </w:div>
        <w:div w:id="2145541938">
          <w:marLeft w:val="480"/>
          <w:marRight w:val="0"/>
          <w:marTop w:val="0"/>
          <w:marBottom w:val="0"/>
          <w:divBdr>
            <w:top w:val="none" w:sz="0" w:space="0" w:color="auto"/>
            <w:left w:val="none" w:sz="0" w:space="0" w:color="auto"/>
            <w:bottom w:val="none" w:sz="0" w:space="0" w:color="auto"/>
            <w:right w:val="none" w:sz="0" w:space="0" w:color="auto"/>
          </w:divBdr>
        </w:div>
      </w:divsChild>
    </w:div>
    <w:div w:id="1123159441">
      <w:bodyDiv w:val="1"/>
      <w:marLeft w:val="0"/>
      <w:marRight w:val="0"/>
      <w:marTop w:val="0"/>
      <w:marBottom w:val="0"/>
      <w:divBdr>
        <w:top w:val="none" w:sz="0" w:space="0" w:color="auto"/>
        <w:left w:val="none" w:sz="0" w:space="0" w:color="auto"/>
        <w:bottom w:val="none" w:sz="0" w:space="0" w:color="auto"/>
        <w:right w:val="none" w:sz="0" w:space="0" w:color="auto"/>
      </w:divBdr>
      <w:divsChild>
        <w:div w:id="79641442">
          <w:marLeft w:val="480"/>
          <w:marRight w:val="0"/>
          <w:marTop w:val="0"/>
          <w:marBottom w:val="0"/>
          <w:divBdr>
            <w:top w:val="none" w:sz="0" w:space="0" w:color="auto"/>
            <w:left w:val="none" w:sz="0" w:space="0" w:color="auto"/>
            <w:bottom w:val="none" w:sz="0" w:space="0" w:color="auto"/>
            <w:right w:val="none" w:sz="0" w:space="0" w:color="auto"/>
          </w:divBdr>
        </w:div>
        <w:div w:id="614099184">
          <w:marLeft w:val="480"/>
          <w:marRight w:val="0"/>
          <w:marTop w:val="0"/>
          <w:marBottom w:val="0"/>
          <w:divBdr>
            <w:top w:val="none" w:sz="0" w:space="0" w:color="auto"/>
            <w:left w:val="none" w:sz="0" w:space="0" w:color="auto"/>
            <w:bottom w:val="none" w:sz="0" w:space="0" w:color="auto"/>
            <w:right w:val="none" w:sz="0" w:space="0" w:color="auto"/>
          </w:divBdr>
        </w:div>
        <w:div w:id="821581556">
          <w:marLeft w:val="480"/>
          <w:marRight w:val="0"/>
          <w:marTop w:val="0"/>
          <w:marBottom w:val="0"/>
          <w:divBdr>
            <w:top w:val="none" w:sz="0" w:space="0" w:color="auto"/>
            <w:left w:val="none" w:sz="0" w:space="0" w:color="auto"/>
            <w:bottom w:val="none" w:sz="0" w:space="0" w:color="auto"/>
            <w:right w:val="none" w:sz="0" w:space="0" w:color="auto"/>
          </w:divBdr>
        </w:div>
        <w:div w:id="847058416">
          <w:marLeft w:val="480"/>
          <w:marRight w:val="0"/>
          <w:marTop w:val="0"/>
          <w:marBottom w:val="0"/>
          <w:divBdr>
            <w:top w:val="none" w:sz="0" w:space="0" w:color="auto"/>
            <w:left w:val="none" w:sz="0" w:space="0" w:color="auto"/>
            <w:bottom w:val="none" w:sz="0" w:space="0" w:color="auto"/>
            <w:right w:val="none" w:sz="0" w:space="0" w:color="auto"/>
          </w:divBdr>
        </w:div>
        <w:div w:id="883103867">
          <w:marLeft w:val="480"/>
          <w:marRight w:val="0"/>
          <w:marTop w:val="0"/>
          <w:marBottom w:val="0"/>
          <w:divBdr>
            <w:top w:val="none" w:sz="0" w:space="0" w:color="auto"/>
            <w:left w:val="none" w:sz="0" w:space="0" w:color="auto"/>
            <w:bottom w:val="none" w:sz="0" w:space="0" w:color="auto"/>
            <w:right w:val="none" w:sz="0" w:space="0" w:color="auto"/>
          </w:divBdr>
        </w:div>
        <w:div w:id="911818161">
          <w:marLeft w:val="480"/>
          <w:marRight w:val="0"/>
          <w:marTop w:val="0"/>
          <w:marBottom w:val="0"/>
          <w:divBdr>
            <w:top w:val="none" w:sz="0" w:space="0" w:color="auto"/>
            <w:left w:val="none" w:sz="0" w:space="0" w:color="auto"/>
            <w:bottom w:val="none" w:sz="0" w:space="0" w:color="auto"/>
            <w:right w:val="none" w:sz="0" w:space="0" w:color="auto"/>
          </w:divBdr>
        </w:div>
        <w:div w:id="1081756125">
          <w:marLeft w:val="480"/>
          <w:marRight w:val="0"/>
          <w:marTop w:val="0"/>
          <w:marBottom w:val="0"/>
          <w:divBdr>
            <w:top w:val="none" w:sz="0" w:space="0" w:color="auto"/>
            <w:left w:val="none" w:sz="0" w:space="0" w:color="auto"/>
            <w:bottom w:val="none" w:sz="0" w:space="0" w:color="auto"/>
            <w:right w:val="none" w:sz="0" w:space="0" w:color="auto"/>
          </w:divBdr>
        </w:div>
        <w:div w:id="1272006395">
          <w:marLeft w:val="480"/>
          <w:marRight w:val="0"/>
          <w:marTop w:val="0"/>
          <w:marBottom w:val="0"/>
          <w:divBdr>
            <w:top w:val="none" w:sz="0" w:space="0" w:color="auto"/>
            <w:left w:val="none" w:sz="0" w:space="0" w:color="auto"/>
            <w:bottom w:val="none" w:sz="0" w:space="0" w:color="auto"/>
            <w:right w:val="none" w:sz="0" w:space="0" w:color="auto"/>
          </w:divBdr>
        </w:div>
        <w:div w:id="1278752607">
          <w:marLeft w:val="480"/>
          <w:marRight w:val="0"/>
          <w:marTop w:val="0"/>
          <w:marBottom w:val="0"/>
          <w:divBdr>
            <w:top w:val="none" w:sz="0" w:space="0" w:color="auto"/>
            <w:left w:val="none" w:sz="0" w:space="0" w:color="auto"/>
            <w:bottom w:val="none" w:sz="0" w:space="0" w:color="auto"/>
            <w:right w:val="none" w:sz="0" w:space="0" w:color="auto"/>
          </w:divBdr>
        </w:div>
        <w:div w:id="1554273688">
          <w:marLeft w:val="480"/>
          <w:marRight w:val="0"/>
          <w:marTop w:val="0"/>
          <w:marBottom w:val="0"/>
          <w:divBdr>
            <w:top w:val="none" w:sz="0" w:space="0" w:color="auto"/>
            <w:left w:val="none" w:sz="0" w:space="0" w:color="auto"/>
            <w:bottom w:val="none" w:sz="0" w:space="0" w:color="auto"/>
            <w:right w:val="none" w:sz="0" w:space="0" w:color="auto"/>
          </w:divBdr>
        </w:div>
        <w:div w:id="1582063658">
          <w:marLeft w:val="480"/>
          <w:marRight w:val="0"/>
          <w:marTop w:val="0"/>
          <w:marBottom w:val="0"/>
          <w:divBdr>
            <w:top w:val="none" w:sz="0" w:space="0" w:color="auto"/>
            <w:left w:val="none" w:sz="0" w:space="0" w:color="auto"/>
            <w:bottom w:val="none" w:sz="0" w:space="0" w:color="auto"/>
            <w:right w:val="none" w:sz="0" w:space="0" w:color="auto"/>
          </w:divBdr>
        </w:div>
        <w:div w:id="1596475008">
          <w:marLeft w:val="480"/>
          <w:marRight w:val="0"/>
          <w:marTop w:val="0"/>
          <w:marBottom w:val="0"/>
          <w:divBdr>
            <w:top w:val="none" w:sz="0" w:space="0" w:color="auto"/>
            <w:left w:val="none" w:sz="0" w:space="0" w:color="auto"/>
            <w:bottom w:val="none" w:sz="0" w:space="0" w:color="auto"/>
            <w:right w:val="none" w:sz="0" w:space="0" w:color="auto"/>
          </w:divBdr>
        </w:div>
        <w:div w:id="1610626153">
          <w:marLeft w:val="480"/>
          <w:marRight w:val="0"/>
          <w:marTop w:val="0"/>
          <w:marBottom w:val="0"/>
          <w:divBdr>
            <w:top w:val="none" w:sz="0" w:space="0" w:color="auto"/>
            <w:left w:val="none" w:sz="0" w:space="0" w:color="auto"/>
            <w:bottom w:val="none" w:sz="0" w:space="0" w:color="auto"/>
            <w:right w:val="none" w:sz="0" w:space="0" w:color="auto"/>
          </w:divBdr>
        </w:div>
        <w:div w:id="1900433887">
          <w:marLeft w:val="480"/>
          <w:marRight w:val="0"/>
          <w:marTop w:val="0"/>
          <w:marBottom w:val="0"/>
          <w:divBdr>
            <w:top w:val="none" w:sz="0" w:space="0" w:color="auto"/>
            <w:left w:val="none" w:sz="0" w:space="0" w:color="auto"/>
            <w:bottom w:val="none" w:sz="0" w:space="0" w:color="auto"/>
            <w:right w:val="none" w:sz="0" w:space="0" w:color="auto"/>
          </w:divBdr>
        </w:div>
        <w:div w:id="1903832501">
          <w:marLeft w:val="480"/>
          <w:marRight w:val="0"/>
          <w:marTop w:val="0"/>
          <w:marBottom w:val="0"/>
          <w:divBdr>
            <w:top w:val="none" w:sz="0" w:space="0" w:color="auto"/>
            <w:left w:val="none" w:sz="0" w:space="0" w:color="auto"/>
            <w:bottom w:val="none" w:sz="0" w:space="0" w:color="auto"/>
            <w:right w:val="none" w:sz="0" w:space="0" w:color="auto"/>
          </w:divBdr>
        </w:div>
      </w:divsChild>
    </w:div>
    <w:div w:id="1174877613">
      <w:bodyDiv w:val="1"/>
      <w:marLeft w:val="0"/>
      <w:marRight w:val="0"/>
      <w:marTop w:val="0"/>
      <w:marBottom w:val="0"/>
      <w:divBdr>
        <w:top w:val="none" w:sz="0" w:space="0" w:color="auto"/>
        <w:left w:val="none" w:sz="0" w:space="0" w:color="auto"/>
        <w:bottom w:val="none" w:sz="0" w:space="0" w:color="auto"/>
        <w:right w:val="none" w:sz="0" w:space="0" w:color="auto"/>
      </w:divBdr>
      <w:divsChild>
        <w:div w:id="1987734057">
          <w:marLeft w:val="0"/>
          <w:marRight w:val="0"/>
          <w:marTop w:val="0"/>
          <w:marBottom w:val="0"/>
          <w:divBdr>
            <w:top w:val="none" w:sz="0" w:space="0" w:color="auto"/>
            <w:left w:val="none" w:sz="0" w:space="0" w:color="auto"/>
            <w:bottom w:val="none" w:sz="0" w:space="0" w:color="auto"/>
            <w:right w:val="none" w:sz="0" w:space="0" w:color="auto"/>
          </w:divBdr>
        </w:div>
      </w:divsChild>
    </w:div>
    <w:div w:id="1175219611">
      <w:bodyDiv w:val="1"/>
      <w:marLeft w:val="0"/>
      <w:marRight w:val="0"/>
      <w:marTop w:val="0"/>
      <w:marBottom w:val="0"/>
      <w:divBdr>
        <w:top w:val="none" w:sz="0" w:space="0" w:color="auto"/>
        <w:left w:val="none" w:sz="0" w:space="0" w:color="auto"/>
        <w:bottom w:val="none" w:sz="0" w:space="0" w:color="auto"/>
        <w:right w:val="none" w:sz="0" w:space="0" w:color="auto"/>
      </w:divBdr>
      <w:divsChild>
        <w:div w:id="42100840">
          <w:marLeft w:val="480"/>
          <w:marRight w:val="0"/>
          <w:marTop w:val="0"/>
          <w:marBottom w:val="0"/>
          <w:divBdr>
            <w:top w:val="none" w:sz="0" w:space="0" w:color="auto"/>
            <w:left w:val="none" w:sz="0" w:space="0" w:color="auto"/>
            <w:bottom w:val="none" w:sz="0" w:space="0" w:color="auto"/>
            <w:right w:val="none" w:sz="0" w:space="0" w:color="auto"/>
          </w:divBdr>
        </w:div>
        <w:div w:id="133258445">
          <w:marLeft w:val="480"/>
          <w:marRight w:val="0"/>
          <w:marTop w:val="0"/>
          <w:marBottom w:val="0"/>
          <w:divBdr>
            <w:top w:val="none" w:sz="0" w:space="0" w:color="auto"/>
            <w:left w:val="none" w:sz="0" w:space="0" w:color="auto"/>
            <w:bottom w:val="none" w:sz="0" w:space="0" w:color="auto"/>
            <w:right w:val="none" w:sz="0" w:space="0" w:color="auto"/>
          </w:divBdr>
        </w:div>
        <w:div w:id="261227270">
          <w:marLeft w:val="480"/>
          <w:marRight w:val="0"/>
          <w:marTop w:val="0"/>
          <w:marBottom w:val="0"/>
          <w:divBdr>
            <w:top w:val="none" w:sz="0" w:space="0" w:color="auto"/>
            <w:left w:val="none" w:sz="0" w:space="0" w:color="auto"/>
            <w:bottom w:val="none" w:sz="0" w:space="0" w:color="auto"/>
            <w:right w:val="none" w:sz="0" w:space="0" w:color="auto"/>
          </w:divBdr>
        </w:div>
        <w:div w:id="271280630">
          <w:marLeft w:val="480"/>
          <w:marRight w:val="0"/>
          <w:marTop w:val="0"/>
          <w:marBottom w:val="0"/>
          <w:divBdr>
            <w:top w:val="none" w:sz="0" w:space="0" w:color="auto"/>
            <w:left w:val="none" w:sz="0" w:space="0" w:color="auto"/>
            <w:bottom w:val="none" w:sz="0" w:space="0" w:color="auto"/>
            <w:right w:val="none" w:sz="0" w:space="0" w:color="auto"/>
          </w:divBdr>
        </w:div>
        <w:div w:id="295837158">
          <w:marLeft w:val="480"/>
          <w:marRight w:val="0"/>
          <w:marTop w:val="0"/>
          <w:marBottom w:val="0"/>
          <w:divBdr>
            <w:top w:val="none" w:sz="0" w:space="0" w:color="auto"/>
            <w:left w:val="none" w:sz="0" w:space="0" w:color="auto"/>
            <w:bottom w:val="none" w:sz="0" w:space="0" w:color="auto"/>
            <w:right w:val="none" w:sz="0" w:space="0" w:color="auto"/>
          </w:divBdr>
        </w:div>
        <w:div w:id="409617741">
          <w:marLeft w:val="480"/>
          <w:marRight w:val="0"/>
          <w:marTop w:val="0"/>
          <w:marBottom w:val="0"/>
          <w:divBdr>
            <w:top w:val="none" w:sz="0" w:space="0" w:color="auto"/>
            <w:left w:val="none" w:sz="0" w:space="0" w:color="auto"/>
            <w:bottom w:val="none" w:sz="0" w:space="0" w:color="auto"/>
            <w:right w:val="none" w:sz="0" w:space="0" w:color="auto"/>
          </w:divBdr>
        </w:div>
        <w:div w:id="640965805">
          <w:marLeft w:val="480"/>
          <w:marRight w:val="0"/>
          <w:marTop w:val="0"/>
          <w:marBottom w:val="0"/>
          <w:divBdr>
            <w:top w:val="none" w:sz="0" w:space="0" w:color="auto"/>
            <w:left w:val="none" w:sz="0" w:space="0" w:color="auto"/>
            <w:bottom w:val="none" w:sz="0" w:space="0" w:color="auto"/>
            <w:right w:val="none" w:sz="0" w:space="0" w:color="auto"/>
          </w:divBdr>
        </w:div>
        <w:div w:id="699474373">
          <w:marLeft w:val="480"/>
          <w:marRight w:val="0"/>
          <w:marTop w:val="0"/>
          <w:marBottom w:val="0"/>
          <w:divBdr>
            <w:top w:val="none" w:sz="0" w:space="0" w:color="auto"/>
            <w:left w:val="none" w:sz="0" w:space="0" w:color="auto"/>
            <w:bottom w:val="none" w:sz="0" w:space="0" w:color="auto"/>
            <w:right w:val="none" w:sz="0" w:space="0" w:color="auto"/>
          </w:divBdr>
        </w:div>
        <w:div w:id="956444665">
          <w:marLeft w:val="480"/>
          <w:marRight w:val="0"/>
          <w:marTop w:val="0"/>
          <w:marBottom w:val="0"/>
          <w:divBdr>
            <w:top w:val="none" w:sz="0" w:space="0" w:color="auto"/>
            <w:left w:val="none" w:sz="0" w:space="0" w:color="auto"/>
            <w:bottom w:val="none" w:sz="0" w:space="0" w:color="auto"/>
            <w:right w:val="none" w:sz="0" w:space="0" w:color="auto"/>
          </w:divBdr>
        </w:div>
        <w:div w:id="1160391333">
          <w:marLeft w:val="480"/>
          <w:marRight w:val="0"/>
          <w:marTop w:val="0"/>
          <w:marBottom w:val="0"/>
          <w:divBdr>
            <w:top w:val="none" w:sz="0" w:space="0" w:color="auto"/>
            <w:left w:val="none" w:sz="0" w:space="0" w:color="auto"/>
            <w:bottom w:val="none" w:sz="0" w:space="0" w:color="auto"/>
            <w:right w:val="none" w:sz="0" w:space="0" w:color="auto"/>
          </w:divBdr>
        </w:div>
        <w:div w:id="1368485977">
          <w:marLeft w:val="480"/>
          <w:marRight w:val="0"/>
          <w:marTop w:val="0"/>
          <w:marBottom w:val="0"/>
          <w:divBdr>
            <w:top w:val="none" w:sz="0" w:space="0" w:color="auto"/>
            <w:left w:val="none" w:sz="0" w:space="0" w:color="auto"/>
            <w:bottom w:val="none" w:sz="0" w:space="0" w:color="auto"/>
            <w:right w:val="none" w:sz="0" w:space="0" w:color="auto"/>
          </w:divBdr>
        </w:div>
        <w:div w:id="1385174424">
          <w:marLeft w:val="480"/>
          <w:marRight w:val="0"/>
          <w:marTop w:val="0"/>
          <w:marBottom w:val="0"/>
          <w:divBdr>
            <w:top w:val="none" w:sz="0" w:space="0" w:color="auto"/>
            <w:left w:val="none" w:sz="0" w:space="0" w:color="auto"/>
            <w:bottom w:val="none" w:sz="0" w:space="0" w:color="auto"/>
            <w:right w:val="none" w:sz="0" w:space="0" w:color="auto"/>
          </w:divBdr>
        </w:div>
        <w:div w:id="1714504973">
          <w:marLeft w:val="480"/>
          <w:marRight w:val="0"/>
          <w:marTop w:val="0"/>
          <w:marBottom w:val="0"/>
          <w:divBdr>
            <w:top w:val="none" w:sz="0" w:space="0" w:color="auto"/>
            <w:left w:val="none" w:sz="0" w:space="0" w:color="auto"/>
            <w:bottom w:val="none" w:sz="0" w:space="0" w:color="auto"/>
            <w:right w:val="none" w:sz="0" w:space="0" w:color="auto"/>
          </w:divBdr>
        </w:div>
        <w:div w:id="1909609922">
          <w:marLeft w:val="480"/>
          <w:marRight w:val="0"/>
          <w:marTop w:val="0"/>
          <w:marBottom w:val="0"/>
          <w:divBdr>
            <w:top w:val="none" w:sz="0" w:space="0" w:color="auto"/>
            <w:left w:val="none" w:sz="0" w:space="0" w:color="auto"/>
            <w:bottom w:val="none" w:sz="0" w:space="0" w:color="auto"/>
            <w:right w:val="none" w:sz="0" w:space="0" w:color="auto"/>
          </w:divBdr>
        </w:div>
        <w:div w:id="1960718712">
          <w:marLeft w:val="480"/>
          <w:marRight w:val="0"/>
          <w:marTop w:val="0"/>
          <w:marBottom w:val="0"/>
          <w:divBdr>
            <w:top w:val="none" w:sz="0" w:space="0" w:color="auto"/>
            <w:left w:val="none" w:sz="0" w:space="0" w:color="auto"/>
            <w:bottom w:val="none" w:sz="0" w:space="0" w:color="auto"/>
            <w:right w:val="none" w:sz="0" w:space="0" w:color="auto"/>
          </w:divBdr>
        </w:div>
      </w:divsChild>
    </w:div>
    <w:div w:id="1192186025">
      <w:bodyDiv w:val="1"/>
      <w:marLeft w:val="0"/>
      <w:marRight w:val="0"/>
      <w:marTop w:val="0"/>
      <w:marBottom w:val="0"/>
      <w:divBdr>
        <w:top w:val="none" w:sz="0" w:space="0" w:color="auto"/>
        <w:left w:val="none" w:sz="0" w:space="0" w:color="auto"/>
        <w:bottom w:val="none" w:sz="0" w:space="0" w:color="auto"/>
        <w:right w:val="none" w:sz="0" w:space="0" w:color="auto"/>
      </w:divBdr>
      <w:divsChild>
        <w:div w:id="189031817">
          <w:marLeft w:val="480"/>
          <w:marRight w:val="0"/>
          <w:marTop w:val="0"/>
          <w:marBottom w:val="0"/>
          <w:divBdr>
            <w:top w:val="none" w:sz="0" w:space="0" w:color="auto"/>
            <w:left w:val="none" w:sz="0" w:space="0" w:color="auto"/>
            <w:bottom w:val="none" w:sz="0" w:space="0" w:color="auto"/>
            <w:right w:val="none" w:sz="0" w:space="0" w:color="auto"/>
          </w:divBdr>
        </w:div>
        <w:div w:id="276058819">
          <w:marLeft w:val="480"/>
          <w:marRight w:val="0"/>
          <w:marTop w:val="0"/>
          <w:marBottom w:val="0"/>
          <w:divBdr>
            <w:top w:val="none" w:sz="0" w:space="0" w:color="auto"/>
            <w:left w:val="none" w:sz="0" w:space="0" w:color="auto"/>
            <w:bottom w:val="none" w:sz="0" w:space="0" w:color="auto"/>
            <w:right w:val="none" w:sz="0" w:space="0" w:color="auto"/>
          </w:divBdr>
        </w:div>
        <w:div w:id="327563703">
          <w:marLeft w:val="480"/>
          <w:marRight w:val="0"/>
          <w:marTop w:val="0"/>
          <w:marBottom w:val="0"/>
          <w:divBdr>
            <w:top w:val="none" w:sz="0" w:space="0" w:color="auto"/>
            <w:left w:val="none" w:sz="0" w:space="0" w:color="auto"/>
            <w:bottom w:val="none" w:sz="0" w:space="0" w:color="auto"/>
            <w:right w:val="none" w:sz="0" w:space="0" w:color="auto"/>
          </w:divBdr>
        </w:div>
        <w:div w:id="436675980">
          <w:marLeft w:val="480"/>
          <w:marRight w:val="0"/>
          <w:marTop w:val="0"/>
          <w:marBottom w:val="0"/>
          <w:divBdr>
            <w:top w:val="none" w:sz="0" w:space="0" w:color="auto"/>
            <w:left w:val="none" w:sz="0" w:space="0" w:color="auto"/>
            <w:bottom w:val="none" w:sz="0" w:space="0" w:color="auto"/>
            <w:right w:val="none" w:sz="0" w:space="0" w:color="auto"/>
          </w:divBdr>
        </w:div>
        <w:div w:id="465009316">
          <w:marLeft w:val="480"/>
          <w:marRight w:val="0"/>
          <w:marTop w:val="0"/>
          <w:marBottom w:val="0"/>
          <w:divBdr>
            <w:top w:val="none" w:sz="0" w:space="0" w:color="auto"/>
            <w:left w:val="none" w:sz="0" w:space="0" w:color="auto"/>
            <w:bottom w:val="none" w:sz="0" w:space="0" w:color="auto"/>
            <w:right w:val="none" w:sz="0" w:space="0" w:color="auto"/>
          </w:divBdr>
        </w:div>
        <w:div w:id="633294426">
          <w:marLeft w:val="480"/>
          <w:marRight w:val="0"/>
          <w:marTop w:val="0"/>
          <w:marBottom w:val="0"/>
          <w:divBdr>
            <w:top w:val="none" w:sz="0" w:space="0" w:color="auto"/>
            <w:left w:val="none" w:sz="0" w:space="0" w:color="auto"/>
            <w:bottom w:val="none" w:sz="0" w:space="0" w:color="auto"/>
            <w:right w:val="none" w:sz="0" w:space="0" w:color="auto"/>
          </w:divBdr>
        </w:div>
        <w:div w:id="1354381275">
          <w:marLeft w:val="480"/>
          <w:marRight w:val="0"/>
          <w:marTop w:val="0"/>
          <w:marBottom w:val="0"/>
          <w:divBdr>
            <w:top w:val="none" w:sz="0" w:space="0" w:color="auto"/>
            <w:left w:val="none" w:sz="0" w:space="0" w:color="auto"/>
            <w:bottom w:val="none" w:sz="0" w:space="0" w:color="auto"/>
            <w:right w:val="none" w:sz="0" w:space="0" w:color="auto"/>
          </w:divBdr>
        </w:div>
        <w:div w:id="1376465297">
          <w:marLeft w:val="480"/>
          <w:marRight w:val="0"/>
          <w:marTop w:val="0"/>
          <w:marBottom w:val="0"/>
          <w:divBdr>
            <w:top w:val="none" w:sz="0" w:space="0" w:color="auto"/>
            <w:left w:val="none" w:sz="0" w:space="0" w:color="auto"/>
            <w:bottom w:val="none" w:sz="0" w:space="0" w:color="auto"/>
            <w:right w:val="none" w:sz="0" w:space="0" w:color="auto"/>
          </w:divBdr>
        </w:div>
        <w:div w:id="1412002039">
          <w:marLeft w:val="480"/>
          <w:marRight w:val="0"/>
          <w:marTop w:val="0"/>
          <w:marBottom w:val="0"/>
          <w:divBdr>
            <w:top w:val="none" w:sz="0" w:space="0" w:color="auto"/>
            <w:left w:val="none" w:sz="0" w:space="0" w:color="auto"/>
            <w:bottom w:val="none" w:sz="0" w:space="0" w:color="auto"/>
            <w:right w:val="none" w:sz="0" w:space="0" w:color="auto"/>
          </w:divBdr>
        </w:div>
        <w:div w:id="1748729270">
          <w:marLeft w:val="480"/>
          <w:marRight w:val="0"/>
          <w:marTop w:val="0"/>
          <w:marBottom w:val="0"/>
          <w:divBdr>
            <w:top w:val="none" w:sz="0" w:space="0" w:color="auto"/>
            <w:left w:val="none" w:sz="0" w:space="0" w:color="auto"/>
            <w:bottom w:val="none" w:sz="0" w:space="0" w:color="auto"/>
            <w:right w:val="none" w:sz="0" w:space="0" w:color="auto"/>
          </w:divBdr>
        </w:div>
        <w:div w:id="1879735889">
          <w:marLeft w:val="480"/>
          <w:marRight w:val="0"/>
          <w:marTop w:val="0"/>
          <w:marBottom w:val="0"/>
          <w:divBdr>
            <w:top w:val="none" w:sz="0" w:space="0" w:color="auto"/>
            <w:left w:val="none" w:sz="0" w:space="0" w:color="auto"/>
            <w:bottom w:val="none" w:sz="0" w:space="0" w:color="auto"/>
            <w:right w:val="none" w:sz="0" w:space="0" w:color="auto"/>
          </w:divBdr>
        </w:div>
        <w:div w:id="1951161283">
          <w:marLeft w:val="480"/>
          <w:marRight w:val="0"/>
          <w:marTop w:val="0"/>
          <w:marBottom w:val="0"/>
          <w:divBdr>
            <w:top w:val="none" w:sz="0" w:space="0" w:color="auto"/>
            <w:left w:val="none" w:sz="0" w:space="0" w:color="auto"/>
            <w:bottom w:val="none" w:sz="0" w:space="0" w:color="auto"/>
            <w:right w:val="none" w:sz="0" w:space="0" w:color="auto"/>
          </w:divBdr>
        </w:div>
        <w:div w:id="1995792407">
          <w:marLeft w:val="480"/>
          <w:marRight w:val="0"/>
          <w:marTop w:val="0"/>
          <w:marBottom w:val="0"/>
          <w:divBdr>
            <w:top w:val="none" w:sz="0" w:space="0" w:color="auto"/>
            <w:left w:val="none" w:sz="0" w:space="0" w:color="auto"/>
            <w:bottom w:val="none" w:sz="0" w:space="0" w:color="auto"/>
            <w:right w:val="none" w:sz="0" w:space="0" w:color="auto"/>
          </w:divBdr>
        </w:div>
        <w:div w:id="2000187267">
          <w:marLeft w:val="480"/>
          <w:marRight w:val="0"/>
          <w:marTop w:val="0"/>
          <w:marBottom w:val="0"/>
          <w:divBdr>
            <w:top w:val="none" w:sz="0" w:space="0" w:color="auto"/>
            <w:left w:val="none" w:sz="0" w:space="0" w:color="auto"/>
            <w:bottom w:val="none" w:sz="0" w:space="0" w:color="auto"/>
            <w:right w:val="none" w:sz="0" w:space="0" w:color="auto"/>
          </w:divBdr>
        </w:div>
        <w:div w:id="2069649417">
          <w:marLeft w:val="480"/>
          <w:marRight w:val="0"/>
          <w:marTop w:val="0"/>
          <w:marBottom w:val="0"/>
          <w:divBdr>
            <w:top w:val="none" w:sz="0" w:space="0" w:color="auto"/>
            <w:left w:val="none" w:sz="0" w:space="0" w:color="auto"/>
            <w:bottom w:val="none" w:sz="0" w:space="0" w:color="auto"/>
            <w:right w:val="none" w:sz="0" w:space="0" w:color="auto"/>
          </w:divBdr>
        </w:div>
      </w:divsChild>
    </w:div>
    <w:div w:id="1243298676">
      <w:bodyDiv w:val="1"/>
      <w:marLeft w:val="0"/>
      <w:marRight w:val="0"/>
      <w:marTop w:val="0"/>
      <w:marBottom w:val="0"/>
      <w:divBdr>
        <w:top w:val="none" w:sz="0" w:space="0" w:color="auto"/>
        <w:left w:val="none" w:sz="0" w:space="0" w:color="auto"/>
        <w:bottom w:val="none" w:sz="0" w:space="0" w:color="auto"/>
        <w:right w:val="none" w:sz="0" w:space="0" w:color="auto"/>
      </w:divBdr>
    </w:div>
    <w:div w:id="1263803861">
      <w:bodyDiv w:val="1"/>
      <w:marLeft w:val="0"/>
      <w:marRight w:val="0"/>
      <w:marTop w:val="0"/>
      <w:marBottom w:val="0"/>
      <w:divBdr>
        <w:top w:val="none" w:sz="0" w:space="0" w:color="auto"/>
        <w:left w:val="none" w:sz="0" w:space="0" w:color="auto"/>
        <w:bottom w:val="none" w:sz="0" w:space="0" w:color="auto"/>
        <w:right w:val="none" w:sz="0" w:space="0" w:color="auto"/>
      </w:divBdr>
      <w:divsChild>
        <w:div w:id="138235250">
          <w:marLeft w:val="480"/>
          <w:marRight w:val="0"/>
          <w:marTop w:val="0"/>
          <w:marBottom w:val="0"/>
          <w:divBdr>
            <w:top w:val="none" w:sz="0" w:space="0" w:color="auto"/>
            <w:left w:val="none" w:sz="0" w:space="0" w:color="auto"/>
            <w:bottom w:val="none" w:sz="0" w:space="0" w:color="auto"/>
            <w:right w:val="none" w:sz="0" w:space="0" w:color="auto"/>
          </w:divBdr>
        </w:div>
        <w:div w:id="208879190">
          <w:marLeft w:val="480"/>
          <w:marRight w:val="0"/>
          <w:marTop w:val="0"/>
          <w:marBottom w:val="0"/>
          <w:divBdr>
            <w:top w:val="none" w:sz="0" w:space="0" w:color="auto"/>
            <w:left w:val="none" w:sz="0" w:space="0" w:color="auto"/>
            <w:bottom w:val="none" w:sz="0" w:space="0" w:color="auto"/>
            <w:right w:val="none" w:sz="0" w:space="0" w:color="auto"/>
          </w:divBdr>
        </w:div>
        <w:div w:id="210046722">
          <w:marLeft w:val="480"/>
          <w:marRight w:val="0"/>
          <w:marTop w:val="0"/>
          <w:marBottom w:val="0"/>
          <w:divBdr>
            <w:top w:val="none" w:sz="0" w:space="0" w:color="auto"/>
            <w:left w:val="none" w:sz="0" w:space="0" w:color="auto"/>
            <w:bottom w:val="none" w:sz="0" w:space="0" w:color="auto"/>
            <w:right w:val="none" w:sz="0" w:space="0" w:color="auto"/>
          </w:divBdr>
        </w:div>
        <w:div w:id="300421971">
          <w:marLeft w:val="480"/>
          <w:marRight w:val="0"/>
          <w:marTop w:val="0"/>
          <w:marBottom w:val="0"/>
          <w:divBdr>
            <w:top w:val="none" w:sz="0" w:space="0" w:color="auto"/>
            <w:left w:val="none" w:sz="0" w:space="0" w:color="auto"/>
            <w:bottom w:val="none" w:sz="0" w:space="0" w:color="auto"/>
            <w:right w:val="none" w:sz="0" w:space="0" w:color="auto"/>
          </w:divBdr>
        </w:div>
        <w:div w:id="537468595">
          <w:marLeft w:val="480"/>
          <w:marRight w:val="0"/>
          <w:marTop w:val="0"/>
          <w:marBottom w:val="0"/>
          <w:divBdr>
            <w:top w:val="none" w:sz="0" w:space="0" w:color="auto"/>
            <w:left w:val="none" w:sz="0" w:space="0" w:color="auto"/>
            <w:bottom w:val="none" w:sz="0" w:space="0" w:color="auto"/>
            <w:right w:val="none" w:sz="0" w:space="0" w:color="auto"/>
          </w:divBdr>
        </w:div>
        <w:div w:id="762798529">
          <w:marLeft w:val="480"/>
          <w:marRight w:val="0"/>
          <w:marTop w:val="0"/>
          <w:marBottom w:val="0"/>
          <w:divBdr>
            <w:top w:val="none" w:sz="0" w:space="0" w:color="auto"/>
            <w:left w:val="none" w:sz="0" w:space="0" w:color="auto"/>
            <w:bottom w:val="none" w:sz="0" w:space="0" w:color="auto"/>
            <w:right w:val="none" w:sz="0" w:space="0" w:color="auto"/>
          </w:divBdr>
        </w:div>
        <w:div w:id="1028407727">
          <w:marLeft w:val="480"/>
          <w:marRight w:val="0"/>
          <w:marTop w:val="0"/>
          <w:marBottom w:val="0"/>
          <w:divBdr>
            <w:top w:val="none" w:sz="0" w:space="0" w:color="auto"/>
            <w:left w:val="none" w:sz="0" w:space="0" w:color="auto"/>
            <w:bottom w:val="none" w:sz="0" w:space="0" w:color="auto"/>
            <w:right w:val="none" w:sz="0" w:space="0" w:color="auto"/>
          </w:divBdr>
        </w:div>
        <w:div w:id="1062606045">
          <w:marLeft w:val="480"/>
          <w:marRight w:val="0"/>
          <w:marTop w:val="0"/>
          <w:marBottom w:val="0"/>
          <w:divBdr>
            <w:top w:val="none" w:sz="0" w:space="0" w:color="auto"/>
            <w:left w:val="none" w:sz="0" w:space="0" w:color="auto"/>
            <w:bottom w:val="none" w:sz="0" w:space="0" w:color="auto"/>
            <w:right w:val="none" w:sz="0" w:space="0" w:color="auto"/>
          </w:divBdr>
        </w:div>
        <w:div w:id="1229069715">
          <w:marLeft w:val="480"/>
          <w:marRight w:val="0"/>
          <w:marTop w:val="0"/>
          <w:marBottom w:val="0"/>
          <w:divBdr>
            <w:top w:val="none" w:sz="0" w:space="0" w:color="auto"/>
            <w:left w:val="none" w:sz="0" w:space="0" w:color="auto"/>
            <w:bottom w:val="none" w:sz="0" w:space="0" w:color="auto"/>
            <w:right w:val="none" w:sz="0" w:space="0" w:color="auto"/>
          </w:divBdr>
        </w:div>
        <w:div w:id="1332834549">
          <w:marLeft w:val="480"/>
          <w:marRight w:val="0"/>
          <w:marTop w:val="0"/>
          <w:marBottom w:val="0"/>
          <w:divBdr>
            <w:top w:val="none" w:sz="0" w:space="0" w:color="auto"/>
            <w:left w:val="none" w:sz="0" w:space="0" w:color="auto"/>
            <w:bottom w:val="none" w:sz="0" w:space="0" w:color="auto"/>
            <w:right w:val="none" w:sz="0" w:space="0" w:color="auto"/>
          </w:divBdr>
        </w:div>
        <w:div w:id="1336029475">
          <w:marLeft w:val="480"/>
          <w:marRight w:val="0"/>
          <w:marTop w:val="0"/>
          <w:marBottom w:val="0"/>
          <w:divBdr>
            <w:top w:val="none" w:sz="0" w:space="0" w:color="auto"/>
            <w:left w:val="none" w:sz="0" w:space="0" w:color="auto"/>
            <w:bottom w:val="none" w:sz="0" w:space="0" w:color="auto"/>
            <w:right w:val="none" w:sz="0" w:space="0" w:color="auto"/>
          </w:divBdr>
        </w:div>
        <w:div w:id="1506241233">
          <w:marLeft w:val="480"/>
          <w:marRight w:val="0"/>
          <w:marTop w:val="0"/>
          <w:marBottom w:val="0"/>
          <w:divBdr>
            <w:top w:val="none" w:sz="0" w:space="0" w:color="auto"/>
            <w:left w:val="none" w:sz="0" w:space="0" w:color="auto"/>
            <w:bottom w:val="none" w:sz="0" w:space="0" w:color="auto"/>
            <w:right w:val="none" w:sz="0" w:space="0" w:color="auto"/>
          </w:divBdr>
        </w:div>
        <w:div w:id="1860044676">
          <w:marLeft w:val="480"/>
          <w:marRight w:val="0"/>
          <w:marTop w:val="0"/>
          <w:marBottom w:val="0"/>
          <w:divBdr>
            <w:top w:val="none" w:sz="0" w:space="0" w:color="auto"/>
            <w:left w:val="none" w:sz="0" w:space="0" w:color="auto"/>
            <w:bottom w:val="none" w:sz="0" w:space="0" w:color="auto"/>
            <w:right w:val="none" w:sz="0" w:space="0" w:color="auto"/>
          </w:divBdr>
        </w:div>
        <w:div w:id="2027751732">
          <w:marLeft w:val="480"/>
          <w:marRight w:val="0"/>
          <w:marTop w:val="0"/>
          <w:marBottom w:val="0"/>
          <w:divBdr>
            <w:top w:val="none" w:sz="0" w:space="0" w:color="auto"/>
            <w:left w:val="none" w:sz="0" w:space="0" w:color="auto"/>
            <w:bottom w:val="none" w:sz="0" w:space="0" w:color="auto"/>
            <w:right w:val="none" w:sz="0" w:space="0" w:color="auto"/>
          </w:divBdr>
        </w:div>
        <w:div w:id="2145388203">
          <w:marLeft w:val="480"/>
          <w:marRight w:val="0"/>
          <w:marTop w:val="0"/>
          <w:marBottom w:val="0"/>
          <w:divBdr>
            <w:top w:val="none" w:sz="0" w:space="0" w:color="auto"/>
            <w:left w:val="none" w:sz="0" w:space="0" w:color="auto"/>
            <w:bottom w:val="none" w:sz="0" w:space="0" w:color="auto"/>
            <w:right w:val="none" w:sz="0" w:space="0" w:color="auto"/>
          </w:divBdr>
        </w:div>
      </w:divsChild>
    </w:div>
    <w:div w:id="1298611811">
      <w:bodyDiv w:val="1"/>
      <w:marLeft w:val="0"/>
      <w:marRight w:val="0"/>
      <w:marTop w:val="0"/>
      <w:marBottom w:val="0"/>
      <w:divBdr>
        <w:top w:val="none" w:sz="0" w:space="0" w:color="auto"/>
        <w:left w:val="none" w:sz="0" w:space="0" w:color="auto"/>
        <w:bottom w:val="none" w:sz="0" w:space="0" w:color="auto"/>
        <w:right w:val="none" w:sz="0" w:space="0" w:color="auto"/>
      </w:divBdr>
      <w:divsChild>
        <w:div w:id="20976403">
          <w:marLeft w:val="480"/>
          <w:marRight w:val="0"/>
          <w:marTop w:val="0"/>
          <w:marBottom w:val="0"/>
          <w:divBdr>
            <w:top w:val="none" w:sz="0" w:space="0" w:color="auto"/>
            <w:left w:val="none" w:sz="0" w:space="0" w:color="auto"/>
            <w:bottom w:val="none" w:sz="0" w:space="0" w:color="auto"/>
            <w:right w:val="none" w:sz="0" w:space="0" w:color="auto"/>
          </w:divBdr>
        </w:div>
        <w:div w:id="287395805">
          <w:marLeft w:val="480"/>
          <w:marRight w:val="0"/>
          <w:marTop w:val="0"/>
          <w:marBottom w:val="0"/>
          <w:divBdr>
            <w:top w:val="none" w:sz="0" w:space="0" w:color="auto"/>
            <w:left w:val="none" w:sz="0" w:space="0" w:color="auto"/>
            <w:bottom w:val="none" w:sz="0" w:space="0" w:color="auto"/>
            <w:right w:val="none" w:sz="0" w:space="0" w:color="auto"/>
          </w:divBdr>
        </w:div>
        <w:div w:id="448666357">
          <w:marLeft w:val="480"/>
          <w:marRight w:val="0"/>
          <w:marTop w:val="0"/>
          <w:marBottom w:val="0"/>
          <w:divBdr>
            <w:top w:val="none" w:sz="0" w:space="0" w:color="auto"/>
            <w:left w:val="none" w:sz="0" w:space="0" w:color="auto"/>
            <w:bottom w:val="none" w:sz="0" w:space="0" w:color="auto"/>
            <w:right w:val="none" w:sz="0" w:space="0" w:color="auto"/>
          </w:divBdr>
        </w:div>
        <w:div w:id="466244096">
          <w:marLeft w:val="480"/>
          <w:marRight w:val="0"/>
          <w:marTop w:val="0"/>
          <w:marBottom w:val="0"/>
          <w:divBdr>
            <w:top w:val="none" w:sz="0" w:space="0" w:color="auto"/>
            <w:left w:val="none" w:sz="0" w:space="0" w:color="auto"/>
            <w:bottom w:val="none" w:sz="0" w:space="0" w:color="auto"/>
            <w:right w:val="none" w:sz="0" w:space="0" w:color="auto"/>
          </w:divBdr>
        </w:div>
        <w:div w:id="681204850">
          <w:marLeft w:val="480"/>
          <w:marRight w:val="0"/>
          <w:marTop w:val="0"/>
          <w:marBottom w:val="0"/>
          <w:divBdr>
            <w:top w:val="none" w:sz="0" w:space="0" w:color="auto"/>
            <w:left w:val="none" w:sz="0" w:space="0" w:color="auto"/>
            <w:bottom w:val="none" w:sz="0" w:space="0" w:color="auto"/>
            <w:right w:val="none" w:sz="0" w:space="0" w:color="auto"/>
          </w:divBdr>
        </w:div>
        <w:div w:id="710032098">
          <w:marLeft w:val="480"/>
          <w:marRight w:val="0"/>
          <w:marTop w:val="0"/>
          <w:marBottom w:val="0"/>
          <w:divBdr>
            <w:top w:val="none" w:sz="0" w:space="0" w:color="auto"/>
            <w:left w:val="none" w:sz="0" w:space="0" w:color="auto"/>
            <w:bottom w:val="none" w:sz="0" w:space="0" w:color="auto"/>
            <w:right w:val="none" w:sz="0" w:space="0" w:color="auto"/>
          </w:divBdr>
        </w:div>
        <w:div w:id="799686101">
          <w:marLeft w:val="480"/>
          <w:marRight w:val="0"/>
          <w:marTop w:val="0"/>
          <w:marBottom w:val="0"/>
          <w:divBdr>
            <w:top w:val="none" w:sz="0" w:space="0" w:color="auto"/>
            <w:left w:val="none" w:sz="0" w:space="0" w:color="auto"/>
            <w:bottom w:val="none" w:sz="0" w:space="0" w:color="auto"/>
            <w:right w:val="none" w:sz="0" w:space="0" w:color="auto"/>
          </w:divBdr>
        </w:div>
        <w:div w:id="902983776">
          <w:marLeft w:val="480"/>
          <w:marRight w:val="0"/>
          <w:marTop w:val="0"/>
          <w:marBottom w:val="0"/>
          <w:divBdr>
            <w:top w:val="none" w:sz="0" w:space="0" w:color="auto"/>
            <w:left w:val="none" w:sz="0" w:space="0" w:color="auto"/>
            <w:bottom w:val="none" w:sz="0" w:space="0" w:color="auto"/>
            <w:right w:val="none" w:sz="0" w:space="0" w:color="auto"/>
          </w:divBdr>
        </w:div>
        <w:div w:id="919605131">
          <w:marLeft w:val="480"/>
          <w:marRight w:val="0"/>
          <w:marTop w:val="0"/>
          <w:marBottom w:val="0"/>
          <w:divBdr>
            <w:top w:val="none" w:sz="0" w:space="0" w:color="auto"/>
            <w:left w:val="none" w:sz="0" w:space="0" w:color="auto"/>
            <w:bottom w:val="none" w:sz="0" w:space="0" w:color="auto"/>
            <w:right w:val="none" w:sz="0" w:space="0" w:color="auto"/>
          </w:divBdr>
        </w:div>
        <w:div w:id="1076976340">
          <w:marLeft w:val="480"/>
          <w:marRight w:val="0"/>
          <w:marTop w:val="0"/>
          <w:marBottom w:val="0"/>
          <w:divBdr>
            <w:top w:val="none" w:sz="0" w:space="0" w:color="auto"/>
            <w:left w:val="none" w:sz="0" w:space="0" w:color="auto"/>
            <w:bottom w:val="none" w:sz="0" w:space="0" w:color="auto"/>
            <w:right w:val="none" w:sz="0" w:space="0" w:color="auto"/>
          </w:divBdr>
        </w:div>
        <w:div w:id="1122576845">
          <w:marLeft w:val="480"/>
          <w:marRight w:val="0"/>
          <w:marTop w:val="0"/>
          <w:marBottom w:val="0"/>
          <w:divBdr>
            <w:top w:val="none" w:sz="0" w:space="0" w:color="auto"/>
            <w:left w:val="none" w:sz="0" w:space="0" w:color="auto"/>
            <w:bottom w:val="none" w:sz="0" w:space="0" w:color="auto"/>
            <w:right w:val="none" w:sz="0" w:space="0" w:color="auto"/>
          </w:divBdr>
        </w:div>
        <w:div w:id="1327319337">
          <w:marLeft w:val="480"/>
          <w:marRight w:val="0"/>
          <w:marTop w:val="0"/>
          <w:marBottom w:val="0"/>
          <w:divBdr>
            <w:top w:val="none" w:sz="0" w:space="0" w:color="auto"/>
            <w:left w:val="none" w:sz="0" w:space="0" w:color="auto"/>
            <w:bottom w:val="none" w:sz="0" w:space="0" w:color="auto"/>
            <w:right w:val="none" w:sz="0" w:space="0" w:color="auto"/>
          </w:divBdr>
        </w:div>
        <w:div w:id="1794978462">
          <w:marLeft w:val="480"/>
          <w:marRight w:val="0"/>
          <w:marTop w:val="0"/>
          <w:marBottom w:val="0"/>
          <w:divBdr>
            <w:top w:val="none" w:sz="0" w:space="0" w:color="auto"/>
            <w:left w:val="none" w:sz="0" w:space="0" w:color="auto"/>
            <w:bottom w:val="none" w:sz="0" w:space="0" w:color="auto"/>
            <w:right w:val="none" w:sz="0" w:space="0" w:color="auto"/>
          </w:divBdr>
        </w:div>
        <w:div w:id="1975062757">
          <w:marLeft w:val="480"/>
          <w:marRight w:val="0"/>
          <w:marTop w:val="0"/>
          <w:marBottom w:val="0"/>
          <w:divBdr>
            <w:top w:val="none" w:sz="0" w:space="0" w:color="auto"/>
            <w:left w:val="none" w:sz="0" w:space="0" w:color="auto"/>
            <w:bottom w:val="none" w:sz="0" w:space="0" w:color="auto"/>
            <w:right w:val="none" w:sz="0" w:space="0" w:color="auto"/>
          </w:divBdr>
        </w:div>
        <w:div w:id="2010251692">
          <w:marLeft w:val="480"/>
          <w:marRight w:val="0"/>
          <w:marTop w:val="0"/>
          <w:marBottom w:val="0"/>
          <w:divBdr>
            <w:top w:val="none" w:sz="0" w:space="0" w:color="auto"/>
            <w:left w:val="none" w:sz="0" w:space="0" w:color="auto"/>
            <w:bottom w:val="none" w:sz="0" w:space="0" w:color="auto"/>
            <w:right w:val="none" w:sz="0" w:space="0" w:color="auto"/>
          </w:divBdr>
        </w:div>
      </w:divsChild>
    </w:div>
    <w:div w:id="1315715830">
      <w:bodyDiv w:val="1"/>
      <w:marLeft w:val="0"/>
      <w:marRight w:val="0"/>
      <w:marTop w:val="0"/>
      <w:marBottom w:val="0"/>
      <w:divBdr>
        <w:top w:val="none" w:sz="0" w:space="0" w:color="auto"/>
        <w:left w:val="none" w:sz="0" w:space="0" w:color="auto"/>
        <w:bottom w:val="none" w:sz="0" w:space="0" w:color="auto"/>
        <w:right w:val="none" w:sz="0" w:space="0" w:color="auto"/>
      </w:divBdr>
    </w:div>
    <w:div w:id="1368991439">
      <w:bodyDiv w:val="1"/>
      <w:marLeft w:val="0"/>
      <w:marRight w:val="0"/>
      <w:marTop w:val="0"/>
      <w:marBottom w:val="0"/>
      <w:divBdr>
        <w:top w:val="none" w:sz="0" w:space="0" w:color="auto"/>
        <w:left w:val="none" w:sz="0" w:space="0" w:color="auto"/>
        <w:bottom w:val="none" w:sz="0" w:space="0" w:color="auto"/>
        <w:right w:val="none" w:sz="0" w:space="0" w:color="auto"/>
      </w:divBdr>
      <w:divsChild>
        <w:div w:id="66416923">
          <w:marLeft w:val="480"/>
          <w:marRight w:val="0"/>
          <w:marTop w:val="0"/>
          <w:marBottom w:val="0"/>
          <w:divBdr>
            <w:top w:val="none" w:sz="0" w:space="0" w:color="auto"/>
            <w:left w:val="none" w:sz="0" w:space="0" w:color="auto"/>
            <w:bottom w:val="none" w:sz="0" w:space="0" w:color="auto"/>
            <w:right w:val="none" w:sz="0" w:space="0" w:color="auto"/>
          </w:divBdr>
        </w:div>
        <w:div w:id="186723747">
          <w:marLeft w:val="480"/>
          <w:marRight w:val="0"/>
          <w:marTop w:val="0"/>
          <w:marBottom w:val="0"/>
          <w:divBdr>
            <w:top w:val="none" w:sz="0" w:space="0" w:color="auto"/>
            <w:left w:val="none" w:sz="0" w:space="0" w:color="auto"/>
            <w:bottom w:val="none" w:sz="0" w:space="0" w:color="auto"/>
            <w:right w:val="none" w:sz="0" w:space="0" w:color="auto"/>
          </w:divBdr>
        </w:div>
        <w:div w:id="221796371">
          <w:marLeft w:val="480"/>
          <w:marRight w:val="0"/>
          <w:marTop w:val="0"/>
          <w:marBottom w:val="0"/>
          <w:divBdr>
            <w:top w:val="none" w:sz="0" w:space="0" w:color="auto"/>
            <w:left w:val="none" w:sz="0" w:space="0" w:color="auto"/>
            <w:bottom w:val="none" w:sz="0" w:space="0" w:color="auto"/>
            <w:right w:val="none" w:sz="0" w:space="0" w:color="auto"/>
          </w:divBdr>
        </w:div>
        <w:div w:id="243104390">
          <w:marLeft w:val="480"/>
          <w:marRight w:val="0"/>
          <w:marTop w:val="0"/>
          <w:marBottom w:val="0"/>
          <w:divBdr>
            <w:top w:val="none" w:sz="0" w:space="0" w:color="auto"/>
            <w:left w:val="none" w:sz="0" w:space="0" w:color="auto"/>
            <w:bottom w:val="none" w:sz="0" w:space="0" w:color="auto"/>
            <w:right w:val="none" w:sz="0" w:space="0" w:color="auto"/>
          </w:divBdr>
        </w:div>
        <w:div w:id="271595138">
          <w:marLeft w:val="480"/>
          <w:marRight w:val="0"/>
          <w:marTop w:val="0"/>
          <w:marBottom w:val="0"/>
          <w:divBdr>
            <w:top w:val="none" w:sz="0" w:space="0" w:color="auto"/>
            <w:left w:val="none" w:sz="0" w:space="0" w:color="auto"/>
            <w:bottom w:val="none" w:sz="0" w:space="0" w:color="auto"/>
            <w:right w:val="none" w:sz="0" w:space="0" w:color="auto"/>
          </w:divBdr>
        </w:div>
        <w:div w:id="439377240">
          <w:marLeft w:val="480"/>
          <w:marRight w:val="0"/>
          <w:marTop w:val="0"/>
          <w:marBottom w:val="0"/>
          <w:divBdr>
            <w:top w:val="none" w:sz="0" w:space="0" w:color="auto"/>
            <w:left w:val="none" w:sz="0" w:space="0" w:color="auto"/>
            <w:bottom w:val="none" w:sz="0" w:space="0" w:color="auto"/>
            <w:right w:val="none" w:sz="0" w:space="0" w:color="auto"/>
          </w:divBdr>
        </w:div>
        <w:div w:id="743799276">
          <w:marLeft w:val="480"/>
          <w:marRight w:val="0"/>
          <w:marTop w:val="0"/>
          <w:marBottom w:val="0"/>
          <w:divBdr>
            <w:top w:val="none" w:sz="0" w:space="0" w:color="auto"/>
            <w:left w:val="none" w:sz="0" w:space="0" w:color="auto"/>
            <w:bottom w:val="none" w:sz="0" w:space="0" w:color="auto"/>
            <w:right w:val="none" w:sz="0" w:space="0" w:color="auto"/>
          </w:divBdr>
        </w:div>
        <w:div w:id="969627073">
          <w:marLeft w:val="480"/>
          <w:marRight w:val="0"/>
          <w:marTop w:val="0"/>
          <w:marBottom w:val="0"/>
          <w:divBdr>
            <w:top w:val="none" w:sz="0" w:space="0" w:color="auto"/>
            <w:left w:val="none" w:sz="0" w:space="0" w:color="auto"/>
            <w:bottom w:val="none" w:sz="0" w:space="0" w:color="auto"/>
            <w:right w:val="none" w:sz="0" w:space="0" w:color="auto"/>
          </w:divBdr>
        </w:div>
        <w:div w:id="1031882016">
          <w:marLeft w:val="480"/>
          <w:marRight w:val="0"/>
          <w:marTop w:val="0"/>
          <w:marBottom w:val="0"/>
          <w:divBdr>
            <w:top w:val="none" w:sz="0" w:space="0" w:color="auto"/>
            <w:left w:val="none" w:sz="0" w:space="0" w:color="auto"/>
            <w:bottom w:val="none" w:sz="0" w:space="0" w:color="auto"/>
            <w:right w:val="none" w:sz="0" w:space="0" w:color="auto"/>
          </w:divBdr>
        </w:div>
        <w:div w:id="1130594054">
          <w:marLeft w:val="480"/>
          <w:marRight w:val="0"/>
          <w:marTop w:val="0"/>
          <w:marBottom w:val="0"/>
          <w:divBdr>
            <w:top w:val="none" w:sz="0" w:space="0" w:color="auto"/>
            <w:left w:val="none" w:sz="0" w:space="0" w:color="auto"/>
            <w:bottom w:val="none" w:sz="0" w:space="0" w:color="auto"/>
            <w:right w:val="none" w:sz="0" w:space="0" w:color="auto"/>
          </w:divBdr>
        </w:div>
        <w:div w:id="1538929221">
          <w:marLeft w:val="480"/>
          <w:marRight w:val="0"/>
          <w:marTop w:val="0"/>
          <w:marBottom w:val="0"/>
          <w:divBdr>
            <w:top w:val="none" w:sz="0" w:space="0" w:color="auto"/>
            <w:left w:val="none" w:sz="0" w:space="0" w:color="auto"/>
            <w:bottom w:val="none" w:sz="0" w:space="0" w:color="auto"/>
            <w:right w:val="none" w:sz="0" w:space="0" w:color="auto"/>
          </w:divBdr>
        </w:div>
        <w:div w:id="1689285935">
          <w:marLeft w:val="480"/>
          <w:marRight w:val="0"/>
          <w:marTop w:val="0"/>
          <w:marBottom w:val="0"/>
          <w:divBdr>
            <w:top w:val="none" w:sz="0" w:space="0" w:color="auto"/>
            <w:left w:val="none" w:sz="0" w:space="0" w:color="auto"/>
            <w:bottom w:val="none" w:sz="0" w:space="0" w:color="auto"/>
            <w:right w:val="none" w:sz="0" w:space="0" w:color="auto"/>
          </w:divBdr>
        </w:div>
        <w:div w:id="1796751979">
          <w:marLeft w:val="480"/>
          <w:marRight w:val="0"/>
          <w:marTop w:val="0"/>
          <w:marBottom w:val="0"/>
          <w:divBdr>
            <w:top w:val="none" w:sz="0" w:space="0" w:color="auto"/>
            <w:left w:val="none" w:sz="0" w:space="0" w:color="auto"/>
            <w:bottom w:val="none" w:sz="0" w:space="0" w:color="auto"/>
            <w:right w:val="none" w:sz="0" w:space="0" w:color="auto"/>
          </w:divBdr>
        </w:div>
        <w:div w:id="1816683861">
          <w:marLeft w:val="480"/>
          <w:marRight w:val="0"/>
          <w:marTop w:val="0"/>
          <w:marBottom w:val="0"/>
          <w:divBdr>
            <w:top w:val="none" w:sz="0" w:space="0" w:color="auto"/>
            <w:left w:val="none" w:sz="0" w:space="0" w:color="auto"/>
            <w:bottom w:val="none" w:sz="0" w:space="0" w:color="auto"/>
            <w:right w:val="none" w:sz="0" w:space="0" w:color="auto"/>
          </w:divBdr>
        </w:div>
        <w:div w:id="2018269837">
          <w:marLeft w:val="480"/>
          <w:marRight w:val="0"/>
          <w:marTop w:val="0"/>
          <w:marBottom w:val="0"/>
          <w:divBdr>
            <w:top w:val="none" w:sz="0" w:space="0" w:color="auto"/>
            <w:left w:val="none" w:sz="0" w:space="0" w:color="auto"/>
            <w:bottom w:val="none" w:sz="0" w:space="0" w:color="auto"/>
            <w:right w:val="none" w:sz="0" w:space="0" w:color="auto"/>
          </w:divBdr>
        </w:div>
      </w:divsChild>
    </w:div>
    <w:div w:id="1510290218">
      <w:bodyDiv w:val="1"/>
      <w:marLeft w:val="0"/>
      <w:marRight w:val="0"/>
      <w:marTop w:val="0"/>
      <w:marBottom w:val="0"/>
      <w:divBdr>
        <w:top w:val="none" w:sz="0" w:space="0" w:color="auto"/>
        <w:left w:val="none" w:sz="0" w:space="0" w:color="auto"/>
        <w:bottom w:val="none" w:sz="0" w:space="0" w:color="auto"/>
        <w:right w:val="none" w:sz="0" w:space="0" w:color="auto"/>
      </w:divBdr>
      <w:divsChild>
        <w:div w:id="71322394">
          <w:marLeft w:val="480"/>
          <w:marRight w:val="0"/>
          <w:marTop w:val="0"/>
          <w:marBottom w:val="0"/>
          <w:divBdr>
            <w:top w:val="none" w:sz="0" w:space="0" w:color="auto"/>
            <w:left w:val="none" w:sz="0" w:space="0" w:color="auto"/>
            <w:bottom w:val="none" w:sz="0" w:space="0" w:color="auto"/>
            <w:right w:val="none" w:sz="0" w:space="0" w:color="auto"/>
          </w:divBdr>
        </w:div>
        <w:div w:id="119880281">
          <w:marLeft w:val="480"/>
          <w:marRight w:val="0"/>
          <w:marTop w:val="0"/>
          <w:marBottom w:val="0"/>
          <w:divBdr>
            <w:top w:val="none" w:sz="0" w:space="0" w:color="auto"/>
            <w:left w:val="none" w:sz="0" w:space="0" w:color="auto"/>
            <w:bottom w:val="none" w:sz="0" w:space="0" w:color="auto"/>
            <w:right w:val="none" w:sz="0" w:space="0" w:color="auto"/>
          </w:divBdr>
        </w:div>
        <w:div w:id="128980926">
          <w:marLeft w:val="480"/>
          <w:marRight w:val="0"/>
          <w:marTop w:val="0"/>
          <w:marBottom w:val="0"/>
          <w:divBdr>
            <w:top w:val="none" w:sz="0" w:space="0" w:color="auto"/>
            <w:left w:val="none" w:sz="0" w:space="0" w:color="auto"/>
            <w:bottom w:val="none" w:sz="0" w:space="0" w:color="auto"/>
            <w:right w:val="none" w:sz="0" w:space="0" w:color="auto"/>
          </w:divBdr>
        </w:div>
        <w:div w:id="172956961">
          <w:marLeft w:val="480"/>
          <w:marRight w:val="0"/>
          <w:marTop w:val="0"/>
          <w:marBottom w:val="0"/>
          <w:divBdr>
            <w:top w:val="none" w:sz="0" w:space="0" w:color="auto"/>
            <w:left w:val="none" w:sz="0" w:space="0" w:color="auto"/>
            <w:bottom w:val="none" w:sz="0" w:space="0" w:color="auto"/>
            <w:right w:val="none" w:sz="0" w:space="0" w:color="auto"/>
          </w:divBdr>
        </w:div>
        <w:div w:id="258029705">
          <w:marLeft w:val="480"/>
          <w:marRight w:val="0"/>
          <w:marTop w:val="0"/>
          <w:marBottom w:val="0"/>
          <w:divBdr>
            <w:top w:val="none" w:sz="0" w:space="0" w:color="auto"/>
            <w:left w:val="none" w:sz="0" w:space="0" w:color="auto"/>
            <w:bottom w:val="none" w:sz="0" w:space="0" w:color="auto"/>
            <w:right w:val="none" w:sz="0" w:space="0" w:color="auto"/>
          </w:divBdr>
        </w:div>
        <w:div w:id="375013449">
          <w:marLeft w:val="480"/>
          <w:marRight w:val="0"/>
          <w:marTop w:val="0"/>
          <w:marBottom w:val="0"/>
          <w:divBdr>
            <w:top w:val="none" w:sz="0" w:space="0" w:color="auto"/>
            <w:left w:val="none" w:sz="0" w:space="0" w:color="auto"/>
            <w:bottom w:val="none" w:sz="0" w:space="0" w:color="auto"/>
            <w:right w:val="none" w:sz="0" w:space="0" w:color="auto"/>
          </w:divBdr>
        </w:div>
        <w:div w:id="469707681">
          <w:marLeft w:val="480"/>
          <w:marRight w:val="0"/>
          <w:marTop w:val="0"/>
          <w:marBottom w:val="0"/>
          <w:divBdr>
            <w:top w:val="none" w:sz="0" w:space="0" w:color="auto"/>
            <w:left w:val="none" w:sz="0" w:space="0" w:color="auto"/>
            <w:bottom w:val="none" w:sz="0" w:space="0" w:color="auto"/>
            <w:right w:val="none" w:sz="0" w:space="0" w:color="auto"/>
          </w:divBdr>
        </w:div>
        <w:div w:id="503010310">
          <w:marLeft w:val="480"/>
          <w:marRight w:val="0"/>
          <w:marTop w:val="0"/>
          <w:marBottom w:val="0"/>
          <w:divBdr>
            <w:top w:val="none" w:sz="0" w:space="0" w:color="auto"/>
            <w:left w:val="none" w:sz="0" w:space="0" w:color="auto"/>
            <w:bottom w:val="none" w:sz="0" w:space="0" w:color="auto"/>
            <w:right w:val="none" w:sz="0" w:space="0" w:color="auto"/>
          </w:divBdr>
        </w:div>
        <w:div w:id="860626926">
          <w:marLeft w:val="480"/>
          <w:marRight w:val="0"/>
          <w:marTop w:val="0"/>
          <w:marBottom w:val="0"/>
          <w:divBdr>
            <w:top w:val="none" w:sz="0" w:space="0" w:color="auto"/>
            <w:left w:val="none" w:sz="0" w:space="0" w:color="auto"/>
            <w:bottom w:val="none" w:sz="0" w:space="0" w:color="auto"/>
            <w:right w:val="none" w:sz="0" w:space="0" w:color="auto"/>
          </w:divBdr>
        </w:div>
        <w:div w:id="983972152">
          <w:marLeft w:val="480"/>
          <w:marRight w:val="0"/>
          <w:marTop w:val="0"/>
          <w:marBottom w:val="0"/>
          <w:divBdr>
            <w:top w:val="none" w:sz="0" w:space="0" w:color="auto"/>
            <w:left w:val="none" w:sz="0" w:space="0" w:color="auto"/>
            <w:bottom w:val="none" w:sz="0" w:space="0" w:color="auto"/>
            <w:right w:val="none" w:sz="0" w:space="0" w:color="auto"/>
          </w:divBdr>
        </w:div>
        <w:div w:id="1078012917">
          <w:marLeft w:val="480"/>
          <w:marRight w:val="0"/>
          <w:marTop w:val="0"/>
          <w:marBottom w:val="0"/>
          <w:divBdr>
            <w:top w:val="none" w:sz="0" w:space="0" w:color="auto"/>
            <w:left w:val="none" w:sz="0" w:space="0" w:color="auto"/>
            <w:bottom w:val="none" w:sz="0" w:space="0" w:color="auto"/>
            <w:right w:val="none" w:sz="0" w:space="0" w:color="auto"/>
          </w:divBdr>
        </w:div>
        <w:div w:id="1259482429">
          <w:marLeft w:val="480"/>
          <w:marRight w:val="0"/>
          <w:marTop w:val="0"/>
          <w:marBottom w:val="0"/>
          <w:divBdr>
            <w:top w:val="none" w:sz="0" w:space="0" w:color="auto"/>
            <w:left w:val="none" w:sz="0" w:space="0" w:color="auto"/>
            <w:bottom w:val="none" w:sz="0" w:space="0" w:color="auto"/>
            <w:right w:val="none" w:sz="0" w:space="0" w:color="auto"/>
          </w:divBdr>
        </w:div>
        <w:div w:id="1493257040">
          <w:marLeft w:val="480"/>
          <w:marRight w:val="0"/>
          <w:marTop w:val="0"/>
          <w:marBottom w:val="0"/>
          <w:divBdr>
            <w:top w:val="none" w:sz="0" w:space="0" w:color="auto"/>
            <w:left w:val="none" w:sz="0" w:space="0" w:color="auto"/>
            <w:bottom w:val="none" w:sz="0" w:space="0" w:color="auto"/>
            <w:right w:val="none" w:sz="0" w:space="0" w:color="auto"/>
          </w:divBdr>
        </w:div>
        <w:div w:id="1505512637">
          <w:marLeft w:val="480"/>
          <w:marRight w:val="0"/>
          <w:marTop w:val="0"/>
          <w:marBottom w:val="0"/>
          <w:divBdr>
            <w:top w:val="none" w:sz="0" w:space="0" w:color="auto"/>
            <w:left w:val="none" w:sz="0" w:space="0" w:color="auto"/>
            <w:bottom w:val="none" w:sz="0" w:space="0" w:color="auto"/>
            <w:right w:val="none" w:sz="0" w:space="0" w:color="auto"/>
          </w:divBdr>
        </w:div>
        <w:div w:id="1789813151">
          <w:marLeft w:val="480"/>
          <w:marRight w:val="0"/>
          <w:marTop w:val="0"/>
          <w:marBottom w:val="0"/>
          <w:divBdr>
            <w:top w:val="none" w:sz="0" w:space="0" w:color="auto"/>
            <w:left w:val="none" w:sz="0" w:space="0" w:color="auto"/>
            <w:bottom w:val="none" w:sz="0" w:space="0" w:color="auto"/>
            <w:right w:val="none" w:sz="0" w:space="0" w:color="auto"/>
          </w:divBdr>
        </w:div>
      </w:divsChild>
    </w:div>
    <w:div w:id="1539465245">
      <w:bodyDiv w:val="1"/>
      <w:marLeft w:val="0"/>
      <w:marRight w:val="0"/>
      <w:marTop w:val="0"/>
      <w:marBottom w:val="0"/>
      <w:divBdr>
        <w:top w:val="none" w:sz="0" w:space="0" w:color="auto"/>
        <w:left w:val="none" w:sz="0" w:space="0" w:color="auto"/>
        <w:bottom w:val="none" w:sz="0" w:space="0" w:color="auto"/>
        <w:right w:val="none" w:sz="0" w:space="0" w:color="auto"/>
      </w:divBdr>
    </w:div>
    <w:div w:id="1563368010">
      <w:bodyDiv w:val="1"/>
      <w:marLeft w:val="0"/>
      <w:marRight w:val="0"/>
      <w:marTop w:val="0"/>
      <w:marBottom w:val="0"/>
      <w:divBdr>
        <w:top w:val="none" w:sz="0" w:space="0" w:color="auto"/>
        <w:left w:val="none" w:sz="0" w:space="0" w:color="auto"/>
        <w:bottom w:val="none" w:sz="0" w:space="0" w:color="auto"/>
        <w:right w:val="none" w:sz="0" w:space="0" w:color="auto"/>
      </w:divBdr>
      <w:divsChild>
        <w:div w:id="159540793">
          <w:marLeft w:val="480"/>
          <w:marRight w:val="0"/>
          <w:marTop w:val="0"/>
          <w:marBottom w:val="0"/>
          <w:divBdr>
            <w:top w:val="none" w:sz="0" w:space="0" w:color="auto"/>
            <w:left w:val="none" w:sz="0" w:space="0" w:color="auto"/>
            <w:bottom w:val="none" w:sz="0" w:space="0" w:color="auto"/>
            <w:right w:val="none" w:sz="0" w:space="0" w:color="auto"/>
          </w:divBdr>
        </w:div>
        <w:div w:id="324557541">
          <w:marLeft w:val="480"/>
          <w:marRight w:val="0"/>
          <w:marTop w:val="0"/>
          <w:marBottom w:val="0"/>
          <w:divBdr>
            <w:top w:val="none" w:sz="0" w:space="0" w:color="auto"/>
            <w:left w:val="none" w:sz="0" w:space="0" w:color="auto"/>
            <w:bottom w:val="none" w:sz="0" w:space="0" w:color="auto"/>
            <w:right w:val="none" w:sz="0" w:space="0" w:color="auto"/>
          </w:divBdr>
        </w:div>
        <w:div w:id="592591312">
          <w:marLeft w:val="480"/>
          <w:marRight w:val="0"/>
          <w:marTop w:val="0"/>
          <w:marBottom w:val="0"/>
          <w:divBdr>
            <w:top w:val="none" w:sz="0" w:space="0" w:color="auto"/>
            <w:left w:val="none" w:sz="0" w:space="0" w:color="auto"/>
            <w:bottom w:val="none" w:sz="0" w:space="0" w:color="auto"/>
            <w:right w:val="none" w:sz="0" w:space="0" w:color="auto"/>
          </w:divBdr>
        </w:div>
        <w:div w:id="651565581">
          <w:marLeft w:val="480"/>
          <w:marRight w:val="0"/>
          <w:marTop w:val="0"/>
          <w:marBottom w:val="0"/>
          <w:divBdr>
            <w:top w:val="none" w:sz="0" w:space="0" w:color="auto"/>
            <w:left w:val="none" w:sz="0" w:space="0" w:color="auto"/>
            <w:bottom w:val="none" w:sz="0" w:space="0" w:color="auto"/>
            <w:right w:val="none" w:sz="0" w:space="0" w:color="auto"/>
          </w:divBdr>
        </w:div>
        <w:div w:id="886138212">
          <w:marLeft w:val="480"/>
          <w:marRight w:val="0"/>
          <w:marTop w:val="0"/>
          <w:marBottom w:val="0"/>
          <w:divBdr>
            <w:top w:val="none" w:sz="0" w:space="0" w:color="auto"/>
            <w:left w:val="none" w:sz="0" w:space="0" w:color="auto"/>
            <w:bottom w:val="none" w:sz="0" w:space="0" w:color="auto"/>
            <w:right w:val="none" w:sz="0" w:space="0" w:color="auto"/>
          </w:divBdr>
        </w:div>
        <w:div w:id="929849386">
          <w:marLeft w:val="480"/>
          <w:marRight w:val="0"/>
          <w:marTop w:val="0"/>
          <w:marBottom w:val="0"/>
          <w:divBdr>
            <w:top w:val="none" w:sz="0" w:space="0" w:color="auto"/>
            <w:left w:val="none" w:sz="0" w:space="0" w:color="auto"/>
            <w:bottom w:val="none" w:sz="0" w:space="0" w:color="auto"/>
            <w:right w:val="none" w:sz="0" w:space="0" w:color="auto"/>
          </w:divBdr>
        </w:div>
        <w:div w:id="1240484867">
          <w:marLeft w:val="480"/>
          <w:marRight w:val="0"/>
          <w:marTop w:val="0"/>
          <w:marBottom w:val="0"/>
          <w:divBdr>
            <w:top w:val="none" w:sz="0" w:space="0" w:color="auto"/>
            <w:left w:val="none" w:sz="0" w:space="0" w:color="auto"/>
            <w:bottom w:val="none" w:sz="0" w:space="0" w:color="auto"/>
            <w:right w:val="none" w:sz="0" w:space="0" w:color="auto"/>
          </w:divBdr>
        </w:div>
        <w:div w:id="1253466992">
          <w:marLeft w:val="480"/>
          <w:marRight w:val="0"/>
          <w:marTop w:val="0"/>
          <w:marBottom w:val="0"/>
          <w:divBdr>
            <w:top w:val="none" w:sz="0" w:space="0" w:color="auto"/>
            <w:left w:val="none" w:sz="0" w:space="0" w:color="auto"/>
            <w:bottom w:val="none" w:sz="0" w:space="0" w:color="auto"/>
            <w:right w:val="none" w:sz="0" w:space="0" w:color="auto"/>
          </w:divBdr>
        </w:div>
        <w:div w:id="1665667816">
          <w:marLeft w:val="480"/>
          <w:marRight w:val="0"/>
          <w:marTop w:val="0"/>
          <w:marBottom w:val="0"/>
          <w:divBdr>
            <w:top w:val="none" w:sz="0" w:space="0" w:color="auto"/>
            <w:left w:val="none" w:sz="0" w:space="0" w:color="auto"/>
            <w:bottom w:val="none" w:sz="0" w:space="0" w:color="auto"/>
            <w:right w:val="none" w:sz="0" w:space="0" w:color="auto"/>
          </w:divBdr>
        </w:div>
        <w:div w:id="1676152328">
          <w:marLeft w:val="480"/>
          <w:marRight w:val="0"/>
          <w:marTop w:val="0"/>
          <w:marBottom w:val="0"/>
          <w:divBdr>
            <w:top w:val="none" w:sz="0" w:space="0" w:color="auto"/>
            <w:left w:val="none" w:sz="0" w:space="0" w:color="auto"/>
            <w:bottom w:val="none" w:sz="0" w:space="0" w:color="auto"/>
            <w:right w:val="none" w:sz="0" w:space="0" w:color="auto"/>
          </w:divBdr>
        </w:div>
        <w:div w:id="1739546517">
          <w:marLeft w:val="480"/>
          <w:marRight w:val="0"/>
          <w:marTop w:val="0"/>
          <w:marBottom w:val="0"/>
          <w:divBdr>
            <w:top w:val="none" w:sz="0" w:space="0" w:color="auto"/>
            <w:left w:val="none" w:sz="0" w:space="0" w:color="auto"/>
            <w:bottom w:val="none" w:sz="0" w:space="0" w:color="auto"/>
            <w:right w:val="none" w:sz="0" w:space="0" w:color="auto"/>
          </w:divBdr>
        </w:div>
        <w:div w:id="1842314796">
          <w:marLeft w:val="480"/>
          <w:marRight w:val="0"/>
          <w:marTop w:val="0"/>
          <w:marBottom w:val="0"/>
          <w:divBdr>
            <w:top w:val="none" w:sz="0" w:space="0" w:color="auto"/>
            <w:left w:val="none" w:sz="0" w:space="0" w:color="auto"/>
            <w:bottom w:val="none" w:sz="0" w:space="0" w:color="auto"/>
            <w:right w:val="none" w:sz="0" w:space="0" w:color="auto"/>
          </w:divBdr>
        </w:div>
        <w:div w:id="1846944146">
          <w:marLeft w:val="480"/>
          <w:marRight w:val="0"/>
          <w:marTop w:val="0"/>
          <w:marBottom w:val="0"/>
          <w:divBdr>
            <w:top w:val="none" w:sz="0" w:space="0" w:color="auto"/>
            <w:left w:val="none" w:sz="0" w:space="0" w:color="auto"/>
            <w:bottom w:val="none" w:sz="0" w:space="0" w:color="auto"/>
            <w:right w:val="none" w:sz="0" w:space="0" w:color="auto"/>
          </w:divBdr>
        </w:div>
        <w:div w:id="1980988158">
          <w:marLeft w:val="480"/>
          <w:marRight w:val="0"/>
          <w:marTop w:val="0"/>
          <w:marBottom w:val="0"/>
          <w:divBdr>
            <w:top w:val="none" w:sz="0" w:space="0" w:color="auto"/>
            <w:left w:val="none" w:sz="0" w:space="0" w:color="auto"/>
            <w:bottom w:val="none" w:sz="0" w:space="0" w:color="auto"/>
            <w:right w:val="none" w:sz="0" w:space="0" w:color="auto"/>
          </w:divBdr>
        </w:div>
        <w:div w:id="2107727606">
          <w:marLeft w:val="480"/>
          <w:marRight w:val="0"/>
          <w:marTop w:val="0"/>
          <w:marBottom w:val="0"/>
          <w:divBdr>
            <w:top w:val="none" w:sz="0" w:space="0" w:color="auto"/>
            <w:left w:val="none" w:sz="0" w:space="0" w:color="auto"/>
            <w:bottom w:val="none" w:sz="0" w:space="0" w:color="auto"/>
            <w:right w:val="none" w:sz="0" w:space="0" w:color="auto"/>
          </w:divBdr>
        </w:div>
      </w:divsChild>
    </w:div>
    <w:div w:id="1564834517">
      <w:bodyDiv w:val="1"/>
      <w:marLeft w:val="0"/>
      <w:marRight w:val="0"/>
      <w:marTop w:val="0"/>
      <w:marBottom w:val="0"/>
      <w:divBdr>
        <w:top w:val="none" w:sz="0" w:space="0" w:color="auto"/>
        <w:left w:val="none" w:sz="0" w:space="0" w:color="auto"/>
        <w:bottom w:val="none" w:sz="0" w:space="0" w:color="auto"/>
        <w:right w:val="none" w:sz="0" w:space="0" w:color="auto"/>
      </w:divBdr>
      <w:divsChild>
        <w:div w:id="140931175">
          <w:marLeft w:val="480"/>
          <w:marRight w:val="0"/>
          <w:marTop w:val="0"/>
          <w:marBottom w:val="0"/>
          <w:divBdr>
            <w:top w:val="none" w:sz="0" w:space="0" w:color="auto"/>
            <w:left w:val="none" w:sz="0" w:space="0" w:color="auto"/>
            <w:bottom w:val="none" w:sz="0" w:space="0" w:color="auto"/>
            <w:right w:val="none" w:sz="0" w:space="0" w:color="auto"/>
          </w:divBdr>
        </w:div>
        <w:div w:id="181866777">
          <w:marLeft w:val="480"/>
          <w:marRight w:val="0"/>
          <w:marTop w:val="0"/>
          <w:marBottom w:val="0"/>
          <w:divBdr>
            <w:top w:val="none" w:sz="0" w:space="0" w:color="auto"/>
            <w:left w:val="none" w:sz="0" w:space="0" w:color="auto"/>
            <w:bottom w:val="none" w:sz="0" w:space="0" w:color="auto"/>
            <w:right w:val="none" w:sz="0" w:space="0" w:color="auto"/>
          </w:divBdr>
        </w:div>
        <w:div w:id="459496807">
          <w:marLeft w:val="480"/>
          <w:marRight w:val="0"/>
          <w:marTop w:val="0"/>
          <w:marBottom w:val="0"/>
          <w:divBdr>
            <w:top w:val="none" w:sz="0" w:space="0" w:color="auto"/>
            <w:left w:val="none" w:sz="0" w:space="0" w:color="auto"/>
            <w:bottom w:val="none" w:sz="0" w:space="0" w:color="auto"/>
            <w:right w:val="none" w:sz="0" w:space="0" w:color="auto"/>
          </w:divBdr>
        </w:div>
        <w:div w:id="598175706">
          <w:marLeft w:val="480"/>
          <w:marRight w:val="0"/>
          <w:marTop w:val="0"/>
          <w:marBottom w:val="0"/>
          <w:divBdr>
            <w:top w:val="none" w:sz="0" w:space="0" w:color="auto"/>
            <w:left w:val="none" w:sz="0" w:space="0" w:color="auto"/>
            <w:bottom w:val="none" w:sz="0" w:space="0" w:color="auto"/>
            <w:right w:val="none" w:sz="0" w:space="0" w:color="auto"/>
          </w:divBdr>
        </w:div>
        <w:div w:id="823815429">
          <w:marLeft w:val="480"/>
          <w:marRight w:val="0"/>
          <w:marTop w:val="0"/>
          <w:marBottom w:val="0"/>
          <w:divBdr>
            <w:top w:val="none" w:sz="0" w:space="0" w:color="auto"/>
            <w:left w:val="none" w:sz="0" w:space="0" w:color="auto"/>
            <w:bottom w:val="none" w:sz="0" w:space="0" w:color="auto"/>
            <w:right w:val="none" w:sz="0" w:space="0" w:color="auto"/>
          </w:divBdr>
        </w:div>
        <w:div w:id="873493921">
          <w:marLeft w:val="480"/>
          <w:marRight w:val="0"/>
          <w:marTop w:val="0"/>
          <w:marBottom w:val="0"/>
          <w:divBdr>
            <w:top w:val="none" w:sz="0" w:space="0" w:color="auto"/>
            <w:left w:val="none" w:sz="0" w:space="0" w:color="auto"/>
            <w:bottom w:val="none" w:sz="0" w:space="0" w:color="auto"/>
            <w:right w:val="none" w:sz="0" w:space="0" w:color="auto"/>
          </w:divBdr>
        </w:div>
        <w:div w:id="918751692">
          <w:marLeft w:val="480"/>
          <w:marRight w:val="0"/>
          <w:marTop w:val="0"/>
          <w:marBottom w:val="0"/>
          <w:divBdr>
            <w:top w:val="none" w:sz="0" w:space="0" w:color="auto"/>
            <w:left w:val="none" w:sz="0" w:space="0" w:color="auto"/>
            <w:bottom w:val="none" w:sz="0" w:space="0" w:color="auto"/>
            <w:right w:val="none" w:sz="0" w:space="0" w:color="auto"/>
          </w:divBdr>
        </w:div>
        <w:div w:id="935671979">
          <w:marLeft w:val="480"/>
          <w:marRight w:val="0"/>
          <w:marTop w:val="0"/>
          <w:marBottom w:val="0"/>
          <w:divBdr>
            <w:top w:val="none" w:sz="0" w:space="0" w:color="auto"/>
            <w:left w:val="none" w:sz="0" w:space="0" w:color="auto"/>
            <w:bottom w:val="none" w:sz="0" w:space="0" w:color="auto"/>
            <w:right w:val="none" w:sz="0" w:space="0" w:color="auto"/>
          </w:divBdr>
        </w:div>
        <w:div w:id="1273705939">
          <w:marLeft w:val="480"/>
          <w:marRight w:val="0"/>
          <w:marTop w:val="0"/>
          <w:marBottom w:val="0"/>
          <w:divBdr>
            <w:top w:val="none" w:sz="0" w:space="0" w:color="auto"/>
            <w:left w:val="none" w:sz="0" w:space="0" w:color="auto"/>
            <w:bottom w:val="none" w:sz="0" w:space="0" w:color="auto"/>
            <w:right w:val="none" w:sz="0" w:space="0" w:color="auto"/>
          </w:divBdr>
        </w:div>
        <w:div w:id="1299605659">
          <w:marLeft w:val="480"/>
          <w:marRight w:val="0"/>
          <w:marTop w:val="0"/>
          <w:marBottom w:val="0"/>
          <w:divBdr>
            <w:top w:val="none" w:sz="0" w:space="0" w:color="auto"/>
            <w:left w:val="none" w:sz="0" w:space="0" w:color="auto"/>
            <w:bottom w:val="none" w:sz="0" w:space="0" w:color="auto"/>
            <w:right w:val="none" w:sz="0" w:space="0" w:color="auto"/>
          </w:divBdr>
        </w:div>
        <w:div w:id="1334449211">
          <w:marLeft w:val="480"/>
          <w:marRight w:val="0"/>
          <w:marTop w:val="0"/>
          <w:marBottom w:val="0"/>
          <w:divBdr>
            <w:top w:val="none" w:sz="0" w:space="0" w:color="auto"/>
            <w:left w:val="none" w:sz="0" w:space="0" w:color="auto"/>
            <w:bottom w:val="none" w:sz="0" w:space="0" w:color="auto"/>
            <w:right w:val="none" w:sz="0" w:space="0" w:color="auto"/>
          </w:divBdr>
        </w:div>
        <w:div w:id="1458524962">
          <w:marLeft w:val="480"/>
          <w:marRight w:val="0"/>
          <w:marTop w:val="0"/>
          <w:marBottom w:val="0"/>
          <w:divBdr>
            <w:top w:val="none" w:sz="0" w:space="0" w:color="auto"/>
            <w:left w:val="none" w:sz="0" w:space="0" w:color="auto"/>
            <w:bottom w:val="none" w:sz="0" w:space="0" w:color="auto"/>
            <w:right w:val="none" w:sz="0" w:space="0" w:color="auto"/>
          </w:divBdr>
        </w:div>
        <w:div w:id="1473332510">
          <w:marLeft w:val="480"/>
          <w:marRight w:val="0"/>
          <w:marTop w:val="0"/>
          <w:marBottom w:val="0"/>
          <w:divBdr>
            <w:top w:val="none" w:sz="0" w:space="0" w:color="auto"/>
            <w:left w:val="none" w:sz="0" w:space="0" w:color="auto"/>
            <w:bottom w:val="none" w:sz="0" w:space="0" w:color="auto"/>
            <w:right w:val="none" w:sz="0" w:space="0" w:color="auto"/>
          </w:divBdr>
        </w:div>
        <w:div w:id="1829402338">
          <w:marLeft w:val="480"/>
          <w:marRight w:val="0"/>
          <w:marTop w:val="0"/>
          <w:marBottom w:val="0"/>
          <w:divBdr>
            <w:top w:val="none" w:sz="0" w:space="0" w:color="auto"/>
            <w:left w:val="none" w:sz="0" w:space="0" w:color="auto"/>
            <w:bottom w:val="none" w:sz="0" w:space="0" w:color="auto"/>
            <w:right w:val="none" w:sz="0" w:space="0" w:color="auto"/>
          </w:divBdr>
        </w:div>
        <w:div w:id="2033459595">
          <w:marLeft w:val="480"/>
          <w:marRight w:val="0"/>
          <w:marTop w:val="0"/>
          <w:marBottom w:val="0"/>
          <w:divBdr>
            <w:top w:val="none" w:sz="0" w:space="0" w:color="auto"/>
            <w:left w:val="none" w:sz="0" w:space="0" w:color="auto"/>
            <w:bottom w:val="none" w:sz="0" w:space="0" w:color="auto"/>
            <w:right w:val="none" w:sz="0" w:space="0" w:color="auto"/>
          </w:divBdr>
        </w:div>
        <w:div w:id="2142068927">
          <w:marLeft w:val="480"/>
          <w:marRight w:val="0"/>
          <w:marTop w:val="0"/>
          <w:marBottom w:val="0"/>
          <w:divBdr>
            <w:top w:val="none" w:sz="0" w:space="0" w:color="auto"/>
            <w:left w:val="none" w:sz="0" w:space="0" w:color="auto"/>
            <w:bottom w:val="none" w:sz="0" w:space="0" w:color="auto"/>
            <w:right w:val="none" w:sz="0" w:space="0" w:color="auto"/>
          </w:divBdr>
        </w:div>
      </w:divsChild>
    </w:div>
    <w:div w:id="1592665443">
      <w:bodyDiv w:val="1"/>
      <w:marLeft w:val="0"/>
      <w:marRight w:val="0"/>
      <w:marTop w:val="0"/>
      <w:marBottom w:val="0"/>
      <w:divBdr>
        <w:top w:val="none" w:sz="0" w:space="0" w:color="auto"/>
        <w:left w:val="none" w:sz="0" w:space="0" w:color="auto"/>
        <w:bottom w:val="none" w:sz="0" w:space="0" w:color="auto"/>
        <w:right w:val="none" w:sz="0" w:space="0" w:color="auto"/>
      </w:divBdr>
      <w:divsChild>
        <w:div w:id="55589243">
          <w:marLeft w:val="480"/>
          <w:marRight w:val="0"/>
          <w:marTop w:val="0"/>
          <w:marBottom w:val="0"/>
          <w:divBdr>
            <w:top w:val="none" w:sz="0" w:space="0" w:color="auto"/>
            <w:left w:val="none" w:sz="0" w:space="0" w:color="auto"/>
            <w:bottom w:val="none" w:sz="0" w:space="0" w:color="auto"/>
            <w:right w:val="none" w:sz="0" w:space="0" w:color="auto"/>
          </w:divBdr>
        </w:div>
        <w:div w:id="186215536">
          <w:marLeft w:val="480"/>
          <w:marRight w:val="0"/>
          <w:marTop w:val="0"/>
          <w:marBottom w:val="0"/>
          <w:divBdr>
            <w:top w:val="none" w:sz="0" w:space="0" w:color="auto"/>
            <w:left w:val="none" w:sz="0" w:space="0" w:color="auto"/>
            <w:bottom w:val="none" w:sz="0" w:space="0" w:color="auto"/>
            <w:right w:val="none" w:sz="0" w:space="0" w:color="auto"/>
          </w:divBdr>
        </w:div>
        <w:div w:id="635447746">
          <w:marLeft w:val="480"/>
          <w:marRight w:val="0"/>
          <w:marTop w:val="0"/>
          <w:marBottom w:val="0"/>
          <w:divBdr>
            <w:top w:val="none" w:sz="0" w:space="0" w:color="auto"/>
            <w:left w:val="none" w:sz="0" w:space="0" w:color="auto"/>
            <w:bottom w:val="none" w:sz="0" w:space="0" w:color="auto"/>
            <w:right w:val="none" w:sz="0" w:space="0" w:color="auto"/>
          </w:divBdr>
        </w:div>
        <w:div w:id="703943091">
          <w:marLeft w:val="480"/>
          <w:marRight w:val="0"/>
          <w:marTop w:val="0"/>
          <w:marBottom w:val="0"/>
          <w:divBdr>
            <w:top w:val="none" w:sz="0" w:space="0" w:color="auto"/>
            <w:left w:val="none" w:sz="0" w:space="0" w:color="auto"/>
            <w:bottom w:val="none" w:sz="0" w:space="0" w:color="auto"/>
            <w:right w:val="none" w:sz="0" w:space="0" w:color="auto"/>
          </w:divBdr>
        </w:div>
        <w:div w:id="793325226">
          <w:marLeft w:val="480"/>
          <w:marRight w:val="0"/>
          <w:marTop w:val="0"/>
          <w:marBottom w:val="0"/>
          <w:divBdr>
            <w:top w:val="none" w:sz="0" w:space="0" w:color="auto"/>
            <w:left w:val="none" w:sz="0" w:space="0" w:color="auto"/>
            <w:bottom w:val="none" w:sz="0" w:space="0" w:color="auto"/>
            <w:right w:val="none" w:sz="0" w:space="0" w:color="auto"/>
          </w:divBdr>
        </w:div>
        <w:div w:id="982781921">
          <w:marLeft w:val="480"/>
          <w:marRight w:val="0"/>
          <w:marTop w:val="0"/>
          <w:marBottom w:val="0"/>
          <w:divBdr>
            <w:top w:val="none" w:sz="0" w:space="0" w:color="auto"/>
            <w:left w:val="none" w:sz="0" w:space="0" w:color="auto"/>
            <w:bottom w:val="none" w:sz="0" w:space="0" w:color="auto"/>
            <w:right w:val="none" w:sz="0" w:space="0" w:color="auto"/>
          </w:divBdr>
        </w:div>
        <w:div w:id="1067993201">
          <w:marLeft w:val="480"/>
          <w:marRight w:val="0"/>
          <w:marTop w:val="0"/>
          <w:marBottom w:val="0"/>
          <w:divBdr>
            <w:top w:val="none" w:sz="0" w:space="0" w:color="auto"/>
            <w:left w:val="none" w:sz="0" w:space="0" w:color="auto"/>
            <w:bottom w:val="none" w:sz="0" w:space="0" w:color="auto"/>
            <w:right w:val="none" w:sz="0" w:space="0" w:color="auto"/>
          </w:divBdr>
        </w:div>
        <w:div w:id="1150097814">
          <w:marLeft w:val="480"/>
          <w:marRight w:val="0"/>
          <w:marTop w:val="0"/>
          <w:marBottom w:val="0"/>
          <w:divBdr>
            <w:top w:val="none" w:sz="0" w:space="0" w:color="auto"/>
            <w:left w:val="none" w:sz="0" w:space="0" w:color="auto"/>
            <w:bottom w:val="none" w:sz="0" w:space="0" w:color="auto"/>
            <w:right w:val="none" w:sz="0" w:space="0" w:color="auto"/>
          </w:divBdr>
        </w:div>
        <w:div w:id="1208562881">
          <w:marLeft w:val="480"/>
          <w:marRight w:val="0"/>
          <w:marTop w:val="0"/>
          <w:marBottom w:val="0"/>
          <w:divBdr>
            <w:top w:val="none" w:sz="0" w:space="0" w:color="auto"/>
            <w:left w:val="none" w:sz="0" w:space="0" w:color="auto"/>
            <w:bottom w:val="none" w:sz="0" w:space="0" w:color="auto"/>
            <w:right w:val="none" w:sz="0" w:space="0" w:color="auto"/>
          </w:divBdr>
        </w:div>
        <w:div w:id="1537424414">
          <w:marLeft w:val="480"/>
          <w:marRight w:val="0"/>
          <w:marTop w:val="0"/>
          <w:marBottom w:val="0"/>
          <w:divBdr>
            <w:top w:val="none" w:sz="0" w:space="0" w:color="auto"/>
            <w:left w:val="none" w:sz="0" w:space="0" w:color="auto"/>
            <w:bottom w:val="none" w:sz="0" w:space="0" w:color="auto"/>
            <w:right w:val="none" w:sz="0" w:space="0" w:color="auto"/>
          </w:divBdr>
        </w:div>
        <w:div w:id="1562862805">
          <w:marLeft w:val="480"/>
          <w:marRight w:val="0"/>
          <w:marTop w:val="0"/>
          <w:marBottom w:val="0"/>
          <w:divBdr>
            <w:top w:val="none" w:sz="0" w:space="0" w:color="auto"/>
            <w:left w:val="none" w:sz="0" w:space="0" w:color="auto"/>
            <w:bottom w:val="none" w:sz="0" w:space="0" w:color="auto"/>
            <w:right w:val="none" w:sz="0" w:space="0" w:color="auto"/>
          </w:divBdr>
        </w:div>
        <w:div w:id="1661349633">
          <w:marLeft w:val="480"/>
          <w:marRight w:val="0"/>
          <w:marTop w:val="0"/>
          <w:marBottom w:val="0"/>
          <w:divBdr>
            <w:top w:val="none" w:sz="0" w:space="0" w:color="auto"/>
            <w:left w:val="none" w:sz="0" w:space="0" w:color="auto"/>
            <w:bottom w:val="none" w:sz="0" w:space="0" w:color="auto"/>
            <w:right w:val="none" w:sz="0" w:space="0" w:color="auto"/>
          </w:divBdr>
        </w:div>
        <w:div w:id="1814105573">
          <w:marLeft w:val="480"/>
          <w:marRight w:val="0"/>
          <w:marTop w:val="0"/>
          <w:marBottom w:val="0"/>
          <w:divBdr>
            <w:top w:val="none" w:sz="0" w:space="0" w:color="auto"/>
            <w:left w:val="none" w:sz="0" w:space="0" w:color="auto"/>
            <w:bottom w:val="none" w:sz="0" w:space="0" w:color="auto"/>
            <w:right w:val="none" w:sz="0" w:space="0" w:color="auto"/>
          </w:divBdr>
        </w:div>
        <w:div w:id="1853448715">
          <w:marLeft w:val="480"/>
          <w:marRight w:val="0"/>
          <w:marTop w:val="0"/>
          <w:marBottom w:val="0"/>
          <w:divBdr>
            <w:top w:val="none" w:sz="0" w:space="0" w:color="auto"/>
            <w:left w:val="none" w:sz="0" w:space="0" w:color="auto"/>
            <w:bottom w:val="none" w:sz="0" w:space="0" w:color="auto"/>
            <w:right w:val="none" w:sz="0" w:space="0" w:color="auto"/>
          </w:divBdr>
        </w:div>
        <w:div w:id="2054453639">
          <w:marLeft w:val="480"/>
          <w:marRight w:val="0"/>
          <w:marTop w:val="0"/>
          <w:marBottom w:val="0"/>
          <w:divBdr>
            <w:top w:val="none" w:sz="0" w:space="0" w:color="auto"/>
            <w:left w:val="none" w:sz="0" w:space="0" w:color="auto"/>
            <w:bottom w:val="none" w:sz="0" w:space="0" w:color="auto"/>
            <w:right w:val="none" w:sz="0" w:space="0" w:color="auto"/>
          </w:divBdr>
        </w:div>
      </w:divsChild>
    </w:div>
    <w:div w:id="1696080742">
      <w:bodyDiv w:val="1"/>
      <w:marLeft w:val="0"/>
      <w:marRight w:val="0"/>
      <w:marTop w:val="0"/>
      <w:marBottom w:val="0"/>
      <w:divBdr>
        <w:top w:val="none" w:sz="0" w:space="0" w:color="auto"/>
        <w:left w:val="none" w:sz="0" w:space="0" w:color="auto"/>
        <w:bottom w:val="none" w:sz="0" w:space="0" w:color="auto"/>
        <w:right w:val="none" w:sz="0" w:space="0" w:color="auto"/>
      </w:divBdr>
      <w:divsChild>
        <w:div w:id="89667435">
          <w:marLeft w:val="480"/>
          <w:marRight w:val="0"/>
          <w:marTop w:val="0"/>
          <w:marBottom w:val="0"/>
          <w:divBdr>
            <w:top w:val="none" w:sz="0" w:space="0" w:color="auto"/>
            <w:left w:val="none" w:sz="0" w:space="0" w:color="auto"/>
            <w:bottom w:val="none" w:sz="0" w:space="0" w:color="auto"/>
            <w:right w:val="none" w:sz="0" w:space="0" w:color="auto"/>
          </w:divBdr>
        </w:div>
        <w:div w:id="105195012">
          <w:marLeft w:val="480"/>
          <w:marRight w:val="0"/>
          <w:marTop w:val="0"/>
          <w:marBottom w:val="0"/>
          <w:divBdr>
            <w:top w:val="none" w:sz="0" w:space="0" w:color="auto"/>
            <w:left w:val="none" w:sz="0" w:space="0" w:color="auto"/>
            <w:bottom w:val="none" w:sz="0" w:space="0" w:color="auto"/>
            <w:right w:val="none" w:sz="0" w:space="0" w:color="auto"/>
          </w:divBdr>
        </w:div>
        <w:div w:id="121268291">
          <w:marLeft w:val="480"/>
          <w:marRight w:val="0"/>
          <w:marTop w:val="0"/>
          <w:marBottom w:val="0"/>
          <w:divBdr>
            <w:top w:val="none" w:sz="0" w:space="0" w:color="auto"/>
            <w:left w:val="none" w:sz="0" w:space="0" w:color="auto"/>
            <w:bottom w:val="none" w:sz="0" w:space="0" w:color="auto"/>
            <w:right w:val="none" w:sz="0" w:space="0" w:color="auto"/>
          </w:divBdr>
        </w:div>
        <w:div w:id="148399380">
          <w:marLeft w:val="480"/>
          <w:marRight w:val="0"/>
          <w:marTop w:val="0"/>
          <w:marBottom w:val="0"/>
          <w:divBdr>
            <w:top w:val="none" w:sz="0" w:space="0" w:color="auto"/>
            <w:left w:val="none" w:sz="0" w:space="0" w:color="auto"/>
            <w:bottom w:val="none" w:sz="0" w:space="0" w:color="auto"/>
            <w:right w:val="none" w:sz="0" w:space="0" w:color="auto"/>
          </w:divBdr>
        </w:div>
        <w:div w:id="347294395">
          <w:marLeft w:val="480"/>
          <w:marRight w:val="0"/>
          <w:marTop w:val="0"/>
          <w:marBottom w:val="0"/>
          <w:divBdr>
            <w:top w:val="none" w:sz="0" w:space="0" w:color="auto"/>
            <w:left w:val="none" w:sz="0" w:space="0" w:color="auto"/>
            <w:bottom w:val="none" w:sz="0" w:space="0" w:color="auto"/>
            <w:right w:val="none" w:sz="0" w:space="0" w:color="auto"/>
          </w:divBdr>
        </w:div>
        <w:div w:id="424887790">
          <w:marLeft w:val="480"/>
          <w:marRight w:val="0"/>
          <w:marTop w:val="0"/>
          <w:marBottom w:val="0"/>
          <w:divBdr>
            <w:top w:val="none" w:sz="0" w:space="0" w:color="auto"/>
            <w:left w:val="none" w:sz="0" w:space="0" w:color="auto"/>
            <w:bottom w:val="none" w:sz="0" w:space="0" w:color="auto"/>
            <w:right w:val="none" w:sz="0" w:space="0" w:color="auto"/>
          </w:divBdr>
        </w:div>
        <w:div w:id="635452834">
          <w:marLeft w:val="480"/>
          <w:marRight w:val="0"/>
          <w:marTop w:val="0"/>
          <w:marBottom w:val="0"/>
          <w:divBdr>
            <w:top w:val="none" w:sz="0" w:space="0" w:color="auto"/>
            <w:left w:val="none" w:sz="0" w:space="0" w:color="auto"/>
            <w:bottom w:val="none" w:sz="0" w:space="0" w:color="auto"/>
            <w:right w:val="none" w:sz="0" w:space="0" w:color="auto"/>
          </w:divBdr>
        </w:div>
        <w:div w:id="766344332">
          <w:marLeft w:val="480"/>
          <w:marRight w:val="0"/>
          <w:marTop w:val="0"/>
          <w:marBottom w:val="0"/>
          <w:divBdr>
            <w:top w:val="none" w:sz="0" w:space="0" w:color="auto"/>
            <w:left w:val="none" w:sz="0" w:space="0" w:color="auto"/>
            <w:bottom w:val="none" w:sz="0" w:space="0" w:color="auto"/>
            <w:right w:val="none" w:sz="0" w:space="0" w:color="auto"/>
          </w:divBdr>
        </w:div>
        <w:div w:id="828638366">
          <w:marLeft w:val="480"/>
          <w:marRight w:val="0"/>
          <w:marTop w:val="0"/>
          <w:marBottom w:val="0"/>
          <w:divBdr>
            <w:top w:val="none" w:sz="0" w:space="0" w:color="auto"/>
            <w:left w:val="none" w:sz="0" w:space="0" w:color="auto"/>
            <w:bottom w:val="none" w:sz="0" w:space="0" w:color="auto"/>
            <w:right w:val="none" w:sz="0" w:space="0" w:color="auto"/>
          </w:divBdr>
        </w:div>
        <w:div w:id="886836836">
          <w:marLeft w:val="480"/>
          <w:marRight w:val="0"/>
          <w:marTop w:val="0"/>
          <w:marBottom w:val="0"/>
          <w:divBdr>
            <w:top w:val="none" w:sz="0" w:space="0" w:color="auto"/>
            <w:left w:val="none" w:sz="0" w:space="0" w:color="auto"/>
            <w:bottom w:val="none" w:sz="0" w:space="0" w:color="auto"/>
            <w:right w:val="none" w:sz="0" w:space="0" w:color="auto"/>
          </w:divBdr>
        </w:div>
        <w:div w:id="975716788">
          <w:marLeft w:val="480"/>
          <w:marRight w:val="0"/>
          <w:marTop w:val="0"/>
          <w:marBottom w:val="0"/>
          <w:divBdr>
            <w:top w:val="none" w:sz="0" w:space="0" w:color="auto"/>
            <w:left w:val="none" w:sz="0" w:space="0" w:color="auto"/>
            <w:bottom w:val="none" w:sz="0" w:space="0" w:color="auto"/>
            <w:right w:val="none" w:sz="0" w:space="0" w:color="auto"/>
          </w:divBdr>
        </w:div>
        <w:div w:id="1542598500">
          <w:marLeft w:val="480"/>
          <w:marRight w:val="0"/>
          <w:marTop w:val="0"/>
          <w:marBottom w:val="0"/>
          <w:divBdr>
            <w:top w:val="none" w:sz="0" w:space="0" w:color="auto"/>
            <w:left w:val="none" w:sz="0" w:space="0" w:color="auto"/>
            <w:bottom w:val="none" w:sz="0" w:space="0" w:color="auto"/>
            <w:right w:val="none" w:sz="0" w:space="0" w:color="auto"/>
          </w:divBdr>
        </w:div>
        <w:div w:id="1639844235">
          <w:marLeft w:val="480"/>
          <w:marRight w:val="0"/>
          <w:marTop w:val="0"/>
          <w:marBottom w:val="0"/>
          <w:divBdr>
            <w:top w:val="none" w:sz="0" w:space="0" w:color="auto"/>
            <w:left w:val="none" w:sz="0" w:space="0" w:color="auto"/>
            <w:bottom w:val="none" w:sz="0" w:space="0" w:color="auto"/>
            <w:right w:val="none" w:sz="0" w:space="0" w:color="auto"/>
          </w:divBdr>
        </w:div>
        <w:div w:id="1847934733">
          <w:marLeft w:val="480"/>
          <w:marRight w:val="0"/>
          <w:marTop w:val="0"/>
          <w:marBottom w:val="0"/>
          <w:divBdr>
            <w:top w:val="none" w:sz="0" w:space="0" w:color="auto"/>
            <w:left w:val="none" w:sz="0" w:space="0" w:color="auto"/>
            <w:bottom w:val="none" w:sz="0" w:space="0" w:color="auto"/>
            <w:right w:val="none" w:sz="0" w:space="0" w:color="auto"/>
          </w:divBdr>
        </w:div>
        <w:div w:id="1853103696">
          <w:marLeft w:val="480"/>
          <w:marRight w:val="0"/>
          <w:marTop w:val="0"/>
          <w:marBottom w:val="0"/>
          <w:divBdr>
            <w:top w:val="none" w:sz="0" w:space="0" w:color="auto"/>
            <w:left w:val="none" w:sz="0" w:space="0" w:color="auto"/>
            <w:bottom w:val="none" w:sz="0" w:space="0" w:color="auto"/>
            <w:right w:val="none" w:sz="0" w:space="0" w:color="auto"/>
          </w:divBdr>
        </w:div>
        <w:div w:id="1917780254">
          <w:marLeft w:val="480"/>
          <w:marRight w:val="0"/>
          <w:marTop w:val="0"/>
          <w:marBottom w:val="0"/>
          <w:divBdr>
            <w:top w:val="none" w:sz="0" w:space="0" w:color="auto"/>
            <w:left w:val="none" w:sz="0" w:space="0" w:color="auto"/>
            <w:bottom w:val="none" w:sz="0" w:space="0" w:color="auto"/>
            <w:right w:val="none" w:sz="0" w:space="0" w:color="auto"/>
          </w:divBdr>
        </w:div>
      </w:divsChild>
    </w:div>
    <w:div w:id="1730760640">
      <w:bodyDiv w:val="1"/>
      <w:marLeft w:val="0"/>
      <w:marRight w:val="0"/>
      <w:marTop w:val="0"/>
      <w:marBottom w:val="0"/>
      <w:divBdr>
        <w:top w:val="none" w:sz="0" w:space="0" w:color="auto"/>
        <w:left w:val="none" w:sz="0" w:space="0" w:color="auto"/>
        <w:bottom w:val="none" w:sz="0" w:space="0" w:color="auto"/>
        <w:right w:val="none" w:sz="0" w:space="0" w:color="auto"/>
      </w:divBdr>
      <w:divsChild>
        <w:div w:id="60954285">
          <w:marLeft w:val="480"/>
          <w:marRight w:val="0"/>
          <w:marTop w:val="0"/>
          <w:marBottom w:val="0"/>
          <w:divBdr>
            <w:top w:val="none" w:sz="0" w:space="0" w:color="auto"/>
            <w:left w:val="none" w:sz="0" w:space="0" w:color="auto"/>
            <w:bottom w:val="none" w:sz="0" w:space="0" w:color="auto"/>
            <w:right w:val="none" w:sz="0" w:space="0" w:color="auto"/>
          </w:divBdr>
        </w:div>
        <w:div w:id="267201183">
          <w:marLeft w:val="480"/>
          <w:marRight w:val="0"/>
          <w:marTop w:val="0"/>
          <w:marBottom w:val="0"/>
          <w:divBdr>
            <w:top w:val="none" w:sz="0" w:space="0" w:color="auto"/>
            <w:left w:val="none" w:sz="0" w:space="0" w:color="auto"/>
            <w:bottom w:val="none" w:sz="0" w:space="0" w:color="auto"/>
            <w:right w:val="none" w:sz="0" w:space="0" w:color="auto"/>
          </w:divBdr>
        </w:div>
        <w:div w:id="327097392">
          <w:marLeft w:val="480"/>
          <w:marRight w:val="0"/>
          <w:marTop w:val="0"/>
          <w:marBottom w:val="0"/>
          <w:divBdr>
            <w:top w:val="none" w:sz="0" w:space="0" w:color="auto"/>
            <w:left w:val="none" w:sz="0" w:space="0" w:color="auto"/>
            <w:bottom w:val="none" w:sz="0" w:space="0" w:color="auto"/>
            <w:right w:val="none" w:sz="0" w:space="0" w:color="auto"/>
          </w:divBdr>
        </w:div>
        <w:div w:id="365764556">
          <w:marLeft w:val="480"/>
          <w:marRight w:val="0"/>
          <w:marTop w:val="0"/>
          <w:marBottom w:val="0"/>
          <w:divBdr>
            <w:top w:val="none" w:sz="0" w:space="0" w:color="auto"/>
            <w:left w:val="none" w:sz="0" w:space="0" w:color="auto"/>
            <w:bottom w:val="none" w:sz="0" w:space="0" w:color="auto"/>
            <w:right w:val="none" w:sz="0" w:space="0" w:color="auto"/>
          </w:divBdr>
        </w:div>
        <w:div w:id="517474122">
          <w:marLeft w:val="480"/>
          <w:marRight w:val="0"/>
          <w:marTop w:val="0"/>
          <w:marBottom w:val="0"/>
          <w:divBdr>
            <w:top w:val="none" w:sz="0" w:space="0" w:color="auto"/>
            <w:left w:val="none" w:sz="0" w:space="0" w:color="auto"/>
            <w:bottom w:val="none" w:sz="0" w:space="0" w:color="auto"/>
            <w:right w:val="none" w:sz="0" w:space="0" w:color="auto"/>
          </w:divBdr>
        </w:div>
        <w:div w:id="633950871">
          <w:marLeft w:val="480"/>
          <w:marRight w:val="0"/>
          <w:marTop w:val="0"/>
          <w:marBottom w:val="0"/>
          <w:divBdr>
            <w:top w:val="none" w:sz="0" w:space="0" w:color="auto"/>
            <w:left w:val="none" w:sz="0" w:space="0" w:color="auto"/>
            <w:bottom w:val="none" w:sz="0" w:space="0" w:color="auto"/>
            <w:right w:val="none" w:sz="0" w:space="0" w:color="auto"/>
          </w:divBdr>
        </w:div>
        <w:div w:id="669940982">
          <w:marLeft w:val="480"/>
          <w:marRight w:val="0"/>
          <w:marTop w:val="0"/>
          <w:marBottom w:val="0"/>
          <w:divBdr>
            <w:top w:val="none" w:sz="0" w:space="0" w:color="auto"/>
            <w:left w:val="none" w:sz="0" w:space="0" w:color="auto"/>
            <w:bottom w:val="none" w:sz="0" w:space="0" w:color="auto"/>
            <w:right w:val="none" w:sz="0" w:space="0" w:color="auto"/>
          </w:divBdr>
        </w:div>
        <w:div w:id="870066722">
          <w:marLeft w:val="480"/>
          <w:marRight w:val="0"/>
          <w:marTop w:val="0"/>
          <w:marBottom w:val="0"/>
          <w:divBdr>
            <w:top w:val="none" w:sz="0" w:space="0" w:color="auto"/>
            <w:left w:val="none" w:sz="0" w:space="0" w:color="auto"/>
            <w:bottom w:val="none" w:sz="0" w:space="0" w:color="auto"/>
            <w:right w:val="none" w:sz="0" w:space="0" w:color="auto"/>
          </w:divBdr>
        </w:div>
        <w:div w:id="1338072814">
          <w:marLeft w:val="480"/>
          <w:marRight w:val="0"/>
          <w:marTop w:val="0"/>
          <w:marBottom w:val="0"/>
          <w:divBdr>
            <w:top w:val="none" w:sz="0" w:space="0" w:color="auto"/>
            <w:left w:val="none" w:sz="0" w:space="0" w:color="auto"/>
            <w:bottom w:val="none" w:sz="0" w:space="0" w:color="auto"/>
            <w:right w:val="none" w:sz="0" w:space="0" w:color="auto"/>
          </w:divBdr>
        </w:div>
        <w:div w:id="1391341697">
          <w:marLeft w:val="480"/>
          <w:marRight w:val="0"/>
          <w:marTop w:val="0"/>
          <w:marBottom w:val="0"/>
          <w:divBdr>
            <w:top w:val="none" w:sz="0" w:space="0" w:color="auto"/>
            <w:left w:val="none" w:sz="0" w:space="0" w:color="auto"/>
            <w:bottom w:val="none" w:sz="0" w:space="0" w:color="auto"/>
            <w:right w:val="none" w:sz="0" w:space="0" w:color="auto"/>
          </w:divBdr>
        </w:div>
        <w:div w:id="1694069481">
          <w:marLeft w:val="480"/>
          <w:marRight w:val="0"/>
          <w:marTop w:val="0"/>
          <w:marBottom w:val="0"/>
          <w:divBdr>
            <w:top w:val="none" w:sz="0" w:space="0" w:color="auto"/>
            <w:left w:val="none" w:sz="0" w:space="0" w:color="auto"/>
            <w:bottom w:val="none" w:sz="0" w:space="0" w:color="auto"/>
            <w:right w:val="none" w:sz="0" w:space="0" w:color="auto"/>
          </w:divBdr>
        </w:div>
        <w:div w:id="1740244442">
          <w:marLeft w:val="480"/>
          <w:marRight w:val="0"/>
          <w:marTop w:val="0"/>
          <w:marBottom w:val="0"/>
          <w:divBdr>
            <w:top w:val="none" w:sz="0" w:space="0" w:color="auto"/>
            <w:left w:val="none" w:sz="0" w:space="0" w:color="auto"/>
            <w:bottom w:val="none" w:sz="0" w:space="0" w:color="auto"/>
            <w:right w:val="none" w:sz="0" w:space="0" w:color="auto"/>
          </w:divBdr>
        </w:div>
        <w:div w:id="1779370497">
          <w:marLeft w:val="480"/>
          <w:marRight w:val="0"/>
          <w:marTop w:val="0"/>
          <w:marBottom w:val="0"/>
          <w:divBdr>
            <w:top w:val="none" w:sz="0" w:space="0" w:color="auto"/>
            <w:left w:val="none" w:sz="0" w:space="0" w:color="auto"/>
            <w:bottom w:val="none" w:sz="0" w:space="0" w:color="auto"/>
            <w:right w:val="none" w:sz="0" w:space="0" w:color="auto"/>
          </w:divBdr>
        </w:div>
        <w:div w:id="1818915113">
          <w:marLeft w:val="480"/>
          <w:marRight w:val="0"/>
          <w:marTop w:val="0"/>
          <w:marBottom w:val="0"/>
          <w:divBdr>
            <w:top w:val="none" w:sz="0" w:space="0" w:color="auto"/>
            <w:left w:val="none" w:sz="0" w:space="0" w:color="auto"/>
            <w:bottom w:val="none" w:sz="0" w:space="0" w:color="auto"/>
            <w:right w:val="none" w:sz="0" w:space="0" w:color="auto"/>
          </w:divBdr>
        </w:div>
        <w:div w:id="1866017128">
          <w:marLeft w:val="480"/>
          <w:marRight w:val="0"/>
          <w:marTop w:val="0"/>
          <w:marBottom w:val="0"/>
          <w:divBdr>
            <w:top w:val="none" w:sz="0" w:space="0" w:color="auto"/>
            <w:left w:val="none" w:sz="0" w:space="0" w:color="auto"/>
            <w:bottom w:val="none" w:sz="0" w:space="0" w:color="auto"/>
            <w:right w:val="none" w:sz="0" w:space="0" w:color="auto"/>
          </w:divBdr>
        </w:div>
        <w:div w:id="1912083825">
          <w:marLeft w:val="480"/>
          <w:marRight w:val="0"/>
          <w:marTop w:val="0"/>
          <w:marBottom w:val="0"/>
          <w:divBdr>
            <w:top w:val="none" w:sz="0" w:space="0" w:color="auto"/>
            <w:left w:val="none" w:sz="0" w:space="0" w:color="auto"/>
            <w:bottom w:val="none" w:sz="0" w:space="0" w:color="auto"/>
            <w:right w:val="none" w:sz="0" w:space="0" w:color="auto"/>
          </w:divBdr>
        </w:div>
        <w:div w:id="2004703731">
          <w:marLeft w:val="480"/>
          <w:marRight w:val="0"/>
          <w:marTop w:val="0"/>
          <w:marBottom w:val="0"/>
          <w:divBdr>
            <w:top w:val="none" w:sz="0" w:space="0" w:color="auto"/>
            <w:left w:val="none" w:sz="0" w:space="0" w:color="auto"/>
            <w:bottom w:val="none" w:sz="0" w:space="0" w:color="auto"/>
            <w:right w:val="none" w:sz="0" w:space="0" w:color="auto"/>
          </w:divBdr>
        </w:div>
      </w:divsChild>
    </w:div>
    <w:div w:id="1732773803">
      <w:bodyDiv w:val="1"/>
      <w:marLeft w:val="0"/>
      <w:marRight w:val="0"/>
      <w:marTop w:val="0"/>
      <w:marBottom w:val="0"/>
      <w:divBdr>
        <w:top w:val="none" w:sz="0" w:space="0" w:color="auto"/>
        <w:left w:val="none" w:sz="0" w:space="0" w:color="auto"/>
        <w:bottom w:val="none" w:sz="0" w:space="0" w:color="auto"/>
        <w:right w:val="none" w:sz="0" w:space="0" w:color="auto"/>
      </w:divBdr>
      <w:divsChild>
        <w:div w:id="102968759">
          <w:marLeft w:val="480"/>
          <w:marRight w:val="0"/>
          <w:marTop w:val="0"/>
          <w:marBottom w:val="0"/>
          <w:divBdr>
            <w:top w:val="none" w:sz="0" w:space="0" w:color="auto"/>
            <w:left w:val="none" w:sz="0" w:space="0" w:color="auto"/>
            <w:bottom w:val="none" w:sz="0" w:space="0" w:color="auto"/>
            <w:right w:val="none" w:sz="0" w:space="0" w:color="auto"/>
          </w:divBdr>
        </w:div>
        <w:div w:id="198788375">
          <w:marLeft w:val="480"/>
          <w:marRight w:val="0"/>
          <w:marTop w:val="0"/>
          <w:marBottom w:val="0"/>
          <w:divBdr>
            <w:top w:val="none" w:sz="0" w:space="0" w:color="auto"/>
            <w:left w:val="none" w:sz="0" w:space="0" w:color="auto"/>
            <w:bottom w:val="none" w:sz="0" w:space="0" w:color="auto"/>
            <w:right w:val="none" w:sz="0" w:space="0" w:color="auto"/>
          </w:divBdr>
        </w:div>
        <w:div w:id="705565451">
          <w:marLeft w:val="480"/>
          <w:marRight w:val="0"/>
          <w:marTop w:val="0"/>
          <w:marBottom w:val="0"/>
          <w:divBdr>
            <w:top w:val="none" w:sz="0" w:space="0" w:color="auto"/>
            <w:left w:val="none" w:sz="0" w:space="0" w:color="auto"/>
            <w:bottom w:val="none" w:sz="0" w:space="0" w:color="auto"/>
            <w:right w:val="none" w:sz="0" w:space="0" w:color="auto"/>
          </w:divBdr>
        </w:div>
        <w:div w:id="764761730">
          <w:marLeft w:val="480"/>
          <w:marRight w:val="0"/>
          <w:marTop w:val="0"/>
          <w:marBottom w:val="0"/>
          <w:divBdr>
            <w:top w:val="none" w:sz="0" w:space="0" w:color="auto"/>
            <w:left w:val="none" w:sz="0" w:space="0" w:color="auto"/>
            <w:bottom w:val="none" w:sz="0" w:space="0" w:color="auto"/>
            <w:right w:val="none" w:sz="0" w:space="0" w:color="auto"/>
          </w:divBdr>
        </w:div>
        <w:div w:id="981809131">
          <w:marLeft w:val="480"/>
          <w:marRight w:val="0"/>
          <w:marTop w:val="0"/>
          <w:marBottom w:val="0"/>
          <w:divBdr>
            <w:top w:val="none" w:sz="0" w:space="0" w:color="auto"/>
            <w:left w:val="none" w:sz="0" w:space="0" w:color="auto"/>
            <w:bottom w:val="none" w:sz="0" w:space="0" w:color="auto"/>
            <w:right w:val="none" w:sz="0" w:space="0" w:color="auto"/>
          </w:divBdr>
        </w:div>
        <w:div w:id="1034040603">
          <w:marLeft w:val="480"/>
          <w:marRight w:val="0"/>
          <w:marTop w:val="0"/>
          <w:marBottom w:val="0"/>
          <w:divBdr>
            <w:top w:val="none" w:sz="0" w:space="0" w:color="auto"/>
            <w:left w:val="none" w:sz="0" w:space="0" w:color="auto"/>
            <w:bottom w:val="none" w:sz="0" w:space="0" w:color="auto"/>
            <w:right w:val="none" w:sz="0" w:space="0" w:color="auto"/>
          </w:divBdr>
        </w:div>
        <w:div w:id="1241987449">
          <w:marLeft w:val="480"/>
          <w:marRight w:val="0"/>
          <w:marTop w:val="0"/>
          <w:marBottom w:val="0"/>
          <w:divBdr>
            <w:top w:val="none" w:sz="0" w:space="0" w:color="auto"/>
            <w:left w:val="none" w:sz="0" w:space="0" w:color="auto"/>
            <w:bottom w:val="none" w:sz="0" w:space="0" w:color="auto"/>
            <w:right w:val="none" w:sz="0" w:space="0" w:color="auto"/>
          </w:divBdr>
        </w:div>
        <w:div w:id="1273171645">
          <w:marLeft w:val="480"/>
          <w:marRight w:val="0"/>
          <w:marTop w:val="0"/>
          <w:marBottom w:val="0"/>
          <w:divBdr>
            <w:top w:val="none" w:sz="0" w:space="0" w:color="auto"/>
            <w:left w:val="none" w:sz="0" w:space="0" w:color="auto"/>
            <w:bottom w:val="none" w:sz="0" w:space="0" w:color="auto"/>
            <w:right w:val="none" w:sz="0" w:space="0" w:color="auto"/>
          </w:divBdr>
        </w:div>
        <w:div w:id="1299071483">
          <w:marLeft w:val="480"/>
          <w:marRight w:val="0"/>
          <w:marTop w:val="0"/>
          <w:marBottom w:val="0"/>
          <w:divBdr>
            <w:top w:val="none" w:sz="0" w:space="0" w:color="auto"/>
            <w:left w:val="none" w:sz="0" w:space="0" w:color="auto"/>
            <w:bottom w:val="none" w:sz="0" w:space="0" w:color="auto"/>
            <w:right w:val="none" w:sz="0" w:space="0" w:color="auto"/>
          </w:divBdr>
        </w:div>
        <w:div w:id="1312905536">
          <w:marLeft w:val="480"/>
          <w:marRight w:val="0"/>
          <w:marTop w:val="0"/>
          <w:marBottom w:val="0"/>
          <w:divBdr>
            <w:top w:val="none" w:sz="0" w:space="0" w:color="auto"/>
            <w:left w:val="none" w:sz="0" w:space="0" w:color="auto"/>
            <w:bottom w:val="none" w:sz="0" w:space="0" w:color="auto"/>
            <w:right w:val="none" w:sz="0" w:space="0" w:color="auto"/>
          </w:divBdr>
        </w:div>
        <w:div w:id="1329601420">
          <w:marLeft w:val="480"/>
          <w:marRight w:val="0"/>
          <w:marTop w:val="0"/>
          <w:marBottom w:val="0"/>
          <w:divBdr>
            <w:top w:val="none" w:sz="0" w:space="0" w:color="auto"/>
            <w:left w:val="none" w:sz="0" w:space="0" w:color="auto"/>
            <w:bottom w:val="none" w:sz="0" w:space="0" w:color="auto"/>
            <w:right w:val="none" w:sz="0" w:space="0" w:color="auto"/>
          </w:divBdr>
        </w:div>
        <w:div w:id="1689410135">
          <w:marLeft w:val="480"/>
          <w:marRight w:val="0"/>
          <w:marTop w:val="0"/>
          <w:marBottom w:val="0"/>
          <w:divBdr>
            <w:top w:val="none" w:sz="0" w:space="0" w:color="auto"/>
            <w:left w:val="none" w:sz="0" w:space="0" w:color="auto"/>
            <w:bottom w:val="none" w:sz="0" w:space="0" w:color="auto"/>
            <w:right w:val="none" w:sz="0" w:space="0" w:color="auto"/>
          </w:divBdr>
        </w:div>
        <w:div w:id="1739982010">
          <w:marLeft w:val="480"/>
          <w:marRight w:val="0"/>
          <w:marTop w:val="0"/>
          <w:marBottom w:val="0"/>
          <w:divBdr>
            <w:top w:val="none" w:sz="0" w:space="0" w:color="auto"/>
            <w:left w:val="none" w:sz="0" w:space="0" w:color="auto"/>
            <w:bottom w:val="none" w:sz="0" w:space="0" w:color="auto"/>
            <w:right w:val="none" w:sz="0" w:space="0" w:color="auto"/>
          </w:divBdr>
        </w:div>
        <w:div w:id="1766000018">
          <w:marLeft w:val="480"/>
          <w:marRight w:val="0"/>
          <w:marTop w:val="0"/>
          <w:marBottom w:val="0"/>
          <w:divBdr>
            <w:top w:val="none" w:sz="0" w:space="0" w:color="auto"/>
            <w:left w:val="none" w:sz="0" w:space="0" w:color="auto"/>
            <w:bottom w:val="none" w:sz="0" w:space="0" w:color="auto"/>
            <w:right w:val="none" w:sz="0" w:space="0" w:color="auto"/>
          </w:divBdr>
        </w:div>
        <w:div w:id="1816943769">
          <w:marLeft w:val="480"/>
          <w:marRight w:val="0"/>
          <w:marTop w:val="0"/>
          <w:marBottom w:val="0"/>
          <w:divBdr>
            <w:top w:val="none" w:sz="0" w:space="0" w:color="auto"/>
            <w:left w:val="none" w:sz="0" w:space="0" w:color="auto"/>
            <w:bottom w:val="none" w:sz="0" w:space="0" w:color="auto"/>
            <w:right w:val="none" w:sz="0" w:space="0" w:color="auto"/>
          </w:divBdr>
        </w:div>
        <w:div w:id="1939945963">
          <w:marLeft w:val="480"/>
          <w:marRight w:val="0"/>
          <w:marTop w:val="0"/>
          <w:marBottom w:val="0"/>
          <w:divBdr>
            <w:top w:val="none" w:sz="0" w:space="0" w:color="auto"/>
            <w:left w:val="none" w:sz="0" w:space="0" w:color="auto"/>
            <w:bottom w:val="none" w:sz="0" w:space="0" w:color="auto"/>
            <w:right w:val="none" w:sz="0" w:space="0" w:color="auto"/>
          </w:divBdr>
        </w:div>
        <w:div w:id="2054884182">
          <w:marLeft w:val="480"/>
          <w:marRight w:val="0"/>
          <w:marTop w:val="0"/>
          <w:marBottom w:val="0"/>
          <w:divBdr>
            <w:top w:val="none" w:sz="0" w:space="0" w:color="auto"/>
            <w:left w:val="none" w:sz="0" w:space="0" w:color="auto"/>
            <w:bottom w:val="none" w:sz="0" w:space="0" w:color="auto"/>
            <w:right w:val="none" w:sz="0" w:space="0" w:color="auto"/>
          </w:divBdr>
        </w:div>
        <w:div w:id="2100564621">
          <w:marLeft w:val="480"/>
          <w:marRight w:val="0"/>
          <w:marTop w:val="0"/>
          <w:marBottom w:val="0"/>
          <w:divBdr>
            <w:top w:val="none" w:sz="0" w:space="0" w:color="auto"/>
            <w:left w:val="none" w:sz="0" w:space="0" w:color="auto"/>
            <w:bottom w:val="none" w:sz="0" w:space="0" w:color="auto"/>
            <w:right w:val="none" w:sz="0" w:space="0" w:color="auto"/>
          </w:divBdr>
        </w:div>
      </w:divsChild>
    </w:div>
    <w:div w:id="1754743673">
      <w:bodyDiv w:val="1"/>
      <w:marLeft w:val="0"/>
      <w:marRight w:val="0"/>
      <w:marTop w:val="0"/>
      <w:marBottom w:val="0"/>
      <w:divBdr>
        <w:top w:val="none" w:sz="0" w:space="0" w:color="auto"/>
        <w:left w:val="none" w:sz="0" w:space="0" w:color="auto"/>
        <w:bottom w:val="none" w:sz="0" w:space="0" w:color="auto"/>
        <w:right w:val="none" w:sz="0" w:space="0" w:color="auto"/>
      </w:divBdr>
      <w:divsChild>
        <w:div w:id="314721793">
          <w:marLeft w:val="480"/>
          <w:marRight w:val="0"/>
          <w:marTop w:val="0"/>
          <w:marBottom w:val="0"/>
          <w:divBdr>
            <w:top w:val="none" w:sz="0" w:space="0" w:color="auto"/>
            <w:left w:val="none" w:sz="0" w:space="0" w:color="auto"/>
            <w:bottom w:val="none" w:sz="0" w:space="0" w:color="auto"/>
            <w:right w:val="none" w:sz="0" w:space="0" w:color="auto"/>
          </w:divBdr>
        </w:div>
        <w:div w:id="385184040">
          <w:marLeft w:val="480"/>
          <w:marRight w:val="0"/>
          <w:marTop w:val="0"/>
          <w:marBottom w:val="0"/>
          <w:divBdr>
            <w:top w:val="none" w:sz="0" w:space="0" w:color="auto"/>
            <w:left w:val="none" w:sz="0" w:space="0" w:color="auto"/>
            <w:bottom w:val="none" w:sz="0" w:space="0" w:color="auto"/>
            <w:right w:val="none" w:sz="0" w:space="0" w:color="auto"/>
          </w:divBdr>
        </w:div>
        <w:div w:id="682321956">
          <w:marLeft w:val="480"/>
          <w:marRight w:val="0"/>
          <w:marTop w:val="0"/>
          <w:marBottom w:val="0"/>
          <w:divBdr>
            <w:top w:val="none" w:sz="0" w:space="0" w:color="auto"/>
            <w:left w:val="none" w:sz="0" w:space="0" w:color="auto"/>
            <w:bottom w:val="none" w:sz="0" w:space="0" w:color="auto"/>
            <w:right w:val="none" w:sz="0" w:space="0" w:color="auto"/>
          </w:divBdr>
        </w:div>
        <w:div w:id="894438226">
          <w:marLeft w:val="480"/>
          <w:marRight w:val="0"/>
          <w:marTop w:val="0"/>
          <w:marBottom w:val="0"/>
          <w:divBdr>
            <w:top w:val="none" w:sz="0" w:space="0" w:color="auto"/>
            <w:left w:val="none" w:sz="0" w:space="0" w:color="auto"/>
            <w:bottom w:val="none" w:sz="0" w:space="0" w:color="auto"/>
            <w:right w:val="none" w:sz="0" w:space="0" w:color="auto"/>
          </w:divBdr>
        </w:div>
        <w:div w:id="961302125">
          <w:marLeft w:val="480"/>
          <w:marRight w:val="0"/>
          <w:marTop w:val="0"/>
          <w:marBottom w:val="0"/>
          <w:divBdr>
            <w:top w:val="none" w:sz="0" w:space="0" w:color="auto"/>
            <w:left w:val="none" w:sz="0" w:space="0" w:color="auto"/>
            <w:bottom w:val="none" w:sz="0" w:space="0" w:color="auto"/>
            <w:right w:val="none" w:sz="0" w:space="0" w:color="auto"/>
          </w:divBdr>
        </w:div>
        <w:div w:id="1007945955">
          <w:marLeft w:val="480"/>
          <w:marRight w:val="0"/>
          <w:marTop w:val="0"/>
          <w:marBottom w:val="0"/>
          <w:divBdr>
            <w:top w:val="none" w:sz="0" w:space="0" w:color="auto"/>
            <w:left w:val="none" w:sz="0" w:space="0" w:color="auto"/>
            <w:bottom w:val="none" w:sz="0" w:space="0" w:color="auto"/>
            <w:right w:val="none" w:sz="0" w:space="0" w:color="auto"/>
          </w:divBdr>
        </w:div>
        <w:div w:id="1158575701">
          <w:marLeft w:val="480"/>
          <w:marRight w:val="0"/>
          <w:marTop w:val="0"/>
          <w:marBottom w:val="0"/>
          <w:divBdr>
            <w:top w:val="none" w:sz="0" w:space="0" w:color="auto"/>
            <w:left w:val="none" w:sz="0" w:space="0" w:color="auto"/>
            <w:bottom w:val="none" w:sz="0" w:space="0" w:color="auto"/>
            <w:right w:val="none" w:sz="0" w:space="0" w:color="auto"/>
          </w:divBdr>
        </w:div>
        <w:div w:id="1176962775">
          <w:marLeft w:val="480"/>
          <w:marRight w:val="0"/>
          <w:marTop w:val="0"/>
          <w:marBottom w:val="0"/>
          <w:divBdr>
            <w:top w:val="none" w:sz="0" w:space="0" w:color="auto"/>
            <w:left w:val="none" w:sz="0" w:space="0" w:color="auto"/>
            <w:bottom w:val="none" w:sz="0" w:space="0" w:color="auto"/>
            <w:right w:val="none" w:sz="0" w:space="0" w:color="auto"/>
          </w:divBdr>
        </w:div>
        <w:div w:id="1186091173">
          <w:marLeft w:val="480"/>
          <w:marRight w:val="0"/>
          <w:marTop w:val="0"/>
          <w:marBottom w:val="0"/>
          <w:divBdr>
            <w:top w:val="none" w:sz="0" w:space="0" w:color="auto"/>
            <w:left w:val="none" w:sz="0" w:space="0" w:color="auto"/>
            <w:bottom w:val="none" w:sz="0" w:space="0" w:color="auto"/>
            <w:right w:val="none" w:sz="0" w:space="0" w:color="auto"/>
          </w:divBdr>
        </w:div>
        <w:div w:id="1298486534">
          <w:marLeft w:val="480"/>
          <w:marRight w:val="0"/>
          <w:marTop w:val="0"/>
          <w:marBottom w:val="0"/>
          <w:divBdr>
            <w:top w:val="none" w:sz="0" w:space="0" w:color="auto"/>
            <w:left w:val="none" w:sz="0" w:space="0" w:color="auto"/>
            <w:bottom w:val="none" w:sz="0" w:space="0" w:color="auto"/>
            <w:right w:val="none" w:sz="0" w:space="0" w:color="auto"/>
          </w:divBdr>
        </w:div>
        <w:div w:id="1444835844">
          <w:marLeft w:val="480"/>
          <w:marRight w:val="0"/>
          <w:marTop w:val="0"/>
          <w:marBottom w:val="0"/>
          <w:divBdr>
            <w:top w:val="none" w:sz="0" w:space="0" w:color="auto"/>
            <w:left w:val="none" w:sz="0" w:space="0" w:color="auto"/>
            <w:bottom w:val="none" w:sz="0" w:space="0" w:color="auto"/>
            <w:right w:val="none" w:sz="0" w:space="0" w:color="auto"/>
          </w:divBdr>
        </w:div>
        <w:div w:id="1473982785">
          <w:marLeft w:val="480"/>
          <w:marRight w:val="0"/>
          <w:marTop w:val="0"/>
          <w:marBottom w:val="0"/>
          <w:divBdr>
            <w:top w:val="none" w:sz="0" w:space="0" w:color="auto"/>
            <w:left w:val="none" w:sz="0" w:space="0" w:color="auto"/>
            <w:bottom w:val="none" w:sz="0" w:space="0" w:color="auto"/>
            <w:right w:val="none" w:sz="0" w:space="0" w:color="auto"/>
          </w:divBdr>
        </w:div>
        <w:div w:id="1700471098">
          <w:marLeft w:val="480"/>
          <w:marRight w:val="0"/>
          <w:marTop w:val="0"/>
          <w:marBottom w:val="0"/>
          <w:divBdr>
            <w:top w:val="none" w:sz="0" w:space="0" w:color="auto"/>
            <w:left w:val="none" w:sz="0" w:space="0" w:color="auto"/>
            <w:bottom w:val="none" w:sz="0" w:space="0" w:color="auto"/>
            <w:right w:val="none" w:sz="0" w:space="0" w:color="auto"/>
          </w:divBdr>
        </w:div>
        <w:div w:id="1932005157">
          <w:marLeft w:val="480"/>
          <w:marRight w:val="0"/>
          <w:marTop w:val="0"/>
          <w:marBottom w:val="0"/>
          <w:divBdr>
            <w:top w:val="none" w:sz="0" w:space="0" w:color="auto"/>
            <w:left w:val="none" w:sz="0" w:space="0" w:color="auto"/>
            <w:bottom w:val="none" w:sz="0" w:space="0" w:color="auto"/>
            <w:right w:val="none" w:sz="0" w:space="0" w:color="auto"/>
          </w:divBdr>
        </w:div>
        <w:div w:id="2090690903">
          <w:marLeft w:val="480"/>
          <w:marRight w:val="0"/>
          <w:marTop w:val="0"/>
          <w:marBottom w:val="0"/>
          <w:divBdr>
            <w:top w:val="none" w:sz="0" w:space="0" w:color="auto"/>
            <w:left w:val="none" w:sz="0" w:space="0" w:color="auto"/>
            <w:bottom w:val="none" w:sz="0" w:space="0" w:color="auto"/>
            <w:right w:val="none" w:sz="0" w:space="0" w:color="auto"/>
          </w:divBdr>
        </w:div>
      </w:divsChild>
    </w:div>
    <w:div w:id="1795126338">
      <w:bodyDiv w:val="1"/>
      <w:marLeft w:val="0"/>
      <w:marRight w:val="0"/>
      <w:marTop w:val="0"/>
      <w:marBottom w:val="0"/>
      <w:divBdr>
        <w:top w:val="none" w:sz="0" w:space="0" w:color="auto"/>
        <w:left w:val="none" w:sz="0" w:space="0" w:color="auto"/>
        <w:bottom w:val="none" w:sz="0" w:space="0" w:color="auto"/>
        <w:right w:val="none" w:sz="0" w:space="0" w:color="auto"/>
      </w:divBdr>
      <w:divsChild>
        <w:div w:id="128406821">
          <w:marLeft w:val="480"/>
          <w:marRight w:val="0"/>
          <w:marTop w:val="0"/>
          <w:marBottom w:val="0"/>
          <w:divBdr>
            <w:top w:val="none" w:sz="0" w:space="0" w:color="auto"/>
            <w:left w:val="none" w:sz="0" w:space="0" w:color="auto"/>
            <w:bottom w:val="none" w:sz="0" w:space="0" w:color="auto"/>
            <w:right w:val="none" w:sz="0" w:space="0" w:color="auto"/>
          </w:divBdr>
        </w:div>
        <w:div w:id="230121705">
          <w:marLeft w:val="480"/>
          <w:marRight w:val="0"/>
          <w:marTop w:val="0"/>
          <w:marBottom w:val="0"/>
          <w:divBdr>
            <w:top w:val="none" w:sz="0" w:space="0" w:color="auto"/>
            <w:left w:val="none" w:sz="0" w:space="0" w:color="auto"/>
            <w:bottom w:val="none" w:sz="0" w:space="0" w:color="auto"/>
            <w:right w:val="none" w:sz="0" w:space="0" w:color="auto"/>
          </w:divBdr>
        </w:div>
        <w:div w:id="623853504">
          <w:marLeft w:val="480"/>
          <w:marRight w:val="0"/>
          <w:marTop w:val="0"/>
          <w:marBottom w:val="0"/>
          <w:divBdr>
            <w:top w:val="none" w:sz="0" w:space="0" w:color="auto"/>
            <w:left w:val="none" w:sz="0" w:space="0" w:color="auto"/>
            <w:bottom w:val="none" w:sz="0" w:space="0" w:color="auto"/>
            <w:right w:val="none" w:sz="0" w:space="0" w:color="auto"/>
          </w:divBdr>
        </w:div>
        <w:div w:id="706299048">
          <w:marLeft w:val="480"/>
          <w:marRight w:val="0"/>
          <w:marTop w:val="0"/>
          <w:marBottom w:val="0"/>
          <w:divBdr>
            <w:top w:val="none" w:sz="0" w:space="0" w:color="auto"/>
            <w:left w:val="none" w:sz="0" w:space="0" w:color="auto"/>
            <w:bottom w:val="none" w:sz="0" w:space="0" w:color="auto"/>
            <w:right w:val="none" w:sz="0" w:space="0" w:color="auto"/>
          </w:divBdr>
        </w:div>
        <w:div w:id="749883774">
          <w:marLeft w:val="480"/>
          <w:marRight w:val="0"/>
          <w:marTop w:val="0"/>
          <w:marBottom w:val="0"/>
          <w:divBdr>
            <w:top w:val="none" w:sz="0" w:space="0" w:color="auto"/>
            <w:left w:val="none" w:sz="0" w:space="0" w:color="auto"/>
            <w:bottom w:val="none" w:sz="0" w:space="0" w:color="auto"/>
            <w:right w:val="none" w:sz="0" w:space="0" w:color="auto"/>
          </w:divBdr>
        </w:div>
        <w:div w:id="768937112">
          <w:marLeft w:val="480"/>
          <w:marRight w:val="0"/>
          <w:marTop w:val="0"/>
          <w:marBottom w:val="0"/>
          <w:divBdr>
            <w:top w:val="none" w:sz="0" w:space="0" w:color="auto"/>
            <w:left w:val="none" w:sz="0" w:space="0" w:color="auto"/>
            <w:bottom w:val="none" w:sz="0" w:space="0" w:color="auto"/>
            <w:right w:val="none" w:sz="0" w:space="0" w:color="auto"/>
          </w:divBdr>
        </w:div>
        <w:div w:id="953560087">
          <w:marLeft w:val="480"/>
          <w:marRight w:val="0"/>
          <w:marTop w:val="0"/>
          <w:marBottom w:val="0"/>
          <w:divBdr>
            <w:top w:val="none" w:sz="0" w:space="0" w:color="auto"/>
            <w:left w:val="none" w:sz="0" w:space="0" w:color="auto"/>
            <w:bottom w:val="none" w:sz="0" w:space="0" w:color="auto"/>
            <w:right w:val="none" w:sz="0" w:space="0" w:color="auto"/>
          </w:divBdr>
        </w:div>
        <w:div w:id="1139493924">
          <w:marLeft w:val="480"/>
          <w:marRight w:val="0"/>
          <w:marTop w:val="0"/>
          <w:marBottom w:val="0"/>
          <w:divBdr>
            <w:top w:val="none" w:sz="0" w:space="0" w:color="auto"/>
            <w:left w:val="none" w:sz="0" w:space="0" w:color="auto"/>
            <w:bottom w:val="none" w:sz="0" w:space="0" w:color="auto"/>
            <w:right w:val="none" w:sz="0" w:space="0" w:color="auto"/>
          </w:divBdr>
        </w:div>
        <w:div w:id="1171531660">
          <w:marLeft w:val="480"/>
          <w:marRight w:val="0"/>
          <w:marTop w:val="0"/>
          <w:marBottom w:val="0"/>
          <w:divBdr>
            <w:top w:val="none" w:sz="0" w:space="0" w:color="auto"/>
            <w:left w:val="none" w:sz="0" w:space="0" w:color="auto"/>
            <w:bottom w:val="none" w:sz="0" w:space="0" w:color="auto"/>
            <w:right w:val="none" w:sz="0" w:space="0" w:color="auto"/>
          </w:divBdr>
        </w:div>
        <w:div w:id="1246762557">
          <w:marLeft w:val="480"/>
          <w:marRight w:val="0"/>
          <w:marTop w:val="0"/>
          <w:marBottom w:val="0"/>
          <w:divBdr>
            <w:top w:val="none" w:sz="0" w:space="0" w:color="auto"/>
            <w:left w:val="none" w:sz="0" w:space="0" w:color="auto"/>
            <w:bottom w:val="none" w:sz="0" w:space="0" w:color="auto"/>
            <w:right w:val="none" w:sz="0" w:space="0" w:color="auto"/>
          </w:divBdr>
        </w:div>
        <w:div w:id="1879076628">
          <w:marLeft w:val="480"/>
          <w:marRight w:val="0"/>
          <w:marTop w:val="0"/>
          <w:marBottom w:val="0"/>
          <w:divBdr>
            <w:top w:val="none" w:sz="0" w:space="0" w:color="auto"/>
            <w:left w:val="none" w:sz="0" w:space="0" w:color="auto"/>
            <w:bottom w:val="none" w:sz="0" w:space="0" w:color="auto"/>
            <w:right w:val="none" w:sz="0" w:space="0" w:color="auto"/>
          </w:divBdr>
        </w:div>
        <w:div w:id="1919051204">
          <w:marLeft w:val="480"/>
          <w:marRight w:val="0"/>
          <w:marTop w:val="0"/>
          <w:marBottom w:val="0"/>
          <w:divBdr>
            <w:top w:val="none" w:sz="0" w:space="0" w:color="auto"/>
            <w:left w:val="none" w:sz="0" w:space="0" w:color="auto"/>
            <w:bottom w:val="none" w:sz="0" w:space="0" w:color="auto"/>
            <w:right w:val="none" w:sz="0" w:space="0" w:color="auto"/>
          </w:divBdr>
        </w:div>
        <w:div w:id="2001077566">
          <w:marLeft w:val="480"/>
          <w:marRight w:val="0"/>
          <w:marTop w:val="0"/>
          <w:marBottom w:val="0"/>
          <w:divBdr>
            <w:top w:val="none" w:sz="0" w:space="0" w:color="auto"/>
            <w:left w:val="none" w:sz="0" w:space="0" w:color="auto"/>
            <w:bottom w:val="none" w:sz="0" w:space="0" w:color="auto"/>
            <w:right w:val="none" w:sz="0" w:space="0" w:color="auto"/>
          </w:divBdr>
        </w:div>
        <w:div w:id="2052223132">
          <w:marLeft w:val="480"/>
          <w:marRight w:val="0"/>
          <w:marTop w:val="0"/>
          <w:marBottom w:val="0"/>
          <w:divBdr>
            <w:top w:val="none" w:sz="0" w:space="0" w:color="auto"/>
            <w:left w:val="none" w:sz="0" w:space="0" w:color="auto"/>
            <w:bottom w:val="none" w:sz="0" w:space="0" w:color="auto"/>
            <w:right w:val="none" w:sz="0" w:space="0" w:color="auto"/>
          </w:divBdr>
        </w:div>
        <w:div w:id="2122528034">
          <w:marLeft w:val="480"/>
          <w:marRight w:val="0"/>
          <w:marTop w:val="0"/>
          <w:marBottom w:val="0"/>
          <w:divBdr>
            <w:top w:val="none" w:sz="0" w:space="0" w:color="auto"/>
            <w:left w:val="none" w:sz="0" w:space="0" w:color="auto"/>
            <w:bottom w:val="none" w:sz="0" w:space="0" w:color="auto"/>
            <w:right w:val="none" w:sz="0" w:space="0" w:color="auto"/>
          </w:divBdr>
        </w:div>
      </w:divsChild>
    </w:div>
    <w:div w:id="1819959486">
      <w:bodyDiv w:val="1"/>
      <w:marLeft w:val="0"/>
      <w:marRight w:val="0"/>
      <w:marTop w:val="0"/>
      <w:marBottom w:val="0"/>
      <w:divBdr>
        <w:top w:val="none" w:sz="0" w:space="0" w:color="auto"/>
        <w:left w:val="none" w:sz="0" w:space="0" w:color="auto"/>
        <w:bottom w:val="none" w:sz="0" w:space="0" w:color="auto"/>
        <w:right w:val="none" w:sz="0" w:space="0" w:color="auto"/>
      </w:divBdr>
      <w:divsChild>
        <w:div w:id="349646752">
          <w:marLeft w:val="480"/>
          <w:marRight w:val="0"/>
          <w:marTop w:val="0"/>
          <w:marBottom w:val="0"/>
          <w:divBdr>
            <w:top w:val="none" w:sz="0" w:space="0" w:color="auto"/>
            <w:left w:val="none" w:sz="0" w:space="0" w:color="auto"/>
            <w:bottom w:val="none" w:sz="0" w:space="0" w:color="auto"/>
            <w:right w:val="none" w:sz="0" w:space="0" w:color="auto"/>
          </w:divBdr>
        </w:div>
        <w:div w:id="365642212">
          <w:marLeft w:val="480"/>
          <w:marRight w:val="0"/>
          <w:marTop w:val="0"/>
          <w:marBottom w:val="0"/>
          <w:divBdr>
            <w:top w:val="none" w:sz="0" w:space="0" w:color="auto"/>
            <w:left w:val="none" w:sz="0" w:space="0" w:color="auto"/>
            <w:bottom w:val="none" w:sz="0" w:space="0" w:color="auto"/>
            <w:right w:val="none" w:sz="0" w:space="0" w:color="auto"/>
          </w:divBdr>
        </w:div>
        <w:div w:id="795832091">
          <w:marLeft w:val="480"/>
          <w:marRight w:val="0"/>
          <w:marTop w:val="0"/>
          <w:marBottom w:val="0"/>
          <w:divBdr>
            <w:top w:val="none" w:sz="0" w:space="0" w:color="auto"/>
            <w:left w:val="none" w:sz="0" w:space="0" w:color="auto"/>
            <w:bottom w:val="none" w:sz="0" w:space="0" w:color="auto"/>
            <w:right w:val="none" w:sz="0" w:space="0" w:color="auto"/>
          </w:divBdr>
        </w:div>
        <w:div w:id="820585780">
          <w:marLeft w:val="480"/>
          <w:marRight w:val="0"/>
          <w:marTop w:val="0"/>
          <w:marBottom w:val="0"/>
          <w:divBdr>
            <w:top w:val="none" w:sz="0" w:space="0" w:color="auto"/>
            <w:left w:val="none" w:sz="0" w:space="0" w:color="auto"/>
            <w:bottom w:val="none" w:sz="0" w:space="0" w:color="auto"/>
            <w:right w:val="none" w:sz="0" w:space="0" w:color="auto"/>
          </w:divBdr>
        </w:div>
        <w:div w:id="852576229">
          <w:marLeft w:val="480"/>
          <w:marRight w:val="0"/>
          <w:marTop w:val="0"/>
          <w:marBottom w:val="0"/>
          <w:divBdr>
            <w:top w:val="none" w:sz="0" w:space="0" w:color="auto"/>
            <w:left w:val="none" w:sz="0" w:space="0" w:color="auto"/>
            <w:bottom w:val="none" w:sz="0" w:space="0" w:color="auto"/>
            <w:right w:val="none" w:sz="0" w:space="0" w:color="auto"/>
          </w:divBdr>
        </w:div>
        <w:div w:id="991451504">
          <w:marLeft w:val="480"/>
          <w:marRight w:val="0"/>
          <w:marTop w:val="0"/>
          <w:marBottom w:val="0"/>
          <w:divBdr>
            <w:top w:val="none" w:sz="0" w:space="0" w:color="auto"/>
            <w:left w:val="none" w:sz="0" w:space="0" w:color="auto"/>
            <w:bottom w:val="none" w:sz="0" w:space="0" w:color="auto"/>
            <w:right w:val="none" w:sz="0" w:space="0" w:color="auto"/>
          </w:divBdr>
        </w:div>
        <w:div w:id="998188965">
          <w:marLeft w:val="480"/>
          <w:marRight w:val="0"/>
          <w:marTop w:val="0"/>
          <w:marBottom w:val="0"/>
          <w:divBdr>
            <w:top w:val="none" w:sz="0" w:space="0" w:color="auto"/>
            <w:left w:val="none" w:sz="0" w:space="0" w:color="auto"/>
            <w:bottom w:val="none" w:sz="0" w:space="0" w:color="auto"/>
            <w:right w:val="none" w:sz="0" w:space="0" w:color="auto"/>
          </w:divBdr>
        </w:div>
        <w:div w:id="1243873967">
          <w:marLeft w:val="480"/>
          <w:marRight w:val="0"/>
          <w:marTop w:val="0"/>
          <w:marBottom w:val="0"/>
          <w:divBdr>
            <w:top w:val="none" w:sz="0" w:space="0" w:color="auto"/>
            <w:left w:val="none" w:sz="0" w:space="0" w:color="auto"/>
            <w:bottom w:val="none" w:sz="0" w:space="0" w:color="auto"/>
            <w:right w:val="none" w:sz="0" w:space="0" w:color="auto"/>
          </w:divBdr>
        </w:div>
        <w:div w:id="1315798562">
          <w:marLeft w:val="480"/>
          <w:marRight w:val="0"/>
          <w:marTop w:val="0"/>
          <w:marBottom w:val="0"/>
          <w:divBdr>
            <w:top w:val="none" w:sz="0" w:space="0" w:color="auto"/>
            <w:left w:val="none" w:sz="0" w:space="0" w:color="auto"/>
            <w:bottom w:val="none" w:sz="0" w:space="0" w:color="auto"/>
            <w:right w:val="none" w:sz="0" w:space="0" w:color="auto"/>
          </w:divBdr>
        </w:div>
        <w:div w:id="1641349682">
          <w:marLeft w:val="480"/>
          <w:marRight w:val="0"/>
          <w:marTop w:val="0"/>
          <w:marBottom w:val="0"/>
          <w:divBdr>
            <w:top w:val="none" w:sz="0" w:space="0" w:color="auto"/>
            <w:left w:val="none" w:sz="0" w:space="0" w:color="auto"/>
            <w:bottom w:val="none" w:sz="0" w:space="0" w:color="auto"/>
            <w:right w:val="none" w:sz="0" w:space="0" w:color="auto"/>
          </w:divBdr>
        </w:div>
        <w:div w:id="1658533790">
          <w:marLeft w:val="480"/>
          <w:marRight w:val="0"/>
          <w:marTop w:val="0"/>
          <w:marBottom w:val="0"/>
          <w:divBdr>
            <w:top w:val="none" w:sz="0" w:space="0" w:color="auto"/>
            <w:left w:val="none" w:sz="0" w:space="0" w:color="auto"/>
            <w:bottom w:val="none" w:sz="0" w:space="0" w:color="auto"/>
            <w:right w:val="none" w:sz="0" w:space="0" w:color="auto"/>
          </w:divBdr>
        </w:div>
        <w:div w:id="1886526395">
          <w:marLeft w:val="480"/>
          <w:marRight w:val="0"/>
          <w:marTop w:val="0"/>
          <w:marBottom w:val="0"/>
          <w:divBdr>
            <w:top w:val="none" w:sz="0" w:space="0" w:color="auto"/>
            <w:left w:val="none" w:sz="0" w:space="0" w:color="auto"/>
            <w:bottom w:val="none" w:sz="0" w:space="0" w:color="auto"/>
            <w:right w:val="none" w:sz="0" w:space="0" w:color="auto"/>
          </w:divBdr>
        </w:div>
        <w:div w:id="2031684904">
          <w:marLeft w:val="480"/>
          <w:marRight w:val="0"/>
          <w:marTop w:val="0"/>
          <w:marBottom w:val="0"/>
          <w:divBdr>
            <w:top w:val="none" w:sz="0" w:space="0" w:color="auto"/>
            <w:left w:val="none" w:sz="0" w:space="0" w:color="auto"/>
            <w:bottom w:val="none" w:sz="0" w:space="0" w:color="auto"/>
            <w:right w:val="none" w:sz="0" w:space="0" w:color="auto"/>
          </w:divBdr>
        </w:div>
        <w:div w:id="2085373667">
          <w:marLeft w:val="480"/>
          <w:marRight w:val="0"/>
          <w:marTop w:val="0"/>
          <w:marBottom w:val="0"/>
          <w:divBdr>
            <w:top w:val="none" w:sz="0" w:space="0" w:color="auto"/>
            <w:left w:val="none" w:sz="0" w:space="0" w:color="auto"/>
            <w:bottom w:val="none" w:sz="0" w:space="0" w:color="auto"/>
            <w:right w:val="none" w:sz="0" w:space="0" w:color="auto"/>
          </w:divBdr>
        </w:div>
        <w:div w:id="2089687597">
          <w:marLeft w:val="480"/>
          <w:marRight w:val="0"/>
          <w:marTop w:val="0"/>
          <w:marBottom w:val="0"/>
          <w:divBdr>
            <w:top w:val="none" w:sz="0" w:space="0" w:color="auto"/>
            <w:left w:val="none" w:sz="0" w:space="0" w:color="auto"/>
            <w:bottom w:val="none" w:sz="0" w:space="0" w:color="auto"/>
            <w:right w:val="none" w:sz="0" w:space="0" w:color="auto"/>
          </w:divBdr>
        </w:div>
        <w:div w:id="2113893768">
          <w:marLeft w:val="480"/>
          <w:marRight w:val="0"/>
          <w:marTop w:val="0"/>
          <w:marBottom w:val="0"/>
          <w:divBdr>
            <w:top w:val="none" w:sz="0" w:space="0" w:color="auto"/>
            <w:left w:val="none" w:sz="0" w:space="0" w:color="auto"/>
            <w:bottom w:val="none" w:sz="0" w:space="0" w:color="auto"/>
            <w:right w:val="none" w:sz="0" w:space="0" w:color="auto"/>
          </w:divBdr>
        </w:div>
      </w:divsChild>
    </w:div>
    <w:div w:id="1891577415">
      <w:bodyDiv w:val="1"/>
      <w:marLeft w:val="0"/>
      <w:marRight w:val="0"/>
      <w:marTop w:val="0"/>
      <w:marBottom w:val="0"/>
      <w:divBdr>
        <w:top w:val="none" w:sz="0" w:space="0" w:color="auto"/>
        <w:left w:val="none" w:sz="0" w:space="0" w:color="auto"/>
        <w:bottom w:val="none" w:sz="0" w:space="0" w:color="auto"/>
        <w:right w:val="none" w:sz="0" w:space="0" w:color="auto"/>
      </w:divBdr>
      <w:divsChild>
        <w:div w:id="93093339">
          <w:marLeft w:val="480"/>
          <w:marRight w:val="0"/>
          <w:marTop w:val="0"/>
          <w:marBottom w:val="0"/>
          <w:divBdr>
            <w:top w:val="none" w:sz="0" w:space="0" w:color="auto"/>
            <w:left w:val="none" w:sz="0" w:space="0" w:color="auto"/>
            <w:bottom w:val="none" w:sz="0" w:space="0" w:color="auto"/>
            <w:right w:val="none" w:sz="0" w:space="0" w:color="auto"/>
          </w:divBdr>
        </w:div>
        <w:div w:id="161699726">
          <w:marLeft w:val="480"/>
          <w:marRight w:val="0"/>
          <w:marTop w:val="0"/>
          <w:marBottom w:val="0"/>
          <w:divBdr>
            <w:top w:val="none" w:sz="0" w:space="0" w:color="auto"/>
            <w:left w:val="none" w:sz="0" w:space="0" w:color="auto"/>
            <w:bottom w:val="none" w:sz="0" w:space="0" w:color="auto"/>
            <w:right w:val="none" w:sz="0" w:space="0" w:color="auto"/>
          </w:divBdr>
        </w:div>
        <w:div w:id="342052758">
          <w:marLeft w:val="480"/>
          <w:marRight w:val="0"/>
          <w:marTop w:val="0"/>
          <w:marBottom w:val="0"/>
          <w:divBdr>
            <w:top w:val="none" w:sz="0" w:space="0" w:color="auto"/>
            <w:left w:val="none" w:sz="0" w:space="0" w:color="auto"/>
            <w:bottom w:val="none" w:sz="0" w:space="0" w:color="auto"/>
            <w:right w:val="none" w:sz="0" w:space="0" w:color="auto"/>
          </w:divBdr>
        </w:div>
        <w:div w:id="391000708">
          <w:marLeft w:val="480"/>
          <w:marRight w:val="0"/>
          <w:marTop w:val="0"/>
          <w:marBottom w:val="0"/>
          <w:divBdr>
            <w:top w:val="none" w:sz="0" w:space="0" w:color="auto"/>
            <w:left w:val="none" w:sz="0" w:space="0" w:color="auto"/>
            <w:bottom w:val="none" w:sz="0" w:space="0" w:color="auto"/>
            <w:right w:val="none" w:sz="0" w:space="0" w:color="auto"/>
          </w:divBdr>
        </w:div>
        <w:div w:id="627048548">
          <w:marLeft w:val="480"/>
          <w:marRight w:val="0"/>
          <w:marTop w:val="0"/>
          <w:marBottom w:val="0"/>
          <w:divBdr>
            <w:top w:val="none" w:sz="0" w:space="0" w:color="auto"/>
            <w:left w:val="none" w:sz="0" w:space="0" w:color="auto"/>
            <w:bottom w:val="none" w:sz="0" w:space="0" w:color="auto"/>
            <w:right w:val="none" w:sz="0" w:space="0" w:color="auto"/>
          </w:divBdr>
        </w:div>
        <w:div w:id="889655957">
          <w:marLeft w:val="480"/>
          <w:marRight w:val="0"/>
          <w:marTop w:val="0"/>
          <w:marBottom w:val="0"/>
          <w:divBdr>
            <w:top w:val="none" w:sz="0" w:space="0" w:color="auto"/>
            <w:left w:val="none" w:sz="0" w:space="0" w:color="auto"/>
            <w:bottom w:val="none" w:sz="0" w:space="0" w:color="auto"/>
            <w:right w:val="none" w:sz="0" w:space="0" w:color="auto"/>
          </w:divBdr>
        </w:div>
        <w:div w:id="925924626">
          <w:marLeft w:val="480"/>
          <w:marRight w:val="0"/>
          <w:marTop w:val="0"/>
          <w:marBottom w:val="0"/>
          <w:divBdr>
            <w:top w:val="none" w:sz="0" w:space="0" w:color="auto"/>
            <w:left w:val="none" w:sz="0" w:space="0" w:color="auto"/>
            <w:bottom w:val="none" w:sz="0" w:space="0" w:color="auto"/>
            <w:right w:val="none" w:sz="0" w:space="0" w:color="auto"/>
          </w:divBdr>
        </w:div>
        <w:div w:id="931822035">
          <w:marLeft w:val="480"/>
          <w:marRight w:val="0"/>
          <w:marTop w:val="0"/>
          <w:marBottom w:val="0"/>
          <w:divBdr>
            <w:top w:val="none" w:sz="0" w:space="0" w:color="auto"/>
            <w:left w:val="none" w:sz="0" w:space="0" w:color="auto"/>
            <w:bottom w:val="none" w:sz="0" w:space="0" w:color="auto"/>
            <w:right w:val="none" w:sz="0" w:space="0" w:color="auto"/>
          </w:divBdr>
        </w:div>
        <w:div w:id="1037315947">
          <w:marLeft w:val="480"/>
          <w:marRight w:val="0"/>
          <w:marTop w:val="0"/>
          <w:marBottom w:val="0"/>
          <w:divBdr>
            <w:top w:val="none" w:sz="0" w:space="0" w:color="auto"/>
            <w:left w:val="none" w:sz="0" w:space="0" w:color="auto"/>
            <w:bottom w:val="none" w:sz="0" w:space="0" w:color="auto"/>
            <w:right w:val="none" w:sz="0" w:space="0" w:color="auto"/>
          </w:divBdr>
        </w:div>
        <w:div w:id="1129662203">
          <w:marLeft w:val="480"/>
          <w:marRight w:val="0"/>
          <w:marTop w:val="0"/>
          <w:marBottom w:val="0"/>
          <w:divBdr>
            <w:top w:val="none" w:sz="0" w:space="0" w:color="auto"/>
            <w:left w:val="none" w:sz="0" w:space="0" w:color="auto"/>
            <w:bottom w:val="none" w:sz="0" w:space="0" w:color="auto"/>
            <w:right w:val="none" w:sz="0" w:space="0" w:color="auto"/>
          </w:divBdr>
        </w:div>
        <w:div w:id="1208028163">
          <w:marLeft w:val="480"/>
          <w:marRight w:val="0"/>
          <w:marTop w:val="0"/>
          <w:marBottom w:val="0"/>
          <w:divBdr>
            <w:top w:val="none" w:sz="0" w:space="0" w:color="auto"/>
            <w:left w:val="none" w:sz="0" w:space="0" w:color="auto"/>
            <w:bottom w:val="none" w:sz="0" w:space="0" w:color="auto"/>
            <w:right w:val="none" w:sz="0" w:space="0" w:color="auto"/>
          </w:divBdr>
        </w:div>
        <w:div w:id="1242376621">
          <w:marLeft w:val="480"/>
          <w:marRight w:val="0"/>
          <w:marTop w:val="0"/>
          <w:marBottom w:val="0"/>
          <w:divBdr>
            <w:top w:val="none" w:sz="0" w:space="0" w:color="auto"/>
            <w:left w:val="none" w:sz="0" w:space="0" w:color="auto"/>
            <w:bottom w:val="none" w:sz="0" w:space="0" w:color="auto"/>
            <w:right w:val="none" w:sz="0" w:space="0" w:color="auto"/>
          </w:divBdr>
        </w:div>
        <w:div w:id="1272282229">
          <w:marLeft w:val="480"/>
          <w:marRight w:val="0"/>
          <w:marTop w:val="0"/>
          <w:marBottom w:val="0"/>
          <w:divBdr>
            <w:top w:val="none" w:sz="0" w:space="0" w:color="auto"/>
            <w:left w:val="none" w:sz="0" w:space="0" w:color="auto"/>
            <w:bottom w:val="none" w:sz="0" w:space="0" w:color="auto"/>
            <w:right w:val="none" w:sz="0" w:space="0" w:color="auto"/>
          </w:divBdr>
        </w:div>
        <w:div w:id="1581519471">
          <w:marLeft w:val="480"/>
          <w:marRight w:val="0"/>
          <w:marTop w:val="0"/>
          <w:marBottom w:val="0"/>
          <w:divBdr>
            <w:top w:val="none" w:sz="0" w:space="0" w:color="auto"/>
            <w:left w:val="none" w:sz="0" w:space="0" w:color="auto"/>
            <w:bottom w:val="none" w:sz="0" w:space="0" w:color="auto"/>
            <w:right w:val="none" w:sz="0" w:space="0" w:color="auto"/>
          </w:divBdr>
        </w:div>
        <w:div w:id="1736663003">
          <w:marLeft w:val="480"/>
          <w:marRight w:val="0"/>
          <w:marTop w:val="0"/>
          <w:marBottom w:val="0"/>
          <w:divBdr>
            <w:top w:val="none" w:sz="0" w:space="0" w:color="auto"/>
            <w:left w:val="none" w:sz="0" w:space="0" w:color="auto"/>
            <w:bottom w:val="none" w:sz="0" w:space="0" w:color="auto"/>
            <w:right w:val="none" w:sz="0" w:space="0" w:color="auto"/>
          </w:divBdr>
        </w:div>
        <w:div w:id="1810319133">
          <w:marLeft w:val="480"/>
          <w:marRight w:val="0"/>
          <w:marTop w:val="0"/>
          <w:marBottom w:val="0"/>
          <w:divBdr>
            <w:top w:val="none" w:sz="0" w:space="0" w:color="auto"/>
            <w:left w:val="none" w:sz="0" w:space="0" w:color="auto"/>
            <w:bottom w:val="none" w:sz="0" w:space="0" w:color="auto"/>
            <w:right w:val="none" w:sz="0" w:space="0" w:color="auto"/>
          </w:divBdr>
        </w:div>
        <w:div w:id="1993243908">
          <w:marLeft w:val="480"/>
          <w:marRight w:val="0"/>
          <w:marTop w:val="0"/>
          <w:marBottom w:val="0"/>
          <w:divBdr>
            <w:top w:val="none" w:sz="0" w:space="0" w:color="auto"/>
            <w:left w:val="none" w:sz="0" w:space="0" w:color="auto"/>
            <w:bottom w:val="none" w:sz="0" w:space="0" w:color="auto"/>
            <w:right w:val="none" w:sz="0" w:space="0" w:color="auto"/>
          </w:divBdr>
        </w:div>
        <w:div w:id="2115321910">
          <w:marLeft w:val="480"/>
          <w:marRight w:val="0"/>
          <w:marTop w:val="0"/>
          <w:marBottom w:val="0"/>
          <w:divBdr>
            <w:top w:val="none" w:sz="0" w:space="0" w:color="auto"/>
            <w:left w:val="none" w:sz="0" w:space="0" w:color="auto"/>
            <w:bottom w:val="none" w:sz="0" w:space="0" w:color="auto"/>
            <w:right w:val="none" w:sz="0" w:space="0" w:color="auto"/>
          </w:divBdr>
        </w:div>
      </w:divsChild>
    </w:div>
    <w:div w:id="1893880343">
      <w:bodyDiv w:val="1"/>
      <w:marLeft w:val="0"/>
      <w:marRight w:val="0"/>
      <w:marTop w:val="0"/>
      <w:marBottom w:val="0"/>
      <w:divBdr>
        <w:top w:val="none" w:sz="0" w:space="0" w:color="auto"/>
        <w:left w:val="none" w:sz="0" w:space="0" w:color="auto"/>
        <w:bottom w:val="none" w:sz="0" w:space="0" w:color="auto"/>
        <w:right w:val="none" w:sz="0" w:space="0" w:color="auto"/>
      </w:divBdr>
      <w:divsChild>
        <w:div w:id="336272167">
          <w:marLeft w:val="480"/>
          <w:marRight w:val="0"/>
          <w:marTop w:val="0"/>
          <w:marBottom w:val="0"/>
          <w:divBdr>
            <w:top w:val="none" w:sz="0" w:space="0" w:color="auto"/>
            <w:left w:val="none" w:sz="0" w:space="0" w:color="auto"/>
            <w:bottom w:val="none" w:sz="0" w:space="0" w:color="auto"/>
            <w:right w:val="none" w:sz="0" w:space="0" w:color="auto"/>
          </w:divBdr>
        </w:div>
        <w:div w:id="596065460">
          <w:marLeft w:val="480"/>
          <w:marRight w:val="0"/>
          <w:marTop w:val="0"/>
          <w:marBottom w:val="0"/>
          <w:divBdr>
            <w:top w:val="none" w:sz="0" w:space="0" w:color="auto"/>
            <w:left w:val="none" w:sz="0" w:space="0" w:color="auto"/>
            <w:bottom w:val="none" w:sz="0" w:space="0" w:color="auto"/>
            <w:right w:val="none" w:sz="0" w:space="0" w:color="auto"/>
          </w:divBdr>
        </w:div>
        <w:div w:id="821238778">
          <w:marLeft w:val="480"/>
          <w:marRight w:val="0"/>
          <w:marTop w:val="0"/>
          <w:marBottom w:val="0"/>
          <w:divBdr>
            <w:top w:val="none" w:sz="0" w:space="0" w:color="auto"/>
            <w:left w:val="none" w:sz="0" w:space="0" w:color="auto"/>
            <w:bottom w:val="none" w:sz="0" w:space="0" w:color="auto"/>
            <w:right w:val="none" w:sz="0" w:space="0" w:color="auto"/>
          </w:divBdr>
        </w:div>
        <w:div w:id="1004937626">
          <w:marLeft w:val="480"/>
          <w:marRight w:val="0"/>
          <w:marTop w:val="0"/>
          <w:marBottom w:val="0"/>
          <w:divBdr>
            <w:top w:val="none" w:sz="0" w:space="0" w:color="auto"/>
            <w:left w:val="none" w:sz="0" w:space="0" w:color="auto"/>
            <w:bottom w:val="none" w:sz="0" w:space="0" w:color="auto"/>
            <w:right w:val="none" w:sz="0" w:space="0" w:color="auto"/>
          </w:divBdr>
        </w:div>
        <w:div w:id="1060832277">
          <w:marLeft w:val="480"/>
          <w:marRight w:val="0"/>
          <w:marTop w:val="0"/>
          <w:marBottom w:val="0"/>
          <w:divBdr>
            <w:top w:val="none" w:sz="0" w:space="0" w:color="auto"/>
            <w:left w:val="none" w:sz="0" w:space="0" w:color="auto"/>
            <w:bottom w:val="none" w:sz="0" w:space="0" w:color="auto"/>
            <w:right w:val="none" w:sz="0" w:space="0" w:color="auto"/>
          </w:divBdr>
        </w:div>
        <w:div w:id="1592736563">
          <w:marLeft w:val="480"/>
          <w:marRight w:val="0"/>
          <w:marTop w:val="0"/>
          <w:marBottom w:val="0"/>
          <w:divBdr>
            <w:top w:val="none" w:sz="0" w:space="0" w:color="auto"/>
            <w:left w:val="none" w:sz="0" w:space="0" w:color="auto"/>
            <w:bottom w:val="none" w:sz="0" w:space="0" w:color="auto"/>
            <w:right w:val="none" w:sz="0" w:space="0" w:color="auto"/>
          </w:divBdr>
        </w:div>
        <w:div w:id="1861506875">
          <w:marLeft w:val="480"/>
          <w:marRight w:val="0"/>
          <w:marTop w:val="0"/>
          <w:marBottom w:val="0"/>
          <w:divBdr>
            <w:top w:val="none" w:sz="0" w:space="0" w:color="auto"/>
            <w:left w:val="none" w:sz="0" w:space="0" w:color="auto"/>
            <w:bottom w:val="none" w:sz="0" w:space="0" w:color="auto"/>
            <w:right w:val="none" w:sz="0" w:space="0" w:color="auto"/>
          </w:divBdr>
        </w:div>
      </w:divsChild>
    </w:div>
    <w:div w:id="1924223495">
      <w:bodyDiv w:val="1"/>
      <w:marLeft w:val="0"/>
      <w:marRight w:val="0"/>
      <w:marTop w:val="0"/>
      <w:marBottom w:val="0"/>
      <w:divBdr>
        <w:top w:val="none" w:sz="0" w:space="0" w:color="auto"/>
        <w:left w:val="none" w:sz="0" w:space="0" w:color="auto"/>
        <w:bottom w:val="none" w:sz="0" w:space="0" w:color="auto"/>
        <w:right w:val="none" w:sz="0" w:space="0" w:color="auto"/>
      </w:divBdr>
      <w:divsChild>
        <w:div w:id="47338088">
          <w:marLeft w:val="480"/>
          <w:marRight w:val="0"/>
          <w:marTop w:val="0"/>
          <w:marBottom w:val="0"/>
          <w:divBdr>
            <w:top w:val="none" w:sz="0" w:space="0" w:color="auto"/>
            <w:left w:val="none" w:sz="0" w:space="0" w:color="auto"/>
            <w:bottom w:val="none" w:sz="0" w:space="0" w:color="auto"/>
            <w:right w:val="none" w:sz="0" w:space="0" w:color="auto"/>
          </w:divBdr>
        </w:div>
        <w:div w:id="103766116">
          <w:marLeft w:val="480"/>
          <w:marRight w:val="0"/>
          <w:marTop w:val="0"/>
          <w:marBottom w:val="0"/>
          <w:divBdr>
            <w:top w:val="none" w:sz="0" w:space="0" w:color="auto"/>
            <w:left w:val="none" w:sz="0" w:space="0" w:color="auto"/>
            <w:bottom w:val="none" w:sz="0" w:space="0" w:color="auto"/>
            <w:right w:val="none" w:sz="0" w:space="0" w:color="auto"/>
          </w:divBdr>
        </w:div>
        <w:div w:id="458768126">
          <w:marLeft w:val="480"/>
          <w:marRight w:val="0"/>
          <w:marTop w:val="0"/>
          <w:marBottom w:val="0"/>
          <w:divBdr>
            <w:top w:val="none" w:sz="0" w:space="0" w:color="auto"/>
            <w:left w:val="none" w:sz="0" w:space="0" w:color="auto"/>
            <w:bottom w:val="none" w:sz="0" w:space="0" w:color="auto"/>
            <w:right w:val="none" w:sz="0" w:space="0" w:color="auto"/>
          </w:divBdr>
        </w:div>
        <w:div w:id="472329173">
          <w:marLeft w:val="480"/>
          <w:marRight w:val="0"/>
          <w:marTop w:val="0"/>
          <w:marBottom w:val="0"/>
          <w:divBdr>
            <w:top w:val="none" w:sz="0" w:space="0" w:color="auto"/>
            <w:left w:val="none" w:sz="0" w:space="0" w:color="auto"/>
            <w:bottom w:val="none" w:sz="0" w:space="0" w:color="auto"/>
            <w:right w:val="none" w:sz="0" w:space="0" w:color="auto"/>
          </w:divBdr>
        </w:div>
        <w:div w:id="478612501">
          <w:marLeft w:val="480"/>
          <w:marRight w:val="0"/>
          <w:marTop w:val="0"/>
          <w:marBottom w:val="0"/>
          <w:divBdr>
            <w:top w:val="none" w:sz="0" w:space="0" w:color="auto"/>
            <w:left w:val="none" w:sz="0" w:space="0" w:color="auto"/>
            <w:bottom w:val="none" w:sz="0" w:space="0" w:color="auto"/>
            <w:right w:val="none" w:sz="0" w:space="0" w:color="auto"/>
          </w:divBdr>
        </w:div>
        <w:div w:id="480852933">
          <w:marLeft w:val="480"/>
          <w:marRight w:val="0"/>
          <w:marTop w:val="0"/>
          <w:marBottom w:val="0"/>
          <w:divBdr>
            <w:top w:val="none" w:sz="0" w:space="0" w:color="auto"/>
            <w:left w:val="none" w:sz="0" w:space="0" w:color="auto"/>
            <w:bottom w:val="none" w:sz="0" w:space="0" w:color="auto"/>
            <w:right w:val="none" w:sz="0" w:space="0" w:color="auto"/>
          </w:divBdr>
        </w:div>
        <w:div w:id="529803534">
          <w:marLeft w:val="480"/>
          <w:marRight w:val="0"/>
          <w:marTop w:val="0"/>
          <w:marBottom w:val="0"/>
          <w:divBdr>
            <w:top w:val="none" w:sz="0" w:space="0" w:color="auto"/>
            <w:left w:val="none" w:sz="0" w:space="0" w:color="auto"/>
            <w:bottom w:val="none" w:sz="0" w:space="0" w:color="auto"/>
            <w:right w:val="none" w:sz="0" w:space="0" w:color="auto"/>
          </w:divBdr>
        </w:div>
        <w:div w:id="566650416">
          <w:marLeft w:val="480"/>
          <w:marRight w:val="0"/>
          <w:marTop w:val="0"/>
          <w:marBottom w:val="0"/>
          <w:divBdr>
            <w:top w:val="none" w:sz="0" w:space="0" w:color="auto"/>
            <w:left w:val="none" w:sz="0" w:space="0" w:color="auto"/>
            <w:bottom w:val="none" w:sz="0" w:space="0" w:color="auto"/>
            <w:right w:val="none" w:sz="0" w:space="0" w:color="auto"/>
          </w:divBdr>
        </w:div>
        <w:div w:id="591593503">
          <w:marLeft w:val="480"/>
          <w:marRight w:val="0"/>
          <w:marTop w:val="0"/>
          <w:marBottom w:val="0"/>
          <w:divBdr>
            <w:top w:val="none" w:sz="0" w:space="0" w:color="auto"/>
            <w:left w:val="none" w:sz="0" w:space="0" w:color="auto"/>
            <w:bottom w:val="none" w:sz="0" w:space="0" w:color="auto"/>
            <w:right w:val="none" w:sz="0" w:space="0" w:color="auto"/>
          </w:divBdr>
        </w:div>
        <w:div w:id="637612207">
          <w:marLeft w:val="480"/>
          <w:marRight w:val="0"/>
          <w:marTop w:val="0"/>
          <w:marBottom w:val="0"/>
          <w:divBdr>
            <w:top w:val="none" w:sz="0" w:space="0" w:color="auto"/>
            <w:left w:val="none" w:sz="0" w:space="0" w:color="auto"/>
            <w:bottom w:val="none" w:sz="0" w:space="0" w:color="auto"/>
            <w:right w:val="none" w:sz="0" w:space="0" w:color="auto"/>
          </w:divBdr>
        </w:div>
        <w:div w:id="1025790184">
          <w:marLeft w:val="480"/>
          <w:marRight w:val="0"/>
          <w:marTop w:val="0"/>
          <w:marBottom w:val="0"/>
          <w:divBdr>
            <w:top w:val="none" w:sz="0" w:space="0" w:color="auto"/>
            <w:left w:val="none" w:sz="0" w:space="0" w:color="auto"/>
            <w:bottom w:val="none" w:sz="0" w:space="0" w:color="auto"/>
            <w:right w:val="none" w:sz="0" w:space="0" w:color="auto"/>
          </w:divBdr>
        </w:div>
        <w:div w:id="1196038552">
          <w:marLeft w:val="480"/>
          <w:marRight w:val="0"/>
          <w:marTop w:val="0"/>
          <w:marBottom w:val="0"/>
          <w:divBdr>
            <w:top w:val="none" w:sz="0" w:space="0" w:color="auto"/>
            <w:left w:val="none" w:sz="0" w:space="0" w:color="auto"/>
            <w:bottom w:val="none" w:sz="0" w:space="0" w:color="auto"/>
            <w:right w:val="none" w:sz="0" w:space="0" w:color="auto"/>
          </w:divBdr>
        </w:div>
        <w:div w:id="1563102142">
          <w:marLeft w:val="480"/>
          <w:marRight w:val="0"/>
          <w:marTop w:val="0"/>
          <w:marBottom w:val="0"/>
          <w:divBdr>
            <w:top w:val="none" w:sz="0" w:space="0" w:color="auto"/>
            <w:left w:val="none" w:sz="0" w:space="0" w:color="auto"/>
            <w:bottom w:val="none" w:sz="0" w:space="0" w:color="auto"/>
            <w:right w:val="none" w:sz="0" w:space="0" w:color="auto"/>
          </w:divBdr>
        </w:div>
        <w:div w:id="1816409774">
          <w:marLeft w:val="480"/>
          <w:marRight w:val="0"/>
          <w:marTop w:val="0"/>
          <w:marBottom w:val="0"/>
          <w:divBdr>
            <w:top w:val="none" w:sz="0" w:space="0" w:color="auto"/>
            <w:left w:val="none" w:sz="0" w:space="0" w:color="auto"/>
            <w:bottom w:val="none" w:sz="0" w:space="0" w:color="auto"/>
            <w:right w:val="none" w:sz="0" w:space="0" w:color="auto"/>
          </w:divBdr>
        </w:div>
        <w:div w:id="1847087773">
          <w:marLeft w:val="480"/>
          <w:marRight w:val="0"/>
          <w:marTop w:val="0"/>
          <w:marBottom w:val="0"/>
          <w:divBdr>
            <w:top w:val="none" w:sz="0" w:space="0" w:color="auto"/>
            <w:left w:val="none" w:sz="0" w:space="0" w:color="auto"/>
            <w:bottom w:val="none" w:sz="0" w:space="0" w:color="auto"/>
            <w:right w:val="none" w:sz="0" w:space="0" w:color="auto"/>
          </w:divBdr>
        </w:div>
        <w:div w:id="1965036656">
          <w:marLeft w:val="480"/>
          <w:marRight w:val="0"/>
          <w:marTop w:val="0"/>
          <w:marBottom w:val="0"/>
          <w:divBdr>
            <w:top w:val="none" w:sz="0" w:space="0" w:color="auto"/>
            <w:left w:val="none" w:sz="0" w:space="0" w:color="auto"/>
            <w:bottom w:val="none" w:sz="0" w:space="0" w:color="auto"/>
            <w:right w:val="none" w:sz="0" w:space="0" w:color="auto"/>
          </w:divBdr>
        </w:div>
        <w:div w:id="2083524105">
          <w:marLeft w:val="480"/>
          <w:marRight w:val="0"/>
          <w:marTop w:val="0"/>
          <w:marBottom w:val="0"/>
          <w:divBdr>
            <w:top w:val="none" w:sz="0" w:space="0" w:color="auto"/>
            <w:left w:val="none" w:sz="0" w:space="0" w:color="auto"/>
            <w:bottom w:val="none" w:sz="0" w:space="0" w:color="auto"/>
            <w:right w:val="none" w:sz="0" w:space="0" w:color="auto"/>
          </w:divBdr>
        </w:div>
      </w:divsChild>
    </w:div>
    <w:div w:id="1955020872">
      <w:bodyDiv w:val="1"/>
      <w:marLeft w:val="0"/>
      <w:marRight w:val="0"/>
      <w:marTop w:val="0"/>
      <w:marBottom w:val="0"/>
      <w:divBdr>
        <w:top w:val="none" w:sz="0" w:space="0" w:color="auto"/>
        <w:left w:val="none" w:sz="0" w:space="0" w:color="auto"/>
        <w:bottom w:val="none" w:sz="0" w:space="0" w:color="auto"/>
        <w:right w:val="none" w:sz="0" w:space="0" w:color="auto"/>
      </w:divBdr>
      <w:divsChild>
        <w:div w:id="43528462">
          <w:marLeft w:val="480"/>
          <w:marRight w:val="0"/>
          <w:marTop w:val="0"/>
          <w:marBottom w:val="0"/>
          <w:divBdr>
            <w:top w:val="none" w:sz="0" w:space="0" w:color="auto"/>
            <w:left w:val="none" w:sz="0" w:space="0" w:color="auto"/>
            <w:bottom w:val="none" w:sz="0" w:space="0" w:color="auto"/>
            <w:right w:val="none" w:sz="0" w:space="0" w:color="auto"/>
          </w:divBdr>
        </w:div>
        <w:div w:id="102193291">
          <w:marLeft w:val="480"/>
          <w:marRight w:val="0"/>
          <w:marTop w:val="0"/>
          <w:marBottom w:val="0"/>
          <w:divBdr>
            <w:top w:val="none" w:sz="0" w:space="0" w:color="auto"/>
            <w:left w:val="none" w:sz="0" w:space="0" w:color="auto"/>
            <w:bottom w:val="none" w:sz="0" w:space="0" w:color="auto"/>
            <w:right w:val="none" w:sz="0" w:space="0" w:color="auto"/>
          </w:divBdr>
        </w:div>
        <w:div w:id="161894064">
          <w:marLeft w:val="480"/>
          <w:marRight w:val="0"/>
          <w:marTop w:val="0"/>
          <w:marBottom w:val="0"/>
          <w:divBdr>
            <w:top w:val="none" w:sz="0" w:space="0" w:color="auto"/>
            <w:left w:val="none" w:sz="0" w:space="0" w:color="auto"/>
            <w:bottom w:val="none" w:sz="0" w:space="0" w:color="auto"/>
            <w:right w:val="none" w:sz="0" w:space="0" w:color="auto"/>
          </w:divBdr>
        </w:div>
        <w:div w:id="250549901">
          <w:marLeft w:val="480"/>
          <w:marRight w:val="0"/>
          <w:marTop w:val="0"/>
          <w:marBottom w:val="0"/>
          <w:divBdr>
            <w:top w:val="none" w:sz="0" w:space="0" w:color="auto"/>
            <w:left w:val="none" w:sz="0" w:space="0" w:color="auto"/>
            <w:bottom w:val="none" w:sz="0" w:space="0" w:color="auto"/>
            <w:right w:val="none" w:sz="0" w:space="0" w:color="auto"/>
          </w:divBdr>
        </w:div>
        <w:div w:id="473983899">
          <w:marLeft w:val="480"/>
          <w:marRight w:val="0"/>
          <w:marTop w:val="0"/>
          <w:marBottom w:val="0"/>
          <w:divBdr>
            <w:top w:val="none" w:sz="0" w:space="0" w:color="auto"/>
            <w:left w:val="none" w:sz="0" w:space="0" w:color="auto"/>
            <w:bottom w:val="none" w:sz="0" w:space="0" w:color="auto"/>
            <w:right w:val="none" w:sz="0" w:space="0" w:color="auto"/>
          </w:divBdr>
        </w:div>
        <w:div w:id="709720849">
          <w:marLeft w:val="480"/>
          <w:marRight w:val="0"/>
          <w:marTop w:val="0"/>
          <w:marBottom w:val="0"/>
          <w:divBdr>
            <w:top w:val="none" w:sz="0" w:space="0" w:color="auto"/>
            <w:left w:val="none" w:sz="0" w:space="0" w:color="auto"/>
            <w:bottom w:val="none" w:sz="0" w:space="0" w:color="auto"/>
            <w:right w:val="none" w:sz="0" w:space="0" w:color="auto"/>
          </w:divBdr>
        </w:div>
        <w:div w:id="770080128">
          <w:marLeft w:val="480"/>
          <w:marRight w:val="0"/>
          <w:marTop w:val="0"/>
          <w:marBottom w:val="0"/>
          <w:divBdr>
            <w:top w:val="none" w:sz="0" w:space="0" w:color="auto"/>
            <w:left w:val="none" w:sz="0" w:space="0" w:color="auto"/>
            <w:bottom w:val="none" w:sz="0" w:space="0" w:color="auto"/>
            <w:right w:val="none" w:sz="0" w:space="0" w:color="auto"/>
          </w:divBdr>
        </w:div>
        <w:div w:id="871306511">
          <w:marLeft w:val="480"/>
          <w:marRight w:val="0"/>
          <w:marTop w:val="0"/>
          <w:marBottom w:val="0"/>
          <w:divBdr>
            <w:top w:val="none" w:sz="0" w:space="0" w:color="auto"/>
            <w:left w:val="none" w:sz="0" w:space="0" w:color="auto"/>
            <w:bottom w:val="none" w:sz="0" w:space="0" w:color="auto"/>
            <w:right w:val="none" w:sz="0" w:space="0" w:color="auto"/>
          </w:divBdr>
        </w:div>
        <w:div w:id="950355732">
          <w:marLeft w:val="480"/>
          <w:marRight w:val="0"/>
          <w:marTop w:val="0"/>
          <w:marBottom w:val="0"/>
          <w:divBdr>
            <w:top w:val="none" w:sz="0" w:space="0" w:color="auto"/>
            <w:left w:val="none" w:sz="0" w:space="0" w:color="auto"/>
            <w:bottom w:val="none" w:sz="0" w:space="0" w:color="auto"/>
            <w:right w:val="none" w:sz="0" w:space="0" w:color="auto"/>
          </w:divBdr>
        </w:div>
        <w:div w:id="1086657908">
          <w:marLeft w:val="480"/>
          <w:marRight w:val="0"/>
          <w:marTop w:val="0"/>
          <w:marBottom w:val="0"/>
          <w:divBdr>
            <w:top w:val="none" w:sz="0" w:space="0" w:color="auto"/>
            <w:left w:val="none" w:sz="0" w:space="0" w:color="auto"/>
            <w:bottom w:val="none" w:sz="0" w:space="0" w:color="auto"/>
            <w:right w:val="none" w:sz="0" w:space="0" w:color="auto"/>
          </w:divBdr>
        </w:div>
        <w:div w:id="1473213875">
          <w:marLeft w:val="480"/>
          <w:marRight w:val="0"/>
          <w:marTop w:val="0"/>
          <w:marBottom w:val="0"/>
          <w:divBdr>
            <w:top w:val="none" w:sz="0" w:space="0" w:color="auto"/>
            <w:left w:val="none" w:sz="0" w:space="0" w:color="auto"/>
            <w:bottom w:val="none" w:sz="0" w:space="0" w:color="auto"/>
            <w:right w:val="none" w:sz="0" w:space="0" w:color="auto"/>
          </w:divBdr>
        </w:div>
        <w:div w:id="1488667272">
          <w:marLeft w:val="480"/>
          <w:marRight w:val="0"/>
          <w:marTop w:val="0"/>
          <w:marBottom w:val="0"/>
          <w:divBdr>
            <w:top w:val="none" w:sz="0" w:space="0" w:color="auto"/>
            <w:left w:val="none" w:sz="0" w:space="0" w:color="auto"/>
            <w:bottom w:val="none" w:sz="0" w:space="0" w:color="auto"/>
            <w:right w:val="none" w:sz="0" w:space="0" w:color="auto"/>
          </w:divBdr>
        </w:div>
        <w:div w:id="1505590314">
          <w:marLeft w:val="480"/>
          <w:marRight w:val="0"/>
          <w:marTop w:val="0"/>
          <w:marBottom w:val="0"/>
          <w:divBdr>
            <w:top w:val="none" w:sz="0" w:space="0" w:color="auto"/>
            <w:left w:val="none" w:sz="0" w:space="0" w:color="auto"/>
            <w:bottom w:val="none" w:sz="0" w:space="0" w:color="auto"/>
            <w:right w:val="none" w:sz="0" w:space="0" w:color="auto"/>
          </w:divBdr>
        </w:div>
        <w:div w:id="1636180066">
          <w:marLeft w:val="480"/>
          <w:marRight w:val="0"/>
          <w:marTop w:val="0"/>
          <w:marBottom w:val="0"/>
          <w:divBdr>
            <w:top w:val="none" w:sz="0" w:space="0" w:color="auto"/>
            <w:left w:val="none" w:sz="0" w:space="0" w:color="auto"/>
            <w:bottom w:val="none" w:sz="0" w:space="0" w:color="auto"/>
            <w:right w:val="none" w:sz="0" w:space="0" w:color="auto"/>
          </w:divBdr>
        </w:div>
        <w:div w:id="1693996058">
          <w:marLeft w:val="480"/>
          <w:marRight w:val="0"/>
          <w:marTop w:val="0"/>
          <w:marBottom w:val="0"/>
          <w:divBdr>
            <w:top w:val="none" w:sz="0" w:space="0" w:color="auto"/>
            <w:left w:val="none" w:sz="0" w:space="0" w:color="auto"/>
            <w:bottom w:val="none" w:sz="0" w:space="0" w:color="auto"/>
            <w:right w:val="none" w:sz="0" w:space="0" w:color="auto"/>
          </w:divBdr>
        </w:div>
        <w:div w:id="1816875769">
          <w:marLeft w:val="480"/>
          <w:marRight w:val="0"/>
          <w:marTop w:val="0"/>
          <w:marBottom w:val="0"/>
          <w:divBdr>
            <w:top w:val="none" w:sz="0" w:space="0" w:color="auto"/>
            <w:left w:val="none" w:sz="0" w:space="0" w:color="auto"/>
            <w:bottom w:val="none" w:sz="0" w:space="0" w:color="auto"/>
            <w:right w:val="none" w:sz="0" w:space="0" w:color="auto"/>
          </w:divBdr>
        </w:div>
        <w:div w:id="2140494722">
          <w:marLeft w:val="480"/>
          <w:marRight w:val="0"/>
          <w:marTop w:val="0"/>
          <w:marBottom w:val="0"/>
          <w:divBdr>
            <w:top w:val="none" w:sz="0" w:space="0" w:color="auto"/>
            <w:left w:val="none" w:sz="0" w:space="0" w:color="auto"/>
            <w:bottom w:val="none" w:sz="0" w:space="0" w:color="auto"/>
            <w:right w:val="none" w:sz="0" w:space="0" w:color="auto"/>
          </w:divBdr>
        </w:div>
      </w:divsChild>
    </w:div>
    <w:div w:id="1957175847">
      <w:bodyDiv w:val="1"/>
      <w:marLeft w:val="0"/>
      <w:marRight w:val="0"/>
      <w:marTop w:val="0"/>
      <w:marBottom w:val="0"/>
      <w:divBdr>
        <w:top w:val="none" w:sz="0" w:space="0" w:color="auto"/>
        <w:left w:val="none" w:sz="0" w:space="0" w:color="auto"/>
        <w:bottom w:val="none" w:sz="0" w:space="0" w:color="auto"/>
        <w:right w:val="none" w:sz="0" w:space="0" w:color="auto"/>
      </w:divBdr>
      <w:divsChild>
        <w:div w:id="178550472">
          <w:marLeft w:val="480"/>
          <w:marRight w:val="0"/>
          <w:marTop w:val="0"/>
          <w:marBottom w:val="0"/>
          <w:divBdr>
            <w:top w:val="none" w:sz="0" w:space="0" w:color="auto"/>
            <w:left w:val="none" w:sz="0" w:space="0" w:color="auto"/>
            <w:bottom w:val="none" w:sz="0" w:space="0" w:color="auto"/>
            <w:right w:val="none" w:sz="0" w:space="0" w:color="auto"/>
          </w:divBdr>
        </w:div>
        <w:div w:id="294801002">
          <w:marLeft w:val="480"/>
          <w:marRight w:val="0"/>
          <w:marTop w:val="0"/>
          <w:marBottom w:val="0"/>
          <w:divBdr>
            <w:top w:val="none" w:sz="0" w:space="0" w:color="auto"/>
            <w:left w:val="none" w:sz="0" w:space="0" w:color="auto"/>
            <w:bottom w:val="none" w:sz="0" w:space="0" w:color="auto"/>
            <w:right w:val="none" w:sz="0" w:space="0" w:color="auto"/>
          </w:divBdr>
        </w:div>
        <w:div w:id="315111589">
          <w:marLeft w:val="480"/>
          <w:marRight w:val="0"/>
          <w:marTop w:val="0"/>
          <w:marBottom w:val="0"/>
          <w:divBdr>
            <w:top w:val="none" w:sz="0" w:space="0" w:color="auto"/>
            <w:left w:val="none" w:sz="0" w:space="0" w:color="auto"/>
            <w:bottom w:val="none" w:sz="0" w:space="0" w:color="auto"/>
            <w:right w:val="none" w:sz="0" w:space="0" w:color="auto"/>
          </w:divBdr>
        </w:div>
        <w:div w:id="546183546">
          <w:marLeft w:val="480"/>
          <w:marRight w:val="0"/>
          <w:marTop w:val="0"/>
          <w:marBottom w:val="0"/>
          <w:divBdr>
            <w:top w:val="none" w:sz="0" w:space="0" w:color="auto"/>
            <w:left w:val="none" w:sz="0" w:space="0" w:color="auto"/>
            <w:bottom w:val="none" w:sz="0" w:space="0" w:color="auto"/>
            <w:right w:val="none" w:sz="0" w:space="0" w:color="auto"/>
          </w:divBdr>
        </w:div>
        <w:div w:id="586311679">
          <w:marLeft w:val="480"/>
          <w:marRight w:val="0"/>
          <w:marTop w:val="0"/>
          <w:marBottom w:val="0"/>
          <w:divBdr>
            <w:top w:val="none" w:sz="0" w:space="0" w:color="auto"/>
            <w:left w:val="none" w:sz="0" w:space="0" w:color="auto"/>
            <w:bottom w:val="none" w:sz="0" w:space="0" w:color="auto"/>
            <w:right w:val="none" w:sz="0" w:space="0" w:color="auto"/>
          </w:divBdr>
        </w:div>
        <w:div w:id="914972038">
          <w:marLeft w:val="480"/>
          <w:marRight w:val="0"/>
          <w:marTop w:val="0"/>
          <w:marBottom w:val="0"/>
          <w:divBdr>
            <w:top w:val="none" w:sz="0" w:space="0" w:color="auto"/>
            <w:left w:val="none" w:sz="0" w:space="0" w:color="auto"/>
            <w:bottom w:val="none" w:sz="0" w:space="0" w:color="auto"/>
            <w:right w:val="none" w:sz="0" w:space="0" w:color="auto"/>
          </w:divBdr>
        </w:div>
        <w:div w:id="1117069331">
          <w:marLeft w:val="480"/>
          <w:marRight w:val="0"/>
          <w:marTop w:val="0"/>
          <w:marBottom w:val="0"/>
          <w:divBdr>
            <w:top w:val="none" w:sz="0" w:space="0" w:color="auto"/>
            <w:left w:val="none" w:sz="0" w:space="0" w:color="auto"/>
            <w:bottom w:val="none" w:sz="0" w:space="0" w:color="auto"/>
            <w:right w:val="none" w:sz="0" w:space="0" w:color="auto"/>
          </w:divBdr>
        </w:div>
        <w:div w:id="1344283139">
          <w:marLeft w:val="480"/>
          <w:marRight w:val="0"/>
          <w:marTop w:val="0"/>
          <w:marBottom w:val="0"/>
          <w:divBdr>
            <w:top w:val="none" w:sz="0" w:space="0" w:color="auto"/>
            <w:left w:val="none" w:sz="0" w:space="0" w:color="auto"/>
            <w:bottom w:val="none" w:sz="0" w:space="0" w:color="auto"/>
            <w:right w:val="none" w:sz="0" w:space="0" w:color="auto"/>
          </w:divBdr>
        </w:div>
        <w:div w:id="1496456434">
          <w:marLeft w:val="480"/>
          <w:marRight w:val="0"/>
          <w:marTop w:val="0"/>
          <w:marBottom w:val="0"/>
          <w:divBdr>
            <w:top w:val="none" w:sz="0" w:space="0" w:color="auto"/>
            <w:left w:val="none" w:sz="0" w:space="0" w:color="auto"/>
            <w:bottom w:val="none" w:sz="0" w:space="0" w:color="auto"/>
            <w:right w:val="none" w:sz="0" w:space="0" w:color="auto"/>
          </w:divBdr>
        </w:div>
        <w:div w:id="1536648823">
          <w:marLeft w:val="480"/>
          <w:marRight w:val="0"/>
          <w:marTop w:val="0"/>
          <w:marBottom w:val="0"/>
          <w:divBdr>
            <w:top w:val="none" w:sz="0" w:space="0" w:color="auto"/>
            <w:left w:val="none" w:sz="0" w:space="0" w:color="auto"/>
            <w:bottom w:val="none" w:sz="0" w:space="0" w:color="auto"/>
            <w:right w:val="none" w:sz="0" w:space="0" w:color="auto"/>
          </w:divBdr>
        </w:div>
        <w:div w:id="1542593783">
          <w:marLeft w:val="480"/>
          <w:marRight w:val="0"/>
          <w:marTop w:val="0"/>
          <w:marBottom w:val="0"/>
          <w:divBdr>
            <w:top w:val="none" w:sz="0" w:space="0" w:color="auto"/>
            <w:left w:val="none" w:sz="0" w:space="0" w:color="auto"/>
            <w:bottom w:val="none" w:sz="0" w:space="0" w:color="auto"/>
            <w:right w:val="none" w:sz="0" w:space="0" w:color="auto"/>
          </w:divBdr>
        </w:div>
        <w:div w:id="1840845004">
          <w:marLeft w:val="480"/>
          <w:marRight w:val="0"/>
          <w:marTop w:val="0"/>
          <w:marBottom w:val="0"/>
          <w:divBdr>
            <w:top w:val="none" w:sz="0" w:space="0" w:color="auto"/>
            <w:left w:val="none" w:sz="0" w:space="0" w:color="auto"/>
            <w:bottom w:val="none" w:sz="0" w:space="0" w:color="auto"/>
            <w:right w:val="none" w:sz="0" w:space="0" w:color="auto"/>
          </w:divBdr>
        </w:div>
        <w:div w:id="2008364048">
          <w:marLeft w:val="480"/>
          <w:marRight w:val="0"/>
          <w:marTop w:val="0"/>
          <w:marBottom w:val="0"/>
          <w:divBdr>
            <w:top w:val="none" w:sz="0" w:space="0" w:color="auto"/>
            <w:left w:val="none" w:sz="0" w:space="0" w:color="auto"/>
            <w:bottom w:val="none" w:sz="0" w:space="0" w:color="auto"/>
            <w:right w:val="none" w:sz="0" w:space="0" w:color="auto"/>
          </w:divBdr>
        </w:div>
        <w:div w:id="2016496163">
          <w:marLeft w:val="480"/>
          <w:marRight w:val="0"/>
          <w:marTop w:val="0"/>
          <w:marBottom w:val="0"/>
          <w:divBdr>
            <w:top w:val="none" w:sz="0" w:space="0" w:color="auto"/>
            <w:left w:val="none" w:sz="0" w:space="0" w:color="auto"/>
            <w:bottom w:val="none" w:sz="0" w:space="0" w:color="auto"/>
            <w:right w:val="none" w:sz="0" w:space="0" w:color="auto"/>
          </w:divBdr>
        </w:div>
        <w:div w:id="2071807740">
          <w:marLeft w:val="480"/>
          <w:marRight w:val="0"/>
          <w:marTop w:val="0"/>
          <w:marBottom w:val="0"/>
          <w:divBdr>
            <w:top w:val="none" w:sz="0" w:space="0" w:color="auto"/>
            <w:left w:val="none" w:sz="0" w:space="0" w:color="auto"/>
            <w:bottom w:val="none" w:sz="0" w:space="0" w:color="auto"/>
            <w:right w:val="none" w:sz="0" w:space="0" w:color="auto"/>
          </w:divBdr>
        </w:div>
      </w:divsChild>
    </w:div>
    <w:div w:id="1991403770">
      <w:bodyDiv w:val="1"/>
      <w:marLeft w:val="0"/>
      <w:marRight w:val="0"/>
      <w:marTop w:val="0"/>
      <w:marBottom w:val="0"/>
      <w:divBdr>
        <w:top w:val="none" w:sz="0" w:space="0" w:color="auto"/>
        <w:left w:val="none" w:sz="0" w:space="0" w:color="auto"/>
        <w:bottom w:val="none" w:sz="0" w:space="0" w:color="auto"/>
        <w:right w:val="none" w:sz="0" w:space="0" w:color="auto"/>
      </w:divBdr>
      <w:divsChild>
        <w:div w:id="88157198">
          <w:marLeft w:val="480"/>
          <w:marRight w:val="0"/>
          <w:marTop w:val="0"/>
          <w:marBottom w:val="0"/>
          <w:divBdr>
            <w:top w:val="none" w:sz="0" w:space="0" w:color="auto"/>
            <w:left w:val="none" w:sz="0" w:space="0" w:color="auto"/>
            <w:bottom w:val="none" w:sz="0" w:space="0" w:color="auto"/>
            <w:right w:val="none" w:sz="0" w:space="0" w:color="auto"/>
          </w:divBdr>
        </w:div>
        <w:div w:id="107511308">
          <w:marLeft w:val="480"/>
          <w:marRight w:val="0"/>
          <w:marTop w:val="0"/>
          <w:marBottom w:val="0"/>
          <w:divBdr>
            <w:top w:val="none" w:sz="0" w:space="0" w:color="auto"/>
            <w:left w:val="none" w:sz="0" w:space="0" w:color="auto"/>
            <w:bottom w:val="none" w:sz="0" w:space="0" w:color="auto"/>
            <w:right w:val="none" w:sz="0" w:space="0" w:color="auto"/>
          </w:divBdr>
        </w:div>
        <w:div w:id="217283098">
          <w:marLeft w:val="480"/>
          <w:marRight w:val="0"/>
          <w:marTop w:val="0"/>
          <w:marBottom w:val="0"/>
          <w:divBdr>
            <w:top w:val="none" w:sz="0" w:space="0" w:color="auto"/>
            <w:left w:val="none" w:sz="0" w:space="0" w:color="auto"/>
            <w:bottom w:val="none" w:sz="0" w:space="0" w:color="auto"/>
            <w:right w:val="none" w:sz="0" w:space="0" w:color="auto"/>
          </w:divBdr>
        </w:div>
        <w:div w:id="400098094">
          <w:marLeft w:val="480"/>
          <w:marRight w:val="0"/>
          <w:marTop w:val="0"/>
          <w:marBottom w:val="0"/>
          <w:divBdr>
            <w:top w:val="none" w:sz="0" w:space="0" w:color="auto"/>
            <w:left w:val="none" w:sz="0" w:space="0" w:color="auto"/>
            <w:bottom w:val="none" w:sz="0" w:space="0" w:color="auto"/>
            <w:right w:val="none" w:sz="0" w:space="0" w:color="auto"/>
          </w:divBdr>
        </w:div>
        <w:div w:id="468519582">
          <w:marLeft w:val="480"/>
          <w:marRight w:val="0"/>
          <w:marTop w:val="0"/>
          <w:marBottom w:val="0"/>
          <w:divBdr>
            <w:top w:val="none" w:sz="0" w:space="0" w:color="auto"/>
            <w:left w:val="none" w:sz="0" w:space="0" w:color="auto"/>
            <w:bottom w:val="none" w:sz="0" w:space="0" w:color="auto"/>
            <w:right w:val="none" w:sz="0" w:space="0" w:color="auto"/>
          </w:divBdr>
        </w:div>
        <w:div w:id="500970910">
          <w:marLeft w:val="480"/>
          <w:marRight w:val="0"/>
          <w:marTop w:val="0"/>
          <w:marBottom w:val="0"/>
          <w:divBdr>
            <w:top w:val="none" w:sz="0" w:space="0" w:color="auto"/>
            <w:left w:val="none" w:sz="0" w:space="0" w:color="auto"/>
            <w:bottom w:val="none" w:sz="0" w:space="0" w:color="auto"/>
            <w:right w:val="none" w:sz="0" w:space="0" w:color="auto"/>
          </w:divBdr>
        </w:div>
        <w:div w:id="686516308">
          <w:marLeft w:val="480"/>
          <w:marRight w:val="0"/>
          <w:marTop w:val="0"/>
          <w:marBottom w:val="0"/>
          <w:divBdr>
            <w:top w:val="none" w:sz="0" w:space="0" w:color="auto"/>
            <w:left w:val="none" w:sz="0" w:space="0" w:color="auto"/>
            <w:bottom w:val="none" w:sz="0" w:space="0" w:color="auto"/>
            <w:right w:val="none" w:sz="0" w:space="0" w:color="auto"/>
          </w:divBdr>
        </w:div>
        <w:div w:id="736783176">
          <w:marLeft w:val="480"/>
          <w:marRight w:val="0"/>
          <w:marTop w:val="0"/>
          <w:marBottom w:val="0"/>
          <w:divBdr>
            <w:top w:val="none" w:sz="0" w:space="0" w:color="auto"/>
            <w:left w:val="none" w:sz="0" w:space="0" w:color="auto"/>
            <w:bottom w:val="none" w:sz="0" w:space="0" w:color="auto"/>
            <w:right w:val="none" w:sz="0" w:space="0" w:color="auto"/>
          </w:divBdr>
        </w:div>
        <w:div w:id="831335029">
          <w:marLeft w:val="480"/>
          <w:marRight w:val="0"/>
          <w:marTop w:val="0"/>
          <w:marBottom w:val="0"/>
          <w:divBdr>
            <w:top w:val="none" w:sz="0" w:space="0" w:color="auto"/>
            <w:left w:val="none" w:sz="0" w:space="0" w:color="auto"/>
            <w:bottom w:val="none" w:sz="0" w:space="0" w:color="auto"/>
            <w:right w:val="none" w:sz="0" w:space="0" w:color="auto"/>
          </w:divBdr>
        </w:div>
        <w:div w:id="991905044">
          <w:marLeft w:val="480"/>
          <w:marRight w:val="0"/>
          <w:marTop w:val="0"/>
          <w:marBottom w:val="0"/>
          <w:divBdr>
            <w:top w:val="none" w:sz="0" w:space="0" w:color="auto"/>
            <w:left w:val="none" w:sz="0" w:space="0" w:color="auto"/>
            <w:bottom w:val="none" w:sz="0" w:space="0" w:color="auto"/>
            <w:right w:val="none" w:sz="0" w:space="0" w:color="auto"/>
          </w:divBdr>
        </w:div>
        <w:div w:id="1272780649">
          <w:marLeft w:val="480"/>
          <w:marRight w:val="0"/>
          <w:marTop w:val="0"/>
          <w:marBottom w:val="0"/>
          <w:divBdr>
            <w:top w:val="none" w:sz="0" w:space="0" w:color="auto"/>
            <w:left w:val="none" w:sz="0" w:space="0" w:color="auto"/>
            <w:bottom w:val="none" w:sz="0" w:space="0" w:color="auto"/>
            <w:right w:val="none" w:sz="0" w:space="0" w:color="auto"/>
          </w:divBdr>
        </w:div>
        <w:div w:id="1279988120">
          <w:marLeft w:val="480"/>
          <w:marRight w:val="0"/>
          <w:marTop w:val="0"/>
          <w:marBottom w:val="0"/>
          <w:divBdr>
            <w:top w:val="none" w:sz="0" w:space="0" w:color="auto"/>
            <w:left w:val="none" w:sz="0" w:space="0" w:color="auto"/>
            <w:bottom w:val="none" w:sz="0" w:space="0" w:color="auto"/>
            <w:right w:val="none" w:sz="0" w:space="0" w:color="auto"/>
          </w:divBdr>
        </w:div>
        <w:div w:id="1456018967">
          <w:marLeft w:val="480"/>
          <w:marRight w:val="0"/>
          <w:marTop w:val="0"/>
          <w:marBottom w:val="0"/>
          <w:divBdr>
            <w:top w:val="none" w:sz="0" w:space="0" w:color="auto"/>
            <w:left w:val="none" w:sz="0" w:space="0" w:color="auto"/>
            <w:bottom w:val="none" w:sz="0" w:space="0" w:color="auto"/>
            <w:right w:val="none" w:sz="0" w:space="0" w:color="auto"/>
          </w:divBdr>
        </w:div>
        <w:div w:id="1742099312">
          <w:marLeft w:val="480"/>
          <w:marRight w:val="0"/>
          <w:marTop w:val="0"/>
          <w:marBottom w:val="0"/>
          <w:divBdr>
            <w:top w:val="none" w:sz="0" w:space="0" w:color="auto"/>
            <w:left w:val="none" w:sz="0" w:space="0" w:color="auto"/>
            <w:bottom w:val="none" w:sz="0" w:space="0" w:color="auto"/>
            <w:right w:val="none" w:sz="0" w:space="0" w:color="auto"/>
          </w:divBdr>
        </w:div>
        <w:div w:id="1875968398">
          <w:marLeft w:val="480"/>
          <w:marRight w:val="0"/>
          <w:marTop w:val="0"/>
          <w:marBottom w:val="0"/>
          <w:divBdr>
            <w:top w:val="none" w:sz="0" w:space="0" w:color="auto"/>
            <w:left w:val="none" w:sz="0" w:space="0" w:color="auto"/>
            <w:bottom w:val="none" w:sz="0" w:space="0" w:color="auto"/>
            <w:right w:val="none" w:sz="0" w:space="0" w:color="auto"/>
          </w:divBdr>
        </w:div>
        <w:div w:id="2024089086">
          <w:marLeft w:val="480"/>
          <w:marRight w:val="0"/>
          <w:marTop w:val="0"/>
          <w:marBottom w:val="0"/>
          <w:divBdr>
            <w:top w:val="none" w:sz="0" w:space="0" w:color="auto"/>
            <w:left w:val="none" w:sz="0" w:space="0" w:color="auto"/>
            <w:bottom w:val="none" w:sz="0" w:space="0" w:color="auto"/>
            <w:right w:val="none" w:sz="0" w:space="0" w:color="auto"/>
          </w:divBdr>
        </w:div>
        <w:div w:id="2033918728">
          <w:marLeft w:val="480"/>
          <w:marRight w:val="0"/>
          <w:marTop w:val="0"/>
          <w:marBottom w:val="0"/>
          <w:divBdr>
            <w:top w:val="none" w:sz="0" w:space="0" w:color="auto"/>
            <w:left w:val="none" w:sz="0" w:space="0" w:color="auto"/>
            <w:bottom w:val="none" w:sz="0" w:space="0" w:color="auto"/>
            <w:right w:val="none" w:sz="0" w:space="0" w:color="auto"/>
          </w:divBdr>
        </w:div>
      </w:divsChild>
    </w:div>
    <w:div w:id="2079747290">
      <w:bodyDiv w:val="1"/>
      <w:marLeft w:val="0"/>
      <w:marRight w:val="0"/>
      <w:marTop w:val="0"/>
      <w:marBottom w:val="0"/>
      <w:divBdr>
        <w:top w:val="none" w:sz="0" w:space="0" w:color="auto"/>
        <w:left w:val="none" w:sz="0" w:space="0" w:color="auto"/>
        <w:bottom w:val="none" w:sz="0" w:space="0" w:color="auto"/>
        <w:right w:val="none" w:sz="0" w:space="0" w:color="auto"/>
      </w:divBdr>
      <w:divsChild>
        <w:div w:id="175312969">
          <w:marLeft w:val="480"/>
          <w:marRight w:val="0"/>
          <w:marTop w:val="0"/>
          <w:marBottom w:val="0"/>
          <w:divBdr>
            <w:top w:val="none" w:sz="0" w:space="0" w:color="auto"/>
            <w:left w:val="none" w:sz="0" w:space="0" w:color="auto"/>
            <w:bottom w:val="none" w:sz="0" w:space="0" w:color="auto"/>
            <w:right w:val="none" w:sz="0" w:space="0" w:color="auto"/>
          </w:divBdr>
        </w:div>
        <w:div w:id="232082602">
          <w:marLeft w:val="480"/>
          <w:marRight w:val="0"/>
          <w:marTop w:val="0"/>
          <w:marBottom w:val="0"/>
          <w:divBdr>
            <w:top w:val="none" w:sz="0" w:space="0" w:color="auto"/>
            <w:left w:val="none" w:sz="0" w:space="0" w:color="auto"/>
            <w:bottom w:val="none" w:sz="0" w:space="0" w:color="auto"/>
            <w:right w:val="none" w:sz="0" w:space="0" w:color="auto"/>
          </w:divBdr>
        </w:div>
        <w:div w:id="371082202">
          <w:marLeft w:val="480"/>
          <w:marRight w:val="0"/>
          <w:marTop w:val="0"/>
          <w:marBottom w:val="0"/>
          <w:divBdr>
            <w:top w:val="none" w:sz="0" w:space="0" w:color="auto"/>
            <w:left w:val="none" w:sz="0" w:space="0" w:color="auto"/>
            <w:bottom w:val="none" w:sz="0" w:space="0" w:color="auto"/>
            <w:right w:val="none" w:sz="0" w:space="0" w:color="auto"/>
          </w:divBdr>
        </w:div>
        <w:div w:id="414322464">
          <w:marLeft w:val="480"/>
          <w:marRight w:val="0"/>
          <w:marTop w:val="0"/>
          <w:marBottom w:val="0"/>
          <w:divBdr>
            <w:top w:val="none" w:sz="0" w:space="0" w:color="auto"/>
            <w:left w:val="none" w:sz="0" w:space="0" w:color="auto"/>
            <w:bottom w:val="none" w:sz="0" w:space="0" w:color="auto"/>
            <w:right w:val="none" w:sz="0" w:space="0" w:color="auto"/>
          </w:divBdr>
        </w:div>
        <w:div w:id="425229617">
          <w:marLeft w:val="480"/>
          <w:marRight w:val="0"/>
          <w:marTop w:val="0"/>
          <w:marBottom w:val="0"/>
          <w:divBdr>
            <w:top w:val="none" w:sz="0" w:space="0" w:color="auto"/>
            <w:left w:val="none" w:sz="0" w:space="0" w:color="auto"/>
            <w:bottom w:val="none" w:sz="0" w:space="0" w:color="auto"/>
            <w:right w:val="none" w:sz="0" w:space="0" w:color="auto"/>
          </w:divBdr>
        </w:div>
        <w:div w:id="498155195">
          <w:marLeft w:val="480"/>
          <w:marRight w:val="0"/>
          <w:marTop w:val="0"/>
          <w:marBottom w:val="0"/>
          <w:divBdr>
            <w:top w:val="none" w:sz="0" w:space="0" w:color="auto"/>
            <w:left w:val="none" w:sz="0" w:space="0" w:color="auto"/>
            <w:bottom w:val="none" w:sz="0" w:space="0" w:color="auto"/>
            <w:right w:val="none" w:sz="0" w:space="0" w:color="auto"/>
          </w:divBdr>
        </w:div>
        <w:div w:id="566571973">
          <w:marLeft w:val="480"/>
          <w:marRight w:val="0"/>
          <w:marTop w:val="0"/>
          <w:marBottom w:val="0"/>
          <w:divBdr>
            <w:top w:val="none" w:sz="0" w:space="0" w:color="auto"/>
            <w:left w:val="none" w:sz="0" w:space="0" w:color="auto"/>
            <w:bottom w:val="none" w:sz="0" w:space="0" w:color="auto"/>
            <w:right w:val="none" w:sz="0" w:space="0" w:color="auto"/>
          </w:divBdr>
        </w:div>
        <w:div w:id="767316819">
          <w:marLeft w:val="480"/>
          <w:marRight w:val="0"/>
          <w:marTop w:val="0"/>
          <w:marBottom w:val="0"/>
          <w:divBdr>
            <w:top w:val="none" w:sz="0" w:space="0" w:color="auto"/>
            <w:left w:val="none" w:sz="0" w:space="0" w:color="auto"/>
            <w:bottom w:val="none" w:sz="0" w:space="0" w:color="auto"/>
            <w:right w:val="none" w:sz="0" w:space="0" w:color="auto"/>
          </w:divBdr>
        </w:div>
        <w:div w:id="969285003">
          <w:marLeft w:val="480"/>
          <w:marRight w:val="0"/>
          <w:marTop w:val="0"/>
          <w:marBottom w:val="0"/>
          <w:divBdr>
            <w:top w:val="none" w:sz="0" w:space="0" w:color="auto"/>
            <w:left w:val="none" w:sz="0" w:space="0" w:color="auto"/>
            <w:bottom w:val="none" w:sz="0" w:space="0" w:color="auto"/>
            <w:right w:val="none" w:sz="0" w:space="0" w:color="auto"/>
          </w:divBdr>
        </w:div>
        <w:div w:id="1014918952">
          <w:marLeft w:val="480"/>
          <w:marRight w:val="0"/>
          <w:marTop w:val="0"/>
          <w:marBottom w:val="0"/>
          <w:divBdr>
            <w:top w:val="none" w:sz="0" w:space="0" w:color="auto"/>
            <w:left w:val="none" w:sz="0" w:space="0" w:color="auto"/>
            <w:bottom w:val="none" w:sz="0" w:space="0" w:color="auto"/>
            <w:right w:val="none" w:sz="0" w:space="0" w:color="auto"/>
          </w:divBdr>
        </w:div>
        <w:div w:id="1081567289">
          <w:marLeft w:val="480"/>
          <w:marRight w:val="0"/>
          <w:marTop w:val="0"/>
          <w:marBottom w:val="0"/>
          <w:divBdr>
            <w:top w:val="none" w:sz="0" w:space="0" w:color="auto"/>
            <w:left w:val="none" w:sz="0" w:space="0" w:color="auto"/>
            <w:bottom w:val="none" w:sz="0" w:space="0" w:color="auto"/>
            <w:right w:val="none" w:sz="0" w:space="0" w:color="auto"/>
          </w:divBdr>
        </w:div>
        <w:div w:id="1197893014">
          <w:marLeft w:val="480"/>
          <w:marRight w:val="0"/>
          <w:marTop w:val="0"/>
          <w:marBottom w:val="0"/>
          <w:divBdr>
            <w:top w:val="none" w:sz="0" w:space="0" w:color="auto"/>
            <w:left w:val="none" w:sz="0" w:space="0" w:color="auto"/>
            <w:bottom w:val="none" w:sz="0" w:space="0" w:color="auto"/>
            <w:right w:val="none" w:sz="0" w:space="0" w:color="auto"/>
          </w:divBdr>
        </w:div>
        <w:div w:id="1473056109">
          <w:marLeft w:val="480"/>
          <w:marRight w:val="0"/>
          <w:marTop w:val="0"/>
          <w:marBottom w:val="0"/>
          <w:divBdr>
            <w:top w:val="none" w:sz="0" w:space="0" w:color="auto"/>
            <w:left w:val="none" w:sz="0" w:space="0" w:color="auto"/>
            <w:bottom w:val="none" w:sz="0" w:space="0" w:color="auto"/>
            <w:right w:val="none" w:sz="0" w:space="0" w:color="auto"/>
          </w:divBdr>
        </w:div>
        <w:div w:id="1528519549">
          <w:marLeft w:val="480"/>
          <w:marRight w:val="0"/>
          <w:marTop w:val="0"/>
          <w:marBottom w:val="0"/>
          <w:divBdr>
            <w:top w:val="none" w:sz="0" w:space="0" w:color="auto"/>
            <w:left w:val="none" w:sz="0" w:space="0" w:color="auto"/>
            <w:bottom w:val="none" w:sz="0" w:space="0" w:color="auto"/>
            <w:right w:val="none" w:sz="0" w:space="0" w:color="auto"/>
          </w:divBdr>
        </w:div>
        <w:div w:id="1853373208">
          <w:marLeft w:val="480"/>
          <w:marRight w:val="0"/>
          <w:marTop w:val="0"/>
          <w:marBottom w:val="0"/>
          <w:divBdr>
            <w:top w:val="none" w:sz="0" w:space="0" w:color="auto"/>
            <w:left w:val="none" w:sz="0" w:space="0" w:color="auto"/>
            <w:bottom w:val="none" w:sz="0" w:space="0" w:color="auto"/>
            <w:right w:val="none" w:sz="0" w:space="0" w:color="auto"/>
          </w:divBdr>
        </w:div>
        <w:div w:id="1903563408">
          <w:marLeft w:val="480"/>
          <w:marRight w:val="0"/>
          <w:marTop w:val="0"/>
          <w:marBottom w:val="0"/>
          <w:divBdr>
            <w:top w:val="none" w:sz="0" w:space="0" w:color="auto"/>
            <w:left w:val="none" w:sz="0" w:space="0" w:color="auto"/>
            <w:bottom w:val="none" w:sz="0" w:space="0" w:color="auto"/>
            <w:right w:val="none" w:sz="0" w:space="0" w:color="auto"/>
          </w:divBdr>
        </w:div>
        <w:div w:id="1913157240">
          <w:marLeft w:val="480"/>
          <w:marRight w:val="0"/>
          <w:marTop w:val="0"/>
          <w:marBottom w:val="0"/>
          <w:divBdr>
            <w:top w:val="none" w:sz="0" w:space="0" w:color="auto"/>
            <w:left w:val="none" w:sz="0" w:space="0" w:color="auto"/>
            <w:bottom w:val="none" w:sz="0" w:space="0" w:color="auto"/>
            <w:right w:val="none" w:sz="0" w:space="0" w:color="auto"/>
          </w:divBdr>
        </w:div>
        <w:div w:id="2029257870">
          <w:marLeft w:val="480"/>
          <w:marRight w:val="0"/>
          <w:marTop w:val="0"/>
          <w:marBottom w:val="0"/>
          <w:divBdr>
            <w:top w:val="none" w:sz="0" w:space="0" w:color="auto"/>
            <w:left w:val="none" w:sz="0" w:space="0" w:color="auto"/>
            <w:bottom w:val="none" w:sz="0" w:space="0" w:color="auto"/>
            <w:right w:val="none" w:sz="0" w:space="0" w:color="auto"/>
          </w:divBdr>
        </w:div>
        <w:div w:id="2063670534">
          <w:marLeft w:val="480"/>
          <w:marRight w:val="0"/>
          <w:marTop w:val="0"/>
          <w:marBottom w:val="0"/>
          <w:divBdr>
            <w:top w:val="none" w:sz="0" w:space="0" w:color="auto"/>
            <w:left w:val="none" w:sz="0" w:space="0" w:color="auto"/>
            <w:bottom w:val="none" w:sz="0" w:space="0" w:color="auto"/>
            <w:right w:val="none" w:sz="0" w:space="0" w:color="auto"/>
          </w:divBdr>
        </w:div>
        <w:div w:id="2124033367">
          <w:marLeft w:val="480"/>
          <w:marRight w:val="0"/>
          <w:marTop w:val="0"/>
          <w:marBottom w:val="0"/>
          <w:divBdr>
            <w:top w:val="none" w:sz="0" w:space="0" w:color="auto"/>
            <w:left w:val="none" w:sz="0" w:space="0" w:color="auto"/>
            <w:bottom w:val="none" w:sz="0" w:space="0" w:color="auto"/>
            <w:right w:val="none" w:sz="0" w:space="0" w:color="auto"/>
          </w:divBdr>
        </w:div>
      </w:divsChild>
    </w:div>
    <w:div w:id="2109620163">
      <w:bodyDiv w:val="1"/>
      <w:marLeft w:val="0"/>
      <w:marRight w:val="0"/>
      <w:marTop w:val="0"/>
      <w:marBottom w:val="0"/>
      <w:divBdr>
        <w:top w:val="none" w:sz="0" w:space="0" w:color="auto"/>
        <w:left w:val="none" w:sz="0" w:space="0" w:color="auto"/>
        <w:bottom w:val="none" w:sz="0" w:space="0" w:color="auto"/>
        <w:right w:val="none" w:sz="0" w:space="0" w:color="auto"/>
      </w:divBdr>
      <w:divsChild>
        <w:div w:id="45682510">
          <w:marLeft w:val="480"/>
          <w:marRight w:val="0"/>
          <w:marTop w:val="0"/>
          <w:marBottom w:val="0"/>
          <w:divBdr>
            <w:top w:val="none" w:sz="0" w:space="0" w:color="auto"/>
            <w:left w:val="none" w:sz="0" w:space="0" w:color="auto"/>
            <w:bottom w:val="none" w:sz="0" w:space="0" w:color="auto"/>
            <w:right w:val="none" w:sz="0" w:space="0" w:color="auto"/>
          </w:divBdr>
        </w:div>
        <w:div w:id="77333226">
          <w:marLeft w:val="480"/>
          <w:marRight w:val="0"/>
          <w:marTop w:val="0"/>
          <w:marBottom w:val="0"/>
          <w:divBdr>
            <w:top w:val="none" w:sz="0" w:space="0" w:color="auto"/>
            <w:left w:val="none" w:sz="0" w:space="0" w:color="auto"/>
            <w:bottom w:val="none" w:sz="0" w:space="0" w:color="auto"/>
            <w:right w:val="none" w:sz="0" w:space="0" w:color="auto"/>
          </w:divBdr>
        </w:div>
        <w:div w:id="286282873">
          <w:marLeft w:val="480"/>
          <w:marRight w:val="0"/>
          <w:marTop w:val="0"/>
          <w:marBottom w:val="0"/>
          <w:divBdr>
            <w:top w:val="none" w:sz="0" w:space="0" w:color="auto"/>
            <w:left w:val="none" w:sz="0" w:space="0" w:color="auto"/>
            <w:bottom w:val="none" w:sz="0" w:space="0" w:color="auto"/>
            <w:right w:val="none" w:sz="0" w:space="0" w:color="auto"/>
          </w:divBdr>
        </w:div>
        <w:div w:id="750391803">
          <w:marLeft w:val="480"/>
          <w:marRight w:val="0"/>
          <w:marTop w:val="0"/>
          <w:marBottom w:val="0"/>
          <w:divBdr>
            <w:top w:val="none" w:sz="0" w:space="0" w:color="auto"/>
            <w:left w:val="none" w:sz="0" w:space="0" w:color="auto"/>
            <w:bottom w:val="none" w:sz="0" w:space="0" w:color="auto"/>
            <w:right w:val="none" w:sz="0" w:space="0" w:color="auto"/>
          </w:divBdr>
        </w:div>
        <w:div w:id="852039056">
          <w:marLeft w:val="480"/>
          <w:marRight w:val="0"/>
          <w:marTop w:val="0"/>
          <w:marBottom w:val="0"/>
          <w:divBdr>
            <w:top w:val="none" w:sz="0" w:space="0" w:color="auto"/>
            <w:left w:val="none" w:sz="0" w:space="0" w:color="auto"/>
            <w:bottom w:val="none" w:sz="0" w:space="0" w:color="auto"/>
            <w:right w:val="none" w:sz="0" w:space="0" w:color="auto"/>
          </w:divBdr>
        </w:div>
        <w:div w:id="857550622">
          <w:marLeft w:val="480"/>
          <w:marRight w:val="0"/>
          <w:marTop w:val="0"/>
          <w:marBottom w:val="0"/>
          <w:divBdr>
            <w:top w:val="none" w:sz="0" w:space="0" w:color="auto"/>
            <w:left w:val="none" w:sz="0" w:space="0" w:color="auto"/>
            <w:bottom w:val="none" w:sz="0" w:space="0" w:color="auto"/>
            <w:right w:val="none" w:sz="0" w:space="0" w:color="auto"/>
          </w:divBdr>
        </w:div>
        <w:div w:id="868100860">
          <w:marLeft w:val="480"/>
          <w:marRight w:val="0"/>
          <w:marTop w:val="0"/>
          <w:marBottom w:val="0"/>
          <w:divBdr>
            <w:top w:val="none" w:sz="0" w:space="0" w:color="auto"/>
            <w:left w:val="none" w:sz="0" w:space="0" w:color="auto"/>
            <w:bottom w:val="none" w:sz="0" w:space="0" w:color="auto"/>
            <w:right w:val="none" w:sz="0" w:space="0" w:color="auto"/>
          </w:divBdr>
        </w:div>
        <w:div w:id="918561048">
          <w:marLeft w:val="480"/>
          <w:marRight w:val="0"/>
          <w:marTop w:val="0"/>
          <w:marBottom w:val="0"/>
          <w:divBdr>
            <w:top w:val="none" w:sz="0" w:space="0" w:color="auto"/>
            <w:left w:val="none" w:sz="0" w:space="0" w:color="auto"/>
            <w:bottom w:val="none" w:sz="0" w:space="0" w:color="auto"/>
            <w:right w:val="none" w:sz="0" w:space="0" w:color="auto"/>
          </w:divBdr>
        </w:div>
        <w:div w:id="970862963">
          <w:marLeft w:val="480"/>
          <w:marRight w:val="0"/>
          <w:marTop w:val="0"/>
          <w:marBottom w:val="0"/>
          <w:divBdr>
            <w:top w:val="none" w:sz="0" w:space="0" w:color="auto"/>
            <w:left w:val="none" w:sz="0" w:space="0" w:color="auto"/>
            <w:bottom w:val="none" w:sz="0" w:space="0" w:color="auto"/>
            <w:right w:val="none" w:sz="0" w:space="0" w:color="auto"/>
          </w:divBdr>
        </w:div>
        <w:div w:id="1165319527">
          <w:marLeft w:val="480"/>
          <w:marRight w:val="0"/>
          <w:marTop w:val="0"/>
          <w:marBottom w:val="0"/>
          <w:divBdr>
            <w:top w:val="none" w:sz="0" w:space="0" w:color="auto"/>
            <w:left w:val="none" w:sz="0" w:space="0" w:color="auto"/>
            <w:bottom w:val="none" w:sz="0" w:space="0" w:color="auto"/>
            <w:right w:val="none" w:sz="0" w:space="0" w:color="auto"/>
          </w:divBdr>
        </w:div>
        <w:div w:id="1249384171">
          <w:marLeft w:val="480"/>
          <w:marRight w:val="0"/>
          <w:marTop w:val="0"/>
          <w:marBottom w:val="0"/>
          <w:divBdr>
            <w:top w:val="none" w:sz="0" w:space="0" w:color="auto"/>
            <w:left w:val="none" w:sz="0" w:space="0" w:color="auto"/>
            <w:bottom w:val="none" w:sz="0" w:space="0" w:color="auto"/>
            <w:right w:val="none" w:sz="0" w:space="0" w:color="auto"/>
          </w:divBdr>
        </w:div>
        <w:div w:id="1347710173">
          <w:marLeft w:val="480"/>
          <w:marRight w:val="0"/>
          <w:marTop w:val="0"/>
          <w:marBottom w:val="0"/>
          <w:divBdr>
            <w:top w:val="none" w:sz="0" w:space="0" w:color="auto"/>
            <w:left w:val="none" w:sz="0" w:space="0" w:color="auto"/>
            <w:bottom w:val="none" w:sz="0" w:space="0" w:color="auto"/>
            <w:right w:val="none" w:sz="0" w:space="0" w:color="auto"/>
          </w:divBdr>
        </w:div>
        <w:div w:id="1449205071">
          <w:marLeft w:val="480"/>
          <w:marRight w:val="0"/>
          <w:marTop w:val="0"/>
          <w:marBottom w:val="0"/>
          <w:divBdr>
            <w:top w:val="none" w:sz="0" w:space="0" w:color="auto"/>
            <w:left w:val="none" w:sz="0" w:space="0" w:color="auto"/>
            <w:bottom w:val="none" w:sz="0" w:space="0" w:color="auto"/>
            <w:right w:val="none" w:sz="0" w:space="0" w:color="auto"/>
          </w:divBdr>
        </w:div>
        <w:div w:id="1549219143">
          <w:marLeft w:val="480"/>
          <w:marRight w:val="0"/>
          <w:marTop w:val="0"/>
          <w:marBottom w:val="0"/>
          <w:divBdr>
            <w:top w:val="none" w:sz="0" w:space="0" w:color="auto"/>
            <w:left w:val="none" w:sz="0" w:space="0" w:color="auto"/>
            <w:bottom w:val="none" w:sz="0" w:space="0" w:color="auto"/>
            <w:right w:val="none" w:sz="0" w:space="0" w:color="auto"/>
          </w:divBdr>
        </w:div>
        <w:div w:id="1569488294">
          <w:marLeft w:val="480"/>
          <w:marRight w:val="0"/>
          <w:marTop w:val="0"/>
          <w:marBottom w:val="0"/>
          <w:divBdr>
            <w:top w:val="none" w:sz="0" w:space="0" w:color="auto"/>
            <w:left w:val="none" w:sz="0" w:space="0" w:color="auto"/>
            <w:bottom w:val="none" w:sz="0" w:space="0" w:color="auto"/>
            <w:right w:val="none" w:sz="0" w:space="0" w:color="auto"/>
          </w:divBdr>
        </w:div>
        <w:div w:id="1644655094">
          <w:marLeft w:val="480"/>
          <w:marRight w:val="0"/>
          <w:marTop w:val="0"/>
          <w:marBottom w:val="0"/>
          <w:divBdr>
            <w:top w:val="none" w:sz="0" w:space="0" w:color="auto"/>
            <w:left w:val="none" w:sz="0" w:space="0" w:color="auto"/>
            <w:bottom w:val="none" w:sz="0" w:space="0" w:color="auto"/>
            <w:right w:val="none" w:sz="0" w:space="0" w:color="auto"/>
          </w:divBdr>
        </w:div>
        <w:div w:id="1922370238">
          <w:marLeft w:val="480"/>
          <w:marRight w:val="0"/>
          <w:marTop w:val="0"/>
          <w:marBottom w:val="0"/>
          <w:divBdr>
            <w:top w:val="none" w:sz="0" w:space="0" w:color="auto"/>
            <w:left w:val="none" w:sz="0" w:space="0" w:color="auto"/>
            <w:bottom w:val="none" w:sz="0" w:space="0" w:color="auto"/>
            <w:right w:val="none" w:sz="0" w:space="0" w:color="auto"/>
          </w:divBdr>
        </w:div>
        <w:div w:id="2096441689">
          <w:marLeft w:val="480"/>
          <w:marRight w:val="0"/>
          <w:marTop w:val="0"/>
          <w:marBottom w:val="0"/>
          <w:divBdr>
            <w:top w:val="none" w:sz="0" w:space="0" w:color="auto"/>
            <w:left w:val="none" w:sz="0" w:space="0" w:color="auto"/>
            <w:bottom w:val="none" w:sz="0" w:space="0" w:color="auto"/>
            <w:right w:val="none" w:sz="0" w:space="0" w:color="auto"/>
          </w:divBdr>
        </w:div>
      </w:divsChild>
    </w:div>
    <w:div w:id="2113041553">
      <w:bodyDiv w:val="1"/>
      <w:marLeft w:val="0"/>
      <w:marRight w:val="0"/>
      <w:marTop w:val="0"/>
      <w:marBottom w:val="0"/>
      <w:divBdr>
        <w:top w:val="none" w:sz="0" w:space="0" w:color="auto"/>
        <w:left w:val="none" w:sz="0" w:space="0" w:color="auto"/>
        <w:bottom w:val="none" w:sz="0" w:space="0" w:color="auto"/>
        <w:right w:val="none" w:sz="0" w:space="0" w:color="auto"/>
      </w:divBdr>
    </w:div>
    <w:div w:id="2140100916">
      <w:bodyDiv w:val="1"/>
      <w:marLeft w:val="0"/>
      <w:marRight w:val="0"/>
      <w:marTop w:val="0"/>
      <w:marBottom w:val="0"/>
      <w:divBdr>
        <w:top w:val="none" w:sz="0" w:space="0" w:color="auto"/>
        <w:left w:val="none" w:sz="0" w:space="0" w:color="auto"/>
        <w:bottom w:val="none" w:sz="0" w:space="0" w:color="auto"/>
        <w:right w:val="none" w:sz="0" w:space="0" w:color="auto"/>
      </w:divBdr>
      <w:divsChild>
        <w:div w:id="13655004">
          <w:marLeft w:val="480"/>
          <w:marRight w:val="0"/>
          <w:marTop w:val="0"/>
          <w:marBottom w:val="0"/>
          <w:divBdr>
            <w:top w:val="none" w:sz="0" w:space="0" w:color="auto"/>
            <w:left w:val="none" w:sz="0" w:space="0" w:color="auto"/>
            <w:bottom w:val="none" w:sz="0" w:space="0" w:color="auto"/>
            <w:right w:val="none" w:sz="0" w:space="0" w:color="auto"/>
          </w:divBdr>
        </w:div>
        <w:div w:id="98331337">
          <w:marLeft w:val="480"/>
          <w:marRight w:val="0"/>
          <w:marTop w:val="0"/>
          <w:marBottom w:val="0"/>
          <w:divBdr>
            <w:top w:val="none" w:sz="0" w:space="0" w:color="auto"/>
            <w:left w:val="none" w:sz="0" w:space="0" w:color="auto"/>
            <w:bottom w:val="none" w:sz="0" w:space="0" w:color="auto"/>
            <w:right w:val="none" w:sz="0" w:space="0" w:color="auto"/>
          </w:divBdr>
        </w:div>
        <w:div w:id="266352756">
          <w:marLeft w:val="480"/>
          <w:marRight w:val="0"/>
          <w:marTop w:val="0"/>
          <w:marBottom w:val="0"/>
          <w:divBdr>
            <w:top w:val="none" w:sz="0" w:space="0" w:color="auto"/>
            <w:left w:val="none" w:sz="0" w:space="0" w:color="auto"/>
            <w:bottom w:val="none" w:sz="0" w:space="0" w:color="auto"/>
            <w:right w:val="none" w:sz="0" w:space="0" w:color="auto"/>
          </w:divBdr>
        </w:div>
        <w:div w:id="393162355">
          <w:marLeft w:val="480"/>
          <w:marRight w:val="0"/>
          <w:marTop w:val="0"/>
          <w:marBottom w:val="0"/>
          <w:divBdr>
            <w:top w:val="none" w:sz="0" w:space="0" w:color="auto"/>
            <w:left w:val="none" w:sz="0" w:space="0" w:color="auto"/>
            <w:bottom w:val="none" w:sz="0" w:space="0" w:color="auto"/>
            <w:right w:val="none" w:sz="0" w:space="0" w:color="auto"/>
          </w:divBdr>
        </w:div>
        <w:div w:id="452358893">
          <w:marLeft w:val="480"/>
          <w:marRight w:val="0"/>
          <w:marTop w:val="0"/>
          <w:marBottom w:val="0"/>
          <w:divBdr>
            <w:top w:val="none" w:sz="0" w:space="0" w:color="auto"/>
            <w:left w:val="none" w:sz="0" w:space="0" w:color="auto"/>
            <w:bottom w:val="none" w:sz="0" w:space="0" w:color="auto"/>
            <w:right w:val="none" w:sz="0" w:space="0" w:color="auto"/>
          </w:divBdr>
        </w:div>
        <w:div w:id="469593537">
          <w:marLeft w:val="480"/>
          <w:marRight w:val="0"/>
          <w:marTop w:val="0"/>
          <w:marBottom w:val="0"/>
          <w:divBdr>
            <w:top w:val="none" w:sz="0" w:space="0" w:color="auto"/>
            <w:left w:val="none" w:sz="0" w:space="0" w:color="auto"/>
            <w:bottom w:val="none" w:sz="0" w:space="0" w:color="auto"/>
            <w:right w:val="none" w:sz="0" w:space="0" w:color="auto"/>
          </w:divBdr>
        </w:div>
        <w:div w:id="685836731">
          <w:marLeft w:val="480"/>
          <w:marRight w:val="0"/>
          <w:marTop w:val="0"/>
          <w:marBottom w:val="0"/>
          <w:divBdr>
            <w:top w:val="none" w:sz="0" w:space="0" w:color="auto"/>
            <w:left w:val="none" w:sz="0" w:space="0" w:color="auto"/>
            <w:bottom w:val="none" w:sz="0" w:space="0" w:color="auto"/>
            <w:right w:val="none" w:sz="0" w:space="0" w:color="auto"/>
          </w:divBdr>
        </w:div>
        <w:div w:id="855386999">
          <w:marLeft w:val="480"/>
          <w:marRight w:val="0"/>
          <w:marTop w:val="0"/>
          <w:marBottom w:val="0"/>
          <w:divBdr>
            <w:top w:val="none" w:sz="0" w:space="0" w:color="auto"/>
            <w:left w:val="none" w:sz="0" w:space="0" w:color="auto"/>
            <w:bottom w:val="none" w:sz="0" w:space="0" w:color="auto"/>
            <w:right w:val="none" w:sz="0" w:space="0" w:color="auto"/>
          </w:divBdr>
        </w:div>
        <w:div w:id="948004137">
          <w:marLeft w:val="480"/>
          <w:marRight w:val="0"/>
          <w:marTop w:val="0"/>
          <w:marBottom w:val="0"/>
          <w:divBdr>
            <w:top w:val="none" w:sz="0" w:space="0" w:color="auto"/>
            <w:left w:val="none" w:sz="0" w:space="0" w:color="auto"/>
            <w:bottom w:val="none" w:sz="0" w:space="0" w:color="auto"/>
            <w:right w:val="none" w:sz="0" w:space="0" w:color="auto"/>
          </w:divBdr>
        </w:div>
        <w:div w:id="959804560">
          <w:marLeft w:val="480"/>
          <w:marRight w:val="0"/>
          <w:marTop w:val="0"/>
          <w:marBottom w:val="0"/>
          <w:divBdr>
            <w:top w:val="none" w:sz="0" w:space="0" w:color="auto"/>
            <w:left w:val="none" w:sz="0" w:space="0" w:color="auto"/>
            <w:bottom w:val="none" w:sz="0" w:space="0" w:color="auto"/>
            <w:right w:val="none" w:sz="0" w:space="0" w:color="auto"/>
          </w:divBdr>
        </w:div>
        <w:div w:id="1183517998">
          <w:marLeft w:val="480"/>
          <w:marRight w:val="0"/>
          <w:marTop w:val="0"/>
          <w:marBottom w:val="0"/>
          <w:divBdr>
            <w:top w:val="none" w:sz="0" w:space="0" w:color="auto"/>
            <w:left w:val="none" w:sz="0" w:space="0" w:color="auto"/>
            <w:bottom w:val="none" w:sz="0" w:space="0" w:color="auto"/>
            <w:right w:val="none" w:sz="0" w:space="0" w:color="auto"/>
          </w:divBdr>
        </w:div>
        <w:div w:id="1408183909">
          <w:marLeft w:val="480"/>
          <w:marRight w:val="0"/>
          <w:marTop w:val="0"/>
          <w:marBottom w:val="0"/>
          <w:divBdr>
            <w:top w:val="none" w:sz="0" w:space="0" w:color="auto"/>
            <w:left w:val="none" w:sz="0" w:space="0" w:color="auto"/>
            <w:bottom w:val="none" w:sz="0" w:space="0" w:color="auto"/>
            <w:right w:val="none" w:sz="0" w:space="0" w:color="auto"/>
          </w:divBdr>
        </w:div>
        <w:div w:id="1461070514">
          <w:marLeft w:val="480"/>
          <w:marRight w:val="0"/>
          <w:marTop w:val="0"/>
          <w:marBottom w:val="0"/>
          <w:divBdr>
            <w:top w:val="none" w:sz="0" w:space="0" w:color="auto"/>
            <w:left w:val="none" w:sz="0" w:space="0" w:color="auto"/>
            <w:bottom w:val="none" w:sz="0" w:space="0" w:color="auto"/>
            <w:right w:val="none" w:sz="0" w:space="0" w:color="auto"/>
          </w:divBdr>
        </w:div>
        <w:div w:id="2115635712">
          <w:marLeft w:val="480"/>
          <w:marRight w:val="0"/>
          <w:marTop w:val="0"/>
          <w:marBottom w:val="0"/>
          <w:divBdr>
            <w:top w:val="none" w:sz="0" w:space="0" w:color="auto"/>
            <w:left w:val="none" w:sz="0" w:space="0" w:color="auto"/>
            <w:bottom w:val="none" w:sz="0" w:space="0" w:color="auto"/>
            <w:right w:val="none" w:sz="0" w:space="0" w:color="auto"/>
          </w:divBdr>
        </w:div>
        <w:div w:id="212723725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tif"/><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ti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tif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tif"/><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6C7C54-2E01-462B-89FE-957B0106BBD0}">
  <we:reference id="wa104382081" version="1.46.0.0" store="pt-PT" storeType="OMEX"/>
  <we:alternateReferences>
    <we:reference id="wa104382081" version="1.46.0.0" store="wa104382081" storeType="OMEX"/>
  </we:alternateReferences>
  <we:properties>
    <we:property name="MENDELEY_CITATIONS_STYLE" value="{&quot;id&quot;:&quot;https://www.zotero.org/styles/apa&quot;,&quot;title&quot;:&quot;American Psychological Association 7th edition&quot;,&quot;format&quot;:&quot;author-date&quot;}"/>
    <we:property name="MENDELEY_CITATIONS" value="[{&quot;citationID&quot;:&quot;MENDELEY_CITATION_dc3b7c8d-8b3d-46ac-a482-4c93adf80323&quot;,&quot;properties&quot;:{&quot;noteIndex&quot;:0},&quot;isEdited&quot;:false,&quot;manualOverride&quot;:{&quot;isManuallyOverridden&quot;:false,&quot;citeprocText&quot;:&quot;(Nayeri et al., 2022)&quot;,&quot;manualOverrideText&quot;:&quot;&quot;},&quot;citationItems&quot;:[{&quot;id&quot;:&quot;213fcfe5-2cf2-3ed1-986b-a5773735de14&quot;,&quot;itemData&quot;:{&quot;type&quot;:&quot;article-journal&quot;,&quot;id&quot;:&quot;213fcfe5-2cf2-3ed1-986b-a5773735de14&quot;,&quot;title&quot;:&quot;Neospora caninum infection in aborting bovines and lost fetuses: A systematic review and meta-analysis&quot;,&quot;author&quot;:[{&quot;family&quot;:&quot;Nayeri&quot;,&quot;given&quot;:&quot;Tooran&quot;,&quot;parse-names&quot;:false,&quot;dropping-particle&quot;:&quot;&quot;,&quot;non-dropping-particle&quot;:&quot;&quot;},{&quot;family&quot;:&quot;Moosazadeh&quot;,&quot;given&quot;:&quot;Mahmood&quot;,&quot;parse-names&quot;:false,&quot;dropping-particle&quot;:&quot;&quot;,&quot;non-dropping-particle&quot;:&quot;&quot;},{&quot;family&quot;:&quot;Sarvi&quot;,&quot;given&quot;:&quot;Shahabeddin&quot;,&quot;parse-names&quot;:false,&quot;dropping-particle&quot;:&quot;&quot;,&quot;non-dropping-particle&quot;:&quot;&quot;},{&quot;family&quot;:&quot;Daryani&quot;,&quot;given&quot;:&quot;Ahmad&quot;,&quot;parse-names&quot;:false,&quot;dropping-particle&quot;:&quot;&quot;,&quot;non-dropping-particle&quot;:&quot;&quot;}],&quot;container-title&quot;:&quot;PLOS ONE&quot;,&quot;accessed&quot;:{&quot;date-parts&quot;:[[2022,8,1]]},&quot;editor&quot;:[{&quot;family&quot;:&quot;Rosenthal&quot;,&quot;given&quot;:&quot;Benjamin M.&quot;,&quot;parse-names&quot;:false,&quot;dropping-particle&quot;:&quot;&quot;,&quot;non-dropping-particle&quot;:&quot;&quot;}],&quot;DOI&quot;:&quot;10.1371/journal.pone.0268903&quot;,&quot;ISSN&quot;:&quot;1932-6203&quot;,&quot;PMID&quot;:&quot;35604902&quot;,&quot;URL&quot;:&quot;https://pubmed.ncbi.nlm.nih.gov/35604902/&quot;,&quot;issued&quot;:{&quot;date-parts&quot;:[[2022,5,23]]},&quot;page&quot;:&quot;e0268903&quot;,&quot;abstract&quot;:&quot;Background&quot;,&quot;publisher&quot;:&quot;PLoS One&quot;,&quot;issue&quot;:&quot;5&quot;,&quot;volume&quot;:&quot;17&quot;,&quot;container-title-short&quot;:&quot;&quot;},&quot;isTemporary&quot;:false}],&quot;citationTag&quot;:&quot;MENDELEY_CITATION_v3_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&quot;},{&quot;citationID&quot;:&quot;MENDELEY_CITATION_8a303e5d-d121-4cbc-a6c8-ea68e1e38263&quot;,&quot;properties&quot;:{&quot;noteIndex&quot;:0},&quot;isEdited&quot;:false,&quot;manualOverride&quot;:{&quot;isManuallyOverridden&quot;:false,&quot;citeprocText&quot;:&quot;(1999)&quot;,&quot;manualOverrideText&quot;:&quot;&quot;},&quot;citationItems&quot;:[{&quot;label&quot;:&quot;page&quot;,&quot;id&quot;:&quot;488e0685-d601-3243-a61f-63049570214b&quot;,&quot;itemData&quot;:{&quot;type&quot;:&quot;article-journal&quot;,&quot;id&quot;:&quot;488e0685-d601-3243-a61f-63049570214b&quot;,&quot;title&quot;:&quot;Comparison of the major antigens of Neospora caninum and Toxoplasma gondii&quot;,&quot;author&quot;:[{&quot;family&quot;:&quot;Howe&quot;,&quot;given&quot;:&quot;Daniel K.&quot;,&quot;parse-names&quot;:false,&quot;dropping-particle&quot;:&quot;&quot;,&quot;non-dropping-particle&quot;:&quot;&quot;},{&quot;family&quot;:&quot;Sibley&quot;,&quot;given&quot;:&quot;L.David&quot;,&quot;parse-names&quot;:false,&quot;dropping-particle&quot;:&quot;&quot;,&quot;non-dropping-particle&quot;:&quot;&quot;}],&quot;container-title&quot;:&quot;International Journal for Parasitology&quot;,&quot;accessed&quot;:{&quot;date-parts&quot;:[[2022,8,2]]},&quot;DOI&quot;:&quot;10.1016/S0020-7519(99)00099-5&quot;,&quot;ISSN&quot;:&quot;00207519&quot;,&quot;PMID&quot;:&quot;10608434&quot;,&quot;URL&quot;:&quot;https://linkinghub.elsevier.com/retrieve/pii/S0020751999000995&quot;,&quot;issued&quot;:{&quot;date-parts&quot;:[[1999]]},&quot;page&quot;:&quot;1489-1496&quot;,&quot;abstract&quot;:&quot;The Apicomplexa are a diverse group of parasitic protozoa with very ancient phylogenetic roots. Consistent with their phylogeny, the extant species share conserved proteins and traits that were found in their apicomplexan progenitor, but at the same time they have diverged to occupy different biological niches (e.g. host-range and cell type). Characterisation of gene and protein diversity is important for distinguishing between related parasites, for determining their phylogeny, and for providing insight into factors that determine host restriction, cell preference, and virulence. The value of molecular characterisations and comparisons between species is well illustrated by the close phylogenetic relationship between Neospora caninum and Toxoplasma gondii. These two organisms have nearly identical morphology and can cause similar pathology and disease. Consequently, N. caninum has often been incorrectly identified as T. gondii, thus demonstrating the need for studies addressing the molecular and antigenic composition of Neospora. In this review, we describe the major antigenic proteins that have been characterised in N. caninum. These show homology to T. gondii proteins, yet possess unique antigenic characteristics that distinguish them from their homologues and enable their use for specific serological diagnoses and parasite identification.&quot;,&quot;issue&quot;:&quot;10&quot;,&quot;volume&quot;:&quot;29&quot;,&quot;container-title-short&quot;:&quot;&quot;},&quot;isTemporary&quot;:false,&quot;suppress-author&quot;:true}],&quot;citationTag&quot;:&quot;MENDELEY_CITATION_v3_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&quot;},{&quot;citationID&quot;:&quot;MENDELEY_CITATION_fbc2e6f3-9b1a-4677-828a-7c3b62b6a634&quot;,&quot;properties&quot;:{&quot;noteIndex&quot;:0},&quot;isEdited&quot;:false,&quot;manualOverride&quot;:{&quot;isManuallyOverridden&quot;:true,&quot;citeprocText&quot;:&quot;(Bjerkås et al., n.d.)&quot;,&quot;manualOverrideText&quot;:&quot;Bjerkås et al.&quot;},&quot;citationItems&quot;:[{&quot;id&quot;:&quot;c7e10723-c7ba-320b-9f10-d9cf58cce533&quot;,&quot;itemData&quot;:{&quot;type&quot;:&quot;webpage&quot;,&quot;id&quot;:&quot;c7e10723-c7ba-320b-9f10-d9cf58cce533&quot;,&quot;title&quot;:&quot;Unidentified cyst-forming sporozoon causing encephalomyelitis and myositis in dogs.&quot;,&quot;author&quot;:[{&quot;family&quot;:&quot;Bjerkås&quot;,&quot;given&quot;:&quot;I.&quot;,&quot;parse-names&quot;:false,&quot;dropping-particle&quot;:&quot;&quot;,&quot;non-dropping-particle&quot;:&quot;&quot;},{&quot;family&quot;:&quot;Mohn&quot;,&quot;given&quot;:&quot;S. F.&quot;,&quot;parse-names&quot;:false,&quot;dropping-particle&quot;:&quot;&quot;,&quot;non-dropping-particle&quot;:&quot;&quot;},{&quot;family&quot;:&quot;Presthus&quot;,&quot;given&quot;:&quot;J.&quot;,&quot;parse-names&quot;:false,&quot;dropping-particle&quot;:&quot;&quot;,&quot;non-dropping-particle&quot;:&quot;&quot;}],&quot;accessed&quot;:{&quot;date-parts&quot;:[[2022,8,3]]},&quot;URL&quot;:&quot;https://www.cabdirect.org/cabdirect/abstract/19840814958&quot;,&quot;container-title-short&quot;:&quot;&quot;},&quot;isTemporary&quot;:false}],&quot;citationTag&quot;:&quot;MENDELEY_CITATION_v3_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&quot;},{&quot;citationID&quot;:&quot;MENDELEY_CITATION_7c266aa7-7ce0-4d4c-b533-dcc72fb4006b&quot;,&quot;properties&quot;:{&quot;noteIndex&quot;:0},&quot;isEdited&quot;:false,&quot;manualOverride&quot;:{&quot;isManuallyOverridden&quot;:true,&quot;citeprocText&quot;:&quot;(Dubey et al., 1988)&quot;,&quot;manualOverrideText&quot;:&quot;Dubey et al.&quot;},&quot;citationItems&quot;:[{&quot;id&quot;:&quot;f4363276-3da3-3a61-92ab-20017dd1b5b3&quot;,&quot;itemData&quot;:{&quot;type&quot;:&quot;article-journal&quot;,&quot;id&quot;:&quot;f4363276-3da3-3a61-92ab-20017dd1b5b3&quot;,&quot;title&quot;:&quot;Newly recognized fatal protozoan disease of dogs.&quot;,&quot;author&quot;:[{&quot;family&quot;:&quot;Dubey&quot;,&quot;given&quot;:&quot;J. P.&quot;,&quot;parse-names&quot;:false,&quot;dropping-particle&quot;:&quot;&quot;,&quot;non-dropping-particle&quot;:&quot;&quot;},{&quot;family&quot;:&quot;Carpenter&quot;,&quot;given&quot;:&quot;J. L.&quot;,&quot;parse-names&quot;:false,&quot;dropping-particle&quot;:&quot;&quot;,&quot;non-dropping-particle&quot;:&quot;&quot;},{&quot;family&quot;:&quot;Speer&quot;,&quot;given&quot;:&quot;C. A.&quot;,&quot;parse-names&quot;:false,&quot;dropping-particle&quot;:&quot;&quot;,&quot;non-dropping-particle&quot;:&quot;&quot;},{&quot;family&quot;:&quot;Topper&quot;,&quot;given&quot;:&quot;M. J.&quot;,&quot;parse-names&quot;:false,&quot;dropping-particle&quot;:&quot;&quot;,&quot;non-dropping-particle&quot;:&quot;&quot;},{&quot;family&quot;:&quot;Uggla&quot;,&quot;given&quot;:&quot;A.&quot;,&quot;parse-names&quot;:false,&quot;dropping-particle&quot;:&quot;&quot;,&quot;non-dropping-particle&quot;:&quot;&quot;}],&quot;container-title&quot;:&quot;Journal of the American Veterinary Medical Association&quot;,&quot;container-title-short&quot;:&quot;J Am Vet Med Assoc&quot;,&quot;accessed&quot;:{&quot;date-parts&quot;:[[2022,8,3]]},&quot;ISSN&quot;:&quot;0003-1488&quot;,&quot;PMID&quot;:&quot;3391851&quot;,&quot;URL&quot;:&quot;https://europepmc.org/article/med/3391851&quot;,&quot;issued&quot;:{&quot;date-parts&quot;:[[1988,5,1]]},&quot;page&quot;:&quot;1269-1285&quot;,&quot;abstract&quot;:&quot;Histologic sections and case histories from 23 dogs with proven fatal toxoplasmosis-like illness at the Angell Memorial Animal Hospital were reviewed. Toxoplasma gondii was identified in 13 dogs. A newly identified parasite, Neospora caninum, structurally distinct from T gondii, was found in 10 dogs. The newly discovered organism, belonging to a new genus and new species, formed meronts in many tissues of the dogs, especially the brain and spinal cord. Neospora caninum was located directly in the host cell cytoplasm without a parasitophorous vacuole; it divided by endodyogeny, contained more than 11 rhoptries, and did not react with the anti-T gondii serum in the immunoperoxidase test. Meningoencephalomyelitis and myositis were the main lesions associated with N caninum. Ulcerative and fistulous dermatitis was the major lesion in 1 dog.&quot;,&quot;issue&quot;:&quot;9&quot;,&quot;volume&quot;:&quot;192&quot;},&quot;isTemporary&quot;:false}],&quot;citationTag&quot;:&quot;MENDELEY_CITATION_v3_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&quot;},{&quot;citationID&quot;:&quot;MENDELEY_CITATION_07954adf-5b0b-4d55-86fd-e1b255cb17eb&quot;,&quot;properties&quot;:{&quot;noteIndex&quot;:0},&quot;isEdited&quot;:false,&quot;manualOverride&quot;:{&quot;isManuallyOverridden&quot;:false,&quot;citeprocText&quot;:&quot;(de Souza et al., 2022; Donahoe et al., 2015)&quot;,&quot;manualOverrideText&quot;:&quot;&quot;},&quot;citationItems&quot;:[{&quot;id&quot;:&quot;0eb21b67-0b11-310b-bb97-5e8fd960f5bc&quot;,&quot;itemData&quot;:{&quot;type&quot;:&quot;article-journal&quot;,&quot;id&quot;:&quot;0eb21b67-0b11-310b-bb97-5e8fd960f5bc&quot;,&quot;title&quot;:&quot;A review of neosporosis and pathologic findings of Neospora caninum infection in wildlife&quot;,&quot;author&quot;:[{&quot;family&quot;:&quot;Donahoe&quot;,&quot;given&quot;:&quot;Shannon L.&quot;,&quot;parse-names&quot;:false,&quot;dropping-particle&quot;:&quot;&quot;,&quot;non-dropping-particle&quot;:&quot;&quot;},{&quot;family&quot;:&quot;Lindsay&quot;,&quot;given&quot;:&quot;Scott A.&quot;,&quot;parse-names&quot;:false,&quot;dropping-particle&quot;:&quot;&quot;,&quot;non-dropping-particle&quot;:&quot;&quot;},{&quot;family&quot;:&quot;Krockenberger&quot;,&quot;given&quot;:&quot;Mark&quot;,&quot;parse-names&quot;:false,&quot;dropping-particle&quot;:&quot;&quot;,&quot;non-dropping-particle&quot;:&quot;&quot;},{&quot;family&quot;:&quot;Phalen&quot;,&quot;given&quot;:&quot;David&quot;,&quot;parse-names&quot;:false,&quot;dropping-particle&quot;:&quot;&quot;,&quot;non-dropping-particle&quot;:&quot;&quot;},{&quot;family&quot;:&quot;Šlapeta&quot;,&quot;given&quot;:&quot;Jan&quot;,&quot;parse-names&quot;:false,&quot;dropping-particle&quot;:&quot;&quot;,&quot;non-dropping-particle&quot;:&quot;&quot;}],&quot;container-title&quot;:&quot;International Journal for Parasitology: Parasites and Wildlife&quot;,&quot;accessed&quot;:{&quot;date-parts&quot;:[[2022,8,3]]},&quot;DOI&quot;:&quot;10.1016/J.IJPPAW.2015.04.002&quot;,&quot;ISSN&quot;:&quot;2213-2244&quot;,&quot;issued&quot;:{&quot;date-parts&quot;:[[2015,8,1]]},&quot;page&quot;:&quot;216-238&quot;,&quot;abstract&quot;:&quo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quot;,&quot;publisher&quot;:&quot;Elsevier&quot;,&quot;issue&quot;:&quot;2&quot;,&quot;volume&quot;:&quot;4&quot;,&quot;container-title-short&quot;:&quot;&quot;},&quot;isTemporary&quot;:false},{&quot;id&quot;:&quot;72a8e925-c6c9-35bf-ba96-4718d4991440&quot;,&quot;itemData&quot;:{&quot;type&quot;:&quot;article-journal&quot;,&quot;id&quot;:&quot;72a8e925-c6c9-35bf-ba96-4718d4991440&quot;,&quot;title&quot;:&quot;Neospora caninum infection and reproductive problems in dairy cows from Brazil: A case-control study&quot;,&quot;author&quot;:[{&quot;family&quot;:&quot;Souza&quot;,&quot;given&quot;:&quot;Giovanna Gati&quot;,&quot;parse-names&quot;:false,&quot;dropping-particle&quot;:&quot;&quot;,&quot;non-dropping-particle&quot;:&quot;de&quot;},{&quot;family&quot;:&quot;Amatti&quot;,&quot;given&quot;:&quot;Lidiana Zanetti&quot;,&quot;parse-names&quot;:false,&quot;dropping-particle&quot;:&quot;&quot;,&quot;non-dropping-particle&quot;:&quot;&quot;},{&quot;family&quot;:&quot;Garcia&quot;,&quot;given&quot;:&quot;Luana Venâncio&quot;,&quot;parse-names&quot;:false,&quot;dropping-particle&quot;:&quot;&quot;,&quot;non-dropping-particle&quot;:&quot;&quot;},{&quot;family&quot;:&quot;Costa&quot;,&quot;given&quot;:&quot;Letícia Ramos&quot;,&quot;parse-names&quot;:false,&quot;dropping-particle&quot;:&quot;&quot;,&quot;non-dropping-particle&quot;:&quot;&quot;},{&quot;family&quot;:&quot;Minutti&quot;,&quot;given&quot;:&quot;Ana Flávia&quot;,&quot;parse-names&quot;:false,&quot;dropping-particle&quot;:&quot;&quot;,&quot;non-dropping-particle&quot;:&quot;&quot;},{&quot;family&quot;:&quot;Martins&quot;,&quot;given&quot;:&quot;Thais Agostinho&quot;,&quot;parse-names&quot;:false,&quot;dropping-particle&quot;:&quot;&quot;,&quot;non-dropping-particle&quot;:&quot;&quot;},{&quot;family&quot;:&quot;Bogado&quot;,&quot;given&quot;:&quot;Alexey Leon Gomel&quot;,&quot;parse-names&quot;:false,&quot;dropping-particle&quot;:&quot;&quot;,&quot;non-dropping-particle&quot;:&quot;&quot;},{&quot;family&quot;:&quot;Ignácio&quot;,&quot;given&quot;:&quot;Fernanda Saules&quot;,&quot;parse-names&quot;:false,&quot;dropping-particle&quot;:&quot;&quot;,&quot;non-dropping-particle&quot;:&quot;&quot;},{&quot;family&quot;:&quot;Almeida&quot;,&quot;given&quot;:&quot;Breno Fernando Martins&quot;,&quot;parse-names&quot;:false,&quot;dropping-particle&quot;:&quot;&quot;,&quot;non-dropping-particle&quot;:&quot;de&quot;},{&quot;family&quot;:&quot;Garcia&quot;,&quot;given&quot;:&quot;João Luis&quot;,&quot;parse-names&quot;:false,&quot;dropping-particle&quot;:&quot;&quot;,&quot;non-dropping-particle&quot;:&quot;&quot;},{&quot;family&quot;:&quot;Barros&quot;,&quot;given&quot;:&quot;Luiz Daniel&quot;,&quot;parse-names&quot;:false,&quot;dropping-particle&quot;:&quot;&quot;,&quot;non-dropping-particle&quot;:&quot;de&quot;}],&quot;container-title&quot;:&quot;Veterinary Parasitology: Regional Studies and Reports&quot;,&quot;accessed&quot;:{&quot;date-parts&quot;:[[2022,8,1]]},&quot;DOI&quot;:&quot;10.1016/J.VPRSR.2021.100683&quot;,&quot;ISSN&quot;:&quot;24059390&quot;,&quot;PMID&quot;:&quot;35115122&quot;,&quot;URL&quot;:&quot;https://reader.elsevier.com/reader/sd/pii/S2405939021001556?token=B94BEE086B2889775CDE7838A9B04C2DA9EF023AACD99F8BCA0C2C26CC73FF644D81178CEBC3D6BC82E738AE215F29D1&amp;originRegion=eu-west-1&amp;originCreation=20220801145158&quot;,&quot;issued&quot;:{&quot;date-parts&quot;:[[2022,2,1]]},&quot;abstract&quot;:&quot;Neosporosis, an infectious disease caused by the protozoan Neospora caninum, has been associated with economic losses in cattle rearing worldwide. However, previous studies have not presented any evidence regarding the association between serological status of neosporosis and alteration of the reproductive parameters. Thus, this study aimed to determine whether N. caninum is associated with reproductive disorders and to evaluate the possible risk factors of the infection. Blood samples from 202 dairy cows, 51 with a history of reproductive disorders (case group) and 151 without (control group), were collected from different farms in Brazil. Epidemiological questionnaires were conducted with all the farmers. Serum samples were subjected to an indirect fluorescent antibody test to detect antibodies against the parasite. In total, 28.22% (57/202) of the cows were seropositive: 47.06% (24/51) from the case group and 21.85% (33/151) from the control group. By logistic regression, cows aged ≥48 months and cows with history of abortion were 4.8 (95% confidence interval [CI] = 1.91–12.05; p = 0.001) and 2.3 (95% CI = 1.06–5.1; p = 0.034) times more likely to be seropositive, respectively. Furthermore, our results show an association between N. caninum seropositivity and abortion in dairy cows from Brazil with poor management conditions and N. caninum seropositivity risk factors for reproductive disorders.&quot;,&quot;publisher&quot;:&quot;Elsevier B.V.&quot;,&quot;volume&quot;:&quot;28&quot;,&quot;container-title-short&quot;:&quot;&quot;},&quot;isTemporary&quot;:false}],&quot;citationTag&quot;:&quot;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&quot;},{&quot;citationID&quot;:&quot;MENDELEY_CITATION_9f9e21cd-57db-4e4a-8a7b-53e00dfdf0b9&quot;,&quot;properties&quot;:{&quot;noteIndex&quot;:0},&quot;isEdited&quot;:false,&quot;manualOverride&quot;:{&quot;isManuallyOverridden&quot;:false,&quot;citeprocText&quot;:&quot;(Donahoe et al., 2015)&quot;,&quot;manualOverrideText&quot;:&quot;&quot;},&quot;citationItems&quot;:[{&quot;id&quot;:&quot;0eb21b67-0b11-310b-bb97-5e8fd960f5bc&quot;,&quot;itemData&quot;:{&quot;type&quot;:&quot;article-journal&quot;,&quot;id&quot;:&quot;0eb21b67-0b11-310b-bb97-5e8fd960f5bc&quot;,&quot;title&quot;:&quot;A review of neosporosis and pathologic findings of Neospora caninum infection in wildlife&quot;,&quot;author&quot;:[{&quot;family&quot;:&quot;Donahoe&quot;,&quot;given&quot;:&quot;Shannon L.&quot;,&quot;parse-names&quot;:false,&quot;dropping-particle&quot;:&quot;&quot;,&quot;non-dropping-particle&quot;:&quot;&quot;},{&quot;family&quot;:&quot;Lindsay&quot;,&quot;given&quot;:&quot;Scott A.&quot;,&quot;parse-names&quot;:false,&quot;dropping-particle&quot;:&quot;&quot;,&quot;non-dropping-particle&quot;:&quot;&quot;},{&quot;family&quot;:&quot;Krockenberger&quot;,&quot;given&quot;:&quot;Mark&quot;,&quot;parse-names&quot;:false,&quot;dropping-particle&quot;:&quot;&quot;,&quot;non-dropping-particle&quot;:&quot;&quot;},{&quot;family&quot;:&quot;Phalen&quot;,&quot;given&quot;:&quot;David&quot;,&quot;parse-names&quot;:false,&quot;dropping-particle&quot;:&quot;&quot;,&quot;non-dropping-particle&quot;:&quot;&quot;},{&quot;family&quot;:&quot;Šlapeta&quot;,&quot;given&quot;:&quot;Jan&quot;,&quot;parse-names&quot;:false,&quot;dropping-particle&quot;:&quot;&quot;,&quot;non-dropping-particle&quot;:&quot;&quot;}],&quot;container-title&quot;:&quot;International Journal for Parasitology: Parasites and Wildlife&quot;,&quot;accessed&quot;:{&quot;date-parts&quot;:[[2022,8,3]]},&quot;DOI&quot;:&quot;10.1016/J.IJPPAW.2015.04.002&quot;,&quot;ISSN&quot;:&quot;2213-2244&quot;,&quot;issued&quot;:{&quot;date-parts&quot;:[[2015,8,1]]},&quot;page&quot;:&quot;216-238&quot;,&quot;abstract&quot;:&quo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quot;,&quot;publisher&quot;:&quot;Elsevier&quot;,&quot;issue&quot;:&quot;2&quot;,&quot;volume&quot;:&quot;4&quot;,&quot;container-title-short&quot;:&quot;&quot;},&quot;isTemporary&quot;:false}],&quot;citationTag&quot;:&quot;MENDELEY_CITATION_v3_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&quot;},{&quot;citationID&quot;:&quot;MENDELEY_CITATION_7a421ca8-1e5a-49d8-b3d2-2211d9258b5f&quot;,&quot;properties&quot;:{&quot;noteIndex&quot;:0},&quot;isEdited&quot;:false,&quot;manualOverride&quot;:{&quot;isManuallyOverridden&quot;:false,&quot;citeprocText&quot;:&quot;(Nayeri et al., 2022)&quot;,&quot;manualOverrideText&quot;:&quot;&quot;},&quot;citationItems&quot;:[{&quot;id&quot;:&quot;213fcfe5-2cf2-3ed1-986b-a5773735de14&quot;,&quot;itemData&quot;:{&quot;type&quot;:&quot;article-journal&quot;,&quot;id&quot;:&quot;213fcfe5-2cf2-3ed1-986b-a5773735de14&quot;,&quot;title&quot;:&quot;Neospora caninum infection in aborting bovines and lost fetuses: A systematic review and meta-analysis&quot;,&quot;author&quot;:[{&quot;family&quot;:&quot;Nayeri&quot;,&quot;given&quot;:&quot;Tooran&quot;,&quot;parse-names&quot;:false,&quot;dropping-particle&quot;:&quot;&quot;,&quot;non-dropping-particle&quot;:&quot;&quot;},{&quot;family&quot;:&quot;Moosazadeh&quot;,&quot;given&quot;:&quot;Mahmood&quot;,&quot;parse-names&quot;:false,&quot;dropping-particle&quot;:&quot;&quot;,&quot;non-dropping-particle&quot;:&quot;&quot;},{&quot;family&quot;:&quot;Sarvi&quot;,&quot;given&quot;:&quot;Shahabeddin&quot;,&quot;parse-names&quot;:false,&quot;dropping-particle&quot;:&quot;&quot;,&quot;non-dropping-particle&quot;:&quot;&quot;},{&quot;family&quot;:&quot;Daryani&quot;,&quot;given&quot;:&quot;Ahmad&quot;,&quot;parse-names&quot;:false,&quot;dropping-particle&quot;:&quot;&quot;,&quot;non-dropping-particle&quot;:&quot;&quot;}],&quot;container-title&quot;:&quot;PLOS ONE&quot;,&quot;accessed&quot;:{&quot;date-parts&quot;:[[2022,8,1]]},&quot;editor&quot;:[{&quot;family&quot;:&quot;Rosenthal&quot;,&quot;given&quot;:&quot;Benjamin M.&quot;,&quot;parse-names&quot;:false,&quot;dropping-particle&quot;:&quot;&quot;,&quot;non-dropping-particle&quot;:&quot;&quot;}],&quot;DOI&quot;:&quot;10.1371/journal.pone.0268903&quot;,&quot;ISSN&quot;:&quot;1932-6203&quot;,&quot;PMID&quot;:&quot;35604902&quot;,&quot;URL&quot;:&quot;https://pubmed.ncbi.nlm.nih.gov/35604902/&quot;,&quot;issued&quot;:{&quot;date-parts&quot;:[[2022,5,23]]},&quot;page&quot;:&quot;e0268903&quot;,&quot;abstract&quot;:&quot;Background&quot;,&quot;publisher&quot;:&quot;PLoS One&quot;,&quot;issue&quot;:&quot;5&quot;,&quot;volume&quot;:&quot;17&quot;,&quot;container-title-short&quot;:&quot;&quot;},&quot;isTemporary&quot;:false}],&quot;citationTag&quot;:&quot;MENDELEY_CITATION_v3_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&quot;},{&quot;citationID&quot;:&quot;MENDELEY_CITATION_23b82310-69cd-4c49-8cfa-9d7502764272&quot;,&quot;properties&quot;:{&quot;noteIndex&quot;:0},&quot;isEdited&quot;:false,&quot;manualOverride&quot;:{&quot;isManuallyOverridden&quot;:false,&quot;citeprocText&quot;:&quot;(Goodswen et al., 2013; Nayeri et al., 2022)&quot;,&quot;manualOverrideText&quot;:&quot;&quot;},&quot;citationItems&quot;:[{&quot;id&quot;:&quot;213fcfe5-2cf2-3ed1-986b-a5773735de14&quot;,&quot;itemData&quot;:{&quot;type&quot;:&quot;article-journal&quot;,&quot;id&quot;:&quot;213fcfe5-2cf2-3ed1-986b-a5773735de14&quot;,&quot;title&quot;:&quot;Neospora caninum infection in aborting bovines and lost fetuses: A systematic review and meta-analysis&quot;,&quot;author&quot;:[{&quot;family&quot;:&quot;Nayeri&quot;,&quot;given&quot;:&quot;Tooran&quot;,&quot;parse-names&quot;:false,&quot;dropping-particle&quot;:&quot;&quot;,&quot;non-dropping-particle&quot;:&quot;&quot;},{&quot;family&quot;:&quot;Moosazadeh&quot;,&quot;given&quot;:&quot;Mahmood&quot;,&quot;parse-names&quot;:false,&quot;dropping-particle&quot;:&quot;&quot;,&quot;non-dropping-particle&quot;:&quot;&quot;},{&quot;family&quot;:&quot;Sarvi&quot;,&quot;given&quot;:&quot;Shahabeddin&quot;,&quot;parse-names&quot;:false,&quot;dropping-particle&quot;:&quot;&quot;,&quot;non-dropping-particle&quot;:&quot;&quot;},{&quot;family&quot;:&quot;Daryani&quot;,&quot;given&quot;:&quot;Ahmad&quot;,&quot;parse-names&quot;:false,&quot;dropping-particle&quot;:&quot;&quot;,&quot;non-dropping-particle&quot;:&quot;&quot;}],&quot;container-title&quot;:&quot;PLOS ONE&quot;,&quot;accessed&quot;:{&quot;date-parts&quot;:[[2022,8,1]]},&quot;editor&quot;:[{&quot;family&quot;:&quot;Rosenthal&quot;,&quot;given&quot;:&quot;Benjamin M.&quot;,&quot;parse-names&quot;:false,&quot;dropping-particle&quot;:&quot;&quot;,&quot;non-dropping-particle&quot;:&quot;&quot;}],&quot;DOI&quot;:&quot;10.1371/journal.pone.0268903&quot;,&quot;ISSN&quot;:&quot;1932-6203&quot;,&quot;PMID&quot;:&quot;35604902&quot;,&quot;URL&quot;:&quot;https://pubmed.ncbi.nlm.nih.gov/35604902/&quot;,&quot;issued&quot;:{&quot;date-parts&quot;:[[2022,5,23]]},&quot;page&quot;:&quot;e0268903&quot;,&quot;abstract&quot;:&quot;Background&quot;,&quot;publisher&quot;:&quot;PLoS One&quot;,&quot;issue&quot;:&quot;5&quot;,&quot;volume&quot;:&quot;17&quot;,&quot;container-title-short&quot;:&quot;&quot;},&quot;isTemporary&quot;:false},{&quot;id&quot;:&quot;ec998491-25c0-3ac3-a2aa-a141fbdeeff9&quot;,&quot;itemData&quot;:{&quot;type&quot;:&quot;article-journal&quot;,&quot;id&quot;:&quot;ec998491-25c0-3ac3-a2aa-a141fbdeeff9&quot;,&quot;title&quot;:&quot;A review of the infection, genetics, and evolution of Neospora caninum: From the past to the present&quot;,&quot;author&quot;:[{&quot;family&quot;:&quot;Goodswen&quot;,&quot;given&quot;:&quot;Stephen J.&quot;,&quot;parse-names&quot;:false,&quot;dropping-particle&quot;:&quot;&quot;,&quot;non-dropping-particle&quot;:&quot;&quot;},{&quot;family&quot;:&quot;Kennedy&quot;,&quot;given&quot;:&quot;Paul J.&quot;,&quot;parse-names&quot;:false,&quot;dropping-particle&quot;:&quot;&quot;,&quot;non-dropping-particle&quot;:&quot;&quot;},{&quot;family&quot;:&quot;Ellis&quot;,&quot;given&quot;:&quot;John T.&quot;,&quot;parse-names&quot;:false,&quot;dropping-particle&quot;:&quot;&quot;,&quot;non-dropping-particle&quot;:&quot;&quot;}],&quot;container-title&quot;:&quot;Infection, Genetics and Evolution&quot;,&quot;accessed&quot;:{&quot;date-parts&quot;:[[2022,8,4]]},&quot;DOI&quot;:&quot;10.1016/J.MEEGID.2012.08.012&quot;,&quot;ISSN&quot;:&quot;1567-1348&quot;,&quot;PMID&quot;:&quot;22985682&quot;,&quot;issued&quot;:{&quot;date-parts&quot;:[[2013,1,1]]},&quot;page&quot;:&quot;133-150&quot;,&quot;abstract&quot;:&quo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quot;,&quot;publisher&quot;:&quot;Elsevier&quot;,&quot;issue&quot;:&quot;1&quot;,&quot;volume&quot;:&quot;13&quot;,&quot;container-title-short&quot;:&quot;&quot;},&quot;isTemporary&quot;:false}],&quot;citationTag&quot;:&quot;MENDELEY_CITATION_v3_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&quot;},{&quot;citationID&quot;:&quot;MENDELEY_CITATION_79511d3d-6cce-468b-8c31-e7b1dbee0f80&quot;,&quot;properties&quot;:{&quot;noteIndex&quot;:0},&quot;isEdited&quot;:false,&quot;manualOverride&quot;:{&quot;isManuallyOverridden&quot;:false,&quot;citeprocText&quot;:&quot;(Donahoe et al., 2015; Goodswen et al., 2013)&quot;,&quot;manualOverrideText&quot;:&quot;&quot;},&quot;citationItems&quot;:[{&quot;id&quot;:&quot;ec998491-25c0-3ac3-a2aa-a141fbdeeff9&quot;,&quot;itemData&quot;:{&quot;type&quot;:&quot;article-journal&quot;,&quot;id&quot;:&quot;ec998491-25c0-3ac3-a2aa-a141fbdeeff9&quot;,&quot;title&quot;:&quot;A review of the infection, genetics, and evolution of Neospora caninum: From the past to the present&quot;,&quot;author&quot;:[{&quot;family&quot;:&quot;Goodswen&quot;,&quot;given&quot;:&quot;Stephen J.&quot;,&quot;parse-names&quot;:false,&quot;dropping-particle&quot;:&quot;&quot;,&quot;non-dropping-particle&quot;:&quot;&quot;},{&quot;family&quot;:&quot;Kennedy&quot;,&quot;given&quot;:&quot;Paul J.&quot;,&quot;parse-names&quot;:false,&quot;dropping-particle&quot;:&quot;&quot;,&quot;non-dropping-particle&quot;:&quot;&quot;},{&quot;family&quot;:&quot;Ellis&quot;,&quot;given&quot;:&quot;John T.&quot;,&quot;parse-names&quot;:false,&quot;dropping-particle&quot;:&quot;&quot;,&quot;non-dropping-particle&quot;:&quot;&quot;}],&quot;container-title&quot;:&quot;Infection, Genetics and Evolution&quot;,&quot;accessed&quot;:{&quot;date-parts&quot;:[[2022,8,4]]},&quot;DOI&quot;:&quot;10.1016/J.MEEGID.2012.08.012&quot;,&quot;ISSN&quot;:&quot;1567-1348&quot;,&quot;PMID&quot;:&quot;22985682&quot;,&quot;issued&quot;:{&quot;date-parts&quot;:[[2013,1,1]]},&quot;page&quot;:&quot;133-150&quot;,&quot;abstract&quot;:&quo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quot;,&quot;publisher&quot;:&quot;Elsevier&quot;,&quot;issue&quot;:&quot;1&quot;,&quot;volume&quot;:&quot;13&quot;,&quot;container-title-short&quot;:&quot;&quot;},&quot;isTemporary&quot;:false},{&quot;id&quot;:&quot;0eb21b67-0b11-310b-bb97-5e8fd960f5bc&quot;,&quot;itemData&quot;:{&quot;type&quot;:&quot;article-journal&quot;,&quot;id&quot;:&quot;0eb21b67-0b11-310b-bb97-5e8fd960f5bc&quot;,&quot;title&quot;:&quot;A review of neosporosis and pathologic findings of Neospora caninum infection in wildlife&quot;,&quot;author&quot;:[{&quot;family&quot;:&quot;Donahoe&quot;,&quot;given&quot;:&quot;Shannon L.&quot;,&quot;parse-names&quot;:false,&quot;dropping-particle&quot;:&quot;&quot;,&quot;non-dropping-particle&quot;:&quot;&quot;},{&quot;family&quot;:&quot;Lindsay&quot;,&quot;given&quot;:&quot;Scott A.&quot;,&quot;parse-names&quot;:false,&quot;dropping-particle&quot;:&quot;&quot;,&quot;non-dropping-particle&quot;:&quot;&quot;},{&quot;family&quot;:&quot;Krockenberger&quot;,&quot;given&quot;:&quot;Mark&quot;,&quot;parse-names&quot;:false,&quot;dropping-particle&quot;:&quot;&quot;,&quot;non-dropping-particle&quot;:&quot;&quot;},{&quot;family&quot;:&quot;Phalen&quot;,&quot;given&quot;:&quot;David&quot;,&quot;parse-names&quot;:false,&quot;dropping-particle&quot;:&quot;&quot;,&quot;non-dropping-particle&quot;:&quot;&quot;},{&quot;family&quot;:&quot;Šlapeta&quot;,&quot;given&quot;:&quot;Jan&quot;,&quot;parse-names&quot;:false,&quot;dropping-particle&quot;:&quot;&quot;,&quot;non-dropping-particle&quot;:&quot;&quot;}],&quot;container-title&quot;:&quot;International Journal for Parasitology: Parasites and Wildlife&quot;,&quot;accessed&quot;:{&quot;date-parts&quot;:[[2022,8,3]]},&quot;DOI&quot;:&quot;10.1016/J.IJPPAW.2015.04.002&quot;,&quot;ISSN&quot;:&quot;2213-2244&quot;,&quot;issued&quot;:{&quot;date-parts&quot;:[[2015,8,1]]},&quot;page&quot;:&quot;216-238&quot;,&quot;abstract&quot;:&quo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quot;,&quot;publisher&quot;:&quot;Elsevier&quot;,&quot;issue&quot;:&quot;2&quot;,&quot;volume&quot;:&quot;4&quot;,&quot;container-title-short&quot;:&quot;&quot;},&quot;isTemporary&quot;:false}],&quot;citationTag&quot;:&quot;MENDELEY_CITATION_v3_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&quot;},{&quot;citationID&quot;:&quot;MENDELEY_CITATION_204c6d83-a0dd-45d6-a848-cb371402d5ba&quot;,&quot;properties&quot;:{&quot;noteIndex&quot;:0},&quot;isEdited&quot;:false,&quot;manualOverride&quot;:{&quot;isManuallyOverridden&quot;:false,&quot;citeprocText&quot;:&quot;(Donahoe et al., 2015)&quot;,&quot;manualOverrideText&quot;:&quot;&quot;},&quot;citationItems&quot;:[{&quot;id&quot;:&quot;0eb21b67-0b11-310b-bb97-5e8fd960f5bc&quot;,&quot;itemData&quot;:{&quot;type&quot;:&quot;article-journal&quot;,&quot;id&quot;:&quot;0eb21b67-0b11-310b-bb97-5e8fd960f5bc&quot;,&quot;title&quot;:&quot;A review of neosporosis and pathologic findings of Neospora caninum infection in wildlife&quot;,&quot;author&quot;:[{&quot;family&quot;:&quot;Donahoe&quot;,&quot;given&quot;:&quot;Shannon L.&quot;,&quot;parse-names&quot;:false,&quot;dropping-particle&quot;:&quot;&quot;,&quot;non-dropping-particle&quot;:&quot;&quot;},{&quot;family&quot;:&quot;Lindsay&quot;,&quot;given&quot;:&quot;Scott A.&quot;,&quot;parse-names&quot;:false,&quot;dropping-particle&quot;:&quot;&quot;,&quot;non-dropping-particle&quot;:&quot;&quot;},{&quot;family&quot;:&quot;Krockenberger&quot;,&quot;given&quot;:&quot;Mark&quot;,&quot;parse-names&quot;:false,&quot;dropping-particle&quot;:&quot;&quot;,&quot;non-dropping-particle&quot;:&quot;&quot;},{&quot;family&quot;:&quot;Phalen&quot;,&quot;given&quot;:&quot;David&quot;,&quot;parse-names&quot;:false,&quot;dropping-particle&quot;:&quot;&quot;,&quot;non-dropping-particle&quot;:&quot;&quot;},{&quot;family&quot;:&quot;Šlapeta&quot;,&quot;given&quot;:&quot;Jan&quot;,&quot;parse-names&quot;:false,&quot;dropping-particle&quot;:&quot;&quot;,&quot;non-dropping-particle&quot;:&quot;&quot;}],&quot;container-title&quot;:&quot;International Journal for Parasitology: Parasites and Wildlife&quot;,&quot;accessed&quot;:{&quot;date-parts&quot;:[[2022,8,3]]},&quot;DOI&quot;:&quot;10.1016/J.IJPPAW.2015.04.002&quot;,&quot;ISSN&quot;:&quot;2213-2244&quot;,&quot;issued&quot;:{&quot;date-parts&quot;:[[2015,8,1]]},&quot;page&quot;:&quot;216-238&quot;,&quot;abstract&quot;:&quo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quot;,&quot;publisher&quot;:&quot;Elsevier&quot;,&quot;issue&quot;:&quot;2&quot;,&quot;volume&quot;:&quot;4&quot;,&quot;container-title-short&quot;:&quot;&quot;},&quot;isTemporary&quot;:false}],&quot;citationTag&quot;:&quot;MENDELEY_CITATION_v3_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&quot;},{&quot;citationID&quot;:&quot;MENDELEY_CITATION_50a8240c-6656-4f03-9cba-d3758efe0daf&quot;,&quot;properties&quot;:{&quot;noteIndex&quot;:0},&quot;isEdited&quot;:false,&quot;manualOverride&quot;:{&quot;isManuallyOverridden&quot;:false,&quot;citeprocText&quot;:&quot;(Goodswen et al., 2013)&quot;,&quot;manualOverrideText&quot;:&quot;&quot;},&quot;citationItems&quot;:[{&quot;id&quot;:&quot;ec998491-25c0-3ac3-a2aa-a141fbdeeff9&quot;,&quot;itemData&quot;:{&quot;type&quot;:&quot;article-journal&quot;,&quot;id&quot;:&quot;ec998491-25c0-3ac3-a2aa-a141fbdeeff9&quot;,&quot;title&quot;:&quot;A review of the infection, genetics, and evolution of Neospora caninum: From the past to the present&quot;,&quot;author&quot;:[{&quot;family&quot;:&quot;Goodswen&quot;,&quot;given&quot;:&quot;Stephen J.&quot;,&quot;parse-names&quot;:false,&quot;dropping-particle&quot;:&quot;&quot;,&quot;non-dropping-particle&quot;:&quot;&quot;},{&quot;family&quot;:&quot;Kennedy&quot;,&quot;given&quot;:&quot;Paul J.&quot;,&quot;parse-names&quot;:false,&quot;dropping-particle&quot;:&quot;&quot;,&quot;non-dropping-particle&quot;:&quot;&quot;},{&quot;family&quot;:&quot;Ellis&quot;,&quot;given&quot;:&quot;John T.&quot;,&quot;parse-names&quot;:false,&quot;dropping-particle&quot;:&quot;&quot;,&quot;non-dropping-particle&quot;:&quot;&quot;}],&quot;container-title&quot;:&quot;Infection, Genetics and Evolution&quot;,&quot;accessed&quot;:{&quot;date-parts&quot;:[[2022,8,4]]},&quot;DOI&quot;:&quot;10.1016/J.MEEGID.2012.08.012&quot;,&quot;ISSN&quot;:&quot;1567-1348&quot;,&quot;PMID&quot;:&quot;22985682&quot;,&quot;issued&quot;:{&quot;date-parts&quot;:[[2013,1,1]]},&quot;page&quot;:&quot;133-150&quot;,&quot;abstract&quot;:&quo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quot;,&quot;publisher&quot;:&quot;Elsevier&quot;,&quot;issue&quot;:&quot;1&quot;,&quot;volume&quot;:&quot;13&quot;,&quot;container-title-short&quot;:&quot;&quot;},&quot;isTemporary&quot;:false}],&quot;citationTag&quot;:&quot;MENDELEY_CITATION_v3_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&quot;},{&quot;citationID&quot;:&quot;MENDELEY_CITATION_90561e57-9385-47ab-8859-e1101ea4b55e&quot;,&quot;properties&quot;:{&quot;noteIndex&quot;:0},&quot;isEdited&quot;:false,&quot;manualOverride&quot;:{&quot;isManuallyOverridden&quot;:false,&quot;citeprocText&quot;:&quot;(Donahoe et al., 2015; Goodswen et al., 2013)&quot;,&quot;manualOverrideText&quot;:&quot;&quot;},&quot;citationItems&quot;:[{&quot;id&quot;:&quot;ec998491-25c0-3ac3-a2aa-a141fbdeeff9&quot;,&quot;itemData&quot;:{&quot;type&quot;:&quot;article-journal&quot;,&quot;id&quot;:&quot;ec998491-25c0-3ac3-a2aa-a141fbdeeff9&quot;,&quot;title&quot;:&quot;A review of the infection, genetics, and evolution of Neospora caninum: From the past to the present&quot;,&quot;author&quot;:[{&quot;family&quot;:&quot;Goodswen&quot;,&quot;given&quot;:&quot;Stephen J.&quot;,&quot;parse-names&quot;:false,&quot;dropping-particle&quot;:&quot;&quot;,&quot;non-dropping-particle&quot;:&quot;&quot;},{&quot;family&quot;:&quot;Kennedy&quot;,&quot;given&quot;:&quot;Paul J.&quot;,&quot;parse-names&quot;:false,&quot;dropping-particle&quot;:&quot;&quot;,&quot;non-dropping-particle&quot;:&quot;&quot;},{&quot;family&quot;:&quot;Ellis&quot;,&quot;given&quot;:&quot;John T.&quot;,&quot;parse-names&quot;:false,&quot;dropping-particle&quot;:&quot;&quot;,&quot;non-dropping-particle&quot;:&quot;&quot;}],&quot;container-title&quot;:&quot;Infection, Genetics and Evolution&quot;,&quot;accessed&quot;:{&quot;date-parts&quot;:[[2022,8,4]]},&quot;DOI&quot;:&quot;10.1016/J.MEEGID.2012.08.012&quot;,&quot;ISSN&quot;:&quot;1567-1348&quot;,&quot;PMID&quot;:&quot;22985682&quot;,&quot;issued&quot;:{&quot;date-parts&quot;:[[2013,1,1]]},&quot;page&quot;:&quot;133-150&quot;,&quot;abstract&quot;:&quo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quot;,&quot;publisher&quot;:&quot;Elsevier&quot;,&quot;issue&quot;:&quot;1&quot;,&quot;volume&quot;:&quot;13&quot;,&quot;container-title-short&quot;:&quot;&quot;},&quot;isTemporary&quot;:false},{&quot;id&quot;:&quot;0eb21b67-0b11-310b-bb97-5e8fd960f5bc&quot;,&quot;itemData&quot;:{&quot;type&quot;:&quot;article-journal&quot;,&quot;id&quot;:&quot;0eb21b67-0b11-310b-bb97-5e8fd960f5bc&quot;,&quot;title&quot;:&quot;A review of neosporosis and pathologic findings of Neospora caninum infection in wildlife&quot;,&quot;author&quot;:[{&quot;family&quot;:&quot;Donahoe&quot;,&quot;given&quot;:&quot;Shannon L.&quot;,&quot;parse-names&quot;:false,&quot;dropping-particle&quot;:&quot;&quot;,&quot;non-dropping-particle&quot;:&quot;&quot;},{&quot;family&quot;:&quot;Lindsay&quot;,&quot;given&quot;:&quot;Scott A.&quot;,&quot;parse-names&quot;:false,&quot;dropping-particle&quot;:&quot;&quot;,&quot;non-dropping-particle&quot;:&quot;&quot;},{&quot;family&quot;:&quot;Krockenberger&quot;,&quot;given&quot;:&quot;Mark&quot;,&quot;parse-names&quot;:false,&quot;dropping-particle&quot;:&quot;&quot;,&quot;non-dropping-particle&quot;:&quot;&quot;},{&quot;family&quot;:&quot;Phalen&quot;,&quot;given&quot;:&quot;David&quot;,&quot;parse-names&quot;:false,&quot;dropping-particle&quot;:&quot;&quot;,&quot;non-dropping-particle&quot;:&quot;&quot;},{&quot;family&quot;:&quot;Šlapeta&quot;,&quot;given&quot;:&quot;Jan&quot;,&quot;parse-names&quot;:false,&quot;dropping-particle&quot;:&quot;&quot;,&quot;non-dropping-particle&quot;:&quot;&quot;}],&quot;container-title&quot;:&quot;International Journal for Parasitology: Parasites and Wildlife&quot;,&quot;accessed&quot;:{&quot;date-parts&quot;:[[2022,8,3]]},&quot;DOI&quot;:&quot;10.1016/J.IJPPAW.2015.04.002&quot;,&quot;ISSN&quot;:&quot;2213-2244&quot;,&quot;issued&quot;:{&quot;date-parts&quot;:[[2015,8,1]]},&quot;page&quot;:&quot;216-238&quot;,&quot;abstract&quot;:&quo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quot;,&quot;publisher&quot;:&quot;Elsevier&quot;,&quot;issue&quot;:&quot;2&quot;,&quot;volume&quot;:&quot;4&quot;,&quot;container-title-short&quot;:&quot;&quot;},&quot;isTemporary&quot;:false}],&quot;citationTag&quot;:&quot;MENDELEY_CITATION_v3_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&quot;},{&quot;citationID&quot;:&quot;MENDELEY_CITATION_3ff2152d-f17c-4093-b93d-7af9c68bda7a&quot;,&quot;properties&quot;:{&quot;noteIndex&quot;:0},&quot;isEdited&quot;:false,&quot;manualOverride&quot;:{&quot;isManuallyOverridden&quot;:false,&quot;citeprocText&quot;:&quot;(Donahoe et al., 2015)&quot;,&quot;manualOverrideText&quot;:&quot;&quot;},&quot;citationItems&quot;:[{&quot;id&quot;:&quot;0eb21b67-0b11-310b-bb97-5e8fd960f5bc&quot;,&quot;itemData&quot;:{&quot;type&quot;:&quot;article-journal&quot;,&quot;id&quot;:&quot;0eb21b67-0b11-310b-bb97-5e8fd960f5bc&quot;,&quot;title&quot;:&quot;A review of neosporosis and pathologic findings of Neospora caninum infection in wildlife&quot;,&quot;author&quot;:[{&quot;family&quot;:&quot;Donahoe&quot;,&quot;given&quot;:&quot;Shannon L.&quot;,&quot;parse-names&quot;:false,&quot;dropping-particle&quot;:&quot;&quot;,&quot;non-dropping-particle&quot;:&quot;&quot;},{&quot;family&quot;:&quot;Lindsay&quot;,&quot;given&quot;:&quot;Scott A.&quot;,&quot;parse-names&quot;:false,&quot;dropping-particle&quot;:&quot;&quot;,&quot;non-dropping-particle&quot;:&quot;&quot;},{&quot;family&quot;:&quot;Krockenberger&quot;,&quot;given&quot;:&quot;Mark&quot;,&quot;parse-names&quot;:false,&quot;dropping-particle&quot;:&quot;&quot;,&quot;non-dropping-particle&quot;:&quot;&quot;},{&quot;family&quot;:&quot;Phalen&quot;,&quot;given&quot;:&quot;David&quot;,&quot;parse-names&quot;:false,&quot;dropping-particle&quot;:&quot;&quot;,&quot;non-dropping-particle&quot;:&quot;&quot;},{&quot;family&quot;:&quot;Šlapeta&quot;,&quot;given&quot;:&quot;Jan&quot;,&quot;parse-names&quot;:false,&quot;dropping-particle&quot;:&quot;&quot;,&quot;non-dropping-particle&quot;:&quot;&quot;}],&quot;container-title&quot;:&quot;International Journal for Parasitology: Parasites and Wildlife&quot;,&quot;accessed&quot;:{&quot;date-parts&quot;:[[2022,8,3]]},&quot;DOI&quot;:&quot;10.1016/J.IJPPAW.2015.04.002&quot;,&quot;ISSN&quot;:&quot;2213-2244&quot;,&quot;issued&quot;:{&quot;date-parts&quot;:[[2015,8,1]]},&quot;page&quot;:&quot;216-238&quot;,&quot;abstract&quot;:&quo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quot;,&quot;publisher&quot;:&quot;Elsevier&quot;,&quot;issue&quot;:&quot;2&quot;,&quot;volume&quot;:&quot;4&quot;,&quot;container-title-short&quot;:&quot;&quot;},&quot;isTemporary&quot;:false}],&quot;citationTag&quot;:&quot;MENDELEY_CITATION_v3_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&quot;},{&quot;citationID&quot;:&quot;MENDELEY_CITATION_cb031d8f-3676-41b6-8fbc-7d8c9124f964&quot;,&quot;properties&quot;:{&quot;noteIndex&quot;:0},&quot;isEdited&quot;:false,&quot;manualOverride&quot;:{&quot;isManuallyOverridden&quot;:false,&quot;citeprocText&quot;:&quot;(Donahoe et al., 2015)&quot;,&quot;manualOverrideText&quot;:&quot;&quot;},&quot;citationItems&quot;:[{&quot;id&quot;:&quot;0eb21b67-0b11-310b-bb97-5e8fd960f5bc&quot;,&quot;itemData&quot;:{&quot;type&quot;:&quot;article-journal&quot;,&quot;id&quot;:&quot;0eb21b67-0b11-310b-bb97-5e8fd960f5bc&quot;,&quot;title&quot;:&quot;A review of neosporosis and pathologic findings of Neospora caninum infection in wildlife&quot;,&quot;author&quot;:[{&quot;family&quot;:&quot;Donahoe&quot;,&quot;given&quot;:&quot;Shannon L.&quot;,&quot;parse-names&quot;:false,&quot;dropping-particle&quot;:&quot;&quot;,&quot;non-dropping-particle&quot;:&quot;&quot;},{&quot;family&quot;:&quot;Lindsay&quot;,&quot;given&quot;:&quot;Scott A.&quot;,&quot;parse-names&quot;:false,&quot;dropping-particle&quot;:&quot;&quot;,&quot;non-dropping-particle&quot;:&quot;&quot;},{&quot;family&quot;:&quot;Krockenberger&quot;,&quot;given&quot;:&quot;Mark&quot;,&quot;parse-names&quot;:false,&quot;dropping-particle&quot;:&quot;&quot;,&quot;non-dropping-particle&quot;:&quot;&quot;},{&quot;family&quot;:&quot;Phalen&quot;,&quot;given&quot;:&quot;David&quot;,&quot;parse-names&quot;:false,&quot;dropping-particle&quot;:&quot;&quot;,&quot;non-dropping-particle&quot;:&quot;&quot;},{&quot;family&quot;:&quot;Šlapeta&quot;,&quot;given&quot;:&quot;Jan&quot;,&quot;parse-names&quot;:false,&quot;dropping-particle&quot;:&quot;&quot;,&quot;non-dropping-particle&quot;:&quot;&quot;}],&quot;container-title&quot;:&quot;International Journal for Parasitology: Parasites and Wildlife&quot;,&quot;accessed&quot;:{&quot;date-parts&quot;:[[2022,8,3]]},&quot;DOI&quot;:&quot;10.1016/J.IJPPAW.2015.04.002&quot;,&quot;ISSN&quot;:&quot;2213-2244&quot;,&quot;issued&quot;:{&quot;date-parts&quot;:[[2015,8,1]]},&quot;page&quot;:&quot;216-238&quot;,&quot;abstract&quot;:&quo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quot;,&quot;publisher&quot;:&quot;Elsevier&quot;,&quot;issue&quot;:&quot;2&quot;,&quot;volume&quot;:&quot;4&quot;,&quot;container-title-short&quot;:&quot;&quot;},&quot;isTemporary&quot;:false}],&quot;citationTag&quot;:&quot;MENDELEY_CITATION_v3_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&quot;},{&quot;citationID&quot;:&quot;MENDELEY_CITATION_975250a0-1e18-42c8-991d-97952e32e8d5&quot;,&quot;properties&quot;:{&quot;noteIndex&quot;:0},&quot;isEdited&quot;:false,&quot;manualOverride&quot;:{&quot;isManuallyOverridden&quot;:false,&quot;citeprocText&quot;:&quot;(Goodswen et al., 2013)&quot;,&quot;manualOverrideText&quot;:&quot;&quot;},&quot;citationItems&quot;:[{&quot;id&quot;:&quot;ec998491-25c0-3ac3-a2aa-a141fbdeeff9&quot;,&quot;itemData&quot;:{&quot;type&quot;:&quot;article-journal&quot;,&quot;id&quot;:&quot;ec998491-25c0-3ac3-a2aa-a141fbdeeff9&quot;,&quot;title&quot;:&quot;A review of the infection, genetics, and evolution of Neospora caninum: From the past to the present&quot;,&quot;author&quot;:[{&quot;family&quot;:&quot;Goodswen&quot;,&quot;given&quot;:&quot;Stephen J.&quot;,&quot;parse-names&quot;:false,&quot;dropping-particle&quot;:&quot;&quot;,&quot;non-dropping-particle&quot;:&quot;&quot;},{&quot;family&quot;:&quot;Kennedy&quot;,&quot;given&quot;:&quot;Paul J.&quot;,&quot;parse-names&quot;:false,&quot;dropping-particle&quot;:&quot;&quot;,&quot;non-dropping-particle&quot;:&quot;&quot;},{&quot;family&quot;:&quot;Ellis&quot;,&quot;given&quot;:&quot;John T.&quot;,&quot;parse-names&quot;:false,&quot;dropping-particle&quot;:&quot;&quot;,&quot;non-dropping-particle&quot;:&quot;&quot;}],&quot;container-title&quot;:&quot;Infection, Genetics and Evolution&quot;,&quot;accessed&quot;:{&quot;date-parts&quot;:[[2022,8,4]]},&quot;DOI&quot;:&quot;10.1016/J.MEEGID.2012.08.012&quot;,&quot;ISSN&quot;:&quot;1567-1348&quot;,&quot;PMID&quot;:&quot;22985682&quot;,&quot;issued&quot;:{&quot;date-parts&quot;:[[2013,1,1]]},&quot;page&quot;:&quot;133-150&quot;,&quot;abstract&quot;:&quo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quot;,&quot;publisher&quot;:&quot;Elsevier&quot;,&quot;issue&quot;:&quot;1&quot;,&quot;volume&quot;:&quot;13&quot;,&quot;container-title-short&quot;:&quot;&quot;},&quot;isTemporary&quot;:false}],&quot;citationTag&quot;:&quot;MENDELEY_CITATION_v3_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&quot;},{&quot;citationID&quot;:&quot;MENDELEY_CITATION_e141322a-44c8-438b-b3cd-2f9adb35e498&quot;,&quot;properties&quot;:{&quot;noteIndex&quot;:0},&quot;isEdited&quot;:false,&quot;manualOverride&quot;:{&quot;isManuallyOverridden&quot;:false,&quot;citeprocText&quot;:&quot;(Nayeri et al., 2022)&quot;,&quot;manualOverrideText&quot;:&quot;&quot;},&quot;citationItems&quot;:[{&quot;id&quot;:&quot;213fcfe5-2cf2-3ed1-986b-a5773735de14&quot;,&quot;itemData&quot;:{&quot;type&quot;:&quot;article-journal&quot;,&quot;id&quot;:&quot;213fcfe5-2cf2-3ed1-986b-a5773735de14&quot;,&quot;title&quot;:&quot;Neospora caninum infection in aborting bovines and lost fetuses: A systematic review and meta-analysis&quot;,&quot;author&quot;:[{&quot;family&quot;:&quot;Nayeri&quot;,&quot;given&quot;:&quot;Tooran&quot;,&quot;parse-names&quot;:false,&quot;dropping-particle&quot;:&quot;&quot;,&quot;non-dropping-particle&quot;:&quot;&quot;},{&quot;family&quot;:&quot;Moosazadeh&quot;,&quot;given&quot;:&quot;Mahmood&quot;,&quot;parse-names&quot;:false,&quot;dropping-particle&quot;:&quot;&quot;,&quot;non-dropping-particle&quot;:&quot;&quot;},{&quot;family&quot;:&quot;Sarvi&quot;,&quot;given&quot;:&quot;Shahabeddin&quot;,&quot;parse-names&quot;:false,&quot;dropping-particle&quot;:&quot;&quot;,&quot;non-dropping-particle&quot;:&quot;&quot;},{&quot;family&quot;:&quot;Daryani&quot;,&quot;given&quot;:&quot;Ahmad&quot;,&quot;parse-names&quot;:false,&quot;dropping-particle&quot;:&quot;&quot;,&quot;non-dropping-particle&quot;:&quot;&quot;}],&quot;container-title&quot;:&quot;PLOS ONE&quot;,&quot;accessed&quot;:{&quot;date-parts&quot;:[[2022,8,1]]},&quot;editor&quot;:[{&quot;family&quot;:&quot;Rosenthal&quot;,&quot;given&quot;:&quot;Benjamin M.&quot;,&quot;parse-names&quot;:false,&quot;dropping-particle&quot;:&quot;&quot;,&quot;non-dropping-particle&quot;:&quot;&quot;}],&quot;DOI&quot;:&quot;10.1371/journal.pone.0268903&quot;,&quot;ISSN&quot;:&quot;1932-6203&quot;,&quot;PMID&quot;:&quot;35604902&quot;,&quot;URL&quot;:&quot;https://pubmed.ncbi.nlm.nih.gov/35604902/&quot;,&quot;issued&quot;:{&quot;date-parts&quot;:[[2022,5,23]]},&quot;page&quot;:&quot;e0268903&quot;,&quot;abstract&quot;:&quot;Background&quot;,&quot;publisher&quot;:&quot;PLoS One&quot;,&quot;issue&quot;:&quot;5&quot;,&quot;volume&quot;:&quot;17&quot;,&quot;container-title-short&quot;:&quot;&quot;},&quot;isTemporary&quot;:false}],&quot;citationTag&quot;:&quot;MENDELEY_CITATION_v3_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&quot;},{&quot;citationID&quot;:&quot;MENDELEY_CITATION_c99de09a-50b8-4bc3-a321-d7d7bbfec943&quot;,&quot;properties&quot;:{&quot;noteIndex&quot;:0},&quot;isEdited&quot;:false,&quot;manualOverride&quot;:{&quot;isManuallyOverridden&quot;:false,&quot;citeprocText&quot;:&quot;(Donahoe et al., 2015)&quot;,&quot;manualOverrideText&quot;:&quot;&quot;},&quot;citationItems&quot;:[{&quot;id&quot;:&quot;0eb21b67-0b11-310b-bb97-5e8fd960f5bc&quot;,&quot;itemData&quot;:{&quot;type&quot;:&quot;article-journal&quot;,&quot;id&quot;:&quot;0eb21b67-0b11-310b-bb97-5e8fd960f5bc&quot;,&quot;title&quot;:&quot;A review of neosporosis and pathologic findings of Neospora caninum infection in wildlife&quot;,&quot;author&quot;:[{&quot;family&quot;:&quot;Donahoe&quot;,&quot;given&quot;:&quot;Shannon L.&quot;,&quot;parse-names&quot;:false,&quot;dropping-particle&quot;:&quot;&quot;,&quot;non-dropping-particle&quot;:&quot;&quot;},{&quot;family&quot;:&quot;Lindsay&quot;,&quot;given&quot;:&quot;Scott A.&quot;,&quot;parse-names&quot;:false,&quot;dropping-particle&quot;:&quot;&quot;,&quot;non-dropping-particle&quot;:&quot;&quot;},{&quot;family&quot;:&quot;Krockenberger&quot;,&quot;given&quot;:&quot;Mark&quot;,&quot;parse-names&quot;:false,&quot;dropping-particle&quot;:&quot;&quot;,&quot;non-dropping-particle&quot;:&quot;&quot;},{&quot;family&quot;:&quot;Phalen&quot;,&quot;given&quot;:&quot;David&quot;,&quot;parse-names&quot;:false,&quot;dropping-particle&quot;:&quot;&quot;,&quot;non-dropping-particle&quot;:&quot;&quot;},{&quot;family&quot;:&quot;Šlapeta&quot;,&quot;given&quot;:&quot;Jan&quot;,&quot;parse-names&quot;:false,&quot;dropping-particle&quot;:&quot;&quot;,&quot;non-dropping-particle&quot;:&quot;&quot;}],&quot;container-title&quot;:&quot;International Journal for Parasitology: Parasites and Wildlife&quot;,&quot;accessed&quot;:{&quot;date-parts&quot;:[[2022,8,3]]},&quot;DOI&quot;:&quot;10.1016/J.IJPPAW.2015.04.002&quot;,&quot;ISSN&quot;:&quot;2213-2244&quot;,&quot;issued&quot;:{&quot;date-parts&quot;:[[2015,8,1]]},&quot;page&quot;:&quot;216-238&quot;,&quot;abstract&quot;:&quo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quot;,&quot;publisher&quot;:&quot;Elsevier&quot;,&quot;issue&quot;:&quot;2&quot;,&quot;volume&quot;:&quot;4&quot;,&quot;container-title-short&quot;:&quot;&quot;},&quot;isTemporary&quot;:false}],&quot;citationTag&quot;:&quot;MENDELEY_CITATION_v3_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&quot;},{&quot;citationID&quot;:&quot;MENDELEY_CITATION_e2c96bf4-0fc1-470f-a13f-3f0d0ca76e0c&quot;,&quot;properties&quot;:{&quot;noteIndex&quot;:0},&quot;isEdited&quot;:false,&quot;manualOverride&quot;:{&quot;isManuallyOverridden&quot;:false,&quot;citeprocText&quot;:&quot;(Donahoe et al., 2015; Nayeri et al., 2022)&quot;,&quot;manualOverrideText&quot;:&quot;&quot;},&quot;citationItems&quot;:[{&quot;id&quot;:&quot;0eb21b67-0b11-310b-bb97-5e8fd960f5bc&quot;,&quot;itemData&quot;:{&quot;type&quot;:&quot;article-journal&quot;,&quot;id&quot;:&quot;0eb21b67-0b11-310b-bb97-5e8fd960f5bc&quot;,&quot;title&quot;:&quot;A review of neosporosis and pathologic findings of Neospora caninum infection in wildlife&quot;,&quot;author&quot;:[{&quot;family&quot;:&quot;Donahoe&quot;,&quot;given&quot;:&quot;Shannon L.&quot;,&quot;parse-names&quot;:false,&quot;dropping-particle&quot;:&quot;&quot;,&quot;non-dropping-particle&quot;:&quot;&quot;},{&quot;family&quot;:&quot;Lindsay&quot;,&quot;given&quot;:&quot;Scott A.&quot;,&quot;parse-names&quot;:false,&quot;dropping-particle&quot;:&quot;&quot;,&quot;non-dropping-particle&quot;:&quot;&quot;},{&quot;family&quot;:&quot;Krockenberger&quot;,&quot;given&quot;:&quot;Mark&quot;,&quot;parse-names&quot;:false,&quot;dropping-particle&quot;:&quot;&quot;,&quot;non-dropping-particle&quot;:&quot;&quot;},{&quot;family&quot;:&quot;Phalen&quot;,&quot;given&quot;:&quot;David&quot;,&quot;parse-names&quot;:false,&quot;dropping-particle&quot;:&quot;&quot;,&quot;non-dropping-particle&quot;:&quot;&quot;},{&quot;family&quot;:&quot;Šlapeta&quot;,&quot;given&quot;:&quot;Jan&quot;,&quot;parse-names&quot;:false,&quot;dropping-particle&quot;:&quot;&quot;,&quot;non-dropping-particle&quot;:&quot;&quot;}],&quot;container-title&quot;:&quot;International Journal for Parasitology: Parasites and Wildlife&quot;,&quot;accessed&quot;:{&quot;date-parts&quot;:[[2022,8,3]]},&quot;DOI&quot;:&quot;10.1016/J.IJPPAW.2015.04.002&quot;,&quot;ISSN&quot;:&quot;2213-2244&quot;,&quot;issued&quot;:{&quot;date-parts&quot;:[[2015,8,1]]},&quot;page&quot;:&quot;216-238&quot;,&quot;abstract&quot;:&quo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quot;,&quot;publisher&quot;:&quot;Elsevier&quot;,&quot;issue&quot;:&quot;2&quot;,&quot;volume&quot;:&quot;4&quot;,&quot;container-title-short&quot;:&quot;&quot;},&quot;isTemporary&quot;:false},{&quot;id&quot;:&quot;213fcfe5-2cf2-3ed1-986b-a5773735de14&quot;,&quot;itemData&quot;:{&quot;type&quot;:&quot;article-journal&quot;,&quot;id&quot;:&quot;213fcfe5-2cf2-3ed1-986b-a5773735de14&quot;,&quot;title&quot;:&quot;Neospora caninum infection in aborting bovines and lost fetuses: A systematic review and meta-analysis&quot;,&quot;author&quot;:[{&quot;family&quot;:&quot;Nayeri&quot;,&quot;given&quot;:&quot;Tooran&quot;,&quot;parse-names&quot;:false,&quot;dropping-particle&quot;:&quot;&quot;,&quot;non-dropping-particle&quot;:&quot;&quot;},{&quot;family&quot;:&quot;Moosazadeh&quot;,&quot;given&quot;:&quot;Mahmood&quot;,&quot;parse-names&quot;:false,&quot;dropping-particle&quot;:&quot;&quot;,&quot;non-dropping-particle&quot;:&quot;&quot;},{&quot;family&quot;:&quot;Sarvi&quot;,&quot;given&quot;:&quot;Shahabeddin&quot;,&quot;parse-names&quot;:false,&quot;dropping-particle&quot;:&quot;&quot;,&quot;non-dropping-particle&quot;:&quot;&quot;},{&quot;family&quot;:&quot;Daryani&quot;,&quot;given&quot;:&quot;Ahmad&quot;,&quot;parse-names&quot;:false,&quot;dropping-particle&quot;:&quot;&quot;,&quot;non-dropping-particle&quot;:&quot;&quot;}],&quot;container-title&quot;:&quot;PLOS ONE&quot;,&quot;accessed&quot;:{&quot;date-parts&quot;:[[2022,8,1]]},&quot;editor&quot;:[{&quot;family&quot;:&quot;Rosenthal&quot;,&quot;given&quot;:&quot;Benjamin M.&quot;,&quot;parse-names&quot;:false,&quot;dropping-particle&quot;:&quot;&quot;,&quot;non-dropping-particle&quot;:&quot;&quot;}],&quot;DOI&quot;:&quot;10.1371/journal.pone.0268903&quot;,&quot;ISSN&quot;:&quot;1932-6203&quot;,&quot;PMID&quot;:&quot;35604902&quot;,&quot;URL&quot;:&quot;https://pubmed.ncbi.nlm.nih.gov/35604902/&quot;,&quot;issued&quot;:{&quot;date-parts&quot;:[[2022,5,23]]},&quot;page&quot;:&quot;e0268903&quot;,&quot;abstract&quot;:&quot;Background&quot;,&quot;publisher&quot;:&quot;PLoS One&quot;,&quot;issue&quot;:&quot;5&quot;,&quot;volume&quot;:&quot;17&quot;,&quot;container-title-short&quot;:&quot;&quot;},&quot;isTemporary&quot;:false}],&quot;citationTag&quot;:&quot;MENDELEY_CITATION_v3_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&quot;},{&quot;citationID&quot;:&quot;MENDELEY_CITATION_120271bb-8cf3-41e9-b33c-12fdd8a7b65f&quot;,&quot;properties&quot;:{&quot;noteIndex&quot;:0},&quot;isEdited&quot;:false,&quot;manualOverride&quot;:{&quot;isManuallyOverridden&quot;:false,&quot;citeprocText&quot;:&quot;(Nayeri et al., 2022)&quot;,&quot;manualOverrideText&quot;:&quot;&quot;},&quot;citationItems&quot;:[{&quot;id&quot;:&quot;213fcfe5-2cf2-3ed1-986b-a5773735de14&quot;,&quot;itemData&quot;:{&quot;type&quot;:&quot;article-journal&quot;,&quot;id&quot;:&quot;213fcfe5-2cf2-3ed1-986b-a5773735de14&quot;,&quot;title&quot;:&quot;Neospora caninum infection in aborting bovines and lost fetuses: A systematic review and meta-analysis&quot;,&quot;author&quot;:[{&quot;family&quot;:&quot;Nayeri&quot;,&quot;given&quot;:&quot;Tooran&quot;,&quot;parse-names&quot;:false,&quot;dropping-particle&quot;:&quot;&quot;,&quot;non-dropping-particle&quot;:&quot;&quot;},{&quot;family&quot;:&quot;Moosazadeh&quot;,&quot;given&quot;:&quot;Mahmood&quot;,&quot;parse-names&quot;:false,&quot;dropping-particle&quot;:&quot;&quot;,&quot;non-dropping-particle&quot;:&quot;&quot;},{&quot;family&quot;:&quot;Sarvi&quot;,&quot;given&quot;:&quot;Shahabeddin&quot;,&quot;parse-names&quot;:false,&quot;dropping-particle&quot;:&quot;&quot;,&quot;non-dropping-particle&quot;:&quot;&quot;},{&quot;family&quot;:&quot;Daryani&quot;,&quot;given&quot;:&quot;Ahmad&quot;,&quot;parse-names&quot;:false,&quot;dropping-particle&quot;:&quot;&quot;,&quot;non-dropping-particle&quot;:&quot;&quot;}],&quot;container-title&quot;:&quot;PLOS ONE&quot;,&quot;accessed&quot;:{&quot;date-parts&quot;:[[2022,8,1]]},&quot;editor&quot;:[{&quot;family&quot;:&quot;Rosenthal&quot;,&quot;given&quot;:&quot;Benjamin M.&quot;,&quot;parse-names&quot;:false,&quot;dropping-particle&quot;:&quot;&quot;,&quot;non-dropping-particle&quot;:&quot;&quot;}],&quot;DOI&quot;:&quot;10.1371/journal.pone.0268903&quot;,&quot;ISSN&quot;:&quot;1932-6203&quot;,&quot;PMID&quot;:&quot;35604902&quot;,&quot;URL&quot;:&quot;https://pubmed.ncbi.nlm.nih.gov/35604902/&quot;,&quot;issued&quot;:{&quot;date-parts&quot;:[[2022,5,23]]},&quot;page&quot;:&quot;e0268903&quot;,&quot;abstract&quot;:&quot;Background&quot;,&quot;publisher&quot;:&quot;PLoS One&quot;,&quot;issue&quot;:&quot;5&quot;,&quot;volume&quot;:&quot;17&quot;,&quot;container-title-short&quot;:&quot;&quot;},&quot;isTemporary&quot;:false}],&quot;citationTag&quot;:&quot;MENDELEY_CITATION_v3_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&quot;},{&quot;citationID&quot;:&quot;MENDELEY_CITATION_e34ab4b2-4b8a-4fb5-8f5e-2a7e2785738b&quot;,&quot;properties&quot;:{&quot;noteIndex&quot;:0},&quot;isEdited&quot;:false,&quot;manualOverride&quot;:{&quot;isManuallyOverridden&quot;:false,&quot;citeprocText&quot;:&quot;(Donahoe et al., 2015)&quot;,&quot;manualOverrideText&quot;:&quot;&quot;},&quot;citationItems&quot;:[{&quot;id&quot;:&quot;0eb21b67-0b11-310b-bb97-5e8fd960f5bc&quot;,&quot;itemData&quot;:{&quot;type&quot;:&quot;article-journal&quot;,&quot;id&quot;:&quot;0eb21b67-0b11-310b-bb97-5e8fd960f5bc&quot;,&quot;title&quot;:&quot;A review of neosporosis and pathologic findings of Neospora caninum infection in wildlife&quot;,&quot;author&quot;:[{&quot;family&quot;:&quot;Donahoe&quot;,&quot;given&quot;:&quot;Shannon L.&quot;,&quot;parse-names&quot;:false,&quot;dropping-particle&quot;:&quot;&quot;,&quot;non-dropping-particle&quot;:&quot;&quot;},{&quot;family&quot;:&quot;Lindsay&quot;,&quot;given&quot;:&quot;Scott A.&quot;,&quot;parse-names&quot;:false,&quot;dropping-particle&quot;:&quot;&quot;,&quot;non-dropping-particle&quot;:&quot;&quot;},{&quot;family&quot;:&quot;Krockenberger&quot;,&quot;given&quot;:&quot;Mark&quot;,&quot;parse-names&quot;:false,&quot;dropping-particle&quot;:&quot;&quot;,&quot;non-dropping-particle&quot;:&quot;&quot;},{&quot;family&quot;:&quot;Phalen&quot;,&quot;given&quot;:&quot;David&quot;,&quot;parse-names&quot;:false,&quot;dropping-particle&quot;:&quot;&quot;,&quot;non-dropping-particle&quot;:&quot;&quot;},{&quot;family&quot;:&quot;Šlapeta&quot;,&quot;given&quot;:&quot;Jan&quot;,&quot;parse-names&quot;:false,&quot;dropping-particle&quot;:&quot;&quot;,&quot;non-dropping-particle&quot;:&quot;&quot;}],&quot;container-title&quot;:&quot;International Journal for Parasitology: Parasites and Wildlife&quot;,&quot;accessed&quot;:{&quot;date-parts&quot;:[[2022,8,3]]},&quot;DOI&quot;:&quot;10.1016/J.IJPPAW.2015.04.002&quot;,&quot;ISSN&quot;:&quot;2213-2244&quot;,&quot;issued&quot;:{&quot;date-parts&quot;:[[2015,8,1]]},&quot;page&quot;:&quot;216-238&quot;,&quot;abstract&quot;:&quo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quot;,&quot;publisher&quot;:&quot;Elsevier&quot;,&quot;issue&quot;:&quot;2&quot;,&quot;volume&quot;:&quot;4&quot;,&quot;container-title-short&quot;:&quot;&quot;},&quot;isTemporary&quot;:false}],&quot;citationTag&quot;:&quot;MENDELEY_CITATION_v3_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&quot;},{&quot;citationID&quot;:&quot;MENDELEY_CITATION_d279e7a7-414d-4108-a3c5-4abc5b1031d5&quot;,&quot;properties&quot;:{&quot;noteIndex&quot;:0},&quot;isEdited&quot;:false,&quot;manualOverride&quot;:{&quot;isManuallyOverridden&quot;:false,&quot;citeprocText&quot;:&quot;(Duarte et al., 2020; Shaapan, 2016)&quot;,&quot;manualOverrideText&quot;:&quot;&quot;},&quot;citationItems&quot;:[{&quot;id&quot;:&quot;f3d4a596-8fc8-32b5-a018-dffa57748fce&quot;,&quot;itemData&quot;:{&quot;type&quot;:&quot;article-journal&quot;,&quot;id&quot;:&quot;f3d4a596-8fc8-32b5-a018-dffa57748fce&quot;,&quot;title&quot;:&quot;The common zoonotic protozoal diseases causing abortion&quot;,&quot;author&quot;:[{&quot;family&quot;:&quot;Shaapan&quot;,&quot;given&quot;:&quot;Raafat Mohamed&quot;,&quot;parse-names&quot;:false,&quot;dropping-particle&quot;:&quot;&quot;,&quot;non-dropping-particle&quot;:&quot;&quot;}],&quot;container-title&quot;:&quot;Journal of Parasitic Diseases&quot;,&quot;accessed&quot;:{&quot;date-parts&quot;:[[2022,8,5]]},&quot;DOI&quot;:&quot;10.1007/S12639-015-0661-5/FIGURES/8&quot;,&quot;ISSN&quot;:&quot;09750703&quot;,&quot;URL&quot;:&quot;https://link.springer.com/article/10.1007/s12639-015-0661-5&quot;,&quot;issued&quot;:{&quot;date-parts&quot;:[[2016,12,1]]},&quot;page&quot;:&quot;1116-1129&quot;,&quot;abstract&quot;:&quot;Toxoplasmosis, neosporosis, sarcosporidiosis (sarcocystosis) and trypanosomiasis are the common zoonotic protozoal diseases causing abortion which caused by single-celled protozoan parasites; Toxoplasma gondii, Neospora caninum, Sarcocystis spp and Trypanosoma evansi, respectively. Toxoplasmosis is generally considered the most important disease that causing abortion of both pregnant women and different female animals throughout the world, about third of human being population had antibodies against T. gondii. The infection can pass via placenta, causing encephalitis, chorio-retinitis, mental retardation and loss of vision in congenitally-infected children and stillbirth or mummification of the aborted fetuses of livestock. Neosporosis is recognized as a major cause of serious abortion in varieties of wild and domestic animals around the world particularly cattle, the disease cause serious economic losses among dairy and beef cattle due to decrease in milk and meat production. While unlike toxoplasmosis, neosporosis is not recognized as a human pathogen and evidence to date shows that neosporosis is only detected by serology in the human population. Sarcosporidiosis also can cause abortion in animals particularly cattle, buffaloes and sheep with acute infection through high dose of infection with sarcocysts. On the other hand, humans have been reported as final and intermediate host for sarcosporidiosis but not represent a serious health problem. Trypanosomiasis by T. evansi cause dangerous infection among domestic animals in tropical and subtropical areas. Several cases of abortion had been recorded in cattle and buffaloes infected with T. evansi while, a single case of human infection was reported in India. Trichomoniasis and babesiosis abortion occurs with non-zoonotic Trichomonas and Babesia species while the zoonotic species had not been incriminated in induction of abortion in both animals and man. The current review article concluded that there is still need of wide scope for evaluation of the zoonotic impact and control of these diseases.&quot;,&quot;publisher&quot;:&quot;Springer India&quot;,&quot;issue&quot;:&quot;4&quot;,&quot;volume&quot;:&quot;40&quot;,&quot;container-title-short&quot;:&quot;&quot;},&quot;isTemporary&quot;:false},{&quot;id&quot;:&quot;8169919f-0e5e-34e3-9b03-db3a905e4f21&quot;,&quot;itemData&quot;:{&quot;type&quot;:&quot;article-journal&quot;,&quot;id&quot;:&quot;8169919f-0e5e-34e3-9b03-db3a905e4f21&quot;,&quot;title&quot;:&quot;Serological and molecular detection of Neospora caninum and Toxoplasma gondii in human umbilical cord blood and placental tissue samples&quot;,&quot;author&quot;:[{&quot;family&quot;:&quot;Duarte&quot;,&quot;given&quot;:&quot;Pâmella Oliveira&quot;,&quot;parse-names&quot;:false,&quot;dropping-particle&quot;:&quot;&quot;,&quot;non-dropping-particle&quot;:&quot;&quot;},{&quot;family&quot;:&quot;Oshiro&quot;,&quot;given&quot;:&quot;Leandra Marla&quot;,&quot;parse-names&quot;:false,&quot;dropping-particle&quot;:&quot;&quot;,&quot;non-dropping-particle&quot;:&quot;&quot;},{&quot;family&quot;:&quot;Zimmermann&quot;,&quot;given&quot;:&quot;Namor Pinheiro&quot;,&quot;parse-names&quot;:false,&quot;dropping-particle&quot;:&quot;&quot;,&quot;non-dropping-particle&quot;:&quot;&quot;},{&quot;family&quot;:&quot;Csordas&quot;,&quot;given&quot;:&quot;Bárbara Guimarães&quot;,&quot;parse-names&quot;:false,&quot;dropping-particle&quot;:&quot;&quot;,&quot;non-dropping-particle&quot;:&quot;&quot;},{&quot;family&quot;:&quot;Dourado&quot;,&quot;given&quot;:&quot;Doroty Mesquita&quot;,&quot;parse-names&quot;:false,&quot;dropping-particle&quot;:&quot;&quot;,&quot;non-dropping-particle&quot;:&quot;&quot;},{&quot;family&quot;:&quot;Barros&quot;,&quot;given&quot;:&quot;Jacqueline Cavalcante&quot;,&quot;parse-names&quot;:false,&quot;dropping-particle&quot;:&quot;&quot;,&quot;non-dropping-particle&quot;:&quot;&quot;},{&quot;family&quot;:&quot;Andreotti&quot;,&quot;given&quot;:&quot;Renato&quot;,&quot;parse-names&quot;:false,&quot;dropping-particle&quot;:&quot;&quot;,&quot;non-dropping-particle&quot;:&quot;&quot;}],&quot;container-title&quot;:&quot;Scientific Reports 2020 10:1&quot;,&quot;accessed&quot;:{&quot;date-parts&quot;:[[2022,8,5]]},&quot;DOI&quot;:&quot;10.1038/s41598-020-65991-1&quot;,&quot;ISSN&quot;:&quot;2045-2322&quot;,&quot;PMID&quot;:&quot;32493968&quot;,&quot;URL&quot;:&quot;https://www.nature.com/articles/s41598-020-65991-1&quot;,&quot;issued&quot;:{&quot;date-parts&quot;:[[2020,6,3]]},&quot;page&quot;:&quot;1-8&quot;,&quot;abstract&quot;:&quot;Neosporosis primarily affects cattle and dogs and is not currently considered a zoonotic disease. Toxoplasmosis is a zoonosis with a worldwide distribution that is asymptomatic in most cases, but when acquired during pregnancy, it can have serious consequences. The seropositivity rates determined by the indirect fluorescent antibody test for Neospora caninum (N. caninum) and Toxoplasma gondii (T. gondii) were 24.3% (49 samples) and 26.8% (54 samples), respectively. PCR positivity for N. caninum was observed in two samples of cord blood (1%) using the Nc5 and ITS1 gene, positivity for T. gondii was observed in 16 samples using the primer for the B1 gene (5.5% positivity in cord blood and 2.5% positivity in placental tissue). None of the samples showed structures characteristic of tissue cysts or inflammatory infiltrate on histopathology. Significant associations were observed only between N. caninum seropositivity and the presence of domestic animals (p = 0.039) and presence of dogs (p = 0.038) and between T. gondii seropositivity and basic sanitation (p = 0.04). This study obtained important findings regarding the seroprevalence and molecular detection of N. caninum and T. gondii in pregnant women; however, more studies are necessary to establish a correlation between risk factors and infection.&quot;,&quot;publisher&quot;:&quot;Nature Publishing Group&quot;,&quot;issue&quot;:&quot;1&quot;,&quot;volume&quot;:&quot;10&quot;,&quot;container-title-short&quot;:&quot;&quot;},&quot;isTemporary&quot;:false}],&quot;citationTag&quot;:&quot;MENDELEY_CITATION_v3_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&quot;},{&quot;citationID&quot;:&quot;MENDELEY_CITATION_9ac7295e-4c68-48d6-b83f-9ab4b1777389&quot;,&quot;properties&quot;:{&quot;noteIndex&quot;:0},&quot;isEdited&quot;:false,&quot;manualOverride&quot;:{&quot;isManuallyOverridden&quot;:false,&quot;citeprocText&quot;:&quot;(Donahoe et al., 2015; Teixeira et al., 2010)&quot;,&quot;manualOverrideText&quot;:&quot;&quot;},&quot;citationItems&quot;:[{&quot;id&quot;:&quot;0eb21b67-0b11-310b-bb97-5e8fd960f5bc&quot;,&quot;itemData&quot;:{&quot;type&quot;:&quot;article-journal&quot;,&quot;id&quot;:&quot;0eb21b67-0b11-310b-bb97-5e8fd960f5bc&quot;,&quot;title&quot;:&quot;A review of neosporosis and pathologic findings of Neospora caninum infection in wildlife&quot;,&quot;author&quot;:[{&quot;family&quot;:&quot;Donahoe&quot;,&quot;given&quot;:&quot;Shannon L.&quot;,&quot;parse-names&quot;:false,&quot;dropping-particle&quot;:&quot;&quot;,&quot;non-dropping-particle&quot;:&quot;&quot;},{&quot;family&quot;:&quot;Lindsay&quot;,&quot;given&quot;:&quot;Scott A.&quot;,&quot;parse-names&quot;:false,&quot;dropping-particle&quot;:&quot;&quot;,&quot;non-dropping-particle&quot;:&quot;&quot;},{&quot;family&quot;:&quot;Krockenberger&quot;,&quot;given&quot;:&quot;Mark&quot;,&quot;parse-names&quot;:false,&quot;dropping-particle&quot;:&quot;&quot;,&quot;non-dropping-particle&quot;:&quot;&quot;},{&quot;family&quot;:&quot;Phalen&quot;,&quot;given&quot;:&quot;David&quot;,&quot;parse-names&quot;:false,&quot;dropping-particle&quot;:&quot;&quot;,&quot;non-dropping-particle&quot;:&quot;&quot;},{&quot;family&quot;:&quot;Šlapeta&quot;,&quot;given&quot;:&quot;Jan&quot;,&quot;parse-names&quot;:false,&quot;dropping-particle&quot;:&quot;&quot;,&quot;non-dropping-particle&quot;:&quot;&quot;}],&quot;container-title&quot;:&quot;International Journal for Parasitology: Parasites and Wildlife&quot;,&quot;accessed&quot;:{&quot;date-parts&quot;:[[2022,8,3]]},&quot;DOI&quot;:&quot;10.1016/J.IJPPAW.2015.04.002&quot;,&quot;ISSN&quot;:&quot;2213-2244&quot;,&quot;issued&quot;:{&quot;date-parts&quot;:[[2015,8,1]]},&quot;page&quot;:&quot;216-238&quot;,&quot;abstract&quot;:&quo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quot;,&quot;publisher&quot;:&quot;Elsevier&quot;,&quot;issue&quot;:&quot;2&quot;,&quot;volume&quot;:&quot;4&quot;,&quot;container-title-short&quot;:&quot;&quot;},&quot;isTemporary&quot;:false},{&quot;id&quot;:&quot;43aff45a-072b-3ace-af93-8001df685b67&quot;,&quot;itemData&quot;:{&quot;type&quot;:&quot;article-journal&quot;,&quot;id&quot;:&quot;43aff45a-072b-3ace-af93-8001df685b67&quot;,&quot;title&quot;:&quot;Plasmacytoid and conventional dendritic cells are early producers of IL-12 in Neospora caninum-infected mice&quot;,&quot;author&quot;:[{&quot;family&quot;:&quot;Teixeira&quot;,&quot;given&quot;:&quot;Luzia&quot;,&quot;parse-names&quot;:false,&quot;dropping-particle&quot;:&quot;&quot;,&quot;non-dropping-particle&quot;:&quot;&quot;},{&quot;family&quot;:&quot;Botelho&quot;,&quot;given&quot;:&quot;Ana Sofia&quot;,&quot;parse-names&quot;:false,&quot;dropping-particle&quot;:&quot;&quot;,&quot;non-dropping-particle&quot;:&quot;&quot;},{&quot;family&quot;:&quot;Mesquita&quot;,&quot;given&quot;:&quot;Sandro Dá&quot;,&quot;parse-names&quot;:false,&quot;dropping-particle&quot;:&quot;&quot;,&quot;non-dropping-particle&quot;:&quot;&quot;},{&quot;family&quot;:&quot;Correia&quot;,&quot;given&quot;:&quot;Alexandra&quot;,&quot;parse-names&quot;:false,&quot;dropping-particle&quot;:&quot;&quot;,&quot;non-dropping-particle&quot;:&quot;&quot;},{&quot;family&quot;:&quot;Cerca&quot;,&quot;given&quot;:&quot;Filipe&quot;,&quot;parse-names&quot;:false,&quot;dropping-particle&quot;:&quot;&quot;,&quot;non-dropping-particle&quot;:&quot;&quot;},{&quot;family&quot;:&quot;Costa&quot;,&quot;given&quot;:&quot;Renata&quot;,&quot;parse-names&quot;:false,&quot;dropping-particle&quot;:&quot;&quot;,&quot;non-dropping-particle&quot;:&quot;&quot;},{&quot;family&quot;:&quot;Sampaio&quot;,&quot;given&quot;:&quot;Paula&quot;,&quot;parse-names&quot;:false,&quot;dropping-particle&quot;:&quot;&quot;,&quot;non-dropping-particle&quot;:&quot;&quot;},{&quot;family&quot;:&quot;Castro&quot;,&quot;given&quot;:&quot;António Gil&quot;,&quot;parse-names&quot;:false,&quot;dropping-particle&quot;:&quot;&quot;,&quot;non-dropping-particle&quot;:&quot;&quot;},{&quot;family&quot;:&quot;Vilanova&quot;,&quot;given&quot;:&quot;Manuel&quot;,&quot;parse-names&quot;:false,&quot;dropping-particle&quot;:&quot;&quot;,&quot;non-dropping-particle&quot;:&quot;&quot;}],&quot;container-title&quot;:&quot;Immunology and Cell Biology&quot;,&quot;accessed&quot;:{&quot;date-parts&quot;:[[2022,4,12]]},&quot;DOI&quot;:&quot;10.1038/ICB.2009.65&quot;,&quot;ISSN&quot;:&quot;08189641&quot;,&quot;PMID&quot;:&quot;19755980&quot;,&quot;issued&quot;:{&quot;date-parts&quot;:[[2010,1]]},&quot;page&quot;:&quot;79-86&quot;,&quot;abstract&quot;:&quot;Neospora caninum is a coccidian parasite causative of clinical infections in a wide range of animal hosts. The maturation and activation of splenic conventional dendritic cells (cDCs) and plasmacytoid dendritic cells (pDCs) were studied here in BALB/c mice challenged intraperitoneal with N. caninum tachyzoites. The number of cDCs was found to decrease in the spleen of the infected mice 12 h and 2 days after the parasitic challenge, whereas at day 5 after infection it was significantly above that of mock-infected controls. In contrast, the number of splenic pDCs did not change significantly on infection. In the infected mice, both cell subtypes displayed an activated phenotype with upregulation of costimulatory and MHC class II molecules. This stimulatory effect was more marked at the earliest assessed time point after infection, 12 h, when a clear increase in the frequency of cDCs (CD8α+ and CD8α- ) and pDCs producing interleukin-12 (IL-12) was also observed. N. caninum tachyzoites could be observed by confocal microscopy associated with sorted DCs. Overall, these results present the first evidence that both cDCs and pDCs mediate in vivo the innate immune response to N. caninum infection through the production of IL-12, a key cytokine for host resistance to neosporosis. © 2010 Australasian Society for Immunology Inc. All rights reserved.&quot;,&quot;issue&quot;:&quot;1&quot;,&quot;volume&quot;:&quot;88&quot;,&quot;container-title-short&quot;:&quot;&quot;},&quot;isTemporary&quot;:false}],&quot;citationTag&quot;:&quot;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&quot;},{&quot;citationID&quot;:&quot;MENDELEY_CITATION_e8ebc3df-7070-4ad0-84a7-ab3030368d96&quot;,&quot;properties&quot;:{&quot;noteIndex&quot;:0},&quot;isEdited&quot;:false,&quot;manualOverride&quot;:{&quot;isManuallyOverridden&quot;:false,&quot;citeprocText&quot;:&quot;(Donahoe et al., 2015)&quot;,&quot;manualOverrideText&quot;:&quot;&quot;},&quot;citationItems&quot;:[{&quot;id&quot;:&quot;0eb21b67-0b11-310b-bb97-5e8fd960f5bc&quot;,&quot;itemData&quot;:{&quot;type&quot;:&quot;article-journal&quot;,&quot;id&quot;:&quot;0eb21b67-0b11-310b-bb97-5e8fd960f5bc&quot;,&quot;title&quot;:&quot;A review of neosporosis and pathologic findings of Neospora caninum infection in wildlife&quot;,&quot;author&quot;:[{&quot;family&quot;:&quot;Donahoe&quot;,&quot;given&quot;:&quot;Shannon L.&quot;,&quot;parse-names&quot;:false,&quot;dropping-particle&quot;:&quot;&quot;,&quot;non-dropping-particle&quot;:&quot;&quot;},{&quot;family&quot;:&quot;Lindsay&quot;,&quot;given&quot;:&quot;Scott A.&quot;,&quot;parse-names&quot;:false,&quot;dropping-particle&quot;:&quot;&quot;,&quot;non-dropping-particle&quot;:&quot;&quot;},{&quot;family&quot;:&quot;Krockenberger&quot;,&quot;given&quot;:&quot;Mark&quot;,&quot;parse-names&quot;:false,&quot;dropping-particle&quot;:&quot;&quot;,&quot;non-dropping-particle&quot;:&quot;&quot;},{&quot;family&quot;:&quot;Phalen&quot;,&quot;given&quot;:&quot;David&quot;,&quot;parse-names&quot;:false,&quot;dropping-particle&quot;:&quot;&quot;,&quot;non-dropping-particle&quot;:&quot;&quot;},{&quot;family&quot;:&quot;Šlapeta&quot;,&quot;given&quot;:&quot;Jan&quot;,&quot;parse-names&quot;:false,&quot;dropping-particle&quot;:&quot;&quot;,&quot;non-dropping-particle&quot;:&quot;&quot;}],&quot;container-title&quot;:&quot;International Journal for Parasitology: Parasites and Wildlife&quot;,&quot;accessed&quot;:{&quot;date-parts&quot;:[[2022,8,3]]},&quot;DOI&quot;:&quot;10.1016/J.IJPPAW.2015.04.002&quot;,&quot;ISSN&quot;:&quot;2213-2244&quot;,&quot;issued&quot;:{&quot;date-parts&quot;:[[2015,8,1]]},&quot;page&quot;:&quot;216-238&quot;,&quot;abstract&quot;:&quo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quot;,&quot;publisher&quot;:&quot;Elsevier&quot;,&quot;issue&quot;:&quot;2&quot;,&quot;volume&quot;:&quot;4&quot;,&quot;container-title-short&quot;:&quot;&quot;},&quot;isTemporary&quot;:false}],&quot;citationTag&quot;:&quot;MENDELEY_CITATION_v3_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&quot;},{&quot;citationID&quot;:&quot;MENDELEY_CITATION_d2aa00b1-4d1b-4833-a27d-3554362e013b&quot;,&quot;properties&quot;:{&quot;noteIndex&quot;:0},&quot;isEdited&quot;:false,&quot;manualOverride&quot;:{&quot;isManuallyOverridden&quot;:false,&quot;citeprocText&quot;:&quot;(Donahoe et al., 2015; Ferreirinha et al., 2016; Goodswen et al., 2013)&quot;,&quot;manualOverrideText&quot;:&quot;&quot;},&quot;citationItems&quot;:[{&quot;id&quot;:&quot;0eb21b67-0b11-310b-bb97-5e8fd960f5bc&quot;,&quot;itemData&quot;:{&quot;type&quot;:&quot;article-journal&quot;,&quot;id&quot;:&quot;0eb21b67-0b11-310b-bb97-5e8fd960f5bc&quot;,&quot;title&quot;:&quot;A review of neosporosis and pathologic findings of Neospora caninum infection in wildlife&quot;,&quot;author&quot;:[{&quot;family&quot;:&quot;Donahoe&quot;,&quot;given&quot;:&quot;Shannon L.&quot;,&quot;parse-names&quot;:false,&quot;dropping-particle&quot;:&quot;&quot;,&quot;non-dropping-particle&quot;:&quot;&quot;},{&quot;family&quot;:&quot;Lindsay&quot;,&quot;given&quot;:&quot;Scott A.&quot;,&quot;parse-names&quot;:false,&quot;dropping-particle&quot;:&quot;&quot;,&quot;non-dropping-particle&quot;:&quot;&quot;},{&quot;family&quot;:&quot;Krockenberger&quot;,&quot;given&quot;:&quot;Mark&quot;,&quot;parse-names&quot;:false,&quot;dropping-particle&quot;:&quot;&quot;,&quot;non-dropping-particle&quot;:&quot;&quot;},{&quot;family&quot;:&quot;Phalen&quot;,&quot;given&quot;:&quot;David&quot;,&quot;parse-names&quot;:false,&quot;dropping-particle&quot;:&quot;&quot;,&quot;non-dropping-particle&quot;:&quot;&quot;},{&quot;family&quot;:&quot;Šlapeta&quot;,&quot;given&quot;:&quot;Jan&quot;,&quot;parse-names&quot;:false,&quot;dropping-particle&quot;:&quot;&quot;,&quot;non-dropping-particle&quot;:&quot;&quot;}],&quot;container-title&quot;:&quot;International Journal for Parasitology: Parasites and Wildlife&quot;,&quot;accessed&quot;:{&quot;date-parts&quot;:[[2022,8,3]]},&quot;DOI&quot;:&quot;10.1016/J.IJPPAW.2015.04.002&quot;,&quot;ISSN&quot;:&quot;2213-2244&quot;,&quot;issued&quot;:{&quot;date-parts&quot;:[[2015,8,1]]},&quot;page&quot;:&quot;216-238&quot;,&quot;abstract&quot;:&quot;Neospora caninum is an apicomplexan parasite that is the etiologic agent of neosporosis, a devastating infectious disease regarded as a major cause of reproductive loss in cattle and neuromuscular disease in dogs worldwide. This protozoan pathogen is maintained in the environment by a heteroxenous life cycle that involves a definitive canid host and a wide range of intermediate hosts. In recent years, a number of wildlife species have been investigated for their possible involvement in the N. caninum life cycle and many have been implicated as intermediate hosts. However, in many instances these studies have utilized serological and molecular techniques to detect infection in clinically normal animals, and investigation of possible associated morbidity, mortality, and pathology has been neglected. As such, the occurrence and importance of Neospora-associated disease in wildlife species are unknown. In order to improve our understanding of the significance of N. caninum infection in nondomestic species, the present review provides an up-to-date summary of clinical neosporosis and N. caninum-associated pathologic lesions in naturally and experimentally infected wildlife species. We provide a list of all free-ranging and captive wildlife species identified with N. caninum infection to date using currently available diagnostic tools. The advantages and disadvantages of diagnostic methods in wildlife are addressed in order to recommend optimal diagnosis of confirming N. caninum infection and neosporosis in nondomestic species. Although current data would suggest that N. caninum infection does not adversely impact wildlife populations, there is a need for greater international uniformity in the diagnosis of N. caninum infection and neosporosis in nondomestic species in order to assess the true consequences of parasite infection.&quot;,&quot;publisher&quot;:&quot;Elsevier&quot;,&quot;issue&quot;:&quot;2&quot;,&quot;volume&quot;:&quot;4&quot;,&quot;container-title-short&quot;:&quot;&quot;},&quot;isTemporary&quot;:false},{&quot;id&quot;:&quot;347fba2f-7f3f-3597-90ed-94381d92a6e5&quot;,&quot;itemData&quot;:{&quot;type&quot;:&quot;article-journal&quot;,&quot;id&quot;:&quot;347fba2f-7f3f-3597-90ed-94381d92a6e5&quot;,&quot;title&quot;:&quot;Mucosal immunization confers long-term protection against intragastrically established Neospora caninum infection&quot;,&quot;author&quot;:[{&quot;family&quot;:&quot;Ferreirinha&quot;,&quot;given&quot;:&quot;Pedro&quot;,&quot;parse-names&quot;:false,&quot;dropping-particle&quot;:&quot;&quot;,&quot;non-dropping-particle&quot;:&quot;&quot;},{&quot;family&quot;:&quot;Correia&quot;,&quot;given&quot;:&quot;Alexandra&quot;,&quot;parse-names&quot;:false,&quot;dropping-particle&quot;:&quot;&quot;,&quot;non-dropping-particle&quot;:&quot;&quot;},{&quot;family&quot;:&quot;Teixeira-Coelho&quot;,&quot;given&quot;:&quot;Maria&quot;,&quot;parse-names&quot;:false,&quot;dropping-particle&quot;:&quot;&quot;,&quot;non-dropping-particle&quot;:&quot;&quot;},{&quot;family&quot;:&quot;Osório&quot;,&quot;given&quot;:&quot;Hugo&quot;,&quot;parse-names&quot;:false,&quot;dropping-particle&quot;:&quot;&quot;,&quot;non-dropping-particle&quot;:&quot;&quot;},{&quot;family&quot;:&quot;Teixeira&quot;,&quot;given&quot;:&quot;Luzia&quot;,&quot;parse-names&quot;:false,&quot;dropping-particle&quot;:&quot;&quot;,&quot;non-dropping-particle&quot;:&quot;&quot;},{&quot;family&quot;:&quot;Rocha&quot;,&quot;given&quot;:&quot;António&quot;,&quot;parse-names&quot;:false,&quot;dropping-particle&quot;:&quot;&quot;,&quot;non-dropping-particle&quot;:&quot;&quot;},{&quot;family&quot;:&quot;Vilanova&quot;,&quot;given&quot;:&quot;Manuel&quot;,&quot;parse-names&quot;:false,&quot;dropping-particle&quot;:&quot;&quot;,&quot;non-dropping-particle&quot;:&quot;&quot;}],&quot;container-title&quot;:&quot;Vaccine&quot;,&quot;container-title-short&quot;:&quot;Vaccine&quot;,&quot;accessed&quot;:{&quot;date-parts&quot;:[[2022,4,12]]},&quot;DOI&quot;:&quot;10.1016/J.VACCINE.2016.10.056&quot;,&quot;ISSN&quot;:&quot;0264-410X&quot;,&quot;PMID&quot;:&quot;27814932&quot;,&quot;issued&quot;:{&quot;date-parts&quot;:[[2016,12,7]]},&quot;page&quot;:&quot;6250-6258&quot;,&quot;abstract&quot;:&quot;Neospora caninum is an obligate intracellular protozoan parasite responsible for heavy economic losses in dairy and beef cattle farms worldwide. Although vaccination is widely regarded as the preferable strategy to prevent neosporosis no commercial vaccine is currently available. We have previously shown that intranasal immunization with an N. caninum antigen extract enriched in hydrophobic proteins plus CpG adjuvant protected mice against intragastrically established neosporosis. Nevertheless, the antigen specificity as well as the long-term protective effect of this immunization strategy were not determined. Here, we show that the protective effect of this intranasal immunization procedure lasted for at least 20 weeks. Protection was accompanied by long-lasting elevated levels of parasite-specific serum IgG and intestinal IgA. Moreover, spleen and mesenteric lymph node cells obtained from non-infected long-term immunized mice responded by producing interferon-γ following in vitro parasite-antigen recall. Analysis of serum IgG and intestinal IgA antibody reactivity in immunized mice identified dense granule antigen 7 (NcGRA7) and microneme associated protein 1 (NcMIC1) as immunodominant antigens respectively recognized by those antibody fractions. In summary, this work shows that a previously reported mucosal immunization strategy against N. caninum infection established through the gastrointestinal tract is effective in the long term.&quot;,&quot;publisher&quot;:&quot;Elsevier&quot;,&quot;issue&quot;:&quot;50&quot;,&quot;volume&quot;:&quot;34&quot;},&quot;isTemporary&quot;:false},{&quot;id&quot;:&quot;ec998491-25c0-3ac3-a2aa-a141fbdeeff9&quot;,&quot;itemData&quot;:{&quot;type&quot;:&quot;article-journal&quot;,&quot;id&quot;:&quot;ec998491-25c0-3ac3-a2aa-a141fbdeeff9&quot;,&quot;title&quot;:&quot;A review of the infection, genetics, and evolution of Neospora caninum: From the past to the present&quot;,&quot;author&quot;:[{&quot;family&quot;:&quot;Goodswen&quot;,&quot;given&quot;:&quot;Stephen J.&quot;,&quot;parse-names&quot;:false,&quot;dropping-particle&quot;:&quot;&quot;,&quot;non-dropping-particle&quot;:&quot;&quot;},{&quot;family&quot;:&quot;Kennedy&quot;,&quot;given&quot;:&quot;Paul J.&quot;,&quot;parse-names&quot;:false,&quot;dropping-particle&quot;:&quot;&quot;,&quot;non-dropping-particle&quot;:&quot;&quot;},{&quot;family&quot;:&quot;Ellis&quot;,&quot;given&quot;:&quot;John T.&quot;,&quot;parse-names&quot;:false,&quot;dropping-particle&quot;:&quot;&quot;,&quot;non-dropping-particle&quot;:&quot;&quot;}],&quot;container-title&quot;:&quot;Infection, Genetics and Evolution&quot;,&quot;accessed&quot;:{&quot;date-parts&quot;:[[2022,8,4]]},&quot;DOI&quot;:&quot;10.1016/J.MEEGID.2012.08.012&quot;,&quot;ISSN&quot;:&quot;1567-1348&quot;,&quot;PMID&quot;:&quot;22985682&quot;,&quot;issued&quot;:{&quot;date-parts&quot;:[[2013,1,1]]},&quot;page&quot;:&quot;133-150&quot;,&quot;abstract&quot;:&quo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quot;,&quot;publisher&quot;:&quot;Elsevier&quot;,&quot;issue&quot;:&quot;1&quot;,&quot;volume&quot;:&quot;13&quot;,&quot;container-title-short&quot;:&quot;&quot;},&quot;isTemporary&quot;:false}],&quot;citationTag&quot;:&quot;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&quot;},{&quot;citationID&quot;:&quot;MENDELEY_CITATION_440b6b4c-43b6-498c-a680-86ad4af13a6c&quot;,&quot;properties&quot;:{&quot;noteIndex&quot;:0},&quot;isEdited&quot;:false,&quot;manualOverride&quot;:{&quot;isManuallyOverridden&quot;:false,&quot;citeprocText&quot;:&quot;(Tizard, 2012)&quot;,&quot;manualOverrideText&quot;:&quot;&quot;},&quot;citationItems&quot;:[{&quot;id&quot;:&quot;3f2c9b91-031d-3b12-9727-81b3ebd2554c&quot;,&quot;itemData&quot;:{&quot;type&quot;:&quot;chapter&quot;,&quot;id&quot;:&quot;3f2c9b91-031d-3b12-9727-81b3ebd2554c&quot;,&quot;title&quot;:&quot;Veterinary Immunology&quot;,&quot;author&quot;:[{&quot;family&quot;:&quot;Tizard&quot;,&quot;given&quot;:&quot;Ian R.&quot;,&quot;parse-names&quot;:false,&quot;dropping-particle&quot;:&quot;&quot;,&quot;non-dropping-particle&quot;:&quot;&quot;}],&quot;container-title&quot;:&quot;Elsevier Health Sciences&quot;,&quot;chapter-number&quot;:&quot;Appendix 2&quot;,&quot;ISBN&quot;:&quot;978-1-4557-0362-3&quot;,&quot;issued&quot;:{&quot;date-parts&quot;:[[2012]]},&quot;abstract&quot;:&quo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quot;,&quot;edition&quot;:&quot;9th&quot;,&quot;publisher&quot;:&quot;W.B. Saunders Company&quot;,&quot;container-title-short&quot;:&quot;&quot;},&quot;isTemporary&quot;:false}],&quot;citationTag&quot;:&quot;MENDELEY_CITATION_v3_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&quot;},{&quot;citationID&quot;:&quot;MENDELEY_CITATION_e71223bc-6fbe-4cc2-843e-9d9ae0058dd3&quot;,&quot;properties&quot;:{&quot;noteIndex&quot;:0},&quot;isEdited&quot;:false,&quot;manualOverride&quot;:{&quot;isManuallyOverridden&quot;:true,&quot;citeprocText&quot;:&quot;(Teixeira et al., 2010)&quot;,&quot;manualOverrideText&quot;:&quot;Teixeira et al. (2010)&quot;},&quot;citationItems&quot;:[{&quot;id&quot;:&quot;43aff45a-072b-3ace-af93-8001df685b67&quot;,&quot;itemData&quot;:{&quot;type&quot;:&quot;article-journal&quot;,&quot;id&quot;:&quot;43aff45a-072b-3ace-af93-8001df685b67&quot;,&quot;title&quot;:&quot;Plasmacytoid and conventional dendritic cells are early producers of IL-12 in Neospora caninum-infected mice&quot;,&quot;author&quot;:[{&quot;family&quot;:&quot;Teixeira&quot;,&quot;given&quot;:&quot;Luzia&quot;,&quot;parse-names&quot;:false,&quot;dropping-particle&quot;:&quot;&quot;,&quot;non-dropping-particle&quot;:&quot;&quot;},{&quot;family&quot;:&quot;Botelho&quot;,&quot;given&quot;:&quot;Ana Sofia&quot;,&quot;parse-names&quot;:false,&quot;dropping-particle&quot;:&quot;&quot;,&quot;non-dropping-particle&quot;:&quot;&quot;},{&quot;family&quot;:&quot;Mesquita&quot;,&quot;given&quot;:&quot;Sandro Dá&quot;,&quot;parse-names&quot;:false,&quot;dropping-particle&quot;:&quot;&quot;,&quot;non-dropping-particle&quot;:&quot;&quot;},{&quot;family&quot;:&quot;Correia&quot;,&quot;given&quot;:&quot;Alexandra&quot;,&quot;parse-names&quot;:false,&quot;dropping-particle&quot;:&quot;&quot;,&quot;non-dropping-particle&quot;:&quot;&quot;},{&quot;family&quot;:&quot;Cerca&quot;,&quot;given&quot;:&quot;Filipe&quot;,&quot;parse-names&quot;:false,&quot;dropping-particle&quot;:&quot;&quot;,&quot;non-dropping-particle&quot;:&quot;&quot;},{&quot;family&quot;:&quot;Costa&quot;,&quot;given&quot;:&quot;Renata&quot;,&quot;parse-names&quot;:false,&quot;dropping-particle&quot;:&quot;&quot;,&quot;non-dropping-particle&quot;:&quot;&quot;},{&quot;family&quot;:&quot;Sampaio&quot;,&quot;given&quot;:&quot;Paula&quot;,&quot;parse-names&quot;:false,&quot;dropping-particle&quot;:&quot;&quot;,&quot;non-dropping-particle&quot;:&quot;&quot;},{&quot;family&quot;:&quot;Castro&quot;,&quot;given&quot;:&quot;António Gil&quot;,&quot;parse-names&quot;:false,&quot;dropping-particle&quot;:&quot;&quot;,&quot;non-dropping-particle&quot;:&quot;&quot;},{&quot;family&quot;:&quot;Vilanova&quot;,&quot;given&quot;:&quot;Manuel&quot;,&quot;parse-names&quot;:false,&quot;dropping-particle&quot;:&quot;&quot;,&quot;non-dropping-particle&quot;:&quot;&quot;}],&quot;container-title&quot;:&quot;Immunology and Cell Biology&quot;,&quot;accessed&quot;:{&quot;date-parts&quot;:[[2022,4,12]]},&quot;DOI&quot;:&quot;10.1038/ICB.2009.65&quot;,&quot;ISSN&quot;:&quot;08189641&quot;,&quot;PMID&quot;:&quot;19755980&quot;,&quot;issued&quot;:{&quot;date-parts&quot;:[[2010,1]]},&quot;page&quot;:&quot;79-86&quot;,&quot;abstract&quot;:&quot;Neospora caninum is a coccidian parasite causative of clinical infections in a wide range of animal hosts. The maturation and activation of splenic conventional dendritic cells (cDCs) and plasmacytoid dendritic cells (pDCs) were studied here in BALB/c mice challenged intraperitoneal with N. caninum tachyzoites. The number of cDCs was found to decrease in the spleen of the infected mice 12 h and 2 days after the parasitic challenge, whereas at day 5 after infection it was significantly above that of mock-infected controls. In contrast, the number of splenic pDCs did not change significantly on infection. In the infected mice, both cell subtypes displayed an activated phenotype with upregulation of costimulatory and MHC class II molecules. This stimulatory effect was more marked at the earliest assessed time point after infection, 12 h, when a clear increase in the frequency of cDCs (CD8α+ and CD8α- ) and pDCs producing interleukin-12 (IL-12) was also observed. N. caninum tachyzoites could be observed by confocal microscopy associated with sorted DCs. Overall, these results present the first evidence that both cDCs and pDCs mediate in vivo the innate immune response to N. caninum infection through the production of IL-12, a key cytokine for host resistance to neosporosis. © 2010 Australasian Society for Immunology Inc. All rights reserved.&quot;,&quot;issue&quot;:&quot;1&quot;,&quot;volume&quot;:&quot;88&quot;,&quot;container-title-short&quot;:&quot;&quot;},&quot;isTemporary&quot;:false}],&quot;citationTag&quot;:&quot;MENDELEY_CITATION_v3_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&quot;},{&quot;citationID&quot;:&quot;MENDELEY_CITATION_4d1b0b6f-e71f-4f32-82fc-2b34915354c8&quot;,&quot;properties&quot;:{&quot;noteIndex&quot;:0},&quot;isEdited&quot;:false,&quot;manualOverride&quot;:{&quot;isManuallyOverridden&quot;:false,&quot;citeprocText&quot;:&quot;(Correia et al., 2013)&quot;,&quot;manualOverrideText&quot;:&quot;&quot;},&quot;citationItems&quot;:[{&quot;id&quot;:&quot;19882f4e-bdad-3bfb-8938-a1dba45db020&quot;,&quot;itemData&quot;:{&quot;type&quot;:&quot;article-journal&quot;,&quot;id&quot;:&quot;19882f4e-bdad-3bfb-8938-a1dba45db020&quot;,&quot;title&quot;:&quot;Mucosal and systemic T cell response in mice intragastrically infected with Neospora caninum tachyzoites&quot;,&quot;author&quot;:[{&quot;family&quot;:&quot;Correia&quot;,&quot;given&quot;:&quot;Alexandra&quot;,&quot;parse-names&quot;:false,&quot;dropping-particle&quot;:&quot;&quot;,&quot;non-dropping-particle&quot;:&quot;&quot;},{&quot;family&quot;:&quot;Ferreirinha&quot;,&quot;given&quot;:&quot;Pedro&quot;,&quot;parse-names&quot;:false,&quot;dropping-particle&quot;:&quot;&quot;,&quot;non-dropping-particle&quot;:&quot;&quot;},{&quot;family&quot;:&quot;Costa&quot;,&quot;given&quot;:&quot;Amanda A&quot;,&quot;parse-names&quot;:false,&quot;dropping-particle&quot;:&quot;&quot;,&quot;non-dropping-particle&quot;:&quot;&quot;},{&quot;family&quot;:&quot;Dias&quot;,&quot;given&quot;:&quot;Joana&quot;,&quot;parse-names&quot;:false,&quot;dropping-particle&quot;:&quot;&quot;,&quot;non-dropping-particle&quot;:&quot;&quot;},{&quot;family&quot;:&quot;Melo&quot;,&quot;given&quot;:&quot;Joana&quot;,&quot;parse-names&quot;:false,&quot;dropping-particle&quot;:&quot;&quot;,&quot;non-dropping-particle&quot;:&quot;&quot;},{&quot;family&quot;:&quot;Costa&quot;,&quot;given&quot;:&quot;Rita&quot;,&quot;parse-names&quot;:false,&quot;dropping-particle&quot;:&quot;&quot;,&quot;non-dropping-particle&quot;:&quot;&quot;},{&quot;family&quot;:&quot;Ribeiro&quot;,&quot;given&quot;:&quot;Adília&quot;,&quot;parse-names&quot;:false,&quot;dropping-particle&quot;:&quot;&quot;,&quot;non-dropping-particle&quot;:&quot;&quot;},{&quot;family&quot;:&quot;Faustino&quot;,&quot;given&quot;:&quot;Augusto&quot;,&quot;parse-names&quot;:false,&quot;dropping-particle&quot;:&quot;&quot;,&quot;non-dropping-particle&quot;:&quot;&quot;},{&quot;family&quot;:&quot;Teixeira&quot;,&quot;given&quot;:&quot;Luzia&quot;,&quot;parse-names&quot;:false,&quot;dropping-particle&quot;:&quot;&quot;,&quot;non-dropping-particle&quot;:&quot;&quot;},{&quot;family&quot;:&quot;Rocha&quot;,&quot;given&quot;:&quot;António&quot;,&quot;parse-names&quot;:false,&quot;dropping-particle&quot;:&quot;&quot;,&quot;non-dropping-particle&quot;:&quot;&quot;},{&quot;family&quot;:&quot;Vilanova&quot;,&quot;given&quot;:&quot;Manuel&quot;,&quot;parse-names&quot;:false,&quot;dropping-particle&quot;:&quot;&quot;,&quot;non-dropping-particle&quot;:&quot;&quot;}],&quot;container-title&quot;:&quot;Veterinary Research&quot;,&quot;accessed&quot;:{&quot;date-parts&quot;:[[2022,4,12]]},&quot;DOI&quot;:&quot;10.1186/1297-9716-44-69&quot;,&quot;ISSN&quot;:&quot;1297-9716&quot;,&quot;URL&quot;:&quot;http://www.veterinaryresearch.org/content/44/1/69&quot;,&quot;issued&quot;:{&quot;date-parts&quot;:[[2013,12,10]]},&quot;page&quot;:&quot;69&quot;,&quot;abstract&quot;:&quo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quot;,&quot;issue&quot;:&quot;1&quot;,&quot;volume&quot;:&quot;44&quot;,&quot;container-title-short&quot;:&quot;&quot;},&quot;isTemporary&quot;:false}],&quot;citationTag&quot;:&quot;MENDELEY_CITATION_v3_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&quot;},{&quot;citationID&quot;:&quot;MENDELEY_CITATION_b3f9fcd2-966d-40cd-8dfa-c5b045c9dce2&quot;,&quot;properties&quot;:{&quot;noteIndex&quot;:0},&quot;isEdited&quot;:false,&quot;manualOverride&quot;:{&quot;isManuallyOverridden&quot;:false,&quot;citeprocText&quot;:&quot;(Tizard, 2012)&quot;,&quot;manualOverrideText&quot;:&quot;&quot;},&quot;citationItems&quot;:[{&quot;id&quot;:&quot;3f2c9b91-031d-3b12-9727-81b3ebd2554c&quot;,&quot;itemData&quot;:{&quot;type&quot;:&quot;chapter&quot;,&quot;id&quot;:&quot;3f2c9b91-031d-3b12-9727-81b3ebd2554c&quot;,&quot;title&quot;:&quot;Veterinary Immunology&quot;,&quot;author&quot;:[{&quot;family&quot;:&quot;Tizard&quot;,&quot;given&quot;:&quot;Ian R.&quot;,&quot;parse-names&quot;:false,&quot;dropping-particle&quot;:&quot;&quot;,&quot;non-dropping-particle&quot;:&quot;&quot;}],&quot;container-title&quot;:&quot;Elsevier Health Sciences&quot;,&quot;chapter-number&quot;:&quot;Appendix 2&quot;,&quot;ISBN&quot;:&quot;978-1-4557-0362-3&quot;,&quot;issued&quot;:{&quot;date-parts&quot;:[[2012]]},&quot;abstract&quot;:&quo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quot;,&quot;edition&quot;:&quot;9th&quot;,&quot;publisher&quot;:&quot;W.B. Saunders Company&quot;,&quot;container-title-short&quot;:&quot;&quot;},&quot;isTemporary&quot;:false}],&quot;citationTag&quot;:&quot;MENDELEY_CITATION_v3_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&quot;},{&quot;citationID&quot;:&quot;MENDELEY_CITATION_beaf0a59-091a-48bb-a38b-3e2fdccf0eff&quot;,&quot;properties&quot;:{&quot;noteIndex&quot;:0},&quot;isEdited&quot;:false,&quot;manualOverride&quot;:{&quot;isManuallyOverridden&quot;:false,&quot;citeprocText&quot;:&quot;(Tizard, 2012)&quot;,&quot;manualOverrideText&quot;:&quot;&quot;},&quot;citationItems&quot;:[{&quot;id&quot;:&quot;3f2c9b91-031d-3b12-9727-81b3ebd2554c&quot;,&quot;itemData&quot;:{&quot;type&quot;:&quot;chapter&quot;,&quot;id&quot;:&quot;3f2c9b91-031d-3b12-9727-81b3ebd2554c&quot;,&quot;title&quot;:&quot;Veterinary Immunology&quot;,&quot;author&quot;:[{&quot;family&quot;:&quot;Tizard&quot;,&quot;given&quot;:&quot;Ian R.&quot;,&quot;parse-names&quot;:false,&quot;dropping-particle&quot;:&quot;&quot;,&quot;non-dropping-particle&quot;:&quot;&quot;}],&quot;container-title&quot;:&quot;Elsevier Health Sciences&quot;,&quot;chapter-number&quot;:&quot;Appendix 2&quot;,&quot;ISBN&quot;:&quot;978-1-4557-0362-3&quot;,&quot;issued&quot;:{&quot;date-parts&quot;:[[2012]]},&quot;abstract&quot;:&quo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quot;,&quot;edition&quot;:&quot;9th&quot;,&quot;publisher&quot;:&quot;W.B. Saunders Company&quot;,&quot;container-title-short&quot;:&quot;&quot;},&quot;isTemporary&quot;:false}],&quot;citationTag&quot;:&quot;MENDELEY_CITATION_v3_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&quot;},{&quot;citationID&quot;:&quot;MENDELEY_CITATION_ec662288-40fa-4ff1-98e2-d5ca998df54a&quot;,&quot;properties&quot;:{&quot;noteIndex&quot;:0},&quot;isEdited&quot;:false,&quot;manualOverride&quot;:{&quot;isManuallyOverridden&quot;:true,&quot;citeprocText&quot;:&quot;(Correia et al., 2013)&quot;,&quot;manualOverrideText&quot;:&quot;Correia et al. (2013)&quot;},&quot;citationItems&quot;:[{&quot;id&quot;:&quot;19882f4e-bdad-3bfb-8938-a1dba45db020&quot;,&quot;itemData&quot;:{&quot;type&quot;:&quot;article-journal&quot;,&quot;id&quot;:&quot;19882f4e-bdad-3bfb-8938-a1dba45db020&quot;,&quot;title&quot;:&quot;Mucosal and systemic T cell response in mice intragastrically infected with Neospora caninum tachyzoites&quot;,&quot;author&quot;:[{&quot;family&quot;:&quot;Correia&quot;,&quot;given&quot;:&quot;Alexandra&quot;,&quot;parse-names&quot;:false,&quot;dropping-particle&quot;:&quot;&quot;,&quot;non-dropping-particle&quot;:&quot;&quot;},{&quot;family&quot;:&quot;Ferreirinha&quot;,&quot;given&quot;:&quot;Pedro&quot;,&quot;parse-names&quot;:false,&quot;dropping-particle&quot;:&quot;&quot;,&quot;non-dropping-particle&quot;:&quot;&quot;},{&quot;family&quot;:&quot;Costa&quot;,&quot;given&quot;:&quot;Amanda A&quot;,&quot;parse-names&quot;:false,&quot;dropping-particle&quot;:&quot;&quot;,&quot;non-dropping-particle&quot;:&quot;&quot;},{&quot;family&quot;:&quot;Dias&quot;,&quot;given&quot;:&quot;Joana&quot;,&quot;parse-names&quot;:false,&quot;dropping-particle&quot;:&quot;&quot;,&quot;non-dropping-particle&quot;:&quot;&quot;},{&quot;family&quot;:&quot;Melo&quot;,&quot;given&quot;:&quot;Joana&quot;,&quot;parse-names&quot;:false,&quot;dropping-particle&quot;:&quot;&quot;,&quot;non-dropping-particle&quot;:&quot;&quot;},{&quot;family&quot;:&quot;Costa&quot;,&quot;given&quot;:&quot;Rita&quot;,&quot;parse-names&quot;:false,&quot;dropping-particle&quot;:&quot;&quot;,&quot;non-dropping-particle&quot;:&quot;&quot;},{&quot;family&quot;:&quot;Ribeiro&quot;,&quot;given&quot;:&quot;Adília&quot;,&quot;parse-names&quot;:false,&quot;dropping-particle&quot;:&quot;&quot;,&quot;non-dropping-particle&quot;:&quot;&quot;},{&quot;family&quot;:&quot;Faustino&quot;,&quot;given&quot;:&quot;Augusto&quot;,&quot;parse-names&quot;:false,&quot;dropping-particle&quot;:&quot;&quot;,&quot;non-dropping-particle&quot;:&quot;&quot;},{&quot;family&quot;:&quot;Teixeira&quot;,&quot;given&quot;:&quot;Luzia&quot;,&quot;parse-names&quot;:false,&quot;dropping-particle&quot;:&quot;&quot;,&quot;non-dropping-particle&quot;:&quot;&quot;},{&quot;family&quot;:&quot;Rocha&quot;,&quot;given&quot;:&quot;António&quot;,&quot;parse-names&quot;:false,&quot;dropping-particle&quot;:&quot;&quot;,&quot;non-dropping-particle&quot;:&quot;&quot;},{&quot;family&quot;:&quot;Vilanova&quot;,&quot;given&quot;:&quot;Manuel&quot;,&quot;parse-names&quot;:false,&quot;dropping-particle&quot;:&quot;&quot;,&quot;non-dropping-particle&quot;:&quot;&quot;}],&quot;container-title&quot;:&quot;Veterinary Research&quot;,&quot;accessed&quot;:{&quot;date-parts&quot;:[[2022,4,12]]},&quot;DOI&quot;:&quot;10.1186/1297-9716-44-69&quot;,&quot;ISSN&quot;:&quot;1297-9716&quot;,&quot;URL&quot;:&quot;http://www.veterinaryresearch.org/content/44/1/69&quot;,&quot;issued&quot;:{&quot;date-parts&quot;:[[2013,12,10]]},&quot;page&quot;:&quot;69&quot;,&quot;abstract&quot;:&quo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quot;,&quot;issue&quot;:&quot;1&quot;,&quot;volume&quot;:&quot;44&quot;,&quot;container-title-short&quot;:&quot;&quot;},&quot;isTemporary&quot;:false}],&quot;citationTag&quot;:&quot;MENDELEY_CITATION_v3_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&quot;},{&quot;citationID&quot;:&quot;MENDELEY_CITATION_a4268deb-0a9b-4a07-8070-b937484bc6ed&quot;,&quot;properties&quot;:{&quot;noteIndex&quot;:0},&quot;isEdited&quot;:false,&quot;manualOverride&quot;:{&quot;isManuallyOverridden&quot;:false,&quot;citeprocText&quot;:&quot;(Goodswen et al., 2013; Tizard, 2012)&quot;,&quot;manualOverrideText&quot;:&quot;&quot;},&quot;citationItems&quot;:[{&quot;id&quot;:&quot;3f2c9b91-031d-3b12-9727-81b3ebd2554c&quot;,&quot;itemData&quot;:{&quot;type&quot;:&quot;chapter&quot;,&quot;id&quot;:&quot;3f2c9b91-031d-3b12-9727-81b3ebd2554c&quot;,&quot;title&quot;:&quot;Veterinary Immunology&quot;,&quot;author&quot;:[{&quot;family&quot;:&quot;Tizard&quot;,&quot;given&quot;:&quot;Ian R.&quot;,&quot;parse-names&quot;:false,&quot;dropping-particle&quot;:&quot;&quot;,&quot;non-dropping-particle&quot;:&quot;&quot;}],&quot;container-title&quot;:&quot;Elsevier Health Sciences&quot;,&quot;chapter-number&quot;:&quot;Appendix 2&quot;,&quot;ISBN&quot;:&quot;978-1-4557-0362-3&quot;,&quot;issued&quot;:{&quot;date-parts&quot;:[[2012]]},&quot;abstract&quot;:&quo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quot;,&quot;edition&quot;:&quot;9th&quot;,&quot;publisher&quot;:&quot;W.B. Saunders Company&quot;,&quot;container-title-short&quot;:&quot;&quot;},&quot;isTemporary&quot;:false},{&quot;id&quot;:&quot;ec998491-25c0-3ac3-a2aa-a141fbdeeff9&quot;,&quot;itemData&quot;:{&quot;type&quot;:&quot;article-journal&quot;,&quot;id&quot;:&quot;ec998491-25c0-3ac3-a2aa-a141fbdeeff9&quot;,&quot;title&quot;:&quot;A review of the infection, genetics, and evolution of Neospora caninum: From the past to the present&quot;,&quot;author&quot;:[{&quot;family&quot;:&quot;Goodswen&quot;,&quot;given&quot;:&quot;Stephen J.&quot;,&quot;parse-names&quot;:false,&quot;dropping-particle&quot;:&quot;&quot;,&quot;non-dropping-particle&quot;:&quot;&quot;},{&quot;family&quot;:&quot;Kennedy&quot;,&quot;given&quot;:&quot;Paul J.&quot;,&quot;parse-names&quot;:false,&quot;dropping-particle&quot;:&quot;&quot;,&quot;non-dropping-particle&quot;:&quot;&quot;},{&quot;family&quot;:&quot;Ellis&quot;,&quot;given&quot;:&quot;John T.&quot;,&quot;parse-names&quot;:false,&quot;dropping-particle&quot;:&quot;&quot;,&quot;non-dropping-particle&quot;:&quot;&quot;}],&quot;container-title&quot;:&quot;Infection, Genetics and Evolution&quot;,&quot;accessed&quot;:{&quot;date-parts&quot;:[[2022,8,4]]},&quot;DOI&quot;:&quot;10.1016/J.MEEGID.2012.08.012&quot;,&quot;ISSN&quot;:&quot;1567-1348&quot;,&quot;PMID&quot;:&quot;22985682&quot;,&quot;issued&quot;:{&quot;date-parts&quot;:[[2013,1,1]]},&quot;page&quot;:&quot;133-150&quot;,&quot;abstract&quot;:&quot;This paper is a review of current knowledge on Neospora caninum in the context of other apicomplexan parasites and with an emphasis on: life cycle, disease, epidemiology, immunity, control and treatment, evolution, genomes, and biological databases and web resources. N. caninum is an obligate, intracellular, coccidian, protozoan parasite of the phylum Apicomplexa. Infection can cause the clinical disease neosporosis, which most notably is associated with abortion in cattle. These abortions are a major root cause of economic loss to both the dairy and beef industries worldwide. N. caninum has been detected in every country in which a study has been specifically conducted to detect this parasite in cattle. The major mode of transmission in cattle is transplacental (or vertical) transmission and several elements of the N. caninum life cycle are yet to be studied in detail. The outcome of an infection is inextricably linked to the precise timing of the infection coupled with the status of the immune system of the dam and foetus. There is no community consensus as to whether it is the dam's pro-inflammatory cytotoxic response to tachyzoites that kills the foetus or the tachyzoites themselves. From economic analysis the most cost-effective approach to control neosporosis is a vaccine. The perfect vaccine would protect against both infection and the clinical disease, and this implies a vaccine is needed that can induce a non-foetopathic cell mediated immunity response. Researchers are beginning to capitalise on the vast potential of -omics data (e.g. genomes, transcriptomes, and proteomes) to further our understanding of pathogens but especially to identify vaccine and drug targets. The recent publication of a genome for N. caninum offers vast opportunities in these areas. © 2012 Elsevier B.V.&quot;,&quot;publisher&quot;:&quot;Elsevier&quot;,&quot;issue&quot;:&quot;1&quot;,&quot;volume&quot;:&quot;13&quot;,&quot;container-title-short&quot;:&quot;&quot;},&quot;isTemporary&quot;:false}],&quot;citationTag&quot;:&quot;MENDELEY_CITATION_v3_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&quot;},{&quot;citationID&quot;:&quot;MENDELEY_CITATION_0464b74b-877b-49f9-b2e3-eb62d3f22554&quot;,&quot;properties&quot;:{&quot;noteIndex&quot;:0},&quot;isEdited&quot;:false,&quot;manualOverride&quot;:{&quot;isManuallyOverridden&quot;:false,&quot;citeprocText&quot;:&quot;(Tizard, 2012)&quot;,&quot;manualOverrideText&quot;:&quot;&quot;},&quot;citationItems&quot;:[{&quot;id&quot;:&quot;3f2c9b91-031d-3b12-9727-81b3ebd2554c&quot;,&quot;itemData&quot;:{&quot;type&quot;:&quot;chapter&quot;,&quot;id&quot;:&quot;3f2c9b91-031d-3b12-9727-81b3ebd2554c&quot;,&quot;title&quot;:&quot;Veterinary Immunology&quot;,&quot;author&quot;:[{&quot;family&quot;:&quot;Tizard&quot;,&quot;given&quot;:&quot;Ian R.&quot;,&quot;parse-names&quot;:false,&quot;dropping-particle&quot;:&quot;&quot;,&quot;non-dropping-particle&quot;:&quot;&quot;}],&quot;container-title&quot;:&quot;Elsevier Health Sciences&quot;,&quot;chapter-number&quot;:&quot;Appendix 2&quot;,&quot;ISBN&quot;:&quot;978-1-4557-0362-3&quot;,&quot;issued&quot;:{&quot;date-parts&quot;:[[2012]]},&quot;abstract&quot;:&quot;The only complete resource on immunology for veterinary students and practitioners, Veterinary Immunology: An Introduction features a straightforward presentation of basic immunologic principles with comprehensive information on the most significant immunological diseases and responses seen in domestic animals. This meticulously updated new edition explores the latest advances in the field and provides a wealth of clinical examples that illustrate and clarify important concepts.&quot;,&quot;edition&quot;:&quot;9th&quot;,&quot;publisher&quot;:&quot;W.B. Saunders Company&quot;,&quot;container-title-short&quot;:&quot;&quot;},&quot;isTemporary&quot;:false}],&quot;citationTag&quot;:&quot;MENDELEY_CITATION_v3_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&quot;},{&quot;citationID&quot;:&quot;MENDELEY_CITATION_80636424-85d4-492e-9950-cd8388ed5910&quot;,&quot;properties&quot;:{&quot;noteIndex&quot;:0},&quot;isEdited&quot;:false,&quot;manualOverride&quot;:{&quot;isManuallyOverridden&quot;:false,&quot;citeprocText&quot;:&quot;(Correia et al., 2013, 2015)&quot;,&quot;manualOverrideText&quot;:&quot;&quot;},&quot;citationItems&quot;:[{&quot;id&quot;:&quot;19882f4e-bdad-3bfb-8938-a1dba45db020&quot;,&quot;itemData&quot;:{&quot;type&quot;:&quot;article-journal&quot;,&quot;id&quot;:&quot;19882f4e-bdad-3bfb-8938-a1dba45db020&quot;,&quot;title&quot;:&quot;Mucosal and systemic T cell response in mice intragastrically infected with Neospora caninum tachyzoites&quot;,&quot;author&quot;:[{&quot;family&quot;:&quot;Correia&quot;,&quot;given&quot;:&quot;Alexandra&quot;,&quot;parse-names&quot;:false,&quot;dropping-particle&quot;:&quot;&quot;,&quot;non-dropping-particle&quot;:&quot;&quot;},{&quot;family&quot;:&quot;Ferreirinha&quot;,&quot;given&quot;:&quot;Pedro&quot;,&quot;parse-names&quot;:false,&quot;dropping-particle&quot;:&quot;&quot;,&quot;non-dropping-particle&quot;:&quot;&quot;},{&quot;family&quot;:&quot;Costa&quot;,&quot;given&quot;:&quot;Amanda A&quot;,&quot;parse-names&quot;:false,&quot;dropping-particle&quot;:&quot;&quot;,&quot;non-dropping-particle&quot;:&quot;&quot;},{&quot;family&quot;:&quot;Dias&quot;,&quot;given&quot;:&quot;Joana&quot;,&quot;parse-names&quot;:false,&quot;dropping-particle&quot;:&quot;&quot;,&quot;non-dropping-particle&quot;:&quot;&quot;},{&quot;family&quot;:&quot;Melo&quot;,&quot;given&quot;:&quot;Joana&quot;,&quot;parse-names&quot;:false,&quot;dropping-particle&quot;:&quot;&quot;,&quot;non-dropping-particle&quot;:&quot;&quot;},{&quot;family&quot;:&quot;Costa&quot;,&quot;given&quot;:&quot;Rita&quot;,&quot;parse-names&quot;:false,&quot;dropping-particle&quot;:&quot;&quot;,&quot;non-dropping-particle&quot;:&quot;&quot;},{&quot;family&quot;:&quot;Ribeiro&quot;,&quot;given&quot;:&quot;Adília&quot;,&quot;parse-names&quot;:false,&quot;dropping-particle&quot;:&quot;&quot;,&quot;non-dropping-particle&quot;:&quot;&quot;},{&quot;family&quot;:&quot;Faustino&quot;,&quot;given&quot;:&quot;Augusto&quot;,&quot;parse-names&quot;:false,&quot;dropping-particle&quot;:&quot;&quot;,&quot;non-dropping-particle&quot;:&quot;&quot;},{&quot;family&quot;:&quot;Teixeira&quot;,&quot;given&quot;:&quot;Luzia&quot;,&quot;parse-names&quot;:false,&quot;dropping-particle&quot;:&quot;&quot;,&quot;non-dropping-particle&quot;:&quot;&quot;},{&quot;family&quot;:&quot;Rocha&quot;,&quot;given&quot;:&quot;António&quot;,&quot;parse-names&quot;:false,&quot;dropping-particle&quot;:&quot;&quot;,&quot;non-dropping-particle&quot;:&quot;&quot;},{&quot;family&quot;:&quot;Vilanova&quot;,&quot;given&quot;:&quot;Manuel&quot;,&quot;parse-names&quot;:false,&quot;dropping-particle&quot;:&quot;&quot;,&quot;non-dropping-particle&quot;:&quot;&quot;}],&quot;container-title&quot;:&quot;Veterinary Research&quot;,&quot;accessed&quot;:{&quot;date-parts&quot;:[[2022,4,12]]},&quot;DOI&quot;:&quot;10.1186/1297-9716-44-69&quot;,&quot;ISSN&quot;:&quot;1297-9716&quot;,&quot;URL&quot;:&quot;http://www.veterinaryresearch.org/content/44/1/69&quot;,&quot;issued&quot;:{&quot;date-parts&quot;:[[2013,12,10]]},&quot;page&quot;:&quot;69&quot;,&quot;abstract&quot;:&quo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quot;,&quot;issue&quot;:&quot;1&quot;,&quot;volume&quot;:&quot;44&quot;,&quot;container-title-short&quot;:&quot;&quot;},&quot;isTemporary&quot;:false},{&quot;id&quot;:&quot;e9601cac-1f12-3ec6-a281-1d96368641f8&quot;,&quot;itemData&quot;:{&quot;type&quot;:&quot;article-journal&quot;,&quot;id&quot;:&quot;e9601cac-1f12-3ec6-a281-1d96368641f8&quot;,&quot;title&quot;:&quot;Predominant role of interferon-γ in the host protective effect of CD8+ T cells against Neospora caninum infection&quot;,&quot;author&quot;:[{&quot;family&quot;:&quot;Correia&quot;,&quot;given&quot;:&quot;Alexandra&quot;,&quot;parse-names&quot;:false,&quot;dropping-particle&quot;:&quot;&quot;,&quot;non-dropping-particle&quot;:&quot;&quot;},{&quot;family&quot;:&quot;Ferreirinha&quot;,&quot;given&quot;:&quot;Pedro&quot;,&quot;parse-names&quot;:false,&quot;dropping-particle&quot;:&quot;&quot;,&quot;non-dropping-particle&quot;:&quot;&quot;},{&quot;family&quot;:&quot;Botelho&quot;,&quot;given&quot;:&quot;Sofia&quot;,&quot;parse-names&quot;:false,&quot;dropping-particle&quot;:&quot;&quot;,&quot;non-dropping-particle&quot;:&quot;&quot;},{&quot;family&quot;:&quot;Belinha&quot;,&quot;given&quot;:&quot;Ana&quot;,&quot;parse-names&quot;:false,&quot;dropping-particle&quot;:&quot;&quot;,&quot;non-dropping-particle&quot;:&quot;&quot;},{&quot;family&quot;:&quot;Leitão&quot;,&quot;given&quot;:&quot;Catarina&quot;,&quot;parse-names&quot;:false,&quot;dropping-particle&quot;:&quot;&quot;,&quot;non-dropping-particle&quot;:&quot;&quot;},{&quot;family&quot;:&quot;Caramalho&quot;,&quot;given&quot;:&quot;Íris&quot;,&quot;parse-names&quot;:false,&quot;dropping-particle&quot;:&quot;&quot;,&quot;non-dropping-particle&quot;:&quot;&quot;},{&quot;family&quot;:&quot;Teixeira&quot;,&quot;given&quot;:&quot;Luzia&quot;,&quot;parse-names&quot;:false,&quot;dropping-particle&quot;:&quot;&quot;,&quot;non-dropping-particle&quot;:&quot;&quot;},{&quot;family&quot;:&quot;González-Fernandéz&quot;,&quot;given&quot;:&quot;África&quot;,&quot;parse-names&quot;:false,&quot;dropping-particle&quot;:&quot;&quot;,&quot;non-dropping-particle&quot;:&quot;&quot;},{&quot;family&quot;:&quot;Appelberg&quot;,&quot;given&quot;:&quot;Rui&quot;,&quot;parse-names&quot;:false,&quot;dropping-particle&quot;:&quot;&quot;,&quot;non-dropping-particle&quot;:&quot;&quot;},{&quot;family&quot;:&quot;Vilanova&quot;,&quot;given&quot;:&quot;Manuel&quot;,&quot;parse-names&quot;:false,&quot;dropping-particle&quot;:&quot;&quot;,&quot;non-dropping-particle&quot;:&quot;&quot;}],&quot;container-title&quot;:&quot;Scientific Reports&quot;,&quot;accessed&quot;:{&quot;date-parts&quot;:[[2022,4,12]]},&quot;DOI&quot;:&quot;10.1038/srep14913&quot;,&quot;ISSN&quot;:&quot;2045-2322&quot;,&quot;URL&quot;:&quot;www.nature.com/scientificreports&quot;,&quot;issued&quot;:{&quot;date-parts&quot;:[[2015,12,9]]},&quot;page&quot;:&quot;14913&quot;,&quot;abstract&quot;:&quot;It is well established that CD8 + T cells play an important role in protective immunity against protozoan infections. However, their role in the course of Neospora caninum infection has not been fully elucidated. Here we report that CD8-deficient mice infected with N. caninum presented higher parasitic loads in the brain and lungs and lower spleen and brain immunity-related GTPases than their wild-type counterparts. Moreover, adoptive transfer of splenic CD8 + T cells sorted from N. caninum-primed immunosufficient C57BL/10 ScSn mice prolonged the survival of infected IL-12-unresponsive C57BL/10 ScCr recipients. In both C57BL/6 and C57BL/10 ScSn mice CD8 + T cells are activated and produce interferon-γ (IFN-γ) upon challenged with N. caninum. The host protective role of IFN-γ produced by CD8 + T cells was confirmed in N. caninum-infected RAG2-deficient mice reconstituted with CD8 + T cells obtained from either IFN-γ-deficient or wild-type donors. Mice receiving IFN-γ-expressing CD8 + T cells presented lower parasitic burdens than counterparts having IFN-γ-deficient CD8 + T cells. Moreover, we observed that N. caninum-infected perforin-deficient mice presented parasitic burdens similar to those of infected wild-type controls. Altogether these results demonstrate that production of IFN-γ is a predominant protective mechanism conferred by CD8 + T cells in the course of neosporosis. Neospora caninum is a cyst-forming coccidian parasite responsible for clinical infections in a wide range of animal hosts including bovines 1. In cattle N. caninum is a major cause of abortions and stillbirths occurring worldwide thus having a major economic impact on dairy industry 2. Currently, no effective commercially available vaccine exists against neosporosis 3. Therefore, a better understanding of immune mechanisms mediating host resistance to this infectious disease may be helpful in designing immune-mediated preventive approaches for neosporosis. Studies performed in mice and cattle infected with N. caninum have shown that dendritic cells and macrophages 4-6 , NK cells 7,8 and CD4 + T cells 9-11 provide different effector functions in protective immunity to neosporosis. As N. caninum is an obligate intracellular parasite, it could also be expected that CD8&quot;,&quot;issue&quot;:&quot;1&quot;,&quot;volume&quot;:&quot;5&quot;,&quot;container-title-short&quot;:&quot;&quot;},&quot;isTemporary&quot;:false}],&quot;citationTag&quot;:&quot;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&quot;},{&quot;citationID&quot;:&quot;MENDELEY_CITATION_2f0e5d1c-38c8-43d7-b8f1-0ebdbff25bc0&quot;,&quot;properties&quot;:{&quot;noteIndex&quot;:0},&quot;isEdited&quot;:false,&quot;manualOverride&quot;:{&quot;isManuallyOverridden&quot;:true,&quot;citeprocText&quot;:&quot;(Correia et al., 2013)&quot;,&quot;manualOverrideText&quot;:&quot;Correia et al. (2013)&quot;},&quot;citationItems&quot;:[{&quot;id&quot;:&quot;19882f4e-bdad-3bfb-8938-a1dba45db020&quot;,&quot;itemData&quot;:{&quot;type&quot;:&quot;article-journal&quot;,&quot;id&quot;:&quot;19882f4e-bdad-3bfb-8938-a1dba45db020&quot;,&quot;title&quot;:&quot;Mucosal and systemic T cell response in mice intragastrically infected with Neospora caninum tachyzoites&quot;,&quot;author&quot;:[{&quot;family&quot;:&quot;Correia&quot;,&quot;given&quot;:&quot;Alexandra&quot;,&quot;parse-names&quot;:false,&quot;dropping-particle&quot;:&quot;&quot;,&quot;non-dropping-particle&quot;:&quot;&quot;},{&quot;family&quot;:&quot;Ferreirinha&quot;,&quot;given&quot;:&quot;Pedro&quot;,&quot;parse-names&quot;:false,&quot;dropping-particle&quot;:&quot;&quot;,&quot;non-dropping-particle&quot;:&quot;&quot;},{&quot;family&quot;:&quot;Costa&quot;,&quot;given&quot;:&quot;Amanda A&quot;,&quot;parse-names&quot;:false,&quot;dropping-particle&quot;:&quot;&quot;,&quot;non-dropping-particle&quot;:&quot;&quot;},{&quot;family&quot;:&quot;Dias&quot;,&quot;given&quot;:&quot;Joana&quot;,&quot;parse-names&quot;:false,&quot;dropping-particle&quot;:&quot;&quot;,&quot;non-dropping-particle&quot;:&quot;&quot;},{&quot;family&quot;:&quot;Melo&quot;,&quot;given&quot;:&quot;Joana&quot;,&quot;parse-names&quot;:false,&quot;dropping-particle&quot;:&quot;&quot;,&quot;non-dropping-particle&quot;:&quot;&quot;},{&quot;family&quot;:&quot;Costa&quot;,&quot;given&quot;:&quot;Rita&quot;,&quot;parse-names&quot;:false,&quot;dropping-particle&quot;:&quot;&quot;,&quot;non-dropping-particle&quot;:&quot;&quot;},{&quot;family&quot;:&quot;Ribeiro&quot;,&quot;given&quot;:&quot;Adília&quot;,&quot;parse-names&quot;:false,&quot;dropping-particle&quot;:&quot;&quot;,&quot;non-dropping-particle&quot;:&quot;&quot;},{&quot;family&quot;:&quot;Faustino&quot;,&quot;given&quot;:&quot;Augusto&quot;,&quot;parse-names&quot;:false,&quot;dropping-particle&quot;:&quot;&quot;,&quot;non-dropping-particle&quot;:&quot;&quot;},{&quot;family&quot;:&quot;Teixeira&quot;,&quot;given&quot;:&quot;Luzia&quot;,&quot;parse-names&quot;:false,&quot;dropping-particle&quot;:&quot;&quot;,&quot;non-dropping-particle&quot;:&quot;&quot;},{&quot;family&quot;:&quot;Rocha&quot;,&quot;given&quot;:&quot;António&quot;,&quot;parse-names&quot;:false,&quot;dropping-particle&quot;:&quot;&quot;,&quot;non-dropping-particle&quot;:&quot;&quot;},{&quot;family&quot;:&quot;Vilanova&quot;,&quot;given&quot;:&quot;Manuel&quot;,&quot;parse-names&quot;:false,&quot;dropping-particle&quot;:&quot;&quot;,&quot;non-dropping-particle&quot;:&quot;&quot;}],&quot;container-title&quot;:&quot;Veterinary Research&quot;,&quot;accessed&quot;:{&quot;date-parts&quot;:[[2022,4,12]]},&quot;DOI&quot;:&quot;10.1186/1297-9716-44-69&quot;,&quot;ISSN&quot;:&quot;1297-9716&quot;,&quot;URL&quot;:&quot;http://www.veterinaryresearch.org/content/44/1/69&quot;,&quot;issued&quot;:{&quot;date-parts&quot;:[[2013,12,10]]},&quot;page&quot;:&quot;69&quot;,&quot;abstract&quot;:&quo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quot;,&quot;issue&quot;:&quot;1&quot;,&quot;volume&quot;:&quot;44&quot;,&quot;container-title-short&quot;:&quot;&quot;},&quot;isTemporary&quot;:false}],&quot;citationTag&quot;:&quot;MENDELEY_CITATION_v3_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&quot;},{&quot;citationID&quot;:&quot;MENDELEY_CITATION_9425840d-363b-45aa-9725-7be71a1e5b85&quot;,&quot;properties&quot;:{&quot;noteIndex&quot;:0},&quot;isEdited&quot;:false,&quot;manualOverride&quot;:{&quot;isManuallyOverridden&quot;:false,&quot;citeprocText&quot;:&quot;(Correia et al., 2013)&quot;,&quot;manualOverrideText&quot;:&quot;&quot;},&quot;citationItems&quot;:[{&quot;id&quot;:&quot;19882f4e-bdad-3bfb-8938-a1dba45db020&quot;,&quot;itemData&quot;:{&quot;type&quot;:&quot;article-journal&quot;,&quot;id&quot;:&quot;19882f4e-bdad-3bfb-8938-a1dba45db020&quot;,&quot;title&quot;:&quot;Mucosal and systemic T cell response in mice intragastrically infected with Neospora caninum tachyzoites&quot;,&quot;author&quot;:[{&quot;family&quot;:&quot;Correia&quot;,&quot;given&quot;:&quot;Alexandra&quot;,&quot;parse-names&quot;:false,&quot;dropping-particle&quot;:&quot;&quot;,&quot;non-dropping-particle&quot;:&quot;&quot;},{&quot;family&quot;:&quot;Ferreirinha&quot;,&quot;given&quot;:&quot;Pedro&quot;,&quot;parse-names&quot;:false,&quot;dropping-particle&quot;:&quot;&quot;,&quot;non-dropping-particle&quot;:&quot;&quot;},{&quot;family&quot;:&quot;Costa&quot;,&quot;given&quot;:&quot;Amanda A&quot;,&quot;parse-names&quot;:false,&quot;dropping-particle&quot;:&quot;&quot;,&quot;non-dropping-particle&quot;:&quot;&quot;},{&quot;family&quot;:&quot;Dias&quot;,&quot;given&quot;:&quot;Joana&quot;,&quot;parse-names&quot;:false,&quot;dropping-particle&quot;:&quot;&quot;,&quot;non-dropping-particle&quot;:&quot;&quot;},{&quot;family&quot;:&quot;Melo&quot;,&quot;given&quot;:&quot;Joana&quot;,&quot;parse-names&quot;:false,&quot;dropping-particle&quot;:&quot;&quot;,&quot;non-dropping-particle&quot;:&quot;&quot;},{&quot;family&quot;:&quot;Costa&quot;,&quot;given&quot;:&quot;Rita&quot;,&quot;parse-names&quot;:false,&quot;dropping-particle&quot;:&quot;&quot;,&quot;non-dropping-particle&quot;:&quot;&quot;},{&quot;family&quot;:&quot;Ribeiro&quot;,&quot;given&quot;:&quot;Adília&quot;,&quot;parse-names&quot;:false,&quot;dropping-particle&quot;:&quot;&quot;,&quot;non-dropping-particle&quot;:&quot;&quot;},{&quot;family&quot;:&quot;Faustino&quot;,&quot;given&quot;:&quot;Augusto&quot;,&quot;parse-names&quot;:false,&quot;dropping-particle&quot;:&quot;&quot;,&quot;non-dropping-particle&quot;:&quot;&quot;},{&quot;family&quot;:&quot;Teixeira&quot;,&quot;given&quot;:&quot;Luzia&quot;,&quot;parse-names&quot;:false,&quot;dropping-particle&quot;:&quot;&quot;,&quot;non-dropping-particle&quot;:&quot;&quot;},{&quot;family&quot;:&quot;Rocha&quot;,&quot;given&quot;:&quot;António&quot;,&quot;parse-names&quot;:false,&quot;dropping-particle&quot;:&quot;&quot;,&quot;non-dropping-particle&quot;:&quot;&quot;},{&quot;family&quot;:&quot;Vilanova&quot;,&quot;given&quot;:&quot;Manuel&quot;,&quot;parse-names&quot;:false,&quot;dropping-particle&quot;:&quot;&quot;,&quot;non-dropping-particle&quot;:&quot;&quot;}],&quot;container-title&quot;:&quot;Veterinary Research&quot;,&quot;accessed&quot;:{&quot;date-parts&quot;:[[2022,4,12]]},&quot;DOI&quot;:&quot;10.1186/1297-9716-44-69&quot;,&quot;ISSN&quot;:&quot;1297-9716&quot;,&quot;URL&quot;:&quot;http://www.veterinaryresearch.org/content/44/1/69&quot;,&quot;issued&quot;:{&quot;date-parts&quot;:[[2013,12,10]]},&quot;page&quot;:&quot;69&quot;,&quot;abstract&quot;:&quo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quot;,&quot;issue&quot;:&quot;1&quot;,&quot;volume&quot;:&quot;44&quot;,&quot;container-title-short&quot;:&quot;&quot;},&quot;isTemporary&quot;:false}],&quot;citationTag&quot;:&quot;MENDELEY_CITATION_v3_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&quot;},{&quot;citationID&quot;:&quot;MENDELEY_CITATION_f7c4d9e1-566a-473d-ae0a-f84f9dc50f9a&quot;,&quot;properties&quot;:{&quot;noteIndex&quot;:0},&quot;isEdited&quot;:false,&quot;manualOverride&quot;:{&quot;isManuallyOverridden&quot;:true,&quot;citeprocText&quot;:&quot;(Zhang et al., 2022)&quot;,&quot;manualOverrideText&quot;:&quot;Zhang et al. (2022)&quot;},&quot;citationItems&quot;:[{&quot;id&quot;:&quot;3de345e5-47d4-317c-a10a-805e8bc9c620&quot;,&quot;itemData&quot;:{&quot;type&quot;:&quot;article-journal&quot;,&quot;id&quot;:&quot;3de345e5-47d4-317c-a10a-805e8bc9c620&quot;,&quot;title&quot;:&quot;Neospora caninum Evades Immunity via Inducing Host Cell Mitophagy to Inhibit Production of Proinflammatory Cytokines in a ROS-Dependent Manner&quot;,&quot;author&quot;:[{&quot;family&quot;:&quot;Zhang&quot;,&quot;given&quot;:&quot;Xu&quot;,&quot;parse-names&quot;:false,&quot;dropping-particle&quot;:&quot;&quot;,&quot;non-dropping-particle&quot;:&quot;&quot;},{&quot;family&quot;:&quot;Wang&quot;,&quot;given&quot;:&quot;Yuru&quot;,&quot;parse-names&quot;:false,&quot;dropping-particle&quot;:&quot;&quot;,&quot;non-dropping-particle&quot;:&quot;&quot;},{&quot;family&quot;:&quot;Gong&quot;,&quot;given&quot;:&quot;Pengtao&quot;,&quot;parse-names&quot;:false,&quot;dropping-particle&quot;:&quot;&quot;,&quot;non-dropping-particle&quot;:&quot;&quot;},{&quot;family&quot;:&quot;Wang&quot;,&quot;given&quot;:&quot;Xiaocen&quot;,&quot;parse-names&quot;:false,&quot;dropping-particle&quot;:&quot;&quot;,&quot;non-dropping-particle&quot;:&quot;&quot;},{&quot;family&quot;:&quot;Zhang&quot;,&quot;given&quot;:&quot;Nan&quot;,&quot;parse-names&quot;:false,&quot;dropping-particle&quot;:&quot;&quot;,&quot;non-dropping-particle&quot;:&quot;&quot;},{&quot;family&quot;:&quot;Chen&quot;,&quot;given&quot;:&quot;Mengge&quot;,&quot;parse-names&quot;:false,&quot;dropping-particle&quot;:&quot;&quot;,&quot;non-dropping-particle&quot;:&quot;&quot;},{&quot;family&quot;:&quot;Wei&quot;,&quot;given&quot;:&quot;Ran&quot;,&quot;parse-names&quot;:false,&quot;dropping-particle&quot;:&quot;&quot;,&quot;non-dropping-particle&quot;:&quot;&quot;},{&quot;family&quot;:&quot;Zhang&quot;,&quot;given&quot;:&quot;Xichen&quot;,&quot;parse-names&quot;:false,&quot;dropping-particle&quot;:&quot;&quot;,&quot;non-dropping-particle&quot;:&quot;&quot;},{&quot;family&quot;:&quot;Li&quot;,&quot;given&quot;:&quot;Xin&quot;,&quot;parse-names&quot;:false,&quot;dropping-particle&quot;:&quot;&quot;,&quot;non-dropping-particle&quot;:&quot;&quot;},{&quot;family&quot;:&quot;Li&quot;,&quot;given&quot;:&quot;Jianhua&quot;,&quot;parse-names&quot;:false,&quot;dropping-particle&quot;:&quot;&quot;,&quot;non-dropping-particle&quot;:&quot;&quot;}],&quot;container-title&quot;:&quot;Frontiers in Immunology&quot;,&quot;accessed&quot;:{&quot;date-parts&quot;:[[2022,8,1]]},&quot;DOI&quot;:&quot;10.3389/FIMMU.2022.827004/BIBTEX&quot;,&quot;ISSN&quot;:&quot;16643224&quot;,&quot;PMID&quot;:&quot;35355995&quot;,&quot;URL&quot;:&quot;https://www.ncbi.nlm.nih.gov/pmc/articles/PMC8959673/pdf/fimmu-13-827004.pdf&quot;,&quot;issued&quot;:{&quot;date-parts&quot;:[[2022,3,9]]},&quot;page&quot;:&quot;858&quot;,&quot;abstract&quot;:&quot;Neospora caninum is an intracellular protozoan that mainly infects cattle to cause abortion and significant economic losses worldwide. A better understanding of the immune evasion mechanisms of N. caninum could help to search for an effective approach to prevent and treat neosporosis. Mitophagy is used by some viruses to evade host immune surveillance. However, host cell mitophagy and its effect on N. caninum infection is unclear. In the present study, N. caninum-induced host cell mitophagy and its role in parasite infection were investigated in vitro and in vivo. Furthermore, the regulation of N. caninum-induced host cell mitophagy on the production of Reactive Oxygen Species (ROS), the secretions of proinflammatory cytokines, and the signals of p38, ERK, and Nlrp3 inflammasome were explored. Our results showed that autophagosomes and co-localization of LC3 with mitochondria were observed in N. caninum-infected macrophages. The mtDNA/nDNA ratio and the levels of mitochondrial marker proteins (Hsp60 and Tim23) were decreased with the increase of N. caninum numbers or infection time. N. caninum could induce mitophagy in brain and peritoneal lavage fluid cells of mice. Promoting mitophagy via mitophagy inducers (CCCP) could shorten survival time, decrease body weight, increase parasite load, and attenuate secretion of cytokines in N. caninum infected mice. CCCP treatment decreased the production of cytokines and Reactive Oxygen Species (ROS), and increased parasite burden in N. caninum-infected macrophages. Furthermore, CCCP or NAC (ROS inhibitor) treatment could inhibit ERK signal, Nlrp3 inflammasome, and cytokine production, while promote p38 signal in N. caninum-infected macrophages. The opposite results were obtained when using a mitophagy inhibitor (Mdivi1). Taken together, N. caninum-induced mitophagy could regulate the activations of p38, ERK, Nlrp3 inflammasome to inhibit the production of inflammatory cytokines in a ROS-dependent manner to escape host immune surveillance.&quot;,&quot;publisher&quot;:&quot;Frontiers Media S.A.&quot;,&quot;volume&quot;:&quot;13&quot;,&quot;container-title-short&quot;:&quot;&quot;},&quot;isTemporary&quot;:false}],&quot;citationTag&quot;:&quot;MENDELEY_CITATION_v3_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&quot;},{&quot;citationID&quot;:&quot;MENDELEY_CITATION_d3230bff-e7a0-442b-a0b4-2d098b650f11&quot;,&quot;properties&quot;:{&quot;noteIndex&quot;:0},&quot;isEdited&quot;:false,&quot;manualOverride&quot;:{&quot;isManuallyOverridden&quot;:false,&quot;citeprocText&quot;:&quot;(Teixeira et al., 2010)&quot;,&quot;manualOverrideText&quot;:&quot;&quot;},&quot;citationItems&quot;:[{&quot;id&quot;:&quot;43aff45a-072b-3ace-af93-8001df685b67&quot;,&quot;itemData&quot;:{&quot;type&quot;:&quot;article-journal&quot;,&quot;id&quot;:&quot;43aff45a-072b-3ace-af93-8001df685b67&quot;,&quot;title&quot;:&quot;Plasmacytoid and conventional dendritic cells are early producers of IL-12 in Neospora caninum-infected mice&quot;,&quot;author&quot;:[{&quot;family&quot;:&quot;Teixeira&quot;,&quot;given&quot;:&quot;Luzia&quot;,&quot;parse-names&quot;:false,&quot;dropping-particle&quot;:&quot;&quot;,&quot;non-dropping-particle&quot;:&quot;&quot;},{&quot;family&quot;:&quot;Botelho&quot;,&quot;given&quot;:&quot;Ana Sofia&quot;,&quot;parse-names&quot;:false,&quot;dropping-particle&quot;:&quot;&quot;,&quot;non-dropping-particle&quot;:&quot;&quot;},{&quot;family&quot;:&quot;Mesquita&quot;,&quot;given&quot;:&quot;Sandro Dá&quot;,&quot;parse-names&quot;:false,&quot;dropping-particle&quot;:&quot;&quot;,&quot;non-dropping-particle&quot;:&quot;&quot;},{&quot;family&quot;:&quot;Correia&quot;,&quot;given&quot;:&quot;Alexandra&quot;,&quot;parse-names&quot;:false,&quot;dropping-particle&quot;:&quot;&quot;,&quot;non-dropping-particle&quot;:&quot;&quot;},{&quot;family&quot;:&quot;Cerca&quot;,&quot;given&quot;:&quot;Filipe&quot;,&quot;parse-names&quot;:false,&quot;dropping-particle&quot;:&quot;&quot;,&quot;non-dropping-particle&quot;:&quot;&quot;},{&quot;family&quot;:&quot;Costa&quot;,&quot;given&quot;:&quot;Renata&quot;,&quot;parse-names&quot;:false,&quot;dropping-particle&quot;:&quot;&quot;,&quot;non-dropping-particle&quot;:&quot;&quot;},{&quot;family&quot;:&quot;Sampaio&quot;,&quot;given&quot;:&quot;Paula&quot;,&quot;parse-names&quot;:false,&quot;dropping-particle&quot;:&quot;&quot;,&quot;non-dropping-particle&quot;:&quot;&quot;},{&quot;family&quot;:&quot;Castro&quot;,&quot;given&quot;:&quot;António Gil&quot;,&quot;parse-names&quot;:false,&quot;dropping-particle&quot;:&quot;&quot;,&quot;non-dropping-particle&quot;:&quot;&quot;},{&quot;family&quot;:&quot;Vilanova&quot;,&quot;given&quot;:&quot;Manuel&quot;,&quot;parse-names&quot;:false,&quot;dropping-particle&quot;:&quot;&quot;,&quot;non-dropping-particle&quot;:&quot;&quot;}],&quot;container-title&quot;:&quot;Immunology and Cell Biology&quot;,&quot;accessed&quot;:{&quot;date-parts&quot;:[[2022,4,12]]},&quot;DOI&quot;:&quot;10.1038/ICB.2009.65&quot;,&quot;ISSN&quot;:&quot;08189641&quot;,&quot;PMID&quot;:&quot;19755980&quot;,&quot;issued&quot;:{&quot;date-parts&quot;:[[2010,1]]},&quot;page&quot;:&quot;79-86&quot;,&quot;abstract&quot;:&quot;Neospora caninum is a coccidian parasite causative of clinical infections in a wide range of animal hosts. The maturation and activation of splenic conventional dendritic cells (cDCs) and plasmacytoid dendritic cells (pDCs) were studied here in BALB/c mice challenged intraperitoneal with N. caninum tachyzoites. The number of cDCs was found to decrease in the spleen of the infected mice 12 h and 2 days after the parasitic challenge, whereas at day 5 after infection it was significantly above that of mock-infected controls. In contrast, the number of splenic pDCs did not change significantly on infection. In the infected mice, both cell subtypes displayed an activated phenotype with upregulation of costimulatory and MHC class II molecules. This stimulatory effect was more marked at the earliest assessed time point after infection, 12 h, when a clear increase in the frequency of cDCs (CD8α+ and CD8α- ) and pDCs producing interleukin-12 (IL-12) was also observed. N. caninum tachyzoites could be observed by confocal microscopy associated with sorted DCs. Overall, these results present the first evidence that both cDCs and pDCs mediate in vivo the innate immune response to N. caninum infection through the production of IL-12, a key cytokine for host resistance to neosporosis. © 2010 Australasian Society for Immunology Inc. All rights reserved.&quot;,&quot;issue&quot;:&quot;1&quot;,&quot;volume&quot;:&quot;88&quot;,&quot;container-title-short&quot;:&quot;&quot;},&quot;isTemporary&quot;:false}],&quot;citationTag&quot;:&quot;MENDELEY_CITATION_v3_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&quot;},{&quot;citationID&quot;:&quot;MENDELEY_CITATION_21de0156-17b6-4b36-9e7e-9c4f55692e9f&quot;,&quot;properties&quot;:{&quot;noteIndex&quot;:0},&quot;isEdited&quot;:false,&quot;manualOverride&quot;:{&quot;isManuallyOverridden&quot;:false,&quot;citeprocText&quot;:&quot;(Correia et al., 2013)&quot;,&quot;manualOverrideText&quot;:&quot;&quot;},&quot;citationItems&quot;:[{&quot;id&quot;:&quot;19882f4e-bdad-3bfb-8938-a1dba45db020&quot;,&quot;itemData&quot;:{&quot;type&quot;:&quot;article-journal&quot;,&quot;id&quot;:&quot;19882f4e-bdad-3bfb-8938-a1dba45db020&quot;,&quot;title&quot;:&quot;Mucosal and systemic T cell response in mice intragastrically infected with Neospora caninum tachyzoites&quot;,&quot;author&quot;:[{&quot;family&quot;:&quot;Correia&quot;,&quot;given&quot;:&quot;Alexandra&quot;,&quot;parse-names&quot;:false,&quot;dropping-particle&quot;:&quot;&quot;,&quot;non-dropping-particle&quot;:&quot;&quot;},{&quot;family&quot;:&quot;Ferreirinha&quot;,&quot;given&quot;:&quot;Pedro&quot;,&quot;parse-names&quot;:false,&quot;dropping-particle&quot;:&quot;&quot;,&quot;non-dropping-particle&quot;:&quot;&quot;},{&quot;family&quot;:&quot;Costa&quot;,&quot;given&quot;:&quot;Amanda A&quot;,&quot;parse-names&quot;:false,&quot;dropping-particle&quot;:&quot;&quot;,&quot;non-dropping-particle&quot;:&quot;&quot;},{&quot;family&quot;:&quot;Dias&quot;,&quot;given&quot;:&quot;Joana&quot;,&quot;parse-names&quot;:false,&quot;dropping-particle&quot;:&quot;&quot;,&quot;non-dropping-particle&quot;:&quot;&quot;},{&quot;family&quot;:&quot;Melo&quot;,&quot;given&quot;:&quot;Joana&quot;,&quot;parse-names&quot;:false,&quot;dropping-particle&quot;:&quot;&quot;,&quot;non-dropping-particle&quot;:&quot;&quot;},{&quot;family&quot;:&quot;Costa&quot;,&quot;given&quot;:&quot;Rita&quot;,&quot;parse-names&quot;:false,&quot;dropping-particle&quot;:&quot;&quot;,&quot;non-dropping-particle&quot;:&quot;&quot;},{&quot;family&quot;:&quot;Ribeiro&quot;,&quot;given&quot;:&quot;Adília&quot;,&quot;parse-names&quot;:false,&quot;dropping-particle&quot;:&quot;&quot;,&quot;non-dropping-particle&quot;:&quot;&quot;},{&quot;family&quot;:&quot;Faustino&quot;,&quot;given&quot;:&quot;Augusto&quot;,&quot;parse-names&quot;:false,&quot;dropping-particle&quot;:&quot;&quot;,&quot;non-dropping-particle&quot;:&quot;&quot;},{&quot;family&quot;:&quot;Teixeira&quot;,&quot;given&quot;:&quot;Luzia&quot;,&quot;parse-names&quot;:false,&quot;dropping-particle&quot;:&quot;&quot;,&quot;non-dropping-particle&quot;:&quot;&quot;},{&quot;family&quot;:&quot;Rocha&quot;,&quot;given&quot;:&quot;António&quot;,&quot;parse-names&quot;:false,&quot;dropping-particle&quot;:&quot;&quot;,&quot;non-dropping-particle&quot;:&quot;&quot;},{&quot;family&quot;:&quot;Vilanova&quot;,&quot;given&quot;:&quot;Manuel&quot;,&quot;parse-names&quot;:false,&quot;dropping-particle&quot;:&quot;&quot;,&quot;non-dropping-particle&quot;:&quot;&quot;}],&quot;container-title&quot;:&quot;Veterinary Research&quot;,&quot;accessed&quot;:{&quot;date-parts&quot;:[[2022,4,12]]},&quot;DOI&quot;:&quot;10.1186/1297-9716-44-69&quot;,&quot;ISSN&quot;:&quot;1297-9716&quot;,&quot;URL&quot;:&quot;http://www.veterinaryresearch.org/content/44/1/69&quot;,&quot;issued&quot;:{&quot;date-parts&quot;:[[2013,12,10]]},&quot;page&quot;:&quot;69&quot;,&quot;abstract&quot;:&quot;The murine model has been widely used to study the host immune response to Neospora caninum . However, in most studies, the intraperitoneal route was preferentially used to establish infection. Here, C57BL/6 mice were infected with N. caninum tachyzoites by the intragastric route, as it more closely resembles the natural route of infection through the gastrointestinal tract. The elicited T-cell mediated immune response was evaluated in the intestinal epithelium and mesenteric lymph nodes (MLN). Early upon the parasitic challenge, IL-12 production by conventional and plasmacytoid dendritic cells was increased in MLN. Accordingly, increased proportions and numbers of TCRαβ + CD8 + IFN-γ + lymphocytes were detected, not only in the intestinal epithelium and MLN, but also in the spleen of the infected mice. In this organ, IFN-γ-producing TCRαβ + CD4 + T cells were also found to increase in the infected mice, however later than CD8 + T cells. Interestingly, splenic and MLN CD4 + CD25 + T cells sorted from infected mice presented a suppressive activity on in vitro T cell proliferation and cytokine production above that of control counterparts. These results altogether indicate that, by producing IFN-γ, TCRαβ + CD8 + cells contribute for local and systemic host protection in the earliest days upon infection established through the gastrointestinal tract. Nevertheless, they also provide substantial evidence for a parasite-driven reinforcement of T regulatory cell function which may contribute for parasite persistence in the host and might represent an additional barrier to overcome towards effective vaccination.&quot;,&quot;issue&quot;:&quot;1&quot;,&quot;volume&quot;:&quot;44&quot;,&quot;container-title-short&quot;:&quot;&quot;},&quot;isTemporary&quot;:false}],&quot;citationTag&quot;:&quot;MENDELEY_CITATION_v3_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&quot;},{&quot;citationID&quot;:&quot;MENDELEY_CITATION_3d6b4429-78d5-4b53-b552-7a4af928bb1e&quot;,&quot;properties&quot;:{&quot;noteIndex&quot;:0},&quot;isEdited&quot;:false,&quot;manualOverride&quot;:{&quot;isManuallyOverridden&quot;:false,&quot;citeprocText&quot;:&quot;(Correia et al., 2015)&quot;,&quot;manualOverrideText&quot;:&quot;&quot;},&quot;citationItems&quot;:[{&quot;id&quot;:&quot;e9601cac-1f12-3ec6-a281-1d96368641f8&quot;,&quot;itemData&quot;:{&quot;type&quot;:&quot;article-journal&quot;,&quot;id&quot;:&quot;e9601cac-1f12-3ec6-a281-1d96368641f8&quot;,&quot;title&quot;:&quot;Predominant role of interferon-γ in the host protective effect of CD8+ T cells against Neospora caninum infection&quot;,&quot;author&quot;:[{&quot;family&quot;:&quot;Correia&quot;,&quot;given&quot;:&quot;Alexandra&quot;,&quot;parse-names&quot;:false,&quot;dropping-particle&quot;:&quot;&quot;,&quot;non-dropping-particle&quot;:&quot;&quot;},{&quot;family&quot;:&quot;Ferreirinha&quot;,&quot;given&quot;:&quot;Pedro&quot;,&quot;parse-names&quot;:false,&quot;dropping-particle&quot;:&quot;&quot;,&quot;non-dropping-particle&quot;:&quot;&quot;},{&quot;family&quot;:&quot;Botelho&quot;,&quot;given&quot;:&quot;Sofia&quot;,&quot;parse-names&quot;:false,&quot;dropping-particle&quot;:&quot;&quot;,&quot;non-dropping-particle&quot;:&quot;&quot;},{&quot;family&quot;:&quot;Belinha&quot;,&quot;given&quot;:&quot;Ana&quot;,&quot;parse-names&quot;:false,&quot;dropping-particle&quot;:&quot;&quot;,&quot;non-dropping-particle&quot;:&quot;&quot;},{&quot;family&quot;:&quot;Leitão&quot;,&quot;given&quot;:&quot;Catarina&quot;,&quot;parse-names&quot;:false,&quot;dropping-particle&quot;:&quot;&quot;,&quot;non-dropping-particle&quot;:&quot;&quot;},{&quot;family&quot;:&quot;Caramalho&quot;,&quot;given&quot;:&quot;Íris&quot;,&quot;parse-names&quot;:false,&quot;dropping-particle&quot;:&quot;&quot;,&quot;non-dropping-particle&quot;:&quot;&quot;},{&quot;family&quot;:&quot;Teixeira&quot;,&quot;given&quot;:&quot;Luzia&quot;,&quot;parse-names&quot;:false,&quot;dropping-particle&quot;:&quot;&quot;,&quot;non-dropping-particle&quot;:&quot;&quot;},{&quot;family&quot;:&quot;González-Fernandéz&quot;,&quot;given&quot;:&quot;África&quot;,&quot;parse-names&quot;:false,&quot;dropping-particle&quot;:&quot;&quot;,&quot;non-dropping-particle&quot;:&quot;&quot;},{&quot;family&quot;:&quot;Appelberg&quot;,&quot;given&quot;:&quot;Rui&quot;,&quot;parse-names&quot;:false,&quot;dropping-particle&quot;:&quot;&quot;,&quot;non-dropping-particle&quot;:&quot;&quot;},{&quot;family&quot;:&quot;Vilanova&quot;,&quot;given&quot;:&quot;Manuel&quot;,&quot;parse-names&quot;:false,&quot;dropping-particle&quot;:&quot;&quot;,&quot;non-dropping-particle&quot;:&quot;&quot;}],&quot;container-title&quot;:&quot;Scientific Reports&quot;,&quot;accessed&quot;:{&quot;date-parts&quot;:[[2022,4,12]]},&quot;DOI&quot;:&quot;10.1038/srep14913&quot;,&quot;ISSN&quot;:&quot;2045-2322&quot;,&quot;URL&quot;:&quot;www.nature.com/scientificreports&quot;,&quot;issued&quot;:{&quot;date-parts&quot;:[[2015,12,9]]},&quot;page&quot;:&quot;14913&quot;,&quot;abstract&quot;:&quot;It is well established that CD8 + T cells play an important role in protective immunity against protozoan infections. However, their role in the course of Neospora caninum infection has not been fully elucidated. Here we report that CD8-deficient mice infected with N. caninum presented higher parasitic loads in the brain and lungs and lower spleen and brain immunity-related GTPases than their wild-type counterparts. Moreover, adoptive transfer of splenic CD8 + T cells sorted from N. caninum-primed immunosufficient C57BL/10 ScSn mice prolonged the survival of infected IL-12-unresponsive C57BL/10 ScCr recipients. In both C57BL/6 and C57BL/10 ScSn mice CD8 + T cells are activated and produce interferon-γ (IFN-γ) upon challenged with N. caninum. The host protective role of IFN-γ produced by CD8 + T cells was confirmed in N. caninum-infected RAG2-deficient mice reconstituted with CD8 + T cells obtained from either IFN-γ-deficient or wild-type donors. Mice receiving IFN-γ-expressing CD8 + T cells presented lower parasitic burdens than counterparts having IFN-γ-deficient CD8 + T cells. Moreover, we observed that N. caninum-infected perforin-deficient mice presented parasitic burdens similar to those of infected wild-type controls. Altogether these results demonstrate that production of IFN-γ is a predominant protective mechanism conferred by CD8 + T cells in the course of neosporosis. Neospora caninum is a cyst-forming coccidian parasite responsible for clinical infections in a wide range of animal hosts including bovines 1. In cattle N. caninum is a major cause of abortions and stillbirths occurring worldwide thus having a major economic impact on dairy industry 2. Currently, no effective commercially available vaccine exists against neosporosis 3. Therefore, a better understanding of immune mechanisms mediating host resistance to this infectious disease may be helpful in designing immune-mediated preventive approaches for neosporosis. Studies performed in mice and cattle infected with N. caninum have shown that dendritic cells and macrophages 4-6 , NK cells 7,8 and CD4 + T cells 9-11 provide different effector functions in protective immunity to neosporosis. As N. caninum is an obligate intracellular parasite, it could also be expected that CD8&quot;,&quot;issue&quot;:&quot;1&quot;,&quot;volume&quot;:&quot;5&quot;,&quot;container-title-short&quot;:&quot;&quot;},&quot;isTemporary&quot;:false}],&quot;citationTag&quot;:&quot;MENDELEY_CITATION_v3_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&quot;},{&quot;citationID&quot;:&quot;MENDELEY_CITATION_a40654f2-8049-4c36-bcf5-8746c2fc77c9&quot;,&quot;properties&quot;:{&quot;noteIndex&quot;:0},&quot;isEdited&quot;:false,&quot;manualOverride&quot;:{&quot;isManuallyOverridden&quot;:false,&quot;citeprocText&quot;:&quot;(Teixeira et al., 2020)&quot;,&quot;manualOverrideText&quot;:&quot;&quot;},&quot;citationItems&quot;:[{&quot;id&quot;:&quot;c02fa79c-b030-38b8-a9b1-bdda451ea9b3&quot;,&quot;itemData&quot;:{&quot;type&quot;:&quot;article-journal&quot;,&quot;id&quot;:&quot;c02fa79c-b030-38b8-a9b1-bdda451ea9b3&quot;,&quot;title&quot;:&quot;Modulation of leptin and leptin receptor expression in mice acutely infected with neospora caninum&quot;,&quot;author&quot;:[{&quot;family&quot;:&quot;Teixeira&quot;,&quot;given&quot;:&quot;Luzia&quot;,&quot;parse-names&quot;:false,&quot;dropping-particle&quot;:&quot;&quot;,&quot;non-dropping-particle&quot;:&quot;&quot;},{&quot;family&quot;:&quot;Correia&quot;,&quot;given&quot;:&quot;Alexandra&quot;,&quot;parse-names&quot;:false,&quot;dropping-particle&quot;:&quot;&quot;,&quot;non-dropping-particle&quot;:&quot;&quot;},{&quot;family&quot;:&quot;Oliveira&quot;,&quot;given&quot;:&quot;Bárbara M.&quot;,&quot;parse-names&quot;:false,&quot;dropping-particle&quot;:&quot;&quot;,&quot;non-dropping-particle&quot;:&quot;&quot;},{&quot;family&quot;:&quot;Pinto&quot;,&quot;given&quot;:&quot;Ana&quot;,&quot;parse-names&quot;:false,&quot;dropping-particle&quot;:&quot;&quot;,&quot;non-dropping-particle&quot;:&quot;&quot;},{&quot;family&quot;:&quot;Ferreira&quot;,&quot;given&quot;:&quot;Paula G.&quot;,&quot;parse-names&quot;:false,&quot;dropping-particle&quot;:&quot;&quot;,&quot;non-dropping-particle&quot;:&quot;&quot;},{&quot;family&quot;:&quot;Vilanova&quot;,&quot;given&quot;:&quot;Manuel&quot;,&quot;parse-names&quot;:false,&quot;dropping-particle&quot;:&quot;&quot;,&quot;non-dropping-particle&quot;:&quot;&quot;}],&quot;container-title&quot;:&quot;Pathogens&quot;,&quot;accessed&quot;:{&quot;date-parts&quot;:[[2022,4,12]]},&quot;DOI&quot;:&quot;10.3390/pathogens9070587&quot;,&quot;ISSN&quot;:&quot;20760817&quot;,&quot;URL&quot;:&quot;www.mdpi.com/journal/pathogens&quot;,&quot;issued&quot;:{&quot;date-parts&quot;:[[2020]]},&quot;page&quot;:&quot;1-16&quot;,&quot;abstract&quot;:&quot;Neospora caninum is an apicomplexan parasite that in cattle assumes particular importance, as it is responsible for abortions reported worldwide. Leptin is an adipokine mainly secreted by adipocytes, which beside its role in maintaining metabolic homeostasis also has important effects in both innate and adaptive immunity. In previous work, we showed that mice chronically infected with N. caninum had elevated serum leptin levels. Here, we sought to assess whether acute infection with N. caninum infection influenced the production of this adipokine as well as leptin receptor mRNA levels. Our results show that acute infection with N. caninum led to decreased leptin serum levels and mRNA expression in adipose tissue. A decrease in leptin receptor transcript variant 1 mRNA (long isoform) and leptin receptor transcript variant 3 mRNA (one of the short isoforms) expression was also observed. An increase in the number of cells staining positive for leptin in the liver of infected mice was observed, although this increase was less marked in Interleukin (IL)-12/IL-23 p40-deficient mice. Overall, our results show that N. caninum infection also influences leptin production during acute infection.&quot;,&quot;issue&quot;:&quot;7&quot;,&quot;volume&quot;:&quot;9&quot;,&quot;container-title-short&quot;:&quot;&quot;},&quot;isTemporary&quot;:false}],&quot;citationTag&quot;:&quot;MENDELEY_CITATION_v3_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&quot;},{&quot;citationID&quot;:&quot;MENDELEY_CITATION_d421c20e-f55f-408e-84e4-36149fd4007c&quot;,&quot;properties&quot;:{&quot;noteIndex&quot;:0},&quot;isEdited&quot;:false,&quot;manualOverride&quot;:{&quot;isManuallyOverridden&quot;:false,&quot;citeprocText&quot;:&quot;(Ferreirinha et al., 2013)&quot;,&quot;manualOverrideText&quot;:&quot;&quot;},&quot;citationItems&quot;:[{&quot;id&quot;:&quot;fbd4020b-89bd-3c5d-8320-1ddc6afb78c0&quot;,&quot;itemData&quot;:{&quot;type&quot;:&quot;article-journal&quot;,&quot;id&quot;:&quot;fbd4020b-89bd-3c5d-8320-1ddc6afb78c0&quot;,&quot;title&quot;:&quot;Protective effect of intranasal immunization with Neospora caninum membrane antigens against murine neosporosis established through the gastrointestinal tract&quot;,&quot;author&quot;:[{&quot;family&quot;:&quot;Ferreirinha&quot;,&quot;given&quot;:&quot;Pedro&quot;,&quot;parse-names&quot;:false,&quot;dropping-particle&quot;:&quot;&quot;,&quot;non-dropping-particle&quot;:&quot;&quot;},{&quot;family&quot;:&quot;Dias&quot;,&quot;given&quot;:&quot;Joana&quot;,&quot;parse-names&quot;:false,&quot;dropping-particle&quot;:&quot;&quot;,&quot;non-dropping-particle&quot;:&quot;&quot;},{&quot;family&quot;:&quot;Correia&quot;,&quot;given&quot;:&quot;Alexandra&quot;,&quot;parse-names&quot;:false,&quot;dropping-particle&quot;:&quot;&quot;,&quot;non-dropping-particle&quot;:&quot;&quot;},{&quot;family&quot;:&quot;Pérez-Cabezas&quot;,&quot;given&quot;:&quot;Begoña&quot;,&quot;parse-names&quot;:false,&quot;dropping-particle&quot;:&quot;&quot;,&quot;non-dropping-particle&quot;:&quot;&quot;},{&quot;family&quot;:&quot;Santos&quot;,&quot;given&quot;:&quot;Carlos&quot;,&quot;parse-names&quot;:false,&quot;dropping-particle&quot;:&quot;&quot;,&quot;non-dropping-particle&quot;:&quot;&quot;},{&quot;family&quot;:&quot;Teixeira&quot;,&quot;given&quot;:&quot;Luzia&quot;,&quot;parse-names&quot;:false,&quot;dropping-particle&quot;:&quot;&quot;,&quot;non-dropping-particle&quot;:&quot;&quot;},{&quot;family&quot;:&quot;Ribeiro&quot;,&quot;given&quot;:&quot;Adília&quot;,&quot;parse-names&quot;:false,&quot;dropping-particle&quot;:&quot;&quot;,&quot;non-dropping-particle&quot;:&quot;&quot;},{&quot;family&quot;:&quot;Rocha&quot;,&quot;given&quot;:&quot;António&quot;,&quot;parse-names&quot;:false,&quot;dropping-particle&quot;:&quot;&quot;,&quot;non-dropping-particle&quot;:&quot;&quot;},{&quot;family&quot;:&quot;Vilanova&quot;,&quot;given&quot;:&quot;Manuel&quot;,&quot;parse-names&quot;:false,&quot;dropping-particle&quot;:&quot;&quot;,&quot;non-dropping-particle&quot;:&quot;&quot;}],&quot;container-title&quot;:&quot;Immunology&quot;,&quot;container-title-short&quot;:&quot;Immunology&quot;,&quot;accessed&quot;:{&quot;date-parts&quot;:[[2022,4,12]]},&quot;DOI&quot;:&quot;10.1111/imm.12191&quot;,&quot;ISSN&quot;:&quot;00192805&quot;,&quot;PMID&quot;:&quot;24128071&quot;,&quot;URL&quot;:&quot;https://onlinelibrary.wiley.com/doi/10.1111/imm.12191&quot;,&quot;issued&quot;:{&quot;date-parts&quot;:[[2013,2]]},&quot;page&quot;:&quot;256-267&quot;,&quot;abstract&quot;:&quo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quot;,&quot;issue&quot;:&quot;2&quot;,&quot;volume&quot;:&quot;141&quot;},&quot;isTemporary&quot;:false}],&quot;citationTag&quot;:&quot;MENDELEY_CITATION_v3_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&quot;},{&quot;citationID&quot;:&quot;MENDELEY_CITATION_ebe654e3-718d-4a20-ac52-936aac724160&quot;,&quot;properties&quot;:{&quot;noteIndex&quot;:0},&quot;isEdited&quot;:false,&quot;manualOverride&quot;:{&quot;isManuallyOverridden&quot;:false,&quot;citeprocText&quot;:&quot;(Ferreirinha et al., 2016)&quot;,&quot;manualOverrideText&quot;:&quot;&quot;},&quot;citationItems&quot;:[{&quot;id&quot;:&quot;347fba2f-7f3f-3597-90ed-94381d92a6e5&quot;,&quot;itemData&quot;:{&quot;type&quot;:&quot;article-journal&quot;,&quot;id&quot;:&quot;347fba2f-7f3f-3597-90ed-94381d92a6e5&quot;,&quot;title&quot;:&quot;Mucosal immunization confers long-term protection against intragastrically established Neospora caninum infection&quot;,&quot;author&quot;:[{&quot;family&quot;:&quot;Ferreirinha&quot;,&quot;given&quot;:&quot;Pedro&quot;,&quot;parse-names&quot;:false,&quot;dropping-particle&quot;:&quot;&quot;,&quot;non-dropping-particle&quot;:&quot;&quot;},{&quot;family&quot;:&quot;Correia&quot;,&quot;given&quot;:&quot;Alexandra&quot;,&quot;parse-names&quot;:false,&quot;dropping-particle&quot;:&quot;&quot;,&quot;non-dropping-particle&quot;:&quot;&quot;},{&quot;family&quot;:&quot;Teixeira-Coelho&quot;,&quot;given&quot;:&quot;Maria&quot;,&quot;parse-names&quot;:false,&quot;dropping-particle&quot;:&quot;&quot;,&quot;non-dropping-particle&quot;:&quot;&quot;},{&quot;family&quot;:&quot;Osório&quot;,&quot;given&quot;:&quot;Hugo&quot;,&quot;parse-names&quot;:false,&quot;dropping-particle&quot;:&quot;&quot;,&quot;non-dropping-particle&quot;:&quot;&quot;},{&quot;family&quot;:&quot;Teixeira&quot;,&quot;given&quot;:&quot;Luzia&quot;,&quot;parse-names&quot;:false,&quot;dropping-particle&quot;:&quot;&quot;,&quot;non-dropping-particle&quot;:&quot;&quot;},{&quot;family&quot;:&quot;Rocha&quot;,&quot;given&quot;:&quot;António&quot;,&quot;parse-names&quot;:false,&quot;dropping-particle&quot;:&quot;&quot;,&quot;non-dropping-particle&quot;:&quot;&quot;},{&quot;family&quot;:&quot;Vilanova&quot;,&quot;given&quot;:&quot;Manuel&quot;,&quot;parse-names&quot;:false,&quot;dropping-particle&quot;:&quot;&quot;,&quot;non-dropping-particle&quot;:&quot;&quot;}],&quot;container-title&quot;:&quot;Vaccine&quot;,&quot;container-title-short&quot;:&quot;Vaccine&quot;,&quot;accessed&quot;:{&quot;date-parts&quot;:[[2022,4,12]]},&quot;DOI&quot;:&quot;10.1016/J.VACCINE.2016.10.056&quot;,&quot;ISSN&quot;:&quot;0264-410X&quot;,&quot;PMID&quot;:&quot;27814932&quot;,&quot;issued&quot;:{&quot;date-parts&quot;:[[2016,12,7]]},&quot;page&quot;:&quot;6250-6258&quot;,&quot;abstract&quot;:&quot;Neospora caninum is an obligate intracellular protozoan parasite responsible for heavy economic losses in dairy and beef cattle farms worldwide. Although vaccination is widely regarded as the preferable strategy to prevent neosporosis no commercial vaccine is currently available. We have previously shown that intranasal immunization with an N. caninum antigen extract enriched in hydrophobic proteins plus CpG adjuvant protected mice against intragastrically established neosporosis. Nevertheless, the antigen specificity as well as the long-term protective effect of this immunization strategy were not determined. Here, we show that the protective effect of this intranasal immunization procedure lasted for at least 20 weeks. Protection was accompanied by long-lasting elevated levels of parasite-specific serum IgG and intestinal IgA. Moreover, spleen and mesenteric lymph node cells obtained from non-infected long-term immunized mice responded by producing interferon-γ following in vitro parasite-antigen recall. Analysis of serum IgG and intestinal IgA antibody reactivity in immunized mice identified dense granule antigen 7 (NcGRA7) and microneme associated protein 1 (NcMIC1) as immunodominant antigens respectively recognized by those antibody fractions. In summary, this work shows that a previously reported mucosal immunization strategy against N. caninum infection established through the gastrointestinal tract is effective in the long term.&quot;,&quot;publisher&quot;:&quot;Elsevier&quot;,&quot;issue&quot;:&quot;50&quot;,&quot;volume&quot;:&quot;34&quot;},&quot;isTemporary&quot;:false}],&quot;citationTag&quot;:&quot;MENDELEY_CITATION_v3_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&quot;},{&quot;citationID&quot;:&quot;MENDELEY_CITATION_647aa49b-890f-4818-b0d3-03c35ecd5b24&quot;,&quot;properties&quot;:{&quot;noteIndex&quot;:0},&quot;isEdited&quot;:false,&quot;manualOverride&quot;:{&quot;isManuallyOverridden&quot;:false,&quot;citeprocText&quot;:&quot;(Ferreirinha et al., 2018)&quot;,&quot;manualOverrideText&quot;:&quot;&quot;},&quot;citationItems&quot;:[{&quot;id&quot;:&quot;458aedca-28b3-3a9d-b6f9-d0c3f3b4848a&quot;,&quot;itemData&quot;:{&quot;type&quot;:&quot;article-journal&quot;,&quot;id&quot;:&quot;458aedca-28b3-3a9d-b6f9-d0c3f3b4848a&quot;,&quot;title&quot;:&quot;Interferon-γ-dependent protection against Neospora caninum infection conferred by mucosal immunization in IL-12/IL-23 p40-deficient mice&quot;,&quot;author&quot;:[{&quot;family&quot;:&quot;Ferreirinha&quot;,&quot;given&quot;:&quot;Pedro&quot;,&quot;parse-names&quot;:false,&quot;dropping-particle&quot;:&quot;&quot;,&quot;non-dropping-particle&quot;:&quot;&quot;},{&quot;family&quot;:&quot;Fróis-Martins&quot;,&quot;given&quot;:&quot;Ricardo&quot;,&quot;parse-names&quot;:false,&quot;dropping-particle&quot;:&quot;&quot;,&quot;non-dropping-particle&quot;:&quot;&quot;},{&quot;family&quot;:&quot;Teixeira&quot;,&quot;given&quot;:&quot;Luzia&quot;,&quot;parse-names&quot;:false,&quot;dropping-particle&quot;:&quot;&quot;,&quot;non-dropping-particle&quot;:&quot;&quot;},{&quot;family&quot;:&quot;Rocha&quot;,&quot;given&quot;:&quot;António&quot;,&quot;parse-names&quot;:false,&quot;dropping-particle&quot;:&quot;&quot;,&quot;non-dropping-particle&quot;:&quot;&quot;},{&quot;family&quot;:&quot;Vilanova&quot;,&quot;given&quot;:&quot;Manuel&quot;,&quot;parse-names&quot;:false,&quot;dropping-particle&quot;:&quot;&quot;,&quot;non-dropping-particle&quot;:&quot;&quot;},{&quot;family&quot;:&quot;Correia&quot;,&quot;given&quot;:&quot;Alexandra&quot;,&quot;parse-names&quot;:false,&quot;dropping-particle&quot;:&quot;&quot;,&quot;non-dropping-particle&quot;:&quot;&quot;}],&quot;container-title&quot;:&quot;Vaccine&quot;,&quot;container-title-short&quot;:&quot;Vaccine&quot;,&quot;accessed&quot;:{&quot;date-parts&quot;:[[2022,4,12]]},&quot;DOI&quot;:&quot;10.1016/J.VACCINE.2018.06.060&quot;,&quot;ISSN&quot;:&quot;0264-410X&quot;,&quot;PMID&quot;:&quot;30037479&quot;,&quot;issued&quot;:{&quot;date-parts&quot;:[[2018,8,6]]},&quot;page&quot;:&quot;4890-4896&quot;,&quot;abstract&quot;:&quot;We have recently demonstrated the effectiveness of an intranasal immunization approach against Neospora caninum infection in immunosufficient mice. Generated evidence indicated that antibodies could be mediating the observed protection. We similarly immunized IL-12/IL-23 p40 chain-deficient (Il12b−/−) mice, which have impaired cellular immunity, to further explore the host protective mechanism conferred by the used immunization strategy. The immunized mice presented lower parasitic burdens after intraperitoneal infection with N. caninum and also had elevated levels of parasite-specific antibodies. However, passive immunization with antibodies purified from immunized donors conferred only limited protection to infected Il12b−/− recipients. Despite their intrinsic IL-12 deficiency, the immunized Il12b−/− mice mounted a parasite-specific immune response that was mediated by interferon-γ (IFN-γ). Neutralization of IFN-γ in the immunized mice abrogated the observed protective effect of the immunization. These results show altogether that the used immunization strategy overcome the cellular immunity defect of Il12b−/− mice and conferred protection from N. caninum infection. The observed protective effect was predominantly mediated by IFN-γ and to a lesser extent but non-negligibly by IgG antibodies. These results also highlight that in a host with compromised cellular immunity, the immune response against intracellular pathogens could be markedly boosted by immunization.&quot;,&quot;publisher&quot;:&quot;Elsevier&quot;,&quot;issue&quot;:&quot;32&quot;,&quot;volume&quot;:&quot;36&quot;},&quot;isTemporary&quot;:false}],&quot;citationTag&quot;:&quot;MENDELEY_CITATION_v3_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&quot;},{&quot;citationID&quot;:&quot;MENDELEY_CITATION_1492c4bf-b58e-4ad7-8e06-2c303e0b6703&quot;,&quot;properties&quot;:{&quot;noteIndex&quot;:0},&quot;isEdited&quot;:false,&quot;manualOverride&quot;:{&quot;isManuallyOverridden&quot;:false,&quot;citeprocText&quot;:&quot;(Imhof et al., 2021)&quot;,&quot;manualOverrideText&quot;:&quot;&quot;},&quot;citationItems&quot;:[{&quot;id&quot;:&quot;1fa0d236-d4bb-3599-a593-7364f39fe16c&quot;,&quot;itemData&quot;:{&quot;type&quot;:&quot;article-journal&quot;,&quot;id&quot;:&quot;1fa0d236-d4bb-3599-a593-7364f39fe16c&quot;,&quot;title&quot;:&quot;A Listeria monocytogenes-Based Vaccine Formulation Reduces Vertical Transmission and Leads to Enhanced Pup Survival in a Pregnant Neosporosis Mouse Model&quot;,&quot;author&quot;:[{&quot;family&quot;:&quot;Imhof&quot;,&quot;given&quot;:&quot;Dennis&quot;,&quot;parse-names&quot;:false,&quot;dropping-particle&quot;:&quot;&quot;,&quot;non-dropping-particle&quot;:&quot;&quot;},{&quot;family&quot;:&quot;Pownall&quot;,&quot;given&quot;:&quot;William Robert&quot;,&quot;parse-names&quot;:false,&quot;dropping-particle&quot;:&quot;&quot;,&quot;non-dropping-particle&quot;:&quot;&quot;},{&quot;family&quot;:&quot;Monney&quot;,&quot;given&quot;:&quot;Camille&quot;,&quot;parse-names&quot;:false,&quot;dropping-particle&quot;:&quot;&quot;,&quot;non-dropping-particle&quot;:&quot;&quot;},{&quot;family&quot;:&quot;Oevermann&quot;,&quot;given&quot;:&quot;Anna&quot;,&quot;parse-names&quot;:false,&quot;dropping-particle&quot;:&quot;&quot;,&quot;non-dropping-particle&quot;:&quot;&quot;},{&quot;family&quot;:&quot;Hemphill&quot;,&quot;given&quot;:&quot;Andrew&quot;,&quot;parse-names&quot;:false,&quot;dropping-particle&quot;:&quot;&quot;,&quot;non-dropping-particle&quot;:&quot;&quot;}],&quot;container-title&quot;:&quot;Vaccines&quot;,&quot;container-title-short&quot;:&quot;Vaccines (Basel)&quot;,&quot;accessed&quot;:{&quot;date-parts&quot;:[[2022,8,1]]},&quot;DOI&quot;:&quot;10.3390/VACCINES9121400&quot;,&quot;ISSN&quot;:&quot;2076-393X&quot;,&quot;PMID&quot;:&quot;34960146&quot;,&quot;URL&quot;:&quot;https://pubmed.ncbi.nlm.nih.gov/34960146/&quot;,&quot;issued&quot;:{&quot;date-parts&quot;:[[2021,12,1]]},&quot;abstract&quot;:&quot;The apicomplexan parasite Neospora caninum is the worldwide leading cause of abortion and stillbirth in cattle. An attenuated mutant Listeria monocytogenes strain (Lm3Dx) was engineered by deleting the virulence genes actA, inlA, and inlB in order to avoid systemic infection and to target the vector to antigen-presenting cells (APCs). Insertion of sag1, coding for the major surface protein NcSAG1 of N. caninum, yielded the vaccine strain Lm3Dx_NcSAG1. The efficacy of Lm3Dx_NcSAG1 was assessed by inoculating 1 × 105, 1 × 106, or 1 × 107 CFU of Lm3Dx_NcSAG1 into female BALB/c mice by intramuscular injection three times at two-week intervals, and subsequent challenge with 1 × 105 N. caninum tachyzoites of the highly virulent NcSpain-7 strain on day 7 of pregnancy. Dose-dependent protective effects were seen, with a postnatal offspring survival rate of 67% in the group treated with 1 × 107 CFU of Lm3Dx_NcSAG1 compared to 5% survival in the non-vaccinated control group. At euthanasia (25 days post-partum), IgG antibody titers were significantly decreased in the groups receiving the two higher doses and cytokines recall responses in splenocyte culture supernatants (IFN-γ, IL-4, and IL-10) were increased in the vaccinated groups. Thus, Lm3Dx_NcSAG1 induces immune-protective effects associated with a balanced Th1/Th2 response in a pregnant neosporosis mouse model and should be further assessed in ruminant models.&quot;,&quot;publisher&quot;:&quot;Vaccines (Basel)&quot;,&quot;issue&quot;:&quot;12&quot;,&quot;volume&quot;:&quot;9&quot;},&quot;isTemporary&quot;:false}],&quot;citationTag&quot;:&quot;MENDELEY_CITATION_v3_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&quot;},{&quot;citationID&quot;:&quot;MENDELEY_CITATION_0eba1512-0760-4643-9102-2f281ccd489f&quot;,&quot;properties&quot;:{&quot;noteIndex&quot;:0},&quot;isEdited&quot;:false,&quot;manualOverride&quot;:{&quot;isManuallyOverridden&quot;:false,&quot;citeprocText&quot;:&quot;(Shams et al., 2022)&quot;,&quot;manualOverrideText&quot;:&quot;&quot;},&quot;citationItems&quot;:[{&quot;id&quot;:&quot;21b65d18-c1e8-38e5-a342-384a30782952&quot;,&quot;itemData&quot;:{&quot;type&quot;:&quot;article-journal&quot;,&quot;id&quot;:&quot;21b65d18-c1e8-38e5-a342-384a30782952&quot;,&quot;title&quot;:&quot;Towards the First Multiepitope Vaccine Candidate against Neospora caninum in Mouse Model: Immunoinformatic Standpoint&quot;,&quot;author&quot;:[{&quot;family&quot;:&quot;Shams&quot;,&quot;given&quot;:&quot;Morteza&quot;,&quot;parse-names&quot;:false,&quot;dropping-particle&quot;:&quot;&quot;,&quot;non-dropping-particle&quot;:&quot;&quot;},{&quot;family&quot;:&quot;Maleki&quot;,&quot;given&quot;:&quot;Bahman&quot;,&quot;parse-names&quot;:false,&quot;dropping-particle&quot;:&quot;&quot;,&quot;non-dropping-particle&quot;:&quot;&quot;},{&quot;family&quot;:&quot;Kordi&quot;,&quot;given&quot;:&quot;Bahareh&quot;,&quot;parse-names&quot;:false,&quot;dropping-particle&quot;:&quot;&quot;,&quot;non-dropping-particle&quot;:&quot;&quot;},{&quot;family&quot;:&quot;Majidiani&quot;,&quot;given&quot;:&quot;Hamidreza&quot;,&quot;parse-names&quot;:false,&quot;dropping-particle&quot;:&quot;&quot;,&quot;non-dropping-particle&quot;:&quot;&quot;},{&quot;family&quot;:&quot;Nazari&quot;,&quot;given&quot;:&quot;Naser&quot;,&quot;parse-names&quot;:false,&quot;dropping-particle&quot;:&quot;&quot;,&quot;non-dropping-particle&quot;:&quot;&quot;},{&quot;family&quot;:&quot;Irannejad&quot;,&quot;given&quot;:&quot;Hamid&quot;,&quot;parse-names&quot;:false,&quot;dropping-particle&quot;:&quot;&quot;,&quot;non-dropping-particle&quot;:&quot;&quot;},{&quot;family&quot;:&quot;Asghari&quot;,&quot;given&quot;:&quot;Ali&quot;,&quot;parse-names&quot;:false,&quot;dropping-particle&quot;:&quot;&quot;,&quot;non-dropping-particle&quot;:&quot;&quot;}],&quot;accessed&quot;:{&quot;date-parts&quot;:[[2022,8,1]]},&quot;DOI&quot;:&quot;10.1155/2022/2644667&quot;,&quot;URL&quot;:&quot;https://doi.org/10.1155/2022/2644667&quot;,&quot;issued&quot;:{&quot;date-parts&quot;:[[2022]]},&quot;abstract&quot;:&quot;Neospora caninum is an economically significant parasite among livestock, particularly in dairy cattle herds, causing storm abortions. Vaccination seems necessary to limit the infection and its harsh consequences. This is the first steps towards developing a multiepitope vaccine candidate against N. caninum using in silico approaches. High-ranked mouse MHC-binding and shared linear B-cell epitopes from six proteins (SRS2, MIC3, MIC6, GRA1, IMP-1, and profilin) as well as IFN-γ-inducing epitopes (from SAG1) were predicted, screened, and connected together through appropriate linkers. Finally, RS-09 protein (TLR4 agonist) and histidine tag were added to N-and C-terminal of the vaccine sequence, yielding 486 residues in length. Physicochemical properties showed a stable (instability index: 27.23), highly soluble, antigenic (VaxiJen score: 0.9554), and nonallergenic candidate. Secondary structure of the multiepitope protein included 58.85% random coil, 20.99% extended strand, and 20.16% alpha helix. Also, the tertiary structure was predicted, and further analyses validated a stable interaction between the vaccine model and mouse TLR4 (binding score:-1261.6). Virtual simulation of immune profile demonstrated potently stimulated humoral (IgG+IgM) and cell-mediated (IFN-γ) responses upon multiepitope vaccine injection. Altogether, a potentially immunogenic vaccine candidate was developed using several N. caninum proteins, with the capability to elicit IFN-γ upsurge and other components of cellular immunity, and can be used in prophylactic purposes against neosporosis.&quot;,&quot;container-title-short&quot;:&quot;&quot;},&quot;isTemporary&quot;:false}],&quot;citationTag&quot;:&quot;MENDELEY_CITATION_v3_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&quot;},{&quot;citationID&quot;:&quot;MENDELEY_CITATION_066f83bc-c581-48d3-b40c-a4b25920d8e4&quot;,&quot;properties&quot;:{&quot;noteIndex&quot;:0},&quot;isEdited&quot;:false,&quot;manualOverride&quot;:{&quot;isManuallyOverridden&quot;:true,&quot;citeprocText&quot;:&quot;(Teixeira et al., 2010)&quot;,&quot;manualOverrideText&quot;:&quot;Teixeira et al. (2010)&quot;},&quot;citationItems&quot;:[{&quot;id&quot;:&quot;43aff45a-072b-3ace-af93-8001df685b67&quot;,&quot;itemData&quot;:{&quot;type&quot;:&quot;article-journal&quot;,&quot;id&quot;:&quot;43aff45a-072b-3ace-af93-8001df685b67&quot;,&quot;title&quot;:&quot;Plasmacytoid and conventional dendritic cells are early producers of IL-12 in Neospora caninum-infected mice&quot;,&quot;author&quot;:[{&quot;family&quot;:&quot;Teixeira&quot;,&quot;given&quot;:&quot;Luzia&quot;,&quot;parse-names&quot;:false,&quot;dropping-particle&quot;:&quot;&quot;,&quot;non-dropping-particle&quot;:&quot;&quot;},{&quot;family&quot;:&quot;Botelho&quot;,&quot;given&quot;:&quot;Ana Sofia&quot;,&quot;parse-names&quot;:false,&quot;dropping-particle&quot;:&quot;&quot;,&quot;non-dropping-particle&quot;:&quot;&quot;},{&quot;family&quot;:&quot;Mesquita&quot;,&quot;given&quot;:&quot;Sandro Dá&quot;,&quot;parse-names&quot;:false,&quot;dropping-particle&quot;:&quot;&quot;,&quot;non-dropping-particle&quot;:&quot;&quot;},{&quot;family&quot;:&quot;Correia&quot;,&quot;given&quot;:&quot;Alexandra&quot;,&quot;parse-names&quot;:false,&quot;dropping-particle&quot;:&quot;&quot;,&quot;non-dropping-particle&quot;:&quot;&quot;},{&quot;family&quot;:&quot;Cerca&quot;,&quot;given&quot;:&quot;Filipe&quot;,&quot;parse-names&quot;:false,&quot;dropping-particle&quot;:&quot;&quot;,&quot;non-dropping-particle&quot;:&quot;&quot;},{&quot;family&quot;:&quot;Costa&quot;,&quot;given&quot;:&quot;Renata&quot;,&quot;parse-names&quot;:false,&quot;dropping-particle&quot;:&quot;&quot;,&quot;non-dropping-particle&quot;:&quot;&quot;},{&quot;family&quot;:&quot;Sampaio&quot;,&quot;given&quot;:&quot;Paula&quot;,&quot;parse-names&quot;:false,&quot;dropping-particle&quot;:&quot;&quot;,&quot;non-dropping-particle&quot;:&quot;&quot;},{&quot;family&quot;:&quot;Castro&quot;,&quot;given&quot;:&quot;António Gil&quot;,&quot;parse-names&quot;:false,&quot;dropping-particle&quot;:&quot;&quot;,&quot;non-dropping-particle&quot;:&quot;&quot;},{&quot;family&quot;:&quot;Vilanova&quot;,&quot;given&quot;:&quot;Manuel&quot;,&quot;parse-names&quot;:false,&quot;dropping-particle&quot;:&quot;&quot;,&quot;non-dropping-particle&quot;:&quot;&quot;}],&quot;container-title&quot;:&quot;Immunology and Cell Biology&quot;,&quot;accessed&quot;:{&quot;date-parts&quot;:[[2022,4,12]]},&quot;DOI&quot;:&quot;10.1038/ICB.2009.65&quot;,&quot;ISSN&quot;:&quot;08189641&quot;,&quot;PMID&quot;:&quot;19755980&quot;,&quot;issued&quot;:{&quot;date-parts&quot;:[[2010,1]]},&quot;page&quot;:&quot;79-86&quot;,&quot;abstract&quot;:&quot;Neospora caninum is a coccidian parasite causative of clinical infections in a wide range of animal hosts. The maturation and activation of splenic conventional dendritic cells (cDCs) and plasmacytoid dendritic cells (pDCs) were studied here in BALB/c mice challenged intraperitoneal with N. caninum tachyzoites. The number of cDCs was found to decrease in the spleen of the infected mice 12 h and 2 days after the parasitic challenge, whereas at day 5 after infection it was significantly above that of mock-infected controls. In contrast, the number of splenic pDCs did not change significantly on infection. In the infected mice, both cell subtypes displayed an activated phenotype with upregulation of costimulatory and MHC class II molecules. This stimulatory effect was more marked at the earliest assessed time point after infection, 12 h, when a clear increase in the frequency of cDCs (CD8α+ and CD8α- ) and pDCs producing interleukin-12 (IL-12) was also observed. N. caninum tachyzoites could be observed by confocal microscopy associated with sorted DCs. Overall, these results present the first evidence that both cDCs and pDCs mediate in vivo the innate immune response to N. caninum infection through the production of IL-12, a key cytokine for host resistance to neosporosis. © 2010 Australasian Society for Immunology Inc. All rights reserved.&quot;,&quot;issue&quot;:&quot;1&quot;,&quot;volume&quot;:&quot;88&quot;,&quot;container-title-short&quot;:&quot;&quot;},&quot;isTemporary&quot;:false}],&quot;citationTag&quot;:&quot;MENDELEY_CITATION_v3_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&quot;},{&quot;citationID&quot;:&quot;MENDELEY_CITATION_feddb015-bd46-47f9-9a4b-76b199ee2e9d&quot;,&quot;properties&quot;:{&quot;noteIndex&quot;:0},&quot;isEdited&quot;:false,&quot;manualOverride&quot;:{&quot;isManuallyOverridden&quot;:false,&quot;citeprocText&quot;:&quot;(Ferreirinha et al., 2013)&quot;,&quot;manualOverrideText&quot;:&quot;&quot;},&quot;citationItems&quot;:[{&quot;id&quot;:&quot;fbd4020b-89bd-3c5d-8320-1ddc6afb78c0&quot;,&quot;itemData&quot;:{&quot;type&quot;:&quot;article-journal&quot;,&quot;id&quot;:&quot;fbd4020b-89bd-3c5d-8320-1ddc6afb78c0&quot;,&quot;title&quot;:&quot;Protective effect of intranasal immunization with Neospora caninum membrane antigens against murine neosporosis established through the gastrointestinal tract&quot;,&quot;author&quot;:[{&quot;family&quot;:&quot;Ferreirinha&quot;,&quot;given&quot;:&quot;Pedro&quot;,&quot;parse-names&quot;:false,&quot;dropping-particle&quot;:&quot;&quot;,&quot;non-dropping-particle&quot;:&quot;&quot;},{&quot;family&quot;:&quot;Dias&quot;,&quot;given&quot;:&quot;Joana&quot;,&quot;parse-names&quot;:false,&quot;dropping-particle&quot;:&quot;&quot;,&quot;non-dropping-particle&quot;:&quot;&quot;},{&quot;family&quot;:&quot;Correia&quot;,&quot;given&quot;:&quot;Alexandra&quot;,&quot;parse-names&quot;:false,&quot;dropping-particle&quot;:&quot;&quot;,&quot;non-dropping-particle&quot;:&quot;&quot;},{&quot;family&quot;:&quot;Pérez-Cabezas&quot;,&quot;given&quot;:&quot;Begoña&quot;,&quot;parse-names&quot;:false,&quot;dropping-particle&quot;:&quot;&quot;,&quot;non-dropping-particle&quot;:&quot;&quot;},{&quot;family&quot;:&quot;Santos&quot;,&quot;given&quot;:&quot;Carlos&quot;,&quot;parse-names&quot;:false,&quot;dropping-particle&quot;:&quot;&quot;,&quot;non-dropping-particle&quot;:&quot;&quot;},{&quot;family&quot;:&quot;Teixeira&quot;,&quot;given&quot;:&quot;Luzia&quot;,&quot;parse-names&quot;:false,&quot;dropping-particle&quot;:&quot;&quot;,&quot;non-dropping-particle&quot;:&quot;&quot;},{&quot;family&quot;:&quot;Ribeiro&quot;,&quot;given&quot;:&quot;Adília&quot;,&quot;parse-names&quot;:false,&quot;dropping-particle&quot;:&quot;&quot;,&quot;non-dropping-particle&quot;:&quot;&quot;},{&quot;family&quot;:&quot;Rocha&quot;,&quot;given&quot;:&quot;António&quot;,&quot;parse-names&quot;:false,&quot;dropping-particle&quot;:&quot;&quot;,&quot;non-dropping-particle&quot;:&quot;&quot;},{&quot;family&quot;:&quot;Vilanova&quot;,&quot;given&quot;:&quot;Manuel&quot;,&quot;parse-names&quot;:false,&quot;dropping-particle&quot;:&quot;&quot;,&quot;non-dropping-particle&quot;:&quot;&quot;}],&quot;container-title&quot;:&quot;Immunology&quot;,&quot;container-title-short&quot;:&quot;Immunology&quot;,&quot;accessed&quot;:{&quot;date-parts&quot;:[[2022,4,12]]},&quot;DOI&quot;:&quot;10.1111/imm.12191&quot;,&quot;ISSN&quot;:&quot;00192805&quot;,&quot;PMID&quot;:&quot;24128071&quot;,&quot;URL&quot;:&quot;https://onlinelibrary.wiley.com/doi/10.1111/imm.12191&quot;,&quot;issued&quot;:{&quot;date-parts&quot;:[[2013,2]]},&quot;page&quot;:&quot;256-267&quot;,&quot;abstract&quot;:&quo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quot;,&quot;issue&quot;:&quot;2&quot;,&quot;volume&quot;:&quot;141&quot;},&quot;isTemporary&quot;:false}],&quot;citationTag&quot;:&quot;MENDELEY_CITATION_v3_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&quot;},{&quot;citationID&quot;:&quot;MENDELEY_CITATION_c4e0164d-41b1-4ad2-bfb7-17591a5a5ada&quot;,&quot;properties&quot;:{&quot;noteIndex&quot;:0},&quot;isEdited&quot;:false,&quot;manualOverride&quot;:{&quot;isManuallyOverridden&quot;:true,&quot;citeprocText&quot;:&quot;(Correia et al., 2015)&quot;,&quot;manualOverrideText&quot;:&quot;Correia et al. (2015)&quot;},&quot;citationItems&quot;:[{&quot;id&quot;:&quot;e9601cac-1f12-3ec6-a281-1d96368641f8&quot;,&quot;itemData&quot;:{&quot;type&quot;:&quot;article-journal&quot;,&quot;id&quot;:&quot;e9601cac-1f12-3ec6-a281-1d96368641f8&quot;,&quot;title&quot;:&quot;Predominant role of interferon-γ in the host protective effect of CD8+ T cells against Neospora caninum infection&quot;,&quot;author&quot;:[{&quot;family&quot;:&quot;Correia&quot;,&quot;given&quot;:&quot;Alexandra&quot;,&quot;parse-names&quot;:false,&quot;dropping-particle&quot;:&quot;&quot;,&quot;non-dropping-particle&quot;:&quot;&quot;},{&quot;family&quot;:&quot;Ferreirinha&quot;,&quot;given&quot;:&quot;Pedro&quot;,&quot;parse-names&quot;:false,&quot;dropping-particle&quot;:&quot;&quot;,&quot;non-dropping-particle&quot;:&quot;&quot;},{&quot;family&quot;:&quot;Botelho&quot;,&quot;given&quot;:&quot;Sofia&quot;,&quot;parse-names&quot;:false,&quot;dropping-particle&quot;:&quot;&quot;,&quot;non-dropping-particle&quot;:&quot;&quot;},{&quot;family&quot;:&quot;Belinha&quot;,&quot;given&quot;:&quot;Ana&quot;,&quot;parse-names&quot;:false,&quot;dropping-particle&quot;:&quot;&quot;,&quot;non-dropping-particle&quot;:&quot;&quot;},{&quot;family&quot;:&quot;Leitão&quot;,&quot;given&quot;:&quot;Catarina&quot;,&quot;parse-names&quot;:false,&quot;dropping-particle&quot;:&quot;&quot;,&quot;non-dropping-particle&quot;:&quot;&quot;},{&quot;family&quot;:&quot;Caramalho&quot;,&quot;given&quot;:&quot;Íris&quot;,&quot;parse-names&quot;:false,&quot;dropping-particle&quot;:&quot;&quot;,&quot;non-dropping-particle&quot;:&quot;&quot;},{&quot;family&quot;:&quot;Teixeira&quot;,&quot;given&quot;:&quot;Luzia&quot;,&quot;parse-names&quot;:false,&quot;dropping-particle&quot;:&quot;&quot;,&quot;non-dropping-particle&quot;:&quot;&quot;},{&quot;family&quot;:&quot;González-Fernandéz&quot;,&quot;given&quot;:&quot;África&quot;,&quot;parse-names&quot;:false,&quot;dropping-particle&quot;:&quot;&quot;,&quot;non-dropping-particle&quot;:&quot;&quot;},{&quot;family&quot;:&quot;Appelberg&quot;,&quot;given&quot;:&quot;Rui&quot;,&quot;parse-names&quot;:false,&quot;dropping-particle&quot;:&quot;&quot;,&quot;non-dropping-particle&quot;:&quot;&quot;},{&quot;family&quot;:&quot;Vilanova&quot;,&quot;given&quot;:&quot;Manuel&quot;,&quot;parse-names&quot;:false,&quot;dropping-particle&quot;:&quot;&quot;,&quot;non-dropping-particle&quot;:&quot;&quot;}],&quot;container-title&quot;:&quot;Scientific Reports&quot;,&quot;accessed&quot;:{&quot;date-parts&quot;:[[2022,4,12]]},&quot;DOI&quot;:&quot;10.1038/srep14913&quot;,&quot;ISSN&quot;:&quot;2045-2322&quot;,&quot;URL&quot;:&quot;www.nature.com/scientificreports&quot;,&quot;issued&quot;:{&quot;date-parts&quot;:[[2015,12,9]]},&quot;page&quot;:&quot;14913&quot;,&quot;abstract&quot;:&quot;It is well established that CD8 + T cells play an important role in protective immunity against protozoan infections. However, their role in the course of Neospora caninum infection has not been fully elucidated. Here we report that CD8-deficient mice infected with N. caninum presented higher parasitic loads in the brain and lungs and lower spleen and brain immunity-related GTPases than their wild-type counterparts. Moreover, adoptive transfer of splenic CD8 + T cells sorted from N. caninum-primed immunosufficient C57BL/10 ScSn mice prolonged the survival of infected IL-12-unresponsive C57BL/10 ScCr recipients. In both C57BL/6 and C57BL/10 ScSn mice CD8 + T cells are activated and produce interferon-γ (IFN-γ) upon challenged with N. caninum. The host protective role of IFN-γ produced by CD8 + T cells was confirmed in N. caninum-infected RAG2-deficient mice reconstituted with CD8 + T cells obtained from either IFN-γ-deficient or wild-type donors. Mice receiving IFN-γ-expressing CD8 + T cells presented lower parasitic burdens than counterparts having IFN-γ-deficient CD8 + T cells. Moreover, we observed that N. caninum-infected perforin-deficient mice presented parasitic burdens similar to those of infected wild-type controls. Altogether these results demonstrate that production of IFN-γ is a predominant protective mechanism conferred by CD8 + T cells in the course of neosporosis. Neospora caninum is a cyst-forming coccidian parasite responsible for clinical infections in a wide range of animal hosts including bovines 1. In cattle N. caninum is a major cause of abortions and stillbirths occurring worldwide thus having a major economic impact on dairy industry 2. Currently, no effective commercially available vaccine exists against neosporosis 3. Therefore, a better understanding of immune mechanisms mediating host resistance to this infectious disease may be helpful in designing immune-mediated preventive approaches for neosporosis. Studies performed in mice and cattle infected with N. caninum have shown that dendritic cells and macrophages 4-6 , NK cells 7,8 and CD4 + T cells 9-11 provide different effector functions in protective immunity to neosporosis. As N. caninum is an obligate intracellular parasite, it could also be expected that CD8&quot;,&quot;issue&quot;:&quot;1&quot;,&quot;volume&quot;:&quot;5&quot;,&quot;container-title-short&quot;:&quot;&quot;},&quot;isTemporary&quot;:false}],&quot;citationTag&quot;:&quot;MENDELEY_CITATION_v3_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&quot;},{&quot;citationID&quot;:&quot;MENDELEY_CITATION_826d4178-6510-4a0d-a172-1821d3bf10c3&quot;,&quot;properties&quot;:{&quot;noteIndex&quot;:0},&quot;isEdited&quot;:false,&quot;manualOverride&quot;:{&quot;isManuallyOverridden&quot;:true,&quot;citeprocText&quot;:&quot;(Correia et al., 2015)&quot;,&quot;manualOverrideText&quot;:&quot;Correia et al. (2015)&quot;},&quot;citationItems&quot;:[{&quot;id&quot;:&quot;e9601cac-1f12-3ec6-a281-1d96368641f8&quot;,&quot;itemData&quot;:{&quot;type&quot;:&quot;article-journal&quot;,&quot;id&quot;:&quot;e9601cac-1f12-3ec6-a281-1d96368641f8&quot;,&quot;title&quot;:&quot;Predominant role of interferon-γ in the host protective effect of CD8+ T cells against Neospora caninum infection&quot;,&quot;author&quot;:[{&quot;family&quot;:&quot;Correia&quot;,&quot;given&quot;:&quot;Alexandra&quot;,&quot;parse-names&quot;:false,&quot;dropping-particle&quot;:&quot;&quot;,&quot;non-dropping-particle&quot;:&quot;&quot;},{&quot;family&quot;:&quot;Ferreirinha&quot;,&quot;given&quot;:&quot;Pedro&quot;,&quot;parse-names&quot;:false,&quot;dropping-particle&quot;:&quot;&quot;,&quot;non-dropping-particle&quot;:&quot;&quot;},{&quot;family&quot;:&quot;Botelho&quot;,&quot;given&quot;:&quot;Sofia&quot;,&quot;parse-names&quot;:false,&quot;dropping-particle&quot;:&quot;&quot;,&quot;non-dropping-particle&quot;:&quot;&quot;},{&quot;family&quot;:&quot;Belinha&quot;,&quot;given&quot;:&quot;Ana&quot;,&quot;parse-names&quot;:false,&quot;dropping-particle&quot;:&quot;&quot;,&quot;non-dropping-particle&quot;:&quot;&quot;},{&quot;family&quot;:&quot;Leitão&quot;,&quot;given&quot;:&quot;Catarina&quot;,&quot;parse-names&quot;:false,&quot;dropping-particle&quot;:&quot;&quot;,&quot;non-dropping-particle&quot;:&quot;&quot;},{&quot;family&quot;:&quot;Caramalho&quot;,&quot;given&quot;:&quot;Íris&quot;,&quot;parse-names&quot;:false,&quot;dropping-particle&quot;:&quot;&quot;,&quot;non-dropping-particle&quot;:&quot;&quot;},{&quot;family&quot;:&quot;Teixeira&quot;,&quot;given&quot;:&quot;Luzia&quot;,&quot;parse-names&quot;:false,&quot;dropping-particle&quot;:&quot;&quot;,&quot;non-dropping-particle&quot;:&quot;&quot;},{&quot;family&quot;:&quot;González-Fernandéz&quot;,&quot;given&quot;:&quot;África&quot;,&quot;parse-names&quot;:false,&quot;dropping-particle&quot;:&quot;&quot;,&quot;non-dropping-particle&quot;:&quot;&quot;},{&quot;family&quot;:&quot;Appelberg&quot;,&quot;given&quot;:&quot;Rui&quot;,&quot;parse-names&quot;:false,&quot;dropping-particle&quot;:&quot;&quot;,&quot;non-dropping-particle&quot;:&quot;&quot;},{&quot;family&quot;:&quot;Vilanova&quot;,&quot;given&quot;:&quot;Manuel&quot;,&quot;parse-names&quot;:false,&quot;dropping-particle&quot;:&quot;&quot;,&quot;non-dropping-particle&quot;:&quot;&quot;}],&quot;container-title&quot;:&quot;Scientific Reports&quot;,&quot;accessed&quot;:{&quot;date-parts&quot;:[[2022,4,12]]},&quot;DOI&quot;:&quot;10.1038/srep14913&quot;,&quot;ISSN&quot;:&quot;2045-2322&quot;,&quot;URL&quot;:&quot;www.nature.com/scientificreports&quot;,&quot;issued&quot;:{&quot;date-parts&quot;:[[2015,12,9]]},&quot;page&quot;:&quot;14913&quot;,&quot;abstract&quot;:&quot;It is well established that CD8 + T cells play an important role in protective immunity against protozoan infections. However, their role in the course of Neospora caninum infection has not been fully elucidated. Here we report that CD8-deficient mice infected with N. caninum presented higher parasitic loads in the brain and lungs and lower spleen and brain immunity-related GTPases than their wild-type counterparts. Moreover, adoptive transfer of splenic CD8 + T cells sorted from N. caninum-primed immunosufficient C57BL/10 ScSn mice prolonged the survival of infected IL-12-unresponsive C57BL/10 ScCr recipients. In both C57BL/6 and C57BL/10 ScSn mice CD8 + T cells are activated and produce interferon-γ (IFN-γ) upon challenged with N. caninum. The host protective role of IFN-γ produced by CD8 + T cells was confirmed in N. caninum-infected RAG2-deficient mice reconstituted with CD8 + T cells obtained from either IFN-γ-deficient or wild-type donors. Mice receiving IFN-γ-expressing CD8 + T cells presented lower parasitic burdens than counterparts having IFN-γ-deficient CD8 + T cells. Moreover, we observed that N. caninum-infected perforin-deficient mice presented parasitic burdens similar to those of infected wild-type controls. Altogether these results demonstrate that production of IFN-γ is a predominant protective mechanism conferred by CD8 + T cells in the course of neosporosis. Neospora caninum is a cyst-forming coccidian parasite responsible for clinical infections in a wide range of animal hosts including bovines 1. In cattle N. caninum is a major cause of abortions and stillbirths occurring worldwide thus having a major economic impact on dairy industry 2. Currently, no effective commercially available vaccine exists against neosporosis 3. Therefore, a better understanding of immune mechanisms mediating host resistance to this infectious disease may be helpful in designing immune-mediated preventive approaches for neosporosis. Studies performed in mice and cattle infected with N. caninum have shown that dendritic cells and macrophages 4-6 , NK cells 7,8 and CD4 + T cells 9-11 provide different effector functions in protective immunity to neosporosis. As N. caninum is an obligate intracellular parasite, it could also be expected that CD8&quot;,&quot;issue&quot;:&quot;1&quot;,&quot;volume&quot;:&quot;5&quot;,&quot;container-title-short&quot;:&quot;&quot;},&quot;isTemporary&quot;:false}],&quot;citationTag&quot;:&quot;MENDELEY_CITATION_v3_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&quot;},{&quot;citationID&quot;:&quot;MENDELEY_CITATION_2f9dd8de-266a-44d8-8376-ce42bc94e598&quot;,&quot;properties&quot;:{&quot;noteIndex&quot;:0},&quot;isEdited&quot;:false,&quot;manualOverride&quot;:{&quot;isManuallyOverridden&quot;:true,&quot;citeprocText&quot;:&quot;(Ferreirinha et al., 2013)&quot;,&quot;manualOverrideText&quot;:&quot;Ferreirinha et al. (2013)&quot;},&quot;citationItems&quot;:[{&quot;id&quot;:&quot;fbd4020b-89bd-3c5d-8320-1ddc6afb78c0&quot;,&quot;itemData&quot;:{&quot;type&quot;:&quot;article-journal&quot;,&quot;id&quot;:&quot;fbd4020b-89bd-3c5d-8320-1ddc6afb78c0&quot;,&quot;title&quot;:&quot;Protective effect of intranasal immunization with Neospora caninum membrane antigens against murine neosporosis established through the gastrointestinal tract&quot;,&quot;author&quot;:[{&quot;family&quot;:&quot;Ferreirinha&quot;,&quot;given&quot;:&quot;Pedro&quot;,&quot;parse-names&quot;:false,&quot;dropping-particle&quot;:&quot;&quot;,&quot;non-dropping-particle&quot;:&quot;&quot;},{&quot;family&quot;:&quot;Dias&quot;,&quot;given&quot;:&quot;Joana&quot;,&quot;parse-names&quot;:false,&quot;dropping-particle&quot;:&quot;&quot;,&quot;non-dropping-particle&quot;:&quot;&quot;},{&quot;family&quot;:&quot;Correia&quot;,&quot;given&quot;:&quot;Alexandra&quot;,&quot;parse-names&quot;:false,&quot;dropping-particle&quot;:&quot;&quot;,&quot;non-dropping-particle&quot;:&quot;&quot;},{&quot;family&quot;:&quot;Pérez-Cabezas&quot;,&quot;given&quot;:&quot;Begoña&quot;,&quot;parse-names&quot;:false,&quot;dropping-particle&quot;:&quot;&quot;,&quot;non-dropping-particle&quot;:&quot;&quot;},{&quot;family&quot;:&quot;Santos&quot;,&quot;given&quot;:&quot;Carlos&quot;,&quot;parse-names&quot;:false,&quot;dropping-particle&quot;:&quot;&quot;,&quot;non-dropping-particle&quot;:&quot;&quot;},{&quot;family&quot;:&quot;Teixeira&quot;,&quot;given&quot;:&quot;Luzia&quot;,&quot;parse-names&quot;:false,&quot;dropping-particle&quot;:&quot;&quot;,&quot;non-dropping-particle&quot;:&quot;&quot;},{&quot;family&quot;:&quot;Ribeiro&quot;,&quot;given&quot;:&quot;Adília&quot;,&quot;parse-names&quot;:false,&quot;dropping-particle&quot;:&quot;&quot;,&quot;non-dropping-particle&quot;:&quot;&quot;},{&quot;family&quot;:&quot;Rocha&quot;,&quot;given&quot;:&quot;António&quot;,&quot;parse-names&quot;:false,&quot;dropping-particle&quot;:&quot;&quot;,&quot;non-dropping-particle&quot;:&quot;&quot;},{&quot;family&quot;:&quot;Vilanova&quot;,&quot;given&quot;:&quot;Manuel&quot;,&quot;parse-names&quot;:false,&quot;dropping-particle&quot;:&quot;&quot;,&quot;non-dropping-particle&quot;:&quot;&quot;}],&quot;container-title&quot;:&quot;Immunology&quot;,&quot;container-title-short&quot;:&quot;Immunology&quot;,&quot;accessed&quot;:{&quot;date-parts&quot;:[[2022,4,12]]},&quot;DOI&quot;:&quot;10.1111/imm.12191&quot;,&quot;ISSN&quot;:&quot;00192805&quot;,&quot;PMID&quot;:&quot;24128071&quot;,&quot;URL&quot;:&quot;https://onlinelibrary.wiley.com/doi/10.1111/imm.12191&quot;,&quot;issued&quot;:{&quot;date-parts&quot;:[[2013,2]]},&quot;page&quot;:&quot;256-267&quot;,&quot;abstract&quot;:&quot;Neospora caninum is an Apicomplexa parasite that in the last two decades was acknowledged as the main pathogenic agent responsible for economic losses in the cattle industry. In the present study, the effectiveness of intranasal immunization with N. caninum membrane antigens plus CpG adjuvant was assessed in a murine model of intragastrically established neosporosis. Immunized mice presented a lower parasitic burden in the brain on infection with 5 × 107 tachyzoites, showing that significant protection was achieved by this immunization strategy. Intestinal IgA antibodies raised by immunization markedly agglutinated live N. caninum tachyzoites whereas previous opsonization with IgG antibodies purified from immunized mice sera reduced parasite survival within macrophage cells. Although an IgG1 : IgG2a ratio &lt; 1 was detected in the immunized mice before and after infection, indicative of a predominant T helper type 1 immune response, no increased production of interferon-γ was detected in the spleen or mesenteric lymph nodes of the immunized mice. Altogether, these results show that mucosal immunization with N. caninum membrane proteins plus CpG adjuvant protect against intragastrically established neosporosis and indicate that parasite-specific mucosal and circulating antibodies have a protective role against this parasitic infection. © 2013 John Wiley &amp; Sons Ltd.&quot;,&quot;issue&quot;:&quot;2&quot;,&quot;volume&quot;:&quot;141&quot;},&quot;isTemporary&quot;:false}],&quot;citationTag&quot;:&quot;MENDELEY_CITATION_v3_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&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A4698FEA9842C409B865C9465515B25" ma:contentTypeVersion="11" ma:contentTypeDescription="Criar um novo documento." ma:contentTypeScope="" ma:versionID="f669cefa0f77c75091357edf431aa3c8">
  <xsd:schema xmlns:xsd="http://www.w3.org/2001/XMLSchema" xmlns:xs="http://www.w3.org/2001/XMLSchema" xmlns:p="http://schemas.microsoft.com/office/2006/metadata/properties" xmlns:ns3="4443982b-ef57-4d08-ac14-7ca04b7a3bbf" targetNamespace="http://schemas.microsoft.com/office/2006/metadata/properties" ma:root="true" ma:fieldsID="f2973248bf1acc65b9aaf9fcb485f012" ns3:_="">
    <xsd:import namespace="4443982b-ef57-4d08-ac14-7ca04b7a3bbf"/>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3982b-ef57-4d08-ac14-7ca04b7a3b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75232-1F04-42DD-A222-B5D184CCA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3982b-ef57-4d08-ac14-7ca04b7a3b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41E175-AF51-477E-B1E7-4E85B67A259F}">
  <ds:schemaRefs>
    <ds:schemaRef ds:uri="http://schemas.microsoft.com/sharepoint/v3/contenttype/forms"/>
  </ds:schemaRefs>
</ds:datastoreItem>
</file>

<file path=customXml/itemProps3.xml><?xml version="1.0" encoding="utf-8"?>
<ds:datastoreItem xmlns:ds="http://schemas.openxmlformats.org/officeDocument/2006/customXml" ds:itemID="{B0D5277D-33B5-4F51-814C-AC9FD5B27AE5}">
  <ds:schemaRefs>
    <ds:schemaRef ds:uri="http://schemas.microsoft.com/office/2006/metadata/properties"/>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4443982b-ef57-4d08-ac14-7ca04b7a3bbf"/>
    <ds:schemaRef ds:uri="http://www.w3.org/XML/1998/namespace"/>
    <ds:schemaRef ds:uri="http://schemas.openxmlformats.org/package/2006/metadata/core-properties"/>
  </ds:schemaRefs>
</ds:datastoreItem>
</file>

<file path=customXml/itemProps4.xml><?xml version="1.0" encoding="utf-8"?>
<ds:datastoreItem xmlns:ds="http://schemas.openxmlformats.org/officeDocument/2006/customXml" ds:itemID="{21C6764B-69D1-40BE-A813-533AA2E4E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112750</Words>
  <Characters>608852</Characters>
  <Application>Microsoft Office Word</Application>
  <DocSecurity>0</DocSecurity>
  <Lines>5073</Lines>
  <Paragraphs>1440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720162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Pinto</dc:creator>
  <cp:keywords/>
  <dc:description/>
  <cp:lastModifiedBy>Patrícia Matos</cp:lastModifiedBy>
  <cp:revision>2</cp:revision>
  <cp:lastPrinted>2022-09-30T11:16:00Z</cp:lastPrinted>
  <dcterms:created xsi:type="dcterms:W3CDTF">2022-10-04T09:16:00Z</dcterms:created>
  <dcterms:modified xsi:type="dcterms:W3CDTF">2022-10-04T09:16:00Z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989edf3a-e3b4-37e4-bc70-04ef36e9cdbc</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ContentTypeId">
    <vt:lpwstr>0x0101000A4698FEA9842C409B865C9465515B25</vt:lpwstr>
  </property>
</Properties>
</file>