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C11BE" w:rsidRPr="0094770E" w:rsidRDefault="00DC11BE" w:rsidP="004E3707">
      <w:pPr>
        <w:rPr>
          <w:rFonts w:ascii="Garamond" w:hAnsi="Garamond"/>
        </w:rPr>
      </w:pPr>
      <w:r w:rsidRPr="0094770E">
        <w:rPr>
          <w:rFonts w:ascii="Garamond" w:hAnsi="Garamond"/>
          <w:noProof/>
          <w:lang w:eastAsia="pt-PT"/>
        </w:rPr>
        <w:drawing>
          <wp:inline distT="0" distB="0" distL="0" distR="0" wp14:anchorId="13D18974" wp14:editId="6892EDA5">
            <wp:extent cx="2162175" cy="752475"/>
            <wp:effectExtent l="0" t="0" r="9525" b="9525"/>
            <wp:docPr id="13" name="Picture 13" descr="F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13" descr="FEP"/>
                    <pic:cNvPicPr>
                      <a:picLocks noRot="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752475"/>
                    </a:xfrm>
                    <a:prstGeom prst="rect">
                      <a:avLst/>
                    </a:prstGeom>
                    <a:noFill/>
                    <a:ln>
                      <a:noFill/>
                    </a:ln>
                    <a:effectLst/>
                  </pic:spPr>
                </pic:pic>
              </a:graphicData>
            </a:graphic>
          </wp:inline>
        </w:drawing>
      </w:r>
    </w:p>
    <w:p w:rsidR="00DC11BE" w:rsidRPr="0094770E" w:rsidRDefault="00DC11BE" w:rsidP="004E3707">
      <w:pPr>
        <w:spacing w:line="240" w:lineRule="auto"/>
        <w:rPr>
          <w:rFonts w:ascii="Garamond" w:hAnsi="Garamond" w:cs="Times New Roman"/>
          <w:sz w:val="20"/>
          <w:szCs w:val="20"/>
        </w:rPr>
      </w:pPr>
    </w:p>
    <w:p w:rsidR="00DC11BE" w:rsidRPr="0094770E" w:rsidRDefault="00DC11BE" w:rsidP="004E3707">
      <w:pPr>
        <w:spacing w:line="240" w:lineRule="auto"/>
        <w:rPr>
          <w:rFonts w:ascii="Garamond" w:hAnsi="Garamond" w:cs="Times New Roman"/>
          <w:sz w:val="20"/>
          <w:szCs w:val="20"/>
        </w:rPr>
      </w:pPr>
    </w:p>
    <w:p w:rsidR="00DC11BE" w:rsidRPr="0094770E" w:rsidRDefault="00DC11BE" w:rsidP="004E3707">
      <w:pPr>
        <w:spacing w:line="240" w:lineRule="auto"/>
        <w:rPr>
          <w:rFonts w:ascii="Garamond" w:hAnsi="Garamond" w:cs="Times New Roman"/>
          <w:sz w:val="20"/>
          <w:szCs w:val="20"/>
        </w:rPr>
      </w:pPr>
    </w:p>
    <w:p w:rsidR="00DC11BE" w:rsidRPr="0094770E" w:rsidRDefault="00DC11BE" w:rsidP="004E3707">
      <w:pPr>
        <w:spacing w:line="240" w:lineRule="auto"/>
        <w:rPr>
          <w:rFonts w:ascii="Garamond" w:hAnsi="Garamond" w:cs="Times New Roman"/>
          <w:sz w:val="20"/>
          <w:szCs w:val="20"/>
        </w:rPr>
      </w:pPr>
    </w:p>
    <w:p w:rsidR="00DC11BE" w:rsidRPr="0094770E" w:rsidRDefault="00DC11BE" w:rsidP="004E3707">
      <w:pPr>
        <w:spacing w:line="240" w:lineRule="auto"/>
        <w:rPr>
          <w:rFonts w:ascii="Garamond" w:hAnsi="Garamond" w:cs="Times New Roman"/>
          <w:sz w:val="20"/>
          <w:szCs w:val="20"/>
        </w:rPr>
      </w:pPr>
    </w:p>
    <w:p w:rsidR="00DC11BE" w:rsidRPr="0094770E" w:rsidRDefault="00DC11BE" w:rsidP="004E3707">
      <w:pPr>
        <w:spacing w:line="240" w:lineRule="auto"/>
        <w:rPr>
          <w:rFonts w:ascii="Garamond" w:hAnsi="Garamond" w:cs="Times New Roman"/>
          <w:sz w:val="20"/>
          <w:szCs w:val="20"/>
        </w:rPr>
      </w:pPr>
    </w:p>
    <w:p w:rsidR="00DC11BE" w:rsidRPr="0094770E" w:rsidRDefault="00DC11BE" w:rsidP="004E3707">
      <w:pPr>
        <w:rPr>
          <w:rFonts w:ascii="Garamond" w:hAnsi="Garamond"/>
        </w:rPr>
      </w:pPr>
      <w:r w:rsidRPr="0094770E">
        <w:rPr>
          <w:rFonts w:ascii="Garamond" w:hAnsi="Garamond"/>
          <w:noProof/>
          <w:lang w:eastAsia="pt-PT"/>
        </w:rPr>
        <w:drawing>
          <wp:inline distT="0" distB="0" distL="0" distR="0" wp14:anchorId="67B3D038" wp14:editId="7847E927">
            <wp:extent cx="361950" cy="47625"/>
            <wp:effectExtent l="0" t="0" r="0" b="9525"/>
            <wp:docPr id="12" name="Picture 12" descr="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6" descr="Barra"/>
                    <pic:cNvPicPr>
                      <a:picLocks noRot="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47625"/>
                    </a:xfrm>
                    <a:prstGeom prst="rect">
                      <a:avLst/>
                    </a:prstGeom>
                    <a:noFill/>
                    <a:ln>
                      <a:noFill/>
                    </a:ln>
                    <a:effectLst/>
                  </pic:spPr>
                </pic:pic>
              </a:graphicData>
            </a:graphic>
          </wp:inline>
        </w:drawing>
      </w:r>
    </w:p>
    <w:p w:rsidR="00DC11BE" w:rsidRPr="0094770E" w:rsidRDefault="00DC11BE" w:rsidP="004E3707">
      <w:pPr>
        <w:pStyle w:val="Titulo"/>
        <w:rPr>
          <w:lang w:val="pt-PT"/>
        </w:rPr>
      </w:pPr>
      <w:r w:rsidRPr="0094770E">
        <w:rPr>
          <w:lang w:val="pt-PT"/>
        </w:rPr>
        <w:t>EFEITOS DA SATISFAÇÃO E MOTIVAÇÃO DO PESSOAL DE CONTACTO NA RESPOSTA ÀS RECLAMAÇÕES DOS CLIENTES</w:t>
      </w:r>
    </w:p>
    <w:p w:rsidR="00DC11BE" w:rsidRPr="0094770E" w:rsidRDefault="00DC11BE" w:rsidP="004E3707">
      <w:pPr>
        <w:pStyle w:val="NomeAluno"/>
        <w:rPr>
          <w:lang w:val="pt-PT"/>
        </w:rPr>
      </w:pPr>
      <w:r w:rsidRPr="0094770E">
        <w:rPr>
          <w:lang w:val="pt-PT"/>
        </w:rPr>
        <w:t>Cristiana Rodrigues da Cruz Pereira</w:t>
      </w:r>
    </w:p>
    <w:p w:rsidR="00DC11BE" w:rsidRPr="0094770E" w:rsidRDefault="00DC11BE" w:rsidP="004E3707">
      <w:pPr>
        <w:pStyle w:val="NomeAluno"/>
        <w:rPr>
          <w:rFonts w:cs="Times New Roman"/>
          <w:sz w:val="20"/>
          <w:szCs w:val="20"/>
          <w:lang w:val="pt-PT"/>
        </w:rPr>
      </w:pPr>
    </w:p>
    <w:p w:rsidR="00DC11BE" w:rsidRPr="0094770E" w:rsidRDefault="00DC11BE" w:rsidP="004E3707">
      <w:pPr>
        <w:pStyle w:val="NomeAluno"/>
        <w:rPr>
          <w:rFonts w:cs="Times New Roman"/>
          <w:sz w:val="20"/>
          <w:szCs w:val="20"/>
          <w:lang w:val="pt-PT"/>
        </w:rPr>
      </w:pPr>
    </w:p>
    <w:p w:rsidR="00DC11BE" w:rsidRPr="0094770E" w:rsidRDefault="00DC11BE" w:rsidP="004E3707">
      <w:pPr>
        <w:pStyle w:val="NomeAluno"/>
        <w:rPr>
          <w:rFonts w:cs="Times New Roman"/>
          <w:sz w:val="20"/>
          <w:szCs w:val="20"/>
          <w:lang w:val="pt-PT"/>
        </w:rPr>
      </w:pPr>
    </w:p>
    <w:p w:rsidR="00DC11BE" w:rsidRPr="0094770E" w:rsidRDefault="00DC11BE" w:rsidP="004E3707">
      <w:pPr>
        <w:pStyle w:val="NomeAluno"/>
        <w:rPr>
          <w:lang w:val="pt-PT"/>
        </w:rPr>
      </w:pPr>
      <w:r w:rsidRPr="0094770E">
        <w:rPr>
          <w:noProof/>
          <w:lang w:val="pt-PT"/>
        </w:rPr>
        <w:drawing>
          <wp:inline distT="0" distB="0" distL="0" distR="0" wp14:anchorId="79C88430" wp14:editId="1C840B91">
            <wp:extent cx="361950" cy="47625"/>
            <wp:effectExtent l="0" t="0" r="0" b="9525"/>
            <wp:docPr id="11" name="Picture 11" descr="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5" descr="Barra"/>
                    <pic:cNvPicPr>
                      <a:picLocks noRot="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47625"/>
                    </a:xfrm>
                    <a:prstGeom prst="rect">
                      <a:avLst/>
                    </a:prstGeom>
                    <a:noFill/>
                    <a:ln>
                      <a:noFill/>
                    </a:ln>
                    <a:effectLst/>
                  </pic:spPr>
                </pic:pic>
              </a:graphicData>
            </a:graphic>
          </wp:inline>
        </w:drawing>
      </w:r>
    </w:p>
    <w:p w:rsidR="00DC11BE" w:rsidRPr="0094770E" w:rsidRDefault="00DC11BE" w:rsidP="004E3707">
      <w:pPr>
        <w:pStyle w:val="Sub-Titulo1"/>
      </w:pPr>
      <w:r w:rsidRPr="0094770E">
        <w:t>Dissertação</w:t>
      </w:r>
    </w:p>
    <w:p w:rsidR="00DC11BE" w:rsidRPr="0094770E" w:rsidRDefault="00DC11BE" w:rsidP="004E3707">
      <w:pPr>
        <w:pStyle w:val="Sub-Titulo2"/>
      </w:pPr>
      <w:r w:rsidRPr="0094770E">
        <w:t>Mestrado em Gestão de Serviços</w:t>
      </w:r>
    </w:p>
    <w:p w:rsidR="00DC11BE" w:rsidRPr="0094770E" w:rsidRDefault="00DC11BE" w:rsidP="004E3707">
      <w:pPr>
        <w:pStyle w:val="Sub-Titulo2"/>
        <w:rPr>
          <w:rFonts w:cs="Times New Roman"/>
          <w:sz w:val="20"/>
          <w:szCs w:val="20"/>
        </w:rPr>
      </w:pPr>
    </w:p>
    <w:p w:rsidR="00DC11BE" w:rsidRPr="0094770E" w:rsidRDefault="00DC11BE" w:rsidP="004E3707">
      <w:pPr>
        <w:pStyle w:val="Sub-Titulo2"/>
        <w:rPr>
          <w:rFonts w:cs="Times New Roman"/>
          <w:sz w:val="20"/>
          <w:szCs w:val="20"/>
        </w:rPr>
      </w:pPr>
    </w:p>
    <w:p w:rsidR="00DC11BE" w:rsidRPr="0094770E" w:rsidRDefault="00DC11BE" w:rsidP="004E3707">
      <w:pPr>
        <w:pStyle w:val="Sub-Titulo2"/>
        <w:rPr>
          <w:rFonts w:cs="Times New Roman"/>
          <w:sz w:val="20"/>
          <w:szCs w:val="20"/>
        </w:rPr>
      </w:pPr>
    </w:p>
    <w:p w:rsidR="00DC11BE" w:rsidRPr="0094770E" w:rsidRDefault="00DC11BE" w:rsidP="004E3707">
      <w:pPr>
        <w:pStyle w:val="Sub-Titulo2"/>
        <w:rPr>
          <w:rFonts w:cs="Times New Roman"/>
          <w:sz w:val="20"/>
          <w:szCs w:val="20"/>
        </w:rPr>
      </w:pPr>
    </w:p>
    <w:p w:rsidR="00DC11BE" w:rsidRPr="0094770E" w:rsidRDefault="00DC11BE" w:rsidP="004E3707">
      <w:pPr>
        <w:pStyle w:val="Sub-Titulo2"/>
        <w:rPr>
          <w:rFonts w:cs="Times New Roman"/>
          <w:sz w:val="20"/>
          <w:szCs w:val="20"/>
        </w:rPr>
      </w:pPr>
    </w:p>
    <w:p w:rsidR="00DC11BE" w:rsidRPr="0094770E" w:rsidRDefault="00DC11BE" w:rsidP="004E3707">
      <w:pPr>
        <w:pStyle w:val="Sub-Titulo2"/>
        <w:rPr>
          <w:rFonts w:cs="Times New Roman"/>
          <w:sz w:val="20"/>
          <w:szCs w:val="20"/>
        </w:rPr>
      </w:pPr>
    </w:p>
    <w:p w:rsidR="00DC11BE" w:rsidRPr="0094770E" w:rsidRDefault="00DC11BE" w:rsidP="004E3707">
      <w:pPr>
        <w:pStyle w:val="Sub-Titulo2"/>
        <w:rPr>
          <w:rFonts w:cs="Times New Roman"/>
          <w:sz w:val="20"/>
          <w:szCs w:val="20"/>
        </w:rPr>
      </w:pPr>
    </w:p>
    <w:p w:rsidR="00DC11BE" w:rsidRPr="0094770E" w:rsidRDefault="00DC11BE" w:rsidP="004E3707">
      <w:pPr>
        <w:pStyle w:val="NomeAluno"/>
        <w:rPr>
          <w:lang w:val="pt-PT"/>
        </w:rPr>
      </w:pPr>
      <w:r w:rsidRPr="0094770E">
        <w:rPr>
          <w:noProof/>
          <w:lang w:val="pt-PT"/>
        </w:rPr>
        <w:drawing>
          <wp:inline distT="0" distB="0" distL="0" distR="0" wp14:anchorId="10BC8355" wp14:editId="2B071C90">
            <wp:extent cx="361950" cy="47625"/>
            <wp:effectExtent l="0" t="0" r="0" b="9525"/>
            <wp:docPr id="10" name="Picture 10" descr="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4" descr="Barra"/>
                    <pic:cNvPicPr>
                      <a:picLocks noRot="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47625"/>
                    </a:xfrm>
                    <a:prstGeom prst="rect">
                      <a:avLst/>
                    </a:prstGeom>
                    <a:noFill/>
                    <a:ln>
                      <a:noFill/>
                    </a:ln>
                    <a:effectLst/>
                  </pic:spPr>
                </pic:pic>
              </a:graphicData>
            </a:graphic>
          </wp:inline>
        </w:drawing>
      </w:r>
    </w:p>
    <w:p w:rsidR="00DC11BE" w:rsidRPr="0094770E" w:rsidRDefault="00DC11BE" w:rsidP="004E3707">
      <w:pPr>
        <w:pStyle w:val="Sub-Titulo1"/>
      </w:pPr>
      <w:r w:rsidRPr="0094770E">
        <w:t>Orientado por</w:t>
      </w:r>
    </w:p>
    <w:p w:rsidR="00DC11BE" w:rsidRPr="0094770E" w:rsidRDefault="00DC11BE" w:rsidP="004E3707">
      <w:pPr>
        <w:pStyle w:val="Orientadores"/>
      </w:pPr>
      <w:r w:rsidRPr="0094770E">
        <w:t>Professora Doutora Maria Antónia Gonçalves Rodrigues</w:t>
      </w:r>
    </w:p>
    <w:p w:rsidR="00DC11BE" w:rsidRPr="0094770E" w:rsidRDefault="00DC11BE" w:rsidP="004E3707">
      <w:pPr>
        <w:pStyle w:val="Sub-Titulo2"/>
        <w:spacing w:before="0" w:line="288" w:lineRule="auto"/>
        <w:rPr>
          <w:b/>
        </w:rPr>
      </w:pPr>
      <w:r w:rsidRPr="0094770E">
        <w:rPr>
          <w:b/>
        </w:rPr>
        <w:t>Professor Doutor João F. Proença</w:t>
      </w:r>
    </w:p>
    <w:p w:rsidR="00DC11BE" w:rsidRPr="0094770E" w:rsidRDefault="00DC11BE" w:rsidP="004E3707">
      <w:pPr>
        <w:pStyle w:val="Sub-Titulo2"/>
        <w:spacing w:before="0"/>
        <w:rPr>
          <w:b/>
          <w:sz w:val="20"/>
          <w:szCs w:val="20"/>
        </w:rPr>
      </w:pPr>
    </w:p>
    <w:p w:rsidR="00DC11BE" w:rsidRPr="0094770E" w:rsidRDefault="00DC11BE" w:rsidP="004E3707">
      <w:pPr>
        <w:pStyle w:val="Sub-Titulo2"/>
        <w:spacing w:before="0"/>
        <w:rPr>
          <w:b/>
          <w:sz w:val="20"/>
          <w:szCs w:val="20"/>
        </w:rPr>
      </w:pPr>
    </w:p>
    <w:p w:rsidR="00DC11BE" w:rsidRPr="0094770E" w:rsidRDefault="00DC11BE" w:rsidP="004E3707">
      <w:pPr>
        <w:pStyle w:val="Sub-Titulo2"/>
        <w:spacing w:before="0"/>
        <w:rPr>
          <w:b/>
          <w:sz w:val="20"/>
          <w:szCs w:val="20"/>
        </w:rPr>
      </w:pPr>
    </w:p>
    <w:p w:rsidR="00DC11BE" w:rsidRPr="0094770E" w:rsidRDefault="00DC11BE" w:rsidP="004E3707">
      <w:pPr>
        <w:pStyle w:val="Sub-Titulo2"/>
        <w:spacing w:before="0"/>
        <w:rPr>
          <w:b/>
          <w:sz w:val="20"/>
          <w:szCs w:val="20"/>
        </w:rPr>
      </w:pPr>
    </w:p>
    <w:p w:rsidR="00DC11BE" w:rsidRPr="0094770E" w:rsidRDefault="00DC11BE" w:rsidP="004E3707">
      <w:pPr>
        <w:pStyle w:val="Sub-Titulo2"/>
        <w:spacing w:before="0"/>
        <w:rPr>
          <w:b/>
          <w:sz w:val="20"/>
          <w:szCs w:val="20"/>
        </w:rPr>
      </w:pPr>
    </w:p>
    <w:p w:rsidR="00DC11BE" w:rsidRPr="0094770E" w:rsidRDefault="00DC11BE" w:rsidP="004E3707">
      <w:pPr>
        <w:pStyle w:val="NomeAluno"/>
        <w:rPr>
          <w:lang w:val="pt-PT"/>
        </w:rPr>
      </w:pPr>
      <w:r w:rsidRPr="0094770E">
        <w:rPr>
          <w:noProof/>
          <w:lang w:val="pt-PT"/>
        </w:rPr>
        <w:drawing>
          <wp:inline distT="0" distB="0" distL="0" distR="0" wp14:anchorId="4ADF7B22" wp14:editId="7A839161">
            <wp:extent cx="361950" cy="47625"/>
            <wp:effectExtent l="0" t="0" r="0" b="9525"/>
            <wp:docPr id="9" name="Picture 9" descr="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3" descr="Barra"/>
                    <pic:cNvPicPr>
                      <a:picLocks noRot="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47625"/>
                    </a:xfrm>
                    <a:prstGeom prst="rect">
                      <a:avLst/>
                    </a:prstGeom>
                    <a:noFill/>
                    <a:ln>
                      <a:noFill/>
                    </a:ln>
                    <a:effectLst/>
                  </pic:spPr>
                </pic:pic>
              </a:graphicData>
            </a:graphic>
          </wp:inline>
        </w:drawing>
      </w:r>
    </w:p>
    <w:p w:rsidR="00DC11BE" w:rsidRPr="0094770E" w:rsidRDefault="00C93E25" w:rsidP="00242CEC">
      <w:pPr>
        <w:spacing w:before="160"/>
        <w:sectPr w:rsidR="00DC11BE" w:rsidRPr="0094770E" w:rsidSect="00F6283A">
          <w:footerReference w:type="default" r:id="rId10"/>
          <w:pgSz w:w="11906" w:h="16838"/>
          <w:pgMar w:top="1701" w:right="1418" w:bottom="1701" w:left="1985" w:header="709" w:footer="709" w:gutter="0"/>
          <w:cols w:space="708"/>
          <w:titlePg/>
          <w:docGrid w:linePitch="360"/>
        </w:sectPr>
      </w:pPr>
      <w:r w:rsidRPr="0094770E">
        <w:rPr>
          <w:rFonts w:ascii="Garamond" w:hAnsi="Garamond"/>
          <w:sz w:val="24"/>
          <w:szCs w:val="24"/>
        </w:rPr>
        <w:t>2020</w:t>
      </w:r>
    </w:p>
    <w:p w:rsidR="00DC11BE" w:rsidRPr="000D65DA" w:rsidRDefault="00DC11BE" w:rsidP="009D42AA">
      <w:pPr>
        <w:pStyle w:val="CorpoTexto"/>
        <w:outlineLvl w:val="0"/>
        <w:rPr>
          <w:b/>
          <w:bCs/>
          <w:sz w:val="28"/>
          <w:szCs w:val="28"/>
        </w:rPr>
      </w:pPr>
      <w:bookmarkStart w:id="0" w:name="_Toc46678959"/>
      <w:r w:rsidRPr="000D65DA">
        <w:rPr>
          <w:b/>
          <w:bCs/>
          <w:sz w:val="28"/>
          <w:szCs w:val="28"/>
        </w:rPr>
        <w:lastRenderedPageBreak/>
        <w:t>Nota Biográfica</w:t>
      </w:r>
      <w:bookmarkEnd w:id="0"/>
    </w:p>
    <w:p w:rsidR="00DC11BE" w:rsidRPr="0094770E" w:rsidRDefault="00DC11BE" w:rsidP="00D77886">
      <w:pPr>
        <w:pStyle w:val="CorpoTexto"/>
      </w:pPr>
      <w:r w:rsidRPr="0094770E">
        <w:t xml:space="preserve">Cristiana Pereira nasceu a 11 de agosto de 1986, na cidade do Porto, Portugal. </w:t>
      </w:r>
    </w:p>
    <w:p w:rsidR="00DC11BE" w:rsidRPr="0094770E" w:rsidRDefault="00DC11BE" w:rsidP="00D77886">
      <w:pPr>
        <w:pStyle w:val="CorpoTexto"/>
      </w:pPr>
      <w:r w:rsidRPr="0094770E">
        <w:t>Decorria o ano de 2004 quando ingressou no curso de Estudos Portugueses (via Ensino) na Universidade do Minho, o qual concluiria em julho de 2009 com média final de 14 valores.</w:t>
      </w:r>
    </w:p>
    <w:p w:rsidR="00DC11BE" w:rsidRPr="0094770E" w:rsidRDefault="00DC11BE" w:rsidP="00D77886">
      <w:pPr>
        <w:pStyle w:val="CorpoTexto"/>
      </w:pPr>
      <w:r w:rsidRPr="0094770E">
        <w:t>Finda a licenciatura entra no mercado de trabalho como professora de inglês em atividades de enriquecimento curricular, funções que foi desempenhando a par da atividade de formadora de reconhecimento, validação e certificação de competências num Centro de Novas Oportunidades.</w:t>
      </w:r>
    </w:p>
    <w:p w:rsidR="00DC11BE" w:rsidRPr="0094770E" w:rsidRDefault="00DC11BE" w:rsidP="00D77886">
      <w:pPr>
        <w:pStyle w:val="CorpoTexto"/>
      </w:pPr>
      <w:r w:rsidRPr="0094770E">
        <w:t xml:space="preserve">No ano de 2013 opta para dar entrada num setor diferente de trabalho, começando a prestar serviços na Vodafone como assistente de loja e de </w:t>
      </w:r>
      <w:proofErr w:type="spellStart"/>
      <w:r w:rsidRPr="0094770E">
        <w:rPr>
          <w:i/>
        </w:rPr>
        <w:t>Backoffice</w:t>
      </w:r>
      <w:proofErr w:type="spellEnd"/>
      <w:r w:rsidRPr="0094770E">
        <w:t xml:space="preserve"> até Abril de 2015.</w:t>
      </w:r>
    </w:p>
    <w:p w:rsidR="00DC11BE" w:rsidRPr="0094770E" w:rsidRDefault="00DC11BE" w:rsidP="00D77886">
      <w:pPr>
        <w:pStyle w:val="CorpoTexto"/>
      </w:pPr>
      <w:r w:rsidRPr="0094770E">
        <w:t>Em Setembro de 2015 ingressou no curso de Mestrado em Gestão de Serviços na Faculdade de Economia da Universidade do Porto, concluindo a parte curricular com uma média de 14 de valores.</w:t>
      </w:r>
    </w:p>
    <w:p w:rsidR="00DC11BE" w:rsidRPr="0094770E" w:rsidRDefault="00DC11BE" w:rsidP="00D77886">
      <w:pPr>
        <w:pStyle w:val="CorpoTexto"/>
      </w:pPr>
      <w:r w:rsidRPr="0094770E">
        <w:t xml:space="preserve">No início do ano de 2016 começa a exercer funções como operacional de logística na empresa </w:t>
      </w:r>
      <w:proofErr w:type="spellStart"/>
      <w:r w:rsidRPr="0094770E">
        <w:rPr>
          <w:i/>
        </w:rPr>
        <w:t>Just</w:t>
      </w:r>
      <w:proofErr w:type="spellEnd"/>
      <w:r w:rsidRPr="0094770E">
        <w:rPr>
          <w:i/>
        </w:rPr>
        <w:t xml:space="preserve"> In Time Handling</w:t>
      </w:r>
      <w:r w:rsidRPr="0094770E">
        <w:t xml:space="preserve"> </w:t>
      </w:r>
      <w:r w:rsidR="002C09BA" w:rsidRPr="0094770E">
        <w:t>até novembro de 2019.</w:t>
      </w:r>
    </w:p>
    <w:p w:rsidR="00DC11BE" w:rsidRPr="0094770E" w:rsidRDefault="00DC11BE">
      <w:pPr>
        <w:rPr>
          <w:rFonts w:ascii="Garamond" w:hAnsi="Garamond" w:cs="Times New Roman"/>
          <w:sz w:val="24"/>
          <w:szCs w:val="24"/>
        </w:rPr>
      </w:pPr>
      <w:r w:rsidRPr="0094770E">
        <w:rPr>
          <w:rFonts w:ascii="Garamond" w:hAnsi="Garamond" w:cs="Times New Roman"/>
          <w:szCs w:val="24"/>
        </w:rPr>
        <w:br w:type="page"/>
      </w:r>
    </w:p>
    <w:p w:rsidR="00DC11BE" w:rsidRPr="000D65DA" w:rsidRDefault="00DC11BE" w:rsidP="009D42AA">
      <w:pPr>
        <w:pStyle w:val="CorpoTexto"/>
        <w:outlineLvl w:val="0"/>
        <w:rPr>
          <w:b/>
          <w:bCs/>
          <w:sz w:val="28"/>
          <w:szCs w:val="28"/>
        </w:rPr>
      </w:pPr>
      <w:bookmarkStart w:id="1" w:name="_Toc46678960"/>
      <w:r w:rsidRPr="000D65DA">
        <w:rPr>
          <w:b/>
          <w:bCs/>
          <w:sz w:val="28"/>
          <w:szCs w:val="28"/>
        </w:rPr>
        <w:lastRenderedPageBreak/>
        <w:t>Agradecimentos</w:t>
      </w:r>
      <w:bookmarkEnd w:id="1"/>
    </w:p>
    <w:p w:rsidR="00DC11BE" w:rsidRPr="0094770E" w:rsidRDefault="00DC11BE" w:rsidP="00D77886">
      <w:pPr>
        <w:pStyle w:val="CorpoTexto"/>
      </w:pPr>
      <w:r w:rsidRPr="0094770E">
        <w:t>A concretização da presente dissertação de mestrado contou com o apoio e incentivo direto e indireto de várias pessoas, sem as quais não seria uma realidade e às quais estarei eterna e profundamente grata.</w:t>
      </w:r>
    </w:p>
    <w:p w:rsidR="00DC11BE" w:rsidRPr="0094770E" w:rsidRDefault="00DC11BE" w:rsidP="00D77886">
      <w:pPr>
        <w:pStyle w:val="CorpoTexto"/>
      </w:pPr>
      <w:r w:rsidRPr="0094770E">
        <w:t>Aos Professores Doutores Maria Antónia Rodrigues e João Proença, pela vossa orientação, total apoio, disponibilidade sempre demonstrada, pelas opiniões e críticas, colaboração em solucionar dúvidas e problemas que foram surgindo e por todas as palavras de incentivo ao longo de todo o processo, nem sempre fácil.</w:t>
      </w:r>
    </w:p>
    <w:p w:rsidR="00DC11BE" w:rsidRPr="0094770E" w:rsidRDefault="00DC11BE" w:rsidP="00D77886">
      <w:pPr>
        <w:pStyle w:val="CorpoTexto"/>
      </w:pPr>
      <w:r w:rsidRPr="0094770E">
        <w:t>Podendo ser atraiçoada pela minha memória e não mencionar todos, aos amigos e colegas que de alguma forma cooperaram para este estudo, os meus agradecimentos a todos pela força e paciência em todos os momentos.</w:t>
      </w:r>
    </w:p>
    <w:p w:rsidR="00DC11BE" w:rsidRPr="0094770E" w:rsidRDefault="00DC11BE" w:rsidP="00D77886">
      <w:pPr>
        <w:pStyle w:val="CorpoTexto"/>
      </w:pPr>
      <w:r w:rsidRPr="0094770E">
        <w:t>Agradeço, ainda, a todos aqueles que se predispuseram em responder e partilhar o inquérito, sem vocês a conclusão desta dissertação não teria sido possível. Muito obrigada.</w:t>
      </w:r>
    </w:p>
    <w:p w:rsidR="00DC11BE" w:rsidRPr="0094770E" w:rsidRDefault="00DC11BE" w:rsidP="00D77886">
      <w:pPr>
        <w:pStyle w:val="CorpoTexto"/>
      </w:pPr>
      <w:proofErr w:type="spellStart"/>
      <w:r w:rsidRPr="000D65DA">
        <w:t>The</w:t>
      </w:r>
      <w:proofErr w:type="spellEnd"/>
      <w:r w:rsidRPr="000D65DA">
        <w:t xml:space="preserve"> </w:t>
      </w:r>
      <w:proofErr w:type="spellStart"/>
      <w:r w:rsidRPr="000D65DA">
        <w:t>last</w:t>
      </w:r>
      <w:proofErr w:type="spellEnd"/>
      <w:r w:rsidRPr="000D65DA">
        <w:t xml:space="preserve"> </w:t>
      </w:r>
      <w:proofErr w:type="spellStart"/>
      <w:r w:rsidRPr="000D65DA">
        <w:t>but</w:t>
      </w:r>
      <w:proofErr w:type="spellEnd"/>
      <w:r w:rsidRPr="000D65DA">
        <w:t xml:space="preserve"> </w:t>
      </w:r>
      <w:proofErr w:type="spellStart"/>
      <w:r w:rsidRPr="000D65DA">
        <w:t>not</w:t>
      </w:r>
      <w:proofErr w:type="spellEnd"/>
      <w:r w:rsidRPr="000D65DA">
        <w:t xml:space="preserve"> </w:t>
      </w:r>
      <w:proofErr w:type="spellStart"/>
      <w:r w:rsidRPr="000D65DA">
        <w:t>the</w:t>
      </w:r>
      <w:proofErr w:type="spellEnd"/>
      <w:r w:rsidRPr="000D65DA">
        <w:t xml:space="preserve"> </w:t>
      </w:r>
      <w:proofErr w:type="spellStart"/>
      <w:r w:rsidRPr="000D65DA">
        <w:t>least</w:t>
      </w:r>
      <w:proofErr w:type="spellEnd"/>
      <w:r w:rsidRPr="0094770E">
        <w:t>, à minha família, por tudo, ontem, hoje e amanhã, obrigada!</w:t>
      </w:r>
    </w:p>
    <w:p w:rsidR="00DC11BE" w:rsidRPr="0094770E" w:rsidRDefault="00DC11BE" w:rsidP="00D77886">
      <w:pPr>
        <w:pStyle w:val="CorpoTexto"/>
      </w:pPr>
    </w:p>
    <w:p w:rsidR="00DC11BE" w:rsidRPr="0094770E" w:rsidRDefault="00DC11BE" w:rsidP="004E3707"/>
    <w:p w:rsidR="00DC11BE" w:rsidRPr="0094770E" w:rsidRDefault="00DC11BE">
      <w:r w:rsidRPr="0094770E">
        <w:br w:type="page"/>
      </w:r>
    </w:p>
    <w:p w:rsidR="00DC11BE" w:rsidRPr="000D65DA" w:rsidRDefault="00DC11BE" w:rsidP="009D42AA">
      <w:pPr>
        <w:pStyle w:val="CorpoTexto"/>
        <w:outlineLvl w:val="0"/>
        <w:rPr>
          <w:b/>
          <w:bCs/>
          <w:sz w:val="28"/>
          <w:szCs w:val="28"/>
        </w:rPr>
      </w:pPr>
      <w:bookmarkStart w:id="2" w:name="_Toc46678961"/>
      <w:r w:rsidRPr="000D65DA">
        <w:rPr>
          <w:b/>
          <w:bCs/>
          <w:sz w:val="28"/>
          <w:szCs w:val="28"/>
        </w:rPr>
        <w:lastRenderedPageBreak/>
        <w:t>Resumo</w:t>
      </w:r>
      <w:bookmarkEnd w:id="2"/>
    </w:p>
    <w:p w:rsidR="00DC11BE" w:rsidRPr="0094770E" w:rsidRDefault="00DC11BE" w:rsidP="00D77886">
      <w:pPr>
        <w:pStyle w:val="CorpoTexto"/>
      </w:pPr>
      <w:r w:rsidRPr="0094770E">
        <w:t>No sector dos serviços, o capital humano das organizações é considerado o seu ativo mais importante, valioso e poderoso, independentemente da sua área de negócio. De uma forma geral</w:t>
      </w:r>
      <w:r w:rsidR="006F2B20" w:rsidRPr="0094770E">
        <w:t xml:space="preserve">, </w:t>
      </w:r>
      <w:r w:rsidRPr="0094770E">
        <w:t>o desempenho dos recursos humanos sofre influência da motivação e satisfação no trabalho, acabando por ser um tema de relevo e de grande interesse.</w:t>
      </w:r>
    </w:p>
    <w:p w:rsidR="00DC11BE" w:rsidRPr="00D77886" w:rsidRDefault="00DC11BE" w:rsidP="00D77886">
      <w:pPr>
        <w:pStyle w:val="CorpoTexto"/>
      </w:pPr>
      <w:r w:rsidRPr="0094770E">
        <w:t xml:space="preserve">Os principais estudos sobre serviços afirmam que, pelas características intrínsecas dos serviços, é quase inevitável a ocorrência de falhas na prestação dos serviços, motivadoras de muitas reclamações. Desta feita, o tratamento das reclamações e da recuperação do serviço ganha relevância, contudo a literatura tem-se focado maioritariamente na perspetiva do </w:t>
      </w:r>
      <w:r w:rsidRPr="00D77886">
        <w:t>cliente e das empresas, deixando a perspetiva do pessoal de contacto um pouco negligenciada.</w:t>
      </w:r>
    </w:p>
    <w:p w:rsidR="00DC11BE" w:rsidRPr="00D77886" w:rsidRDefault="00DC11BE" w:rsidP="00D77886">
      <w:pPr>
        <w:pStyle w:val="CorpoTexto"/>
      </w:pPr>
      <w:r w:rsidRPr="00D77886">
        <w:t>Esta investigação te</w:t>
      </w:r>
      <w:r w:rsidR="004E3707" w:rsidRPr="00D77886">
        <w:t>ve</w:t>
      </w:r>
      <w:r w:rsidRPr="00D77886">
        <w:t xml:space="preserve"> como objetivo principal analisar, numa situação de reclamação, de que forma a motivação e satisfação do pessoal de contacto pode influenciar as suas respostas emotivas, colmatando assim o gap da temática na perspetiva dos funcionários de contacto. </w:t>
      </w:r>
      <w:r w:rsidR="004E3707" w:rsidRPr="00D77886">
        <w:t>Partindo de</w:t>
      </w:r>
      <w:r w:rsidRPr="0094770E">
        <w:t xml:space="preserve"> uma pesquisa </w:t>
      </w:r>
      <w:r w:rsidR="004E3707" w:rsidRPr="0094770E">
        <w:t xml:space="preserve">de natureza </w:t>
      </w:r>
      <w:r w:rsidRPr="0094770E">
        <w:t xml:space="preserve">quantitativa, a análise de dados teve por base </w:t>
      </w:r>
      <w:r w:rsidR="004E3707" w:rsidRPr="0094770E">
        <w:t xml:space="preserve">uma amostra de </w:t>
      </w:r>
      <w:r w:rsidRPr="0094770E">
        <w:t>2</w:t>
      </w:r>
      <w:r w:rsidR="004E3707" w:rsidRPr="0094770E">
        <w:t>08 respostas validas e obtidas através de</w:t>
      </w:r>
      <w:r w:rsidRPr="0094770E">
        <w:t xml:space="preserve"> inquéritos por questionário </w:t>
      </w:r>
      <w:r w:rsidR="004E3707" w:rsidRPr="0094770E">
        <w:t xml:space="preserve">aplicado </w:t>
      </w:r>
      <w:r w:rsidRPr="0094770E">
        <w:t>a indivíduos que exercem ou exerceram funções de</w:t>
      </w:r>
      <w:r w:rsidR="00896C9F" w:rsidRPr="0094770E">
        <w:t xml:space="preserve"> contacto direto com o cliente</w:t>
      </w:r>
      <w:r w:rsidRPr="0094770E">
        <w:t xml:space="preserve">. </w:t>
      </w:r>
    </w:p>
    <w:p w:rsidR="00DC11BE" w:rsidRPr="0094770E" w:rsidRDefault="00DC11BE" w:rsidP="00D77886">
      <w:pPr>
        <w:pStyle w:val="CorpoTexto"/>
      </w:pPr>
      <w:r w:rsidRPr="0094770E">
        <w:t xml:space="preserve">Os resultados obtidos </w:t>
      </w:r>
      <w:r w:rsidR="004E3707" w:rsidRPr="0094770E">
        <w:t>foram</w:t>
      </w:r>
      <w:r w:rsidRPr="0094770E">
        <w:t xml:space="preserve"> de encontro às hipóteses lançadas e demonstra</w:t>
      </w:r>
      <w:r w:rsidR="004E3707" w:rsidRPr="0094770E">
        <w:t>ra</w:t>
      </w:r>
      <w:r w:rsidRPr="0094770E">
        <w:t>m que um aumento nas variáveis motivação e satisfação do pessoal de contacto conduzem a um aumento da variável resposta emocional positiva às reclamações de clientes e revelam assim a existência de uma correlação positiva entre estas variáveis.</w:t>
      </w:r>
    </w:p>
    <w:p w:rsidR="00DC11BE" w:rsidRPr="0094770E" w:rsidRDefault="00DC11BE" w:rsidP="00D77886">
      <w:pPr>
        <w:pStyle w:val="CorpoTexto"/>
      </w:pPr>
      <w:r w:rsidRPr="0094770E">
        <w:t>O presente estudo contribui</w:t>
      </w:r>
      <w:r w:rsidR="004E3707" w:rsidRPr="0094770E">
        <w:t>u</w:t>
      </w:r>
      <w:r w:rsidRPr="0094770E">
        <w:t xml:space="preserve"> para o preenchimento desta lacuna da literatura, aprofundando os estudos referentes ao pessoal de contacto e apresentando-se como uma mais-valia para a teoria fornecendo informação sobre os funcionários de linha de frente às organizações, favorecendo a melhoria da sua gestão de recursos humanos, gestão das reclamações em termos de estratégias de recuperação de serviço e para a gestão de serviços em geral.</w:t>
      </w:r>
    </w:p>
    <w:p w:rsidR="00DC11BE" w:rsidRPr="0094770E" w:rsidRDefault="00DC11BE" w:rsidP="00D77886">
      <w:pPr>
        <w:pStyle w:val="CorpoTexto"/>
      </w:pPr>
    </w:p>
    <w:p w:rsidR="00DC11BE" w:rsidRPr="0094770E" w:rsidRDefault="00DC11BE" w:rsidP="00D77886">
      <w:pPr>
        <w:pStyle w:val="CorpoTexto"/>
      </w:pPr>
      <w:r w:rsidRPr="00D77886">
        <w:t xml:space="preserve">Palavras chave: </w:t>
      </w:r>
      <w:r w:rsidRPr="0094770E">
        <w:t>Pessoal de Contacto, Emoções, Reclamações, Recuperação de Serviço, Motivação, Satisfação</w:t>
      </w:r>
    </w:p>
    <w:p w:rsidR="00DC11BE" w:rsidRPr="0094770E" w:rsidRDefault="00DC11BE">
      <w:pPr>
        <w:rPr>
          <w:rFonts w:ascii="Garamond" w:hAnsi="Garamond"/>
          <w:b/>
          <w:sz w:val="24"/>
        </w:rPr>
      </w:pPr>
      <w:r w:rsidRPr="0094770E">
        <w:rPr>
          <w:rFonts w:ascii="Garamond" w:hAnsi="Garamond"/>
          <w:b/>
        </w:rPr>
        <w:br w:type="page"/>
      </w:r>
    </w:p>
    <w:p w:rsidR="00DC11BE" w:rsidRPr="009D42AA" w:rsidRDefault="00DC11BE" w:rsidP="009D42AA">
      <w:pPr>
        <w:pStyle w:val="CorpoTexto"/>
        <w:outlineLvl w:val="0"/>
        <w:rPr>
          <w:b/>
          <w:bCs/>
          <w:sz w:val="28"/>
          <w:szCs w:val="28"/>
          <w:lang w:val="en-US"/>
        </w:rPr>
      </w:pPr>
      <w:bookmarkStart w:id="3" w:name="_Toc46678962"/>
      <w:r w:rsidRPr="009D42AA">
        <w:rPr>
          <w:b/>
          <w:bCs/>
          <w:sz w:val="28"/>
          <w:szCs w:val="28"/>
          <w:lang w:val="en-US"/>
        </w:rPr>
        <w:lastRenderedPageBreak/>
        <w:t>Abstract</w:t>
      </w:r>
      <w:bookmarkEnd w:id="3"/>
    </w:p>
    <w:p w:rsidR="00DC11BE" w:rsidRPr="00A32A19" w:rsidRDefault="00DC11BE" w:rsidP="00D77886">
      <w:pPr>
        <w:pStyle w:val="CorpoTexto"/>
        <w:rPr>
          <w:lang w:val="en-US"/>
        </w:rPr>
      </w:pPr>
      <w:r w:rsidRPr="00A32A19">
        <w:rPr>
          <w:lang w:val="en-US"/>
        </w:rPr>
        <w:t>In the services sector, the human capital of organizations is considered to be their most important, valuable and powerful asset, regardless of their business area. In general, the performance of human resources is influenced by motivation and job satisfaction, becoming a topic of highlight and interest.</w:t>
      </w:r>
    </w:p>
    <w:p w:rsidR="00DC11BE" w:rsidRPr="00A32A19" w:rsidRDefault="00DC11BE" w:rsidP="00D77886">
      <w:pPr>
        <w:pStyle w:val="CorpoTexto"/>
        <w:rPr>
          <w:lang w:val="en-US"/>
        </w:rPr>
      </w:pPr>
      <w:r w:rsidRPr="00A32A19">
        <w:rPr>
          <w:lang w:val="en-US"/>
        </w:rPr>
        <w:t>Major Service´s studies state that, due to the intrinsic characteristics of services, it is almost inevitable that failures occurs in service delivery, causing many complaints. The way of handling complaints and service recovery has gained relevance, however, literature has mostly focused on the customer and business perspective, leaving the perspective of contact staff somewhat neglected.</w:t>
      </w:r>
    </w:p>
    <w:p w:rsidR="00DC11BE" w:rsidRPr="00A32A19" w:rsidRDefault="00DC11BE" w:rsidP="00D77886">
      <w:pPr>
        <w:pStyle w:val="CorpoTexto"/>
        <w:rPr>
          <w:lang w:val="en-US"/>
        </w:rPr>
      </w:pPr>
      <w:r w:rsidRPr="00A32A19">
        <w:rPr>
          <w:lang w:val="en-US"/>
        </w:rPr>
        <w:t xml:space="preserve">The main objective of this investigation is to </w:t>
      </w:r>
      <w:r w:rsidR="00706314" w:rsidRPr="00A32A19">
        <w:rPr>
          <w:lang w:val="en-US"/>
        </w:rPr>
        <w:t>analyze</w:t>
      </w:r>
      <w:r w:rsidRPr="00A32A19">
        <w:rPr>
          <w:lang w:val="en-US"/>
        </w:rPr>
        <w:t>, in a complaining situation, how motivation and satisfaction of the contact staff can influence their emotional responses, closing the gap in the perspective of the contact staff. Through a quantitative survey, the data analysis was based on 270 questionnaire surveys being applied to individuals who performed direct contact with the client, the study population, making a valid sample of 208.</w:t>
      </w:r>
    </w:p>
    <w:p w:rsidR="00DC11BE" w:rsidRPr="00A32A19" w:rsidRDefault="00DC11BE" w:rsidP="00D77886">
      <w:pPr>
        <w:pStyle w:val="CorpoTexto"/>
        <w:rPr>
          <w:lang w:val="en-US"/>
        </w:rPr>
      </w:pPr>
      <w:r w:rsidRPr="00A32A19">
        <w:rPr>
          <w:lang w:val="en-US"/>
        </w:rPr>
        <w:t>The results are in line with the assumptions made and show that an increase in the motivation and satisfaction variables of contact staff leads to an increase in the positive emotional response variable to customer complaints and so reveals a positive correlation between these variables.</w:t>
      </w:r>
    </w:p>
    <w:p w:rsidR="00DC11BE" w:rsidRPr="00A32A19" w:rsidRDefault="00DC11BE" w:rsidP="00D77886">
      <w:pPr>
        <w:pStyle w:val="CorpoTexto"/>
        <w:rPr>
          <w:lang w:val="en-US"/>
        </w:rPr>
      </w:pPr>
      <w:r w:rsidRPr="00A32A19">
        <w:rPr>
          <w:lang w:val="en-US"/>
        </w:rPr>
        <w:t xml:space="preserve">This study aims to contribute to fill this gap in the literature, deepening the studies regarding contact staff and presenting itself as an added value for the theory providing information about frontline employees to organizations, </w:t>
      </w:r>
      <w:r w:rsidR="00706314" w:rsidRPr="00A32A19">
        <w:rPr>
          <w:lang w:val="en-US"/>
        </w:rPr>
        <w:t>favoring</w:t>
      </w:r>
      <w:r w:rsidRPr="00A32A19">
        <w:rPr>
          <w:lang w:val="en-US"/>
        </w:rPr>
        <w:t xml:space="preserve"> the improving its human resources management, complaints management in terms of service recovery strategies and service management in general.</w:t>
      </w:r>
    </w:p>
    <w:p w:rsidR="00095BC8" w:rsidRPr="00A32A19" w:rsidRDefault="00DC11BE" w:rsidP="00D77886">
      <w:pPr>
        <w:pStyle w:val="CorpoTexto"/>
        <w:rPr>
          <w:lang w:val="en-US"/>
        </w:rPr>
      </w:pPr>
      <w:r w:rsidRPr="00A32A19">
        <w:rPr>
          <w:lang w:val="en-US"/>
        </w:rPr>
        <w:br/>
        <w:t>Key words: Contact Staff, Emotions, Complaints, Service Recovery, Motivation, Satisfaction</w:t>
      </w:r>
    </w:p>
    <w:p w:rsidR="00095BC8" w:rsidRPr="00095BC8" w:rsidRDefault="00095BC8" w:rsidP="004E3707">
      <w:pPr>
        <w:rPr>
          <w:rFonts w:ascii="Garamond" w:hAnsi="Garamond"/>
          <w:sz w:val="24"/>
          <w:lang w:val="en-US"/>
        </w:rPr>
      </w:pPr>
    </w:p>
    <w:p w:rsidR="00095BC8" w:rsidRPr="00095BC8" w:rsidRDefault="00095BC8" w:rsidP="004E3707">
      <w:pPr>
        <w:rPr>
          <w:rFonts w:ascii="Garamond" w:hAnsi="Garamond"/>
          <w:sz w:val="24"/>
          <w:lang w:val="en-US"/>
        </w:rPr>
      </w:pPr>
    </w:p>
    <w:p w:rsidR="00095BC8" w:rsidRPr="00095BC8" w:rsidRDefault="00095BC8" w:rsidP="004E3707">
      <w:pPr>
        <w:rPr>
          <w:rFonts w:ascii="Garamond" w:hAnsi="Garamond"/>
          <w:sz w:val="24"/>
          <w:lang w:val="en-US"/>
        </w:rPr>
      </w:pPr>
    </w:p>
    <w:p w:rsidR="00A32A19" w:rsidRPr="009D42AA" w:rsidRDefault="00CE365D" w:rsidP="009D42AA">
      <w:pPr>
        <w:rPr>
          <w:rFonts w:ascii="Garamond" w:eastAsiaTheme="majorEastAsia" w:hAnsi="Garamond" w:cstheme="majorBidi"/>
          <w:b/>
          <w:sz w:val="28"/>
          <w:szCs w:val="28"/>
          <w:lang w:val="en-US"/>
        </w:rPr>
      </w:pPr>
      <w:r w:rsidRPr="00D77886">
        <w:rPr>
          <w:sz w:val="28"/>
          <w:szCs w:val="28"/>
          <w:lang w:val="en-US"/>
        </w:rPr>
        <w:br w:type="page"/>
      </w:r>
    </w:p>
    <w:bookmarkStart w:id="4" w:name="_Toc46678963" w:displacedByCustomXml="next"/>
    <w:sdt>
      <w:sdtPr>
        <w:id w:val="-189229038"/>
        <w:docPartObj>
          <w:docPartGallery w:val="Table of Contents"/>
          <w:docPartUnique/>
        </w:docPartObj>
      </w:sdtPr>
      <w:sdtContent>
        <w:p w:rsidR="005905A3" w:rsidRPr="00DD63A6" w:rsidRDefault="005905A3" w:rsidP="00DD63A6">
          <w:pPr>
            <w:pStyle w:val="CorpoTexto"/>
            <w:tabs>
              <w:tab w:val="left" w:pos="567"/>
              <w:tab w:val="right" w:leader="dot" w:pos="8494"/>
            </w:tabs>
            <w:rPr>
              <w:b/>
              <w:bCs/>
              <w:sz w:val="28"/>
              <w:szCs w:val="28"/>
            </w:rPr>
          </w:pPr>
          <w:r w:rsidRPr="00DD63A6">
            <w:rPr>
              <w:b/>
              <w:bCs/>
              <w:sz w:val="28"/>
              <w:szCs w:val="28"/>
            </w:rPr>
            <w:t>Índice</w:t>
          </w:r>
          <w:bookmarkEnd w:id="4"/>
        </w:p>
        <w:p w:rsidR="005905A3" w:rsidRPr="005905A3" w:rsidRDefault="005905A3" w:rsidP="00DD63A6">
          <w:pPr>
            <w:pStyle w:val="CorpoTexto"/>
            <w:tabs>
              <w:tab w:val="left" w:pos="567"/>
              <w:tab w:val="right" w:leader="dot" w:pos="8494"/>
            </w:tabs>
            <w:rPr>
              <w:noProof/>
            </w:rPr>
          </w:pPr>
          <w:r w:rsidRPr="005905A3">
            <w:fldChar w:fldCharType="begin"/>
          </w:r>
          <w:r w:rsidRPr="005905A3">
            <w:instrText>TOC \o "1-3" \h \z \u</w:instrText>
          </w:r>
          <w:r w:rsidRPr="005905A3">
            <w:fldChar w:fldCharType="separate"/>
          </w:r>
          <w:hyperlink w:anchor="_Toc46678959" w:history="1">
            <w:r w:rsidRPr="005905A3">
              <w:rPr>
                <w:rStyle w:val="Hiperligao"/>
                <w:noProof/>
                <w:color w:val="auto"/>
                <w:u w:val="none"/>
              </w:rPr>
              <w:t>Nota Biográfica</w:t>
            </w:r>
            <w:r w:rsidRPr="005905A3">
              <w:rPr>
                <w:noProof/>
                <w:webHidden/>
              </w:rPr>
              <w:tab/>
            </w:r>
            <w:r w:rsidRPr="005905A3">
              <w:rPr>
                <w:noProof/>
                <w:webHidden/>
              </w:rPr>
              <w:fldChar w:fldCharType="begin"/>
            </w:r>
            <w:r w:rsidRPr="005905A3">
              <w:rPr>
                <w:noProof/>
                <w:webHidden/>
              </w:rPr>
              <w:instrText xml:space="preserve"> PAGEREF _Toc46678959 \h </w:instrText>
            </w:r>
            <w:r w:rsidRPr="005905A3">
              <w:rPr>
                <w:noProof/>
                <w:webHidden/>
              </w:rPr>
            </w:r>
            <w:r w:rsidRPr="005905A3">
              <w:rPr>
                <w:noProof/>
                <w:webHidden/>
              </w:rPr>
              <w:fldChar w:fldCharType="separate"/>
            </w:r>
            <w:r w:rsidRPr="005905A3">
              <w:rPr>
                <w:noProof/>
                <w:webHidden/>
              </w:rPr>
              <w:t>i</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0" w:history="1">
            <w:r w:rsidRPr="005905A3">
              <w:rPr>
                <w:rStyle w:val="Hiperligao"/>
                <w:noProof/>
                <w:color w:val="auto"/>
                <w:u w:val="none"/>
              </w:rPr>
              <w:t>Agradecimentos</w:t>
            </w:r>
            <w:r w:rsidRPr="005905A3">
              <w:rPr>
                <w:noProof/>
                <w:webHidden/>
              </w:rPr>
              <w:tab/>
            </w:r>
            <w:r w:rsidRPr="005905A3">
              <w:rPr>
                <w:noProof/>
                <w:webHidden/>
              </w:rPr>
              <w:fldChar w:fldCharType="begin"/>
            </w:r>
            <w:r w:rsidRPr="005905A3">
              <w:rPr>
                <w:noProof/>
                <w:webHidden/>
              </w:rPr>
              <w:instrText xml:space="preserve"> PAGEREF _Toc46678960 \h </w:instrText>
            </w:r>
            <w:r w:rsidRPr="005905A3">
              <w:rPr>
                <w:noProof/>
                <w:webHidden/>
              </w:rPr>
            </w:r>
            <w:r w:rsidRPr="005905A3">
              <w:rPr>
                <w:noProof/>
                <w:webHidden/>
              </w:rPr>
              <w:fldChar w:fldCharType="separate"/>
            </w:r>
            <w:r w:rsidRPr="005905A3">
              <w:rPr>
                <w:noProof/>
                <w:webHidden/>
              </w:rPr>
              <w:t>ii</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1" w:history="1">
            <w:r w:rsidRPr="005905A3">
              <w:rPr>
                <w:rStyle w:val="Hiperligao"/>
                <w:noProof/>
                <w:color w:val="auto"/>
                <w:u w:val="none"/>
              </w:rPr>
              <w:t>Resumo</w:t>
            </w:r>
            <w:r w:rsidRPr="005905A3">
              <w:rPr>
                <w:noProof/>
                <w:webHidden/>
              </w:rPr>
              <w:tab/>
            </w:r>
            <w:r w:rsidRPr="005905A3">
              <w:rPr>
                <w:noProof/>
                <w:webHidden/>
              </w:rPr>
              <w:fldChar w:fldCharType="begin"/>
            </w:r>
            <w:r w:rsidRPr="005905A3">
              <w:rPr>
                <w:noProof/>
                <w:webHidden/>
              </w:rPr>
              <w:instrText xml:space="preserve"> PAGEREF _Toc46678961 \h </w:instrText>
            </w:r>
            <w:r w:rsidRPr="005905A3">
              <w:rPr>
                <w:noProof/>
                <w:webHidden/>
              </w:rPr>
            </w:r>
            <w:r w:rsidRPr="005905A3">
              <w:rPr>
                <w:noProof/>
                <w:webHidden/>
              </w:rPr>
              <w:fldChar w:fldCharType="separate"/>
            </w:r>
            <w:r w:rsidRPr="005905A3">
              <w:rPr>
                <w:noProof/>
                <w:webHidden/>
              </w:rPr>
              <w:t>iii</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2" w:history="1">
            <w:r w:rsidRPr="005905A3">
              <w:rPr>
                <w:rStyle w:val="Hiperligao"/>
                <w:noProof/>
                <w:color w:val="auto"/>
                <w:u w:val="none"/>
              </w:rPr>
              <w:t>Abstract</w:t>
            </w:r>
            <w:r w:rsidRPr="005905A3">
              <w:rPr>
                <w:noProof/>
                <w:webHidden/>
              </w:rPr>
              <w:tab/>
            </w:r>
            <w:r w:rsidRPr="005905A3">
              <w:rPr>
                <w:noProof/>
                <w:webHidden/>
              </w:rPr>
              <w:fldChar w:fldCharType="begin"/>
            </w:r>
            <w:r w:rsidRPr="005905A3">
              <w:rPr>
                <w:noProof/>
                <w:webHidden/>
              </w:rPr>
              <w:instrText xml:space="preserve"> PAGEREF _Toc46678962 \h </w:instrText>
            </w:r>
            <w:r w:rsidRPr="005905A3">
              <w:rPr>
                <w:noProof/>
                <w:webHidden/>
              </w:rPr>
            </w:r>
            <w:r w:rsidRPr="005905A3">
              <w:rPr>
                <w:noProof/>
                <w:webHidden/>
              </w:rPr>
              <w:fldChar w:fldCharType="separate"/>
            </w:r>
            <w:r w:rsidRPr="005905A3">
              <w:rPr>
                <w:noProof/>
                <w:webHidden/>
              </w:rPr>
              <w:t>iv</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3" w:history="1">
            <w:r w:rsidRPr="005905A3">
              <w:rPr>
                <w:rStyle w:val="Hiperligao"/>
                <w:noProof/>
                <w:color w:val="auto"/>
                <w:u w:val="none"/>
              </w:rPr>
              <w:t>Índice</w:t>
            </w:r>
            <w:r w:rsidRPr="005905A3">
              <w:rPr>
                <w:noProof/>
                <w:webHidden/>
              </w:rPr>
              <w:tab/>
            </w:r>
            <w:r w:rsidRPr="005905A3">
              <w:rPr>
                <w:noProof/>
                <w:webHidden/>
              </w:rPr>
              <w:fldChar w:fldCharType="begin"/>
            </w:r>
            <w:r w:rsidRPr="005905A3">
              <w:rPr>
                <w:noProof/>
                <w:webHidden/>
              </w:rPr>
              <w:instrText xml:space="preserve"> PAGEREF _Toc46678963 \h </w:instrText>
            </w:r>
            <w:r w:rsidRPr="005905A3">
              <w:rPr>
                <w:noProof/>
                <w:webHidden/>
              </w:rPr>
            </w:r>
            <w:r w:rsidRPr="005905A3">
              <w:rPr>
                <w:noProof/>
                <w:webHidden/>
              </w:rPr>
              <w:fldChar w:fldCharType="separate"/>
            </w:r>
            <w:r w:rsidRPr="005905A3">
              <w:rPr>
                <w:noProof/>
                <w:webHidden/>
              </w:rPr>
              <w:t>v</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4" w:history="1">
            <w:r w:rsidRPr="005905A3">
              <w:rPr>
                <w:rStyle w:val="Hiperligao"/>
                <w:noProof/>
                <w:color w:val="auto"/>
                <w:u w:val="none"/>
              </w:rPr>
              <w:t>Índice de tabelas</w:t>
            </w:r>
            <w:r w:rsidRPr="005905A3">
              <w:rPr>
                <w:noProof/>
                <w:webHidden/>
              </w:rPr>
              <w:tab/>
            </w:r>
            <w:r w:rsidRPr="005905A3">
              <w:rPr>
                <w:noProof/>
                <w:webHidden/>
              </w:rPr>
              <w:fldChar w:fldCharType="begin"/>
            </w:r>
            <w:r w:rsidRPr="005905A3">
              <w:rPr>
                <w:noProof/>
                <w:webHidden/>
              </w:rPr>
              <w:instrText xml:space="preserve"> PAGEREF _Toc46678964 \h </w:instrText>
            </w:r>
            <w:r w:rsidRPr="005905A3">
              <w:rPr>
                <w:noProof/>
                <w:webHidden/>
              </w:rPr>
            </w:r>
            <w:r w:rsidRPr="005905A3">
              <w:rPr>
                <w:noProof/>
                <w:webHidden/>
              </w:rPr>
              <w:fldChar w:fldCharType="separate"/>
            </w:r>
            <w:r w:rsidRPr="005905A3">
              <w:rPr>
                <w:noProof/>
                <w:webHidden/>
              </w:rPr>
              <w:t>vi</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5" w:history="1">
            <w:r w:rsidRPr="005905A3">
              <w:rPr>
                <w:rStyle w:val="Hiperligao"/>
                <w:noProof/>
                <w:color w:val="auto"/>
                <w:u w:val="none"/>
              </w:rPr>
              <w:t>Índice de figuras</w:t>
            </w:r>
            <w:r w:rsidRPr="005905A3">
              <w:rPr>
                <w:noProof/>
                <w:webHidden/>
              </w:rPr>
              <w:tab/>
            </w:r>
            <w:r w:rsidRPr="005905A3">
              <w:rPr>
                <w:noProof/>
                <w:webHidden/>
              </w:rPr>
              <w:fldChar w:fldCharType="begin"/>
            </w:r>
            <w:r w:rsidRPr="005905A3">
              <w:rPr>
                <w:noProof/>
                <w:webHidden/>
              </w:rPr>
              <w:instrText xml:space="preserve"> PAGEREF _Toc46678965 \h </w:instrText>
            </w:r>
            <w:r w:rsidRPr="005905A3">
              <w:rPr>
                <w:noProof/>
                <w:webHidden/>
              </w:rPr>
            </w:r>
            <w:r w:rsidRPr="005905A3">
              <w:rPr>
                <w:noProof/>
                <w:webHidden/>
              </w:rPr>
              <w:fldChar w:fldCharType="separate"/>
            </w:r>
            <w:r w:rsidRPr="005905A3">
              <w:rPr>
                <w:noProof/>
                <w:webHidden/>
              </w:rPr>
              <w:t>vii</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6" w:history="1">
            <w:r w:rsidRPr="005905A3">
              <w:rPr>
                <w:rStyle w:val="Hiperligao"/>
                <w:noProof/>
                <w:color w:val="auto"/>
                <w:u w:val="none"/>
              </w:rPr>
              <w:t>1</w:t>
            </w:r>
            <w:r w:rsidRPr="005905A3">
              <w:rPr>
                <w:noProof/>
              </w:rPr>
              <w:tab/>
            </w:r>
            <w:r w:rsidRPr="005905A3">
              <w:rPr>
                <w:rStyle w:val="Hiperligao"/>
                <w:noProof/>
                <w:color w:val="auto"/>
                <w:u w:val="none"/>
              </w:rPr>
              <w:t>I</w:t>
            </w:r>
            <w:r w:rsidRPr="005905A3">
              <w:rPr>
                <w:rStyle w:val="Hiperligao"/>
                <w:noProof/>
                <w:color w:val="auto"/>
                <w:u w:val="none"/>
              </w:rPr>
              <w:t>ntrodução</w:t>
            </w:r>
            <w:r w:rsidRPr="005905A3">
              <w:rPr>
                <w:noProof/>
                <w:webHidden/>
              </w:rPr>
              <w:tab/>
            </w:r>
            <w:r w:rsidRPr="005905A3">
              <w:rPr>
                <w:noProof/>
                <w:webHidden/>
              </w:rPr>
              <w:fldChar w:fldCharType="begin"/>
            </w:r>
            <w:r w:rsidRPr="005905A3">
              <w:rPr>
                <w:noProof/>
                <w:webHidden/>
              </w:rPr>
              <w:instrText xml:space="preserve"> PAGEREF _Toc46678966 \h </w:instrText>
            </w:r>
            <w:r w:rsidRPr="005905A3">
              <w:rPr>
                <w:noProof/>
                <w:webHidden/>
              </w:rPr>
            </w:r>
            <w:r w:rsidRPr="005905A3">
              <w:rPr>
                <w:noProof/>
                <w:webHidden/>
              </w:rPr>
              <w:fldChar w:fldCharType="separate"/>
            </w:r>
            <w:r w:rsidRPr="005905A3">
              <w:rPr>
                <w:noProof/>
                <w:webHidden/>
              </w:rPr>
              <w:t>1</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7" w:history="1">
            <w:r w:rsidRPr="005905A3">
              <w:rPr>
                <w:rStyle w:val="Hiperligao"/>
                <w:noProof/>
                <w:color w:val="auto"/>
                <w:u w:val="none"/>
              </w:rPr>
              <w:t>2</w:t>
            </w:r>
            <w:r w:rsidRPr="005905A3">
              <w:rPr>
                <w:noProof/>
              </w:rPr>
              <w:tab/>
            </w:r>
            <w:r w:rsidRPr="005905A3">
              <w:rPr>
                <w:rStyle w:val="Hiperligao"/>
                <w:noProof/>
                <w:color w:val="auto"/>
                <w:u w:val="none"/>
              </w:rPr>
              <w:t>Revisão de literatura</w:t>
            </w:r>
            <w:r w:rsidRPr="005905A3">
              <w:rPr>
                <w:noProof/>
                <w:webHidden/>
              </w:rPr>
              <w:tab/>
            </w:r>
            <w:r w:rsidRPr="005905A3">
              <w:rPr>
                <w:noProof/>
                <w:webHidden/>
              </w:rPr>
              <w:fldChar w:fldCharType="begin"/>
            </w:r>
            <w:r w:rsidRPr="005905A3">
              <w:rPr>
                <w:noProof/>
                <w:webHidden/>
              </w:rPr>
              <w:instrText xml:space="preserve"> PAGEREF _Toc46678967 \h </w:instrText>
            </w:r>
            <w:r w:rsidRPr="005905A3">
              <w:rPr>
                <w:noProof/>
                <w:webHidden/>
              </w:rPr>
            </w:r>
            <w:r w:rsidRPr="005905A3">
              <w:rPr>
                <w:noProof/>
                <w:webHidden/>
              </w:rPr>
              <w:fldChar w:fldCharType="separate"/>
            </w:r>
            <w:r w:rsidRPr="005905A3">
              <w:rPr>
                <w:noProof/>
                <w:webHidden/>
              </w:rPr>
              <w:t>4</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8" w:history="1">
            <w:r w:rsidRPr="005905A3">
              <w:rPr>
                <w:rStyle w:val="Hiperligao"/>
                <w:noProof/>
                <w:color w:val="auto"/>
                <w:u w:val="none"/>
              </w:rPr>
              <w:t>2.1</w:t>
            </w:r>
            <w:r w:rsidRPr="005905A3">
              <w:rPr>
                <w:noProof/>
              </w:rPr>
              <w:tab/>
            </w:r>
            <w:r w:rsidRPr="005905A3">
              <w:rPr>
                <w:rStyle w:val="Hiperligao"/>
                <w:noProof/>
                <w:color w:val="auto"/>
                <w:u w:val="none"/>
              </w:rPr>
              <w:t>Pessoal de contacto</w:t>
            </w:r>
            <w:r w:rsidRPr="005905A3">
              <w:rPr>
                <w:noProof/>
                <w:webHidden/>
              </w:rPr>
              <w:tab/>
            </w:r>
            <w:r w:rsidRPr="005905A3">
              <w:rPr>
                <w:noProof/>
                <w:webHidden/>
              </w:rPr>
              <w:fldChar w:fldCharType="begin"/>
            </w:r>
            <w:r w:rsidRPr="005905A3">
              <w:rPr>
                <w:noProof/>
                <w:webHidden/>
              </w:rPr>
              <w:instrText xml:space="preserve"> PAGEREF _Toc46678968 \h </w:instrText>
            </w:r>
            <w:r w:rsidRPr="005905A3">
              <w:rPr>
                <w:noProof/>
                <w:webHidden/>
              </w:rPr>
            </w:r>
            <w:r w:rsidRPr="005905A3">
              <w:rPr>
                <w:noProof/>
                <w:webHidden/>
              </w:rPr>
              <w:fldChar w:fldCharType="separate"/>
            </w:r>
            <w:r w:rsidRPr="005905A3">
              <w:rPr>
                <w:noProof/>
                <w:webHidden/>
              </w:rPr>
              <w:t>4</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69" w:history="1">
            <w:r w:rsidRPr="005905A3">
              <w:rPr>
                <w:rStyle w:val="Hiperligao"/>
                <w:noProof/>
                <w:color w:val="auto"/>
                <w:u w:val="none"/>
              </w:rPr>
              <w:t>2.2</w:t>
            </w:r>
            <w:r w:rsidRPr="005905A3">
              <w:rPr>
                <w:noProof/>
              </w:rPr>
              <w:tab/>
            </w:r>
            <w:r w:rsidRPr="005905A3">
              <w:rPr>
                <w:rStyle w:val="Hiperligao"/>
                <w:noProof/>
                <w:color w:val="auto"/>
                <w:u w:val="none"/>
              </w:rPr>
              <w:t>Satisfação</w:t>
            </w:r>
            <w:r w:rsidRPr="005905A3">
              <w:rPr>
                <w:noProof/>
                <w:webHidden/>
              </w:rPr>
              <w:tab/>
            </w:r>
            <w:r w:rsidRPr="005905A3">
              <w:rPr>
                <w:noProof/>
                <w:webHidden/>
              </w:rPr>
              <w:fldChar w:fldCharType="begin"/>
            </w:r>
            <w:r w:rsidRPr="005905A3">
              <w:rPr>
                <w:noProof/>
                <w:webHidden/>
              </w:rPr>
              <w:instrText xml:space="preserve"> PAGEREF _Toc46678969 \h </w:instrText>
            </w:r>
            <w:r w:rsidRPr="005905A3">
              <w:rPr>
                <w:noProof/>
                <w:webHidden/>
              </w:rPr>
            </w:r>
            <w:r w:rsidRPr="005905A3">
              <w:rPr>
                <w:noProof/>
                <w:webHidden/>
              </w:rPr>
              <w:fldChar w:fldCharType="separate"/>
            </w:r>
            <w:r w:rsidRPr="005905A3">
              <w:rPr>
                <w:noProof/>
                <w:webHidden/>
              </w:rPr>
              <w:t>7</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0" w:history="1">
            <w:r w:rsidRPr="005905A3">
              <w:rPr>
                <w:rStyle w:val="Hiperligao"/>
                <w:noProof/>
                <w:color w:val="auto"/>
                <w:u w:val="none"/>
              </w:rPr>
              <w:t>2.3</w:t>
            </w:r>
            <w:r w:rsidRPr="005905A3">
              <w:rPr>
                <w:noProof/>
              </w:rPr>
              <w:tab/>
            </w:r>
            <w:r w:rsidRPr="005905A3">
              <w:rPr>
                <w:rStyle w:val="Hiperligao"/>
                <w:noProof/>
                <w:color w:val="auto"/>
                <w:u w:val="none"/>
              </w:rPr>
              <w:t>Motivação</w:t>
            </w:r>
            <w:r w:rsidRPr="005905A3">
              <w:rPr>
                <w:noProof/>
                <w:webHidden/>
              </w:rPr>
              <w:tab/>
            </w:r>
            <w:r w:rsidRPr="005905A3">
              <w:rPr>
                <w:noProof/>
                <w:webHidden/>
              </w:rPr>
              <w:fldChar w:fldCharType="begin"/>
            </w:r>
            <w:r w:rsidRPr="005905A3">
              <w:rPr>
                <w:noProof/>
                <w:webHidden/>
              </w:rPr>
              <w:instrText xml:space="preserve"> PAGEREF _Toc46678970 \h </w:instrText>
            </w:r>
            <w:r w:rsidRPr="005905A3">
              <w:rPr>
                <w:noProof/>
                <w:webHidden/>
              </w:rPr>
            </w:r>
            <w:r w:rsidRPr="005905A3">
              <w:rPr>
                <w:noProof/>
                <w:webHidden/>
              </w:rPr>
              <w:fldChar w:fldCharType="separate"/>
            </w:r>
            <w:r w:rsidRPr="005905A3">
              <w:rPr>
                <w:noProof/>
                <w:webHidden/>
              </w:rPr>
              <w:t>13</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1" w:history="1">
            <w:r w:rsidRPr="005905A3">
              <w:rPr>
                <w:rStyle w:val="Hiperligao"/>
                <w:noProof/>
                <w:color w:val="auto"/>
                <w:u w:val="none"/>
              </w:rPr>
              <w:t>2.4</w:t>
            </w:r>
            <w:r w:rsidRPr="005905A3">
              <w:rPr>
                <w:noProof/>
              </w:rPr>
              <w:tab/>
            </w:r>
            <w:r w:rsidRPr="005905A3">
              <w:rPr>
                <w:rStyle w:val="Hiperligao"/>
                <w:noProof/>
                <w:color w:val="auto"/>
                <w:u w:val="none"/>
              </w:rPr>
              <w:t>Falhas no serviço</w:t>
            </w:r>
            <w:r w:rsidRPr="005905A3">
              <w:rPr>
                <w:noProof/>
                <w:webHidden/>
              </w:rPr>
              <w:tab/>
            </w:r>
            <w:r w:rsidRPr="005905A3">
              <w:rPr>
                <w:noProof/>
                <w:webHidden/>
              </w:rPr>
              <w:fldChar w:fldCharType="begin"/>
            </w:r>
            <w:r w:rsidRPr="005905A3">
              <w:rPr>
                <w:noProof/>
                <w:webHidden/>
              </w:rPr>
              <w:instrText xml:space="preserve"> PAGEREF _Toc46678971 \h </w:instrText>
            </w:r>
            <w:r w:rsidRPr="005905A3">
              <w:rPr>
                <w:noProof/>
                <w:webHidden/>
              </w:rPr>
            </w:r>
            <w:r w:rsidRPr="005905A3">
              <w:rPr>
                <w:noProof/>
                <w:webHidden/>
              </w:rPr>
              <w:fldChar w:fldCharType="separate"/>
            </w:r>
            <w:r w:rsidRPr="005905A3">
              <w:rPr>
                <w:noProof/>
                <w:webHidden/>
              </w:rPr>
              <w:t>19</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2" w:history="1">
            <w:r w:rsidRPr="005905A3">
              <w:rPr>
                <w:rStyle w:val="Hiperligao"/>
                <w:noProof/>
                <w:color w:val="auto"/>
                <w:u w:val="none"/>
              </w:rPr>
              <w:t>2.5</w:t>
            </w:r>
            <w:r w:rsidRPr="005905A3">
              <w:rPr>
                <w:noProof/>
              </w:rPr>
              <w:tab/>
            </w:r>
            <w:r w:rsidRPr="005905A3">
              <w:rPr>
                <w:rStyle w:val="Hiperligao"/>
                <w:noProof/>
                <w:color w:val="auto"/>
                <w:u w:val="none"/>
              </w:rPr>
              <w:t>Reclamações</w:t>
            </w:r>
            <w:r w:rsidRPr="005905A3">
              <w:rPr>
                <w:noProof/>
                <w:webHidden/>
              </w:rPr>
              <w:tab/>
            </w:r>
            <w:r w:rsidRPr="005905A3">
              <w:rPr>
                <w:noProof/>
                <w:webHidden/>
              </w:rPr>
              <w:fldChar w:fldCharType="begin"/>
            </w:r>
            <w:r w:rsidRPr="005905A3">
              <w:rPr>
                <w:noProof/>
                <w:webHidden/>
              </w:rPr>
              <w:instrText xml:space="preserve"> PAGEREF _Toc46678972 \h </w:instrText>
            </w:r>
            <w:r w:rsidRPr="005905A3">
              <w:rPr>
                <w:noProof/>
                <w:webHidden/>
              </w:rPr>
            </w:r>
            <w:r w:rsidRPr="005905A3">
              <w:rPr>
                <w:noProof/>
                <w:webHidden/>
              </w:rPr>
              <w:fldChar w:fldCharType="separate"/>
            </w:r>
            <w:r w:rsidRPr="005905A3">
              <w:rPr>
                <w:noProof/>
                <w:webHidden/>
              </w:rPr>
              <w:t>20</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3" w:history="1">
            <w:r w:rsidRPr="005905A3">
              <w:rPr>
                <w:rStyle w:val="Hiperligao"/>
                <w:noProof/>
                <w:color w:val="auto"/>
                <w:u w:val="none"/>
              </w:rPr>
              <w:t>2.6</w:t>
            </w:r>
            <w:r w:rsidRPr="005905A3">
              <w:rPr>
                <w:noProof/>
              </w:rPr>
              <w:tab/>
            </w:r>
            <w:r w:rsidRPr="005905A3">
              <w:rPr>
                <w:rStyle w:val="Hiperligao"/>
                <w:noProof/>
                <w:color w:val="auto"/>
                <w:u w:val="none"/>
              </w:rPr>
              <w:t>Recuperação de serviço</w:t>
            </w:r>
            <w:r w:rsidRPr="005905A3">
              <w:rPr>
                <w:noProof/>
                <w:webHidden/>
              </w:rPr>
              <w:tab/>
            </w:r>
            <w:r w:rsidRPr="005905A3">
              <w:rPr>
                <w:noProof/>
                <w:webHidden/>
              </w:rPr>
              <w:fldChar w:fldCharType="begin"/>
            </w:r>
            <w:r w:rsidRPr="005905A3">
              <w:rPr>
                <w:noProof/>
                <w:webHidden/>
              </w:rPr>
              <w:instrText xml:space="preserve"> PAGEREF _Toc46678973 \h </w:instrText>
            </w:r>
            <w:r w:rsidRPr="005905A3">
              <w:rPr>
                <w:noProof/>
                <w:webHidden/>
              </w:rPr>
            </w:r>
            <w:r w:rsidRPr="005905A3">
              <w:rPr>
                <w:noProof/>
                <w:webHidden/>
              </w:rPr>
              <w:fldChar w:fldCharType="separate"/>
            </w:r>
            <w:r w:rsidRPr="005905A3">
              <w:rPr>
                <w:noProof/>
                <w:webHidden/>
              </w:rPr>
              <w:t>22</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4" w:history="1">
            <w:r w:rsidRPr="005905A3">
              <w:rPr>
                <w:rStyle w:val="Hiperligao"/>
                <w:noProof/>
                <w:color w:val="auto"/>
                <w:u w:val="none"/>
              </w:rPr>
              <w:t>2.7</w:t>
            </w:r>
            <w:r w:rsidRPr="005905A3">
              <w:rPr>
                <w:noProof/>
              </w:rPr>
              <w:tab/>
            </w:r>
            <w:r w:rsidRPr="005905A3">
              <w:rPr>
                <w:rStyle w:val="Hiperligao"/>
                <w:noProof/>
                <w:color w:val="auto"/>
                <w:u w:val="none"/>
              </w:rPr>
              <w:t>Respostas do pessoal de contacto na recuperação do serviço</w:t>
            </w:r>
            <w:r w:rsidRPr="005905A3">
              <w:rPr>
                <w:noProof/>
                <w:webHidden/>
              </w:rPr>
              <w:tab/>
            </w:r>
            <w:r w:rsidRPr="005905A3">
              <w:rPr>
                <w:noProof/>
                <w:webHidden/>
              </w:rPr>
              <w:fldChar w:fldCharType="begin"/>
            </w:r>
            <w:r w:rsidRPr="005905A3">
              <w:rPr>
                <w:noProof/>
                <w:webHidden/>
              </w:rPr>
              <w:instrText xml:space="preserve"> PAGEREF _Toc46678974 \h </w:instrText>
            </w:r>
            <w:r w:rsidRPr="005905A3">
              <w:rPr>
                <w:noProof/>
                <w:webHidden/>
              </w:rPr>
            </w:r>
            <w:r w:rsidRPr="005905A3">
              <w:rPr>
                <w:noProof/>
                <w:webHidden/>
              </w:rPr>
              <w:fldChar w:fldCharType="separate"/>
            </w:r>
            <w:r w:rsidRPr="005905A3">
              <w:rPr>
                <w:noProof/>
                <w:webHidden/>
              </w:rPr>
              <w:t>24</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5" w:history="1">
            <w:r w:rsidRPr="005905A3">
              <w:rPr>
                <w:rStyle w:val="Hiperligao"/>
                <w:noProof/>
                <w:color w:val="auto"/>
                <w:u w:val="none"/>
              </w:rPr>
              <w:t>2.8</w:t>
            </w:r>
            <w:r w:rsidRPr="005905A3">
              <w:rPr>
                <w:noProof/>
              </w:rPr>
              <w:tab/>
            </w:r>
            <w:r w:rsidRPr="005905A3">
              <w:rPr>
                <w:rStyle w:val="Hiperligao"/>
                <w:noProof/>
                <w:color w:val="auto"/>
                <w:u w:val="none"/>
              </w:rPr>
              <w:t>Emoçõ</w:t>
            </w:r>
            <w:r w:rsidRPr="005905A3">
              <w:rPr>
                <w:rStyle w:val="Hiperligao"/>
                <w:noProof/>
                <w:color w:val="auto"/>
                <w:u w:val="none"/>
              </w:rPr>
              <w:t>e</w:t>
            </w:r>
            <w:r w:rsidRPr="005905A3">
              <w:rPr>
                <w:rStyle w:val="Hiperligao"/>
                <w:noProof/>
                <w:color w:val="auto"/>
                <w:u w:val="none"/>
              </w:rPr>
              <w:t>s</w:t>
            </w:r>
            <w:r w:rsidRPr="005905A3">
              <w:rPr>
                <w:noProof/>
                <w:webHidden/>
              </w:rPr>
              <w:tab/>
            </w:r>
            <w:r w:rsidRPr="005905A3">
              <w:rPr>
                <w:noProof/>
                <w:webHidden/>
              </w:rPr>
              <w:fldChar w:fldCharType="begin"/>
            </w:r>
            <w:r w:rsidRPr="005905A3">
              <w:rPr>
                <w:noProof/>
                <w:webHidden/>
              </w:rPr>
              <w:instrText xml:space="preserve"> PAGEREF _Toc46678975 \h </w:instrText>
            </w:r>
            <w:r w:rsidRPr="005905A3">
              <w:rPr>
                <w:noProof/>
                <w:webHidden/>
              </w:rPr>
            </w:r>
            <w:r w:rsidRPr="005905A3">
              <w:rPr>
                <w:noProof/>
                <w:webHidden/>
              </w:rPr>
              <w:fldChar w:fldCharType="separate"/>
            </w:r>
            <w:r w:rsidRPr="005905A3">
              <w:rPr>
                <w:noProof/>
                <w:webHidden/>
              </w:rPr>
              <w:t>26</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6" w:history="1">
            <w:r w:rsidRPr="005905A3">
              <w:rPr>
                <w:rStyle w:val="Hiperligao"/>
                <w:noProof/>
                <w:color w:val="auto"/>
                <w:u w:val="none"/>
              </w:rPr>
              <w:t>2.9</w:t>
            </w:r>
            <w:r w:rsidRPr="005905A3">
              <w:rPr>
                <w:noProof/>
              </w:rPr>
              <w:tab/>
            </w:r>
            <w:r w:rsidRPr="005905A3">
              <w:rPr>
                <w:rStyle w:val="Hiperligao"/>
                <w:noProof/>
                <w:color w:val="auto"/>
                <w:u w:val="none"/>
              </w:rPr>
              <w:t>Síntese</w:t>
            </w:r>
            <w:r w:rsidRPr="005905A3">
              <w:rPr>
                <w:noProof/>
                <w:webHidden/>
              </w:rPr>
              <w:tab/>
            </w:r>
            <w:r w:rsidRPr="005905A3">
              <w:rPr>
                <w:noProof/>
                <w:webHidden/>
              </w:rPr>
              <w:fldChar w:fldCharType="begin"/>
            </w:r>
            <w:r w:rsidRPr="005905A3">
              <w:rPr>
                <w:noProof/>
                <w:webHidden/>
              </w:rPr>
              <w:instrText xml:space="preserve"> PAGEREF _Toc46678976 \h </w:instrText>
            </w:r>
            <w:r w:rsidRPr="005905A3">
              <w:rPr>
                <w:noProof/>
                <w:webHidden/>
              </w:rPr>
            </w:r>
            <w:r w:rsidRPr="005905A3">
              <w:rPr>
                <w:noProof/>
                <w:webHidden/>
              </w:rPr>
              <w:fldChar w:fldCharType="separate"/>
            </w:r>
            <w:r w:rsidRPr="005905A3">
              <w:rPr>
                <w:noProof/>
                <w:webHidden/>
              </w:rPr>
              <w:t>29</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7" w:history="1">
            <w:r w:rsidRPr="005905A3">
              <w:rPr>
                <w:rStyle w:val="Hiperligao"/>
                <w:noProof/>
                <w:color w:val="auto"/>
                <w:u w:val="none"/>
              </w:rPr>
              <w:t>3</w:t>
            </w:r>
            <w:r w:rsidRPr="005905A3">
              <w:rPr>
                <w:noProof/>
              </w:rPr>
              <w:tab/>
            </w:r>
            <w:r w:rsidRPr="005905A3">
              <w:rPr>
                <w:rStyle w:val="Hiperligao"/>
                <w:noProof/>
                <w:color w:val="auto"/>
                <w:u w:val="none"/>
              </w:rPr>
              <w:t>Estudo empírico</w:t>
            </w:r>
            <w:r w:rsidRPr="005905A3">
              <w:rPr>
                <w:noProof/>
                <w:webHidden/>
              </w:rPr>
              <w:tab/>
            </w:r>
            <w:r w:rsidRPr="005905A3">
              <w:rPr>
                <w:noProof/>
                <w:webHidden/>
              </w:rPr>
              <w:fldChar w:fldCharType="begin"/>
            </w:r>
            <w:r w:rsidRPr="005905A3">
              <w:rPr>
                <w:noProof/>
                <w:webHidden/>
              </w:rPr>
              <w:instrText xml:space="preserve"> PAGEREF _Toc46678977 \h </w:instrText>
            </w:r>
            <w:r w:rsidRPr="005905A3">
              <w:rPr>
                <w:noProof/>
                <w:webHidden/>
              </w:rPr>
            </w:r>
            <w:r w:rsidRPr="005905A3">
              <w:rPr>
                <w:noProof/>
                <w:webHidden/>
              </w:rPr>
              <w:fldChar w:fldCharType="separate"/>
            </w:r>
            <w:r w:rsidRPr="005905A3">
              <w:rPr>
                <w:noProof/>
                <w:webHidden/>
              </w:rPr>
              <w:t>32</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8" w:history="1">
            <w:r w:rsidRPr="005905A3">
              <w:rPr>
                <w:rStyle w:val="Hiperligao"/>
                <w:noProof/>
                <w:color w:val="auto"/>
                <w:u w:val="none"/>
              </w:rPr>
              <w:t>3.1</w:t>
            </w:r>
            <w:r w:rsidRPr="005905A3">
              <w:rPr>
                <w:noProof/>
              </w:rPr>
              <w:tab/>
            </w:r>
            <w:r w:rsidRPr="005905A3">
              <w:rPr>
                <w:rStyle w:val="Hiperligao"/>
                <w:noProof/>
                <w:color w:val="auto"/>
                <w:u w:val="none"/>
              </w:rPr>
              <w:t>Modelo e hipóteses</w:t>
            </w:r>
            <w:r w:rsidRPr="005905A3">
              <w:rPr>
                <w:noProof/>
                <w:webHidden/>
              </w:rPr>
              <w:tab/>
            </w:r>
            <w:r w:rsidRPr="005905A3">
              <w:rPr>
                <w:noProof/>
                <w:webHidden/>
              </w:rPr>
              <w:fldChar w:fldCharType="begin"/>
            </w:r>
            <w:r w:rsidRPr="005905A3">
              <w:rPr>
                <w:noProof/>
                <w:webHidden/>
              </w:rPr>
              <w:instrText xml:space="preserve"> PAGEREF _Toc46678978 \h </w:instrText>
            </w:r>
            <w:r w:rsidRPr="005905A3">
              <w:rPr>
                <w:noProof/>
                <w:webHidden/>
              </w:rPr>
            </w:r>
            <w:r w:rsidRPr="005905A3">
              <w:rPr>
                <w:noProof/>
                <w:webHidden/>
              </w:rPr>
              <w:fldChar w:fldCharType="separate"/>
            </w:r>
            <w:r w:rsidRPr="005905A3">
              <w:rPr>
                <w:noProof/>
                <w:webHidden/>
              </w:rPr>
              <w:t>32</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79" w:history="1">
            <w:r w:rsidRPr="005905A3">
              <w:rPr>
                <w:rStyle w:val="Hiperligao"/>
                <w:noProof/>
                <w:color w:val="auto"/>
                <w:u w:val="none"/>
              </w:rPr>
              <w:t>3.2</w:t>
            </w:r>
            <w:r w:rsidRPr="005905A3">
              <w:rPr>
                <w:noProof/>
              </w:rPr>
              <w:tab/>
            </w:r>
            <w:r w:rsidRPr="005905A3">
              <w:rPr>
                <w:rStyle w:val="Hiperligao"/>
                <w:noProof/>
                <w:color w:val="auto"/>
                <w:u w:val="none"/>
              </w:rPr>
              <w:t>Metodologia</w:t>
            </w:r>
            <w:r w:rsidRPr="005905A3">
              <w:rPr>
                <w:noProof/>
                <w:webHidden/>
              </w:rPr>
              <w:tab/>
            </w:r>
            <w:r w:rsidRPr="005905A3">
              <w:rPr>
                <w:noProof/>
                <w:webHidden/>
              </w:rPr>
              <w:fldChar w:fldCharType="begin"/>
            </w:r>
            <w:r w:rsidRPr="005905A3">
              <w:rPr>
                <w:noProof/>
                <w:webHidden/>
              </w:rPr>
              <w:instrText xml:space="preserve"> PAGEREF _Toc46678979 \h </w:instrText>
            </w:r>
            <w:r w:rsidRPr="005905A3">
              <w:rPr>
                <w:noProof/>
                <w:webHidden/>
              </w:rPr>
            </w:r>
            <w:r w:rsidRPr="005905A3">
              <w:rPr>
                <w:noProof/>
                <w:webHidden/>
              </w:rPr>
              <w:fldChar w:fldCharType="separate"/>
            </w:r>
            <w:r w:rsidRPr="005905A3">
              <w:rPr>
                <w:noProof/>
                <w:webHidden/>
              </w:rPr>
              <w:t>35</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0" w:history="1">
            <w:r w:rsidRPr="005905A3">
              <w:rPr>
                <w:rStyle w:val="Hiperligao"/>
                <w:noProof/>
                <w:color w:val="auto"/>
                <w:u w:val="none"/>
              </w:rPr>
              <w:t>3.3</w:t>
            </w:r>
            <w:r w:rsidRPr="005905A3">
              <w:rPr>
                <w:noProof/>
              </w:rPr>
              <w:tab/>
            </w:r>
            <w:r w:rsidRPr="005905A3">
              <w:rPr>
                <w:rStyle w:val="Hiperligao"/>
                <w:noProof/>
                <w:color w:val="auto"/>
                <w:u w:val="none"/>
              </w:rPr>
              <w:t>População alvo e amostra</w:t>
            </w:r>
            <w:r w:rsidRPr="005905A3">
              <w:rPr>
                <w:noProof/>
                <w:webHidden/>
              </w:rPr>
              <w:tab/>
            </w:r>
            <w:r w:rsidRPr="005905A3">
              <w:rPr>
                <w:noProof/>
                <w:webHidden/>
              </w:rPr>
              <w:fldChar w:fldCharType="begin"/>
            </w:r>
            <w:r w:rsidRPr="005905A3">
              <w:rPr>
                <w:noProof/>
                <w:webHidden/>
              </w:rPr>
              <w:instrText xml:space="preserve"> PAGEREF _Toc46678980 \h </w:instrText>
            </w:r>
            <w:r w:rsidRPr="005905A3">
              <w:rPr>
                <w:noProof/>
                <w:webHidden/>
              </w:rPr>
            </w:r>
            <w:r w:rsidRPr="005905A3">
              <w:rPr>
                <w:noProof/>
                <w:webHidden/>
              </w:rPr>
              <w:fldChar w:fldCharType="separate"/>
            </w:r>
            <w:r w:rsidRPr="005905A3">
              <w:rPr>
                <w:noProof/>
                <w:webHidden/>
              </w:rPr>
              <w:t>36</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1" w:history="1">
            <w:r w:rsidRPr="005905A3">
              <w:rPr>
                <w:rStyle w:val="Hiperligao"/>
                <w:noProof/>
                <w:color w:val="auto"/>
                <w:u w:val="none"/>
              </w:rPr>
              <w:t>3.4</w:t>
            </w:r>
            <w:r w:rsidRPr="005905A3">
              <w:rPr>
                <w:noProof/>
              </w:rPr>
              <w:tab/>
            </w:r>
            <w:r w:rsidRPr="005905A3">
              <w:rPr>
                <w:rStyle w:val="Hiperligao"/>
                <w:noProof/>
                <w:color w:val="auto"/>
                <w:u w:val="none"/>
              </w:rPr>
              <w:t>Construção do questionário e recolha de dados</w:t>
            </w:r>
            <w:r w:rsidRPr="005905A3">
              <w:rPr>
                <w:noProof/>
                <w:webHidden/>
              </w:rPr>
              <w:tab/>
            </w:r>
            <w:r w:rsidRPr="005905A3">
              <w:rPr>
                <w:noProof/>
                <w:webHidden/>
              </w:rPr>
              <w:fldChar w:fldCharType="begin"/>
            </w:r>
            <w:r w:rsidRPr="005905A3">
              <w:rPr>
                <w:noProof/>
                <w:webHidden/>
              </w:rPr>
              <w:instrText xml:space="preserve"> PAGEREF _Toc46678981 \h </w:instrText>
            </w:r>
            <w:r w:rsidRPr="005905A3">
              <w:rPr>
                <w:noProof/>
                <w:webHidden/>
              </w:rPr>
            </w:r>
            <w:r w:rsidRPr="005905A3">
              <w:rPr>
                <w:noProof/>
                <w:webHidden/>
              </w:rPr>
              <w:fldChar w:fldCharType="separate"/>
            </w:r>
            <w:r w:rsidRPr="005905A3">
              <w:rPr>
                <w:noProof/>
                <w:webHidden/>
              </w:rPr>
              <w:t>37</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2" w:history="1">
            <w:r w:rsidRPr="005905A3">
              <w:rPr>
                <w:rStyle w:val="Hiperligao"/>
                <w:noProof/>
                <w:color w:val="auto"/>
                <w:u w:val="none"/>
              </w:rPr>
              <w:t>3.5</w:t>
            </w:r>
            <w:r w:rsidRPr="005905A3">
              <w:rPr>
                <w:noProof/>
              </w:rPr>
              <w:tab/>
            </w:r>
            <w:r w:rsidRPr="005905A3">
              <w:rPr>
                <w:rStyle w:val="Hiperligao"/>
                <w:noProof/>
                <w:color w:val="auto"/>
                <w:u w:val="none"/>
              </w:rPr>
              <w:t>Análise dos resultados do estudo</w:t>
            </w:r>
            <w:r w:rsidRPr="005905A3">
              <w:rPr>
                <w:noProof/>
                <w:webHidden/>
              </w:rPr>
              <w:tab/>
            </w:r>
            <w:r w:rsidRPr="005905A3">
              <w:rPr>
                <w:noProof/>
                <w:webHidden/>
              </w:rPr>
              <w:fldChar w:fldCharType="begin"/>
            </w:r>
            <w:r w:rsidRPr="005905A3">
              <w:rPr>
                <w:noProof/>
                <w:webHidden/>
              </w:rPr>
              <w:instrText xml:space="preserve"> PAGEREF _Toc46678982 \h </w:instrText>
            </w:r>
            <w:r w:rsidRPr="005905A3">
              <w:rPr>
                <w:noProof/>
                <w:webHidden/>
              </w:rPr>
            </w:r>
            <w:r w:rsidRPr="005905A3">
              <w:rPr>
                <w:noProof/>
                <w:webHidden/>
              </w:rPr>
              <w:fldChar w:fldCharType="separate"/>
            </w:r>
            <w:r w:rsidRPr="005905A3">
              <w:rPr>
                <w:noProof/>
                <w:webHidden/>
              </w:rPr>
              <w:t>42</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3" w:history="1">
            <w:r w:rsidRPr="005905A3">
              <w:rPr>
                <w:rStyle w:val="Hiperligao"/>
                <w:noProof/>
                <w:color w:val="auto"/>
                <w:u w:val="none"/>
              </w:rPr>
              <w:t>3.6</w:t>
            </w:r>
            <w:r w:rsidRPr="005905A3">
              <w:rPr>
                <w:noProof/>
              </w:rPr>
              <w:tab/>
            </w:r>
            <w:r w:rsidRPr="005905A3">
              <w:rPr>
                <w:rStyle w:val="Hiperligao"/>
                <w:noProof/>
                <w:color w:val="auto"/>
                <w:u w:val="none"/>
              </w:rPr>
              <w:t>Caracterização da amostra</w:t>
            </w:r>
            <w:r w:rsidRPr="005905A3">
              <w:rPr>
                <w:noProof/>
                <w:webHidden/>
              </w:rPr>
              <w:tab/>
            </w:r>
            <w:r w:rsidRPr="005905A3">
              <w:rPr>
                <w:noProof/>
                <w:webHidden/>
              </w:rPr>
              <w:fldChar w:fldCharType="begin"/>
            </w:r>
            <w:r w:rsidRPr="005905A3">
              <w:rPr>
                <w:noProof/>
                <w:webHidden/>
              </w:rPr>
              <w:instrText xml:space="preserve"> PAGEREF _Toc46678983 \h </w:instrText>
            </w:r>
            <w:r w:rsidRPr="005905A3">
              <w:rPr>
                <w:noProof/>
                <w:webHidden/>
              </w:rPr>
            </w:r>
            <w:r w:rsidRPr="005905A3">
              <w:rPr>
                <w:noProof/>
                <w:webHidden/>
              </w:rPr>
              <w:fldChar w:fldCharType="separate"/>
            </w:r>
            <w:r w:rsidRPr="005905A3">
              <w:rPr>
                <w:noProof/>
                <w:webHidden/>
              </w:rPr>
              <w:t>42</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4" w:history="1">
            <w:r w:rsidRPr="005905A3">
              <w:rPr>
                <w:rStyle w:val="Hiperligao"/>
                <w:noProof/>
                <w:color w:val="auto"/>
                <w:u w:val="none"/>
              </w:rPr>
              <w:t>4</w:t>
            </w:r>
            <w:r w:rsidRPr="005905A3">
              <w:rPr>
                <w:noProof/>
              </w:rPr>
              <w:tab/>
            </w:r>
            <w:r w:rsidRPr="005905A3">
              <w:rPr>
                <w:rStyle w:val="Hiperligao"/>
                <w:noProof/>
                <w:color w:val="auto"/>
                <w:u w:val="none"/>
              </w:rPr>
              <w:t>Análise de dados</w:t>
            </w:r>
            <w:r w:rsidRPr="005905A3">
              <w:rPr>
                <w:noProof/>
                <w:webHidden/>
              </w:rPr>
              <w:tab/>
            </w:r>
            <w:r w:rsidRPr="005905A3">
              <w:rPr>
                <w:noProof/>
                <w:webHidden/>
              </w:rPr>
              <w:fldChar w:fldCharType="begin"/>
            </w:r>
            <w:r w:rsidRPr="005905A3">
              <w:rPr>
                <w:noProof/>
                <w:webHidden/>
              </w:rPr>
              <w:instrText xml:space="preserve"> PAGEREF _Toc46678984 \h </w:instrText>
            </w:r>
            <w:r w:rsidRPr="005905A3">
              <w:rPr>
                <w:noProof/>
                <w:webHidden/>
              </w:rPr>
            </w:r>
            <w:r w:rsidRPr="005905A3">
              <w:rPr>
                <w:noProof/>
                <w:webHidden/>
              </w:rPr>
              <w:fldChar w:fldCharType="separate"/>
            </w:r>
            <w:r w:rsidRPr="005905A3">
              <w:rPr>
                <w:noProof/>
                <w:webHidden/>
              </w:rPr>
              <w:t>47</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5" w:history="1">
            <w:r w:rsidRPr="005905A3">
              <w:rPr>
                <w:rStyle w:val="Hiperligao"/>
                <w:noProof/>
                <w:color w:val="auto"/>
                <w:u w:val="none"/>
              </w:rPr>
              <w:t>4.1</w:t>
            </w:r>
            <w:r w:rsidRPr="005905A3">
              <w:rPr>
                <w:noProof/>
              </w:rPr>
              <w:tab/>
            </w:r>
            <w:r w:rsidRPr="005905A3">
              <w:rPr>
                <w:rStyle w:val="Hiperligao"/>
                <w:noProof/>
                <w:color w:val="auto"/>
                <w:u w:val="none"/>
              </w:rPr>
              <w:t>Estatística descritiva das variáveis em estudo</w:t>
            </w:r>
            <w:r w:rsidRPr="005905A3">
              <w:rPr>
                <w:noProof/>
                <w:webHidden/>
              </w:rPr>
              <w:tab/>
            </w:r>
            <w:r w:rsidRPr="005905A3">
              <w:rPr>
                <w:noProof/>
                <w:webHidden/>
              </w:rPr>
              <w:fldChar w:fldCharType="begin"/>
            </w:r>
            <w:r w:rsidRPr="005905A3">
              <w:rPr>
                <w:noProof/>
                <w:webHidden/>
              </w:rPr>
              <w:instrText xml:space="preserve"> PAGEREF _Toc46678985 \h </w:instrText>
            </w:r>
            <w:r w:rsidRPr="005905A3">
              <w:rPr>
                <w:noProof/>
                <w:webHidden/>
              </w:rPr>
            </w:r>
            <w:r w:rsidRPr="005905A3">
              <w:rPr>
                <w:noProof/>
                <w:webHidden/>
              </w:rPr>
              <w:fldChar w:fldCharType="separate"/>
            </w:r>
            <w:r w:rsidRPr="005905A3">
              <w:rPr>
                <w:noProof/>
                <w:webHidden/>
              </w:rPr>
              <w:t>47</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6" w:history="1">
            <w:r w:rsidRPr="005905A3">
              <w:rPr>
                <w:rStyle w:val="Hiperligao"/>
                <w:noProof/>
                <w:color w:val="auto"/>
                <w:u w:val="none"/>
              </w:rPr>
              <w:t>4.2</w:t>
            </w:r>
            <w:r w:rsidRPr="005905A3">
              <w:rPr>
                <w:noProof/>
              </w:rPr>
              <w:tab/>
            </w:r>
            <w:r w:rsidRPr="005905A3">
              <w:rPr>
                <w:rStyle w:val="Hiperligao"/>
                <w:noProof/>
                <w:color w:val="auto"/>
                <w:u w:val="none"/>
              </w:rPr>
              <w:t>Análise Fatorial</w:t>
            </w:r>
            <w:r w:rsidRPr="005905A3">
              <w:rPr>
                <w:noProof/>
                <w:webHidden/>
              </w:rPr>
              <w:tab/>
            </w:r>
            <w:r w:rsidRPr="005905A3">
              <w:rPr>
                <w:noProof/>
                <w:webHidden/>
              </w:rPr>
              <w:fldChar w:fldCharType="begin"/>
            </w:r>
            <w:r w:rsidRPr="005905A3">
              <w:rPr>
                <w:noProof/>
                <w:webHidden/>
              </w:rPr>
              <w:instrText xml:space="preserve"> PAGEREF _Toc46678986 \h </w:instrText>
            </w:r>
            <w:r w:rsidRPr="005905A3">
              <w:rPr>
                <w:noProof/>
                <w:webHidden/>
              </w:rPr>
            </w:r>
            <w:r w:rsidRPr="005905A3">
              <w:rPr>
                <w:noProof/>
                <w:webHidden/>
              </w:rPr>
              <w:fldChar w:fldCharType="separate"/>
            </w:r>
            <w:r w:rsidRPr="005905A3">
              <w:rPr>
                <w:noProof/>
                <w:webHidden/>
              </w:rPr>
              <w:t>52</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7" w:history="1">
            <w:r w:rsidRPr="005905A3">
              <w:rPr>
                <w:rStyle w:val="Hiperligao"/>
                <w:noProof/>
                <w:color w:val="auto"/>
                <w:u w:val="none"/>
              </w:rPr>
              <w:t>4.3</w:t>
            </w:r>
            <w:r w:rsidRPr="005905A3">
              <w:rPr>
                <w:noProof/>
              </w:rPr>
              <w:tab/>
            </w:r>
            <w:r w:rsidRPr="005905A3">
              <w:rPr>
                <w:rStyle w:val="Hiperligao"/>
                <w:noProof/>
                <w:color w:val="auto"/>
                <w:u w:val="none"/>
              </w:rPr>
              <w:t>Análise das hipóteses de investigação</w:t>
            </w:r>
            <w:r w:rsidRPr="005905A3">
              <w:rPr>
                <w:noProof/>
                <w:webHidden/>
              </w:rPr>
              <w:tab/>
            </w:r>
            <w:r w:rsidRPr="005905A3">
              <w:rPr>
                <w:noProof/>
                <w:webHidden/>
              </w:rPr>
              <w:fldChar w:fldCharType="begin"/>
            </w:r>
            <w:r w:rsidRPr="005905A3">
              <w:rPr>
                <w:noProof/>
                <w:webHidden/>
              </w:rPr>
              <w:instrText xml:space="preserve"> PAGEREF _Toc46678987 \h </w:instrText>
            </w:r>
            <w:r w:rsidRPr="005905A3">
              <w:rPr>
                <w:noProof/>
                <w:webHidden/>
              </w:rPr>
            </w:r>
            <w:r w:rsidRPr="005905A3">
              <w:rPr>
                <w:noProof/>
                <w:webHidden/>
              </w:rPr>
              <w:fldChar w:fldCharType="separate"/>
            </w:r>
            <w:r w:rsidRPr="005905A3">
              <w:rPr>
                <w:noProof/>
                <w:webHidden/>
              </w:rPr>
              <w:t>58</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8" w:history="1">
            <w:r w:rsidRPr="005905A3">
              <w:rPr>
                <w:rStyle w:val="Hiperligao"/>
                <w:noProof/>
                <w:color w:val="auto"/>
                <w:u w:val="none"/>
              </w:rPr>
              <w:t>5</w:t>
            </w:r>
            <w:r w:rsidRPr="005905A3">
              <w:rPr>
                <w:noProof/>
              </w:rPr>
              <w:tab/>
            </w:r>
            <w:r w:rsidRPr="005905A3">
              <w:rPr>
                <w:rStyle w:val="Hiperligao"/>
                <w:noProof/>
                <w:color w:val="auto"/>
                <w:u w:val="none"/>
              </w:rPr>
              <w:t>Conclusão</w:t>
            </w:r>
            <w:r w:rsidRPr="005905A3">
              <w:rPr>
                <w:noProof/>
                <w:webHidden/>
              </w:rPr>
              <w:tab/>
            </w:r>
            <w:r w:rsidRPr="005905A3">
              <w:rPr>
                <w:noProof/>
                <w:webHidden/>
              </w:rPr>
              <w:fldChar w:fldCharType="begin"/>
            </w:r>
            <w:r w:rsidRPr="005905A3">
              <w:rPr>
                <w:noProof/>
                <w:webHidden/>
              </w:rPr>
              <w:instrText xml:space="preserve"> PAGEREF _Toc46678988 \h </w:instrText>
            </w:r>
            <w:r w:rsidRPr="005905A3">
              <w:rPr>
                <w:noProof/>
                <w:webHidden/>
              </w:rPr>
            </w:r>
            <w:r w:rsidRPr="005905A3">
              <w:rPr>
                <w:noProof/>
                <w:webHidden/>
              </w:rPr>
              <w:fldChar w:fldCharType="separate"/>
            </w:r>
            <w:r w:rsidRPr="005905A3">
              <w:rPr>
                <w:noProof/>
                <w:webHidden/>
              </w:rPr>
              <w:t>69</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89" w:history="1">
            <w:r w:rsidRPr="005905A3">
              <w:rPr>
                <w:rStyle w:val="Hiperligao"/>
                <w:noProof/>
                <w:color w:val="auto"/>
                <w:u w:val="none"/>
              </w:rPr>
              <w:t>6</w:t>
            </w:r>
            <w:r w:rsidRPr="005905A3">
              <w:rPr>
                <w:noProof/>
              </w:rPr>
              <w:tab/>
            </w:r>
            <w:r w:rsidRPr="005905A3">
              <w:rPr>
                <w:rStyle w:val="Hiperligao"/>
                <w:noProof/>
                <w:color w:val="auto"/>
                <w:u w:val="none"/>
              </w:rPr>
              <w:t>Referências bibliográficas</w:t>
            </w:r>
            <w:r w:rsidRPr="005905A3">
              <w:rPr>
                <w:noProof/>
                <w:webHidden/>
              </w:rPr>
              <w:tab/>
            </w:r>
            <w:r w:rsidRPr="005905A3">
              <w:rPr>
                <w:noProof/>
                <w:webHidden/>
              </w:rPr>
              <w:fldChar w:fldCharType="begin"/>
            </w:r>
            <w:r w:rsidRPr="005905A3">
              <w:rPr>
                <w:noProof/>
                <w:webHidden/>
              </w:rPr>
              <w:instrText xml:space="preserve"> PAGEREF _Toc46678989 \h </w:instrText>
            </w:r>
            <w:r w:rsidRPr="005905A3">
              <w:rPr>
                <w:noProof/>
                <w:webHidden/>
              </w:rPr>
            </w:r>
            <w:r w:rsidRPr="005905A3">
              <w:rPr>
                <w:noProof/>
                <w:webHidden/>
              </w:rPr>
              <w:fldChar w:fldCharType="separate"/>
            </w:r>
            <w:r w:rsidRPr="005905A3">
              <w:rPr>
                <w:noProof/>
                <w:webHidden/>
              </w:rPr>
              <w:t>70</w:t>
            </w:r>
            <w:r w:rsidRPr="005905A3">
              <w:rPr>
                <w:noProof/>
                <w:webHidden/>
              </w:rPr>
              <w:fldChar w:fldCharType="end"/>
            </w:r>
          </w:hyperlink>
        </w:p>
        <w:p w:rsidR="005905A3" w:rsidRPr="005905A3" w:rsidRDefault="005905A3" w:rsidP="00DD63A6">
          <w:pPr>
            <w:pStyle w:val="CorpoTexto"/>
            <w:tabs>
              <w:tab w:val="left" w:pos="567"/>
              <w:tab w:val="right" w:leader="dot" w:pos="8494"/>
            </w:tabs>
            <w:rPr>
              <w:noProof/>
            </w:rPr>
          </w:pPr>
          <w:hyperlink w:anchor="_Toc46678990" w:history="1">
            <w:r w:rsidRPr="005905A3">
              <w:rPr>
                <w:rStyle w:val="Hiperligao"/>
                <w:noProof/>
                <w:color w:val="auto"/>
                <w:u w:val="none"/>
              </w:rPr>
              <w:t>7</w:t>
            </w:r>
            <w:r w:rsidRPr="005905A3">
              <w:rPr>
                <w:noProof/>
              </w:rPr>
              <w:tab/>
            </w:r>
            <w:r w:rsidRPr="005905A3">
              <w:rPr>
                <w:rStyle w:val="Hiperligao"/>
                <w:noProof/>
                <w:color w:val="auto"/>
                <w:u w:val="none"/>
              </w:rPr>
              <w:t>Anexos</w:t>
            </w:r>
            <w:r w:rsidRPr="005905A3">
              <w:rPr>
                <w:noProof/>
                <w:webHidden/>
              </w:rPr>
              <w:tab/>
            </w:r>
            <w:r w:rsidRPr="005905A3">
              <w:rPr>
                <w:noProof/>
                <w:webHidden/>
              </w:rPr>
              <w:fldChar w:fldCharType="begin"/>
            </w:r>
            <w:r w:rsidRPr="005905A3">
              <w:rPr>
                <w:noProof/>
                <w:webHidden/>
              </w:rPr>
              <w:instrText xml:space="preserve"> PAGEREF _Toc46678990 \h </w:instrText>
            </w:r>
            <w:r w:rsidRPr="005905A3">
              <w:rPr>
                <w:noProof/>
                <w:webHidden/>
              </w:rPr>
            </w:r>
            <w:r w:rsidRPr="005905A3">
              <w:rPr>
                <w:noProof/>
                <w:webHidden/>
              </w:rPr>
              <w:fldChar w:fldCharType="separate"/>
            </w:r>
            <w:r w:rsidRPr="005905A3">
              <w:rPr>
                <w:noProof/>
                <w:webHidden/>
              </w:rPr>
              <w:t>81</w:t>
            </w:r>
            <w:r w:rsidRPr="005905A3">
              <w:rPr>
                <w:noProof/>
                <w:webHidden/>
              </w:rPr>
              <w:fldChar w:fldCharType="end"/>
            </w:r>
          </w:hyperlink>
        </w:p>
        <w:p w:rsidR="005905A3" w:rsidRDefault="005905A3" w:rsidP="00DD63A6">
          <w:pPr>
            <w:pStyle w:val="CorpoTexto"/>
            <w:tabs>
              <w:tab w:val="left" w:pos="567"/>
              <w:tab w:val="right" w:leader="dot" w:pos="8494"/>
            </w:tabs>
          </w:pPr>
          <w:r w:rsidRPr="005905A3">
            <w:rPr>
              <w:rStyle w:val="Hiperligao"/>
              <w:color w:val="auto"/>
              <w:u w:val="none"/>
            </w:rPr>
            <w:fldChar w:fldCharType="end"/>
          </w:r>
        </w:p>
      </w:sdtContent>
    </w:sdt>
    <w:p w:rsidR="00A32A19" w:rsidRPr="00A32A19" w:rsidRDefault="00A32A19" w:rsidP="00A32A19">
      <w:pPr>
        <w:pStyle w:val="CorpoTexto"/>
        <w:outlineLvl w:val="0"/>
        <w:rPr>
          <w:b/>
          <w:bCs/>
          <w:sz w:val="28"/>
          <w:szCs w:val="28"/>
        </w:rPr>
      </w:pPr>
    </w:p>
    <w:p w:rsidR="00DC11BE" w:rsidRPr="007A58B2" w:rsidRDefault="00F6283A" w:rsidP="007A58B2">
      <w:pPr>
        <w:pStyle w:val="Ttulo1"/>
        <w:spacing w:before="120"/>
        <w:rPr>
          <w:bCs/>
          <w:sz w:val="28"/>
          <w:szCs w:val="28"/>
        </w:rPr>
      </w:pPr>
      <w:r w:rsidRPr="0094770E">
        <w:rPr>
          <w:szCs w:val="24"/>
        </w:rPr>
        <w:br w:type="page"/>
      </w:r>
      <w:bookmarkStart w:id="5" w:name="_Toc46678964"/>
      <w:r w:rsidR="00DC11BE" w:rsidRPr="007A58B2">
        <w:rPr>
          <w:sz w:val="28"/>
          <w:szCs w:val="28"/>
        </w:rPr>
        <w:lastRenderedPageBreak/>
        <w:t>Índice de tabelas</w:t>
      </w:r>
      <w:bookmarkEnd w:id="5"/>
    </w:p>
    <w:p w:rsidR="00430D8D" w:rsidRPr="005905A3" w:rsidRDefault="00DC11BE"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r w:rsidRPr="00430D8D">
        <w:rPr>
          <w:rFonts w:ascii="Garamond" w:hAnsi="Garamond"/>
          <w:b/>
          <w:sz w:val="24"/>
          <w:szCs w:val="24"/>
        </w:rPr>
        <w:fldChar w:fldCharType="begin"/>
      </w:r>
      <w:r w:rsidRPr="00430D8D">
        <w:rPr>
          <w:rFonts w:ascii="Garamond" w:hAnsi="Garamond"/>
          <w:b/>
          <w:sz w:val="24"/>
          <w:szCs w:val="24"/>
        </w:rPr>
        <w:instrText xml:space="preserve"> TOC \h \z \c "Tabela" </w:instrText>
      </w:r>
      <w:r w:rsidRPr="00430D8D">
        <w:rPr>
          <w:rFonts w:ascii="Garamond" w:hAnsi="Garamond"/>
          <w:b/>
          <w:sz w:val="24"/>
          <w:szCs w:val="24"/>
        </w:rPr>
        <w:fldChar w:fldCharType="separate"/>
      </w:r>
      <w:hyperlink w:anchor="_Toc46677118" w:history="1">
        <w:r w:rsidR="00430D8D" w:rsidRPr="005905A3">
          <w:rPr>
            <w:rStyle w:val="Hiperligao"/>
            <w:rFonts w:ascii="Garamond" w:hAnsi="Garamond"/>
            <w:noProof/>
            <w:color w:val="000000" w:themeColor="text1"/>
            <w:sz w:val="24"/>
            <w:szCs w:val="24"/>
          </w:rPr>
          <w:t>Tabela 1 - Modelo de satisfação centrado nas situações.</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_Toc46677118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9</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19" w:history="1">
        <w:r w:rsidR="00430D8D" w:rsidRPr="005905A3">
          <w:rPr>
            <w:rStyle w:val="Hiperligao"/>
            <w:rFonts w:ascii="Garamond" w:hAnsi="Garamond"/>
            <w:noProof/>
            <w:color w:val="000000" w:themeColor="text1"/>
            <w:sz w:val="24"/>
            <w:szCs w:val="24"/>
          </w:rPr>
          <w:t>Tabela 2 - Modelo de satisfação centrados no indivíduo.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_Toc46677119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10</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0" w:history="1">
        <w:r w:rsidR="00430D8D" w:rsidRPr="005905A3">
          <w:rPr>
            <w:rStyle w:val="Hiperligao"/>
            <w:rFonts w:ascii="Garamond" w:hAnsi="Garamond"/>
            <w:noProof/>
            <w:color w:val="000000" w:themeColor="text1"/>
            <w:sz w:val="24"/>
            <w:szCs w:val="24"/>
          </w:rPr>
          <w:t>Tabela 3 - Modelo de satisfação centrados nas interações.</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_Toc46677120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11</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1" w:history="1">
        <w:r w:rsidR="00430D8D" w:rsidRPr="005905A3">
          <w:rPr>
            <w:rStyle w:val="Hiperligao"/>
            <w:rFonts w:ascii="Garamond" w:hAnsi="Garamond"/>
            <w:noProof/>
            <w:color w:val="000000" w:themeColor="text1"/>
            <w:sz w:val="24"/>
            <w:szCs w:val="24"/>
          </w:rPr>
          <w:t>Tabela 4 - Teorias de Conteúdo Gerais: Teoria de hierarquia das necessidades de Maslow e Teoria dos Motivos de McClelland.</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_Toc46677121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16</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2" w:history="1">
        <w:r w:rsidR="00430D8D" w:rsidRPr="005905A3">
          <w:rPr>
            <w:rStyle w:val="Hiperligao"/>
            <w:rFonts w:ascii="Garamond" w:hAnsi="Garamond"/>
            <w:iCs/>
            <w:noProof/>
            <w:color w:val="000000" w:themeColor="text1"/>
            <w:sz w:val="24"/>
            <w:szCs w:val="24"/>
          </w:rPr>
          <w:t>Tabela 5 - Teorias de Conteúdo Organizacionais: Teoria Bifatorial de Herzberg e Teoria das características da função de Hackman e Oldman</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_Toc46677122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17</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3" w:history="1">
        <w:r w:rsidR="00430D8D" w:rsidRPr="005905A3">
          <w:rPr>
            <w:rStyle w:val="Hiperligao"/>
            <w:rFonts w:ascii="Garamond" w:hAnsi="Garamond"/>
            <w:iCs/>
            <w:noProof/>
            <w:color w:val="000000" w:themeColor="text1"/>
            <w:sz w:val="24"/>
            <w:szCs w:val="24"/>
          </w:rPr>
          <w:t>Tabela 6 - Teorias de Processo Gerais: Teoria da Equidade de Adams e Teoria ModCo de Luthans e Kreitner.</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_Toc46677123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18</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4" w:history="1">
        <w:r w:rsidR="00430D8D" w:rsidRPr="005905A3">
          <w:rPr>
            <w:rStyle w:val="Hiperligao"/>
            <w:rFonts w:ascii="Garamond" w:hAnsi="Garamond"/>
            <w:noProof/>
            <w:color w:val="000000" w:themeColor="text1"/>
            <w:sz w:val="24"/>
            <w:szCs w:val="24"/>
          </w:rPr>
          <w:t>Tabela 7 - Teorias de Processo Organizacionais: Teoria da definição de objetivos de Locke e Latham e Teoria das expectativas de Vroom.</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_Toc46677124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18</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5" w:history="1">
        <w:r w:rsidR="00430D8D" w:rsidRPr="005905A3">
          <w:rPr>
            <w:rStyle w:val="Hiperligao"/>
            <w:rFonts w:ascii="Garamond" w:hAnsi="Garamond"/>
            <w:noProof/>
            <w:color w:val="000000" w:themeColor="text1"/>
            <w:sz w:val="24"/>
            <w:szCs w:val="24"/>
          </w:rPr>
          <w:t xml:space="preserve">Tabela 8 </w:t>
        </w:r>
        <w:r w:rsidR="00430D8D" w:rsidRPr="005905A3">
          <w:rPr>
            <w:rStyle w:val="Hiperligao"/>
            <w:rFonts w:ascii="Garamond" w:hAnsi="Garamond"/>
            <w:bCs/>
            <w:noProof/>
            <w:color w:val="000000" w:themeColor="text1"/>
            <w:sz w:val="24"/>
            <w:szCs w:val="24"/>
          </w:rPr>
          <w:t>- Hipóteses de investigação.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_Toc46677125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33</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6" w:history="1">
        <w:r w:rsidR="00430D8D" w:rsidRPr="005905A3">
          <w:rPr>
            <w:rStyle w:val="Hiperligao"/>
            <w:rFonts w:ascii="Garamond" w:hAnsi="Garamond"/>
            <w:noProof/>
            <w:color w:val="000000" w:themeColor="text1"/>
            <w:sz w:val="24"/>
            <w:szCs w:val="24"/>
          </w:rPr>
          <w:t>Tabela 9 - Variáveis estudadas.</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_Toc46677126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41</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7" w:history="1">
        <w:r w:rsidR="00430D8D" w:rsidRPr="005905A3">
          <w:rPr>
            <w:rStyle w:val="Hiperligao"/>
            <w:rFonts w:ascii="Garamond" w:hAnsi="Garamond"/>
            <w:noProof/>
            <w:color w:val="000000" w:themeColor="text1"/>
            <w:sz w:val="24"/>
            <w:szCs w:val="24"/>
          </w:rPr>
          <w:t>Tabela 10 - Distribuição percentual por faixa etária dos inquiridos.</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_Toc46677127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43</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8" w:history="1">
        <w:r w:rsidR="00430D8D" w:rsidRPr="005905A3">
          <w:rPr>
            <w:rStyle w:val="Hiperligao"/>
            <w:rFonts w:ascii="Garamond" w:hAnsi="Garamond"/>
            <w:noProof/>
            <w:color w:val="000000" w:themeColor="text1"/>
            <w:sz w:val="24"/>
            <w:szCs w:val="24"/>
          </w:rPr>
          <w:t>Tabela 11 - Distribuição percentual por habilitações literárias dos inquiridos.</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_Toc46677128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45</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29" w:history="1">
        <w:r w:rsidR="00430D8D" w:rsidRPr="005905A3">
          <w:rPr>
            <w:rStyle w:val="Hiperligao"/>
            <w:rFonts w:ascii="Garamond" w:hAnsi="Garamond"/>
            <w:iCs/>
            <w:noProof/>
            <w:color w:val="000000" w:themeColor="text1"/>
            <w:sz w:val="24"/>
            <w:szCs w:val="24"/>
          </w:rPr>
          <w:t>Tabela 12 - Distribuição percentual por segmento de rendimento dos inquiridos.</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_Toc46677129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46</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0" w:history="1">
        <w:r w:rsidR="00430D8D" w:rsidRPr="005905A3">
          <w:rPr>
            <w:rStyle w:val="Hiperligao"/>
            <w:rFonts w:ascii="Garamond" w:hAnsi="Garamond"/>
            <w:noProof/>
            <w:color w:val="000000" w:themeColor="text1"/>
            <w:sz w:val="24"/>
            <w:szCs w:val="24"/>
          </w:rPr>
          <w:t>Tabela 13 - Distribuição de respostas sobres os vários itens de avaliação da motivação.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_Toc46677130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48</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1" w:history="1">
        <w:r w:rsidR="00430D8D" w:rsidRPr="005905A3">
          <w:rPr>
            <w:rStyle w:val="Hiperligao"/>
            <w:rFonts w:ascii="Garamond" w:hAnsi="Garamond"/>
            <w:noProof/>
            <w:color w:val="000000" w:themeColor="text1"/>
            <w:sz w:val="24"/>
            <w:szCs w:val="24"/>
          </w:rPr>
          <w:t>Tabela 14 - Distribuição de respostas sobres os vários itens de avaliação da satisfação perante o trabalho.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_Toc46677131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49</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2" w:history="1">
        <w:r w:rsidR="00430D8D" w:rsidRPr="005905A3">
          <w:rPr>
            <w:rStyle w:val="Hiperligao"/>
            <w:rFonts w:ascii="Garamond" w:hAnsi="Garamond"/>
            <w:noProof/>
            <w:color w:val="000000" w:themeColor="text1"/>
            <w:sz w:val="24"/>
            <w:szCs w:val="24"/>
          </w:rPr>
          <w:t>Tabela 15 - Teste KMO de validade da análise fatorial.</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_Toc46677132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53</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3" w:history="1">
        <w:r w:rsidR="00430D8D" w:rsidRPr="005905A3">
          <w:rPr>
            <w:rStyle w:val="Hiperligao"/>
            <w:rFonts w:ascii="Garamond" w:hAnsi="Garamond"/>
            <w:noProof/>
            <w:color w:val="000000" w:themeColor="text1"/>
            <w:sz w:val="24"/>
            <w:szCs w:val="24"/>
          </w:rPr>
          <w:t>Tabela 16 - Teste de KMO e Bartlett da variável Motivação.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_Toc46677133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54</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4" w:history="1">
        <w:r w:rsidR="00430D8D" w:rsidRPr="005905A3">
          <w:rPr>
            <w:rStyle w:val="Hiperligao"/>
            <w:rFonts w:ascii="Garamond" w:hAnsi="Garamond"/>
            <w:noProof/>
            <w:color w:val="000000" w:themeColor="text1"/>
            <w:sz w:val="24"/>
            <w:szCs w:val="24"/>
          </w:rPr>
          <w:t>Tabela 17 - Análise fatorial</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_Toc46677134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54</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5" w:history="1">
        <w:r w:rsidR="00430D8D" w:rsidRPr="005905A3">
          <w:rPr>
            <w:rStyle w:val="Hiperligao"/>
            <w:rFonts w:ascii="Garamond" w:hAnsi="Garamond"/>
            <w:noProof/>
            <w:color w:val="000000" w:themeColor="text1"/>
            <w:sz w:val="24"/>
            <w:szCs w:val="24"/>
          </w:rPr>
          <w:t>Tabela 18 - Solução Fatorial da variável Motivação.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_Toc46677135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55</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6" w:history="1">
        <w:r w:rsidR="00430D8D" w:rsidRPr="005905A3">
          <w:rPr>
            <w:rStyle w:val="Hiperligao"/>
            <w:rFonts w:ascii="Garamond" w:hAnsi="Garamond"/>
            <w:noProof/>
            <w:color w:val="000000" w:themeColor="text1"/>
            <w:sz w:val="24"/>
            <w:szCs w:val="24"/>
          </w:rPr>
          <w:t>Tabela 19 - Designação dos Fatores da variável Motivação.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_Toc46677136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55</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7" w:history="1">
        <w:r w:rsidR="00430D8D" w:rsidRPr="005905A3">
          <w:rPr>
            <w:rStyle w:val="Hiperligao"/>
            <w:rFonts w:ascii="Garamond" w:hAnsi="Garamond"/>
            <w:noProof/>
            <w:color w:val="000000" w:themeColor="text1"/>
            <w:sz w:val="24"/>
            <w:szCs w:val="24"/>
          </w:rPr>
          <w:t>Tabela 20 - Teste de KMO e Bartlett da variável Satisfação.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_Toc46677137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56</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8" w:history="1">
        <w:r w:rsidR="00430D8D" w:rsidRPr="005905A3">
          <w:rPr>
            <w:rStyle w:val="Hiperligao"/>
            <w:rFonts w:ascii="Garamond" w:hAnsi="Garamond"/>
            <w:noProof/>
            <w:color w:val="000000" w:themeColor="text1"/>
            <w:sz w:val="24"/>
            <w:szCs w:val="24"/>
          </w:rPr>
          <w:t>Tabela 21 - Análise Fatorial da variável Satisfação.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_Toc46677138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56</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39" w:history="1">
        <w:r w:rsidR="00430D8D" w:rsidRPr="005905A3">
          <w:rPr>
            <w:rStyle w:val="Hiperligao"/>
            <w:rFonts w:ascii="Garamond" w:hAnsi="Garamond"/>
            <w:noProof/>
            <w:color w:val="000000" w:themeColor="text1"/>
            <w:sz w:val="24"/>
            <w:szCs w:val="24"/>
          </w:rPr>
          <w:t>Tabela 22 - Solução Fatorial da variável Satisfação.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_Toc46677139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57</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0" w:history="1">
        <w:r w:rsidR="00430D8D" w:rsidRPr="005905A3">
          <w:rPr>
            <w:rStyle w:val="Hiperligao"/>
            <w:rFonts w:ascii="Garamond" w:hAnsi="Garamond"/>
            <w:noProof/>
            <w:color w:val="000000" w:themeColor="text1"/>
            <w:sz w:val="24"/>
            <w:szCs w:val="24"/>
          </w:rPr>
          <w:t>Tabela 23 - Designação dos Fatores da variável Satisfação.</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_Toc46677140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58</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1" w:history="1">
        <w:r w:rsidR="00430D8D" w:rsidRPr="005905A3">
          <w:rPr>
            <w:rStyle w:val="Hiperligao"/>
            <w:rFonts w:ascii="Garamond" w:hAnsi="Garamond"/>
            <w:noProof/>
            <w:color w:val="000000" w:themeColor="text1"/>
            <w:sz w:val="24"/>
            <w:szCs w:val="24"/>
          </w:rPr>
          <w:t>Tabela 24 - Teste Kruskal-Wallis, Hipótese H1</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_Toc46677141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59</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2" w:history="1">
        <w:r w:rsidR="00430D8D" w:rsidRPr="005905A3">
          <w:rPr>
            <w:rStyle w:val="Hiperligao"/>
            <w:rFonts w:ascii="Garamond" w:hAnsi="Garamond"/>
            <w:noProof/>
            <w:color w:val="000000" w:themeColor="text1"/>
            <w:sz w:val="24"/>
            <w:szCs w:val="24"/>
          </w:rPr>
          <w:t>Tabela 25 - Estatísticas de teste a,b, Hipótese H1</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_Toc46677142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59</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3" w:history="1">
        <w:r w:rsidR="00430D8D" w:rsidRPr="005905A3">
          <w:rPr>
            <w:rStyle w:val="Hiperligao"/>
            <w:rFonts w:ascii="Garamond" w:hAnsi="Garamond" w:cstheme="minorHAnsi"/>
            <w:iCs/>
            <w:noProof/>
            <w:color w:val="000000" w:themeColor="text1"/>
            <w:sz w:val="24"/>
            <w:szCs w:val="24"/>
          </w:rPr>
          <w:t>Tabela 26</w:t>
        </w:r>
        <w:r w:rsidR="00430D8D" w:rsidRPr="005905A3">
          <w:rPr>
            <w:rStyle w:val="Hiperligao"/>
            <w:rFonts w:ascii="Garamond" w:hAnsi="Garamond" w:cstheme="minorHAnsi"/>
            <w:noProof/>
            <w:color w:val="000000" w:themeColor="text1"/>
            <w:sz w:val="24"/>
            <w:szCs w:val="24"/>
          </w:rPr>
          <w:t xml:space="preserve"> - </w:t>
        </w:r>
        <w:r w:rsidR="00430D8D" w:rsidRPr="005905A3">
          <w:rPr>
            <w:rStyle w:val="Hiperligao"/>
            <w:rFonts w:ascii="Garamond" w:eastAsia="Times New Roman" w:hAnsi="Garamond" w:cstheme="minorHAnsi"/>
            <w:noProof/>
            <w:color w:val="000000" w:themeColor="text1"/>
            <w:sz w:val="24"/>
            <w:szCs w:val="24"/>
            <w:lang w:eastAsia="pt-PT"/>
          </w:rPr>
          <w:t xml:space="preserve">Tabulação cruzada motivação (Categorizado) * Emoções positivas (Categorizado), </w:t>
        </w:r>
        <w:r w:rsidR="00430D8D" w:rsidRPr="005905A3">
          <w:rPr>
            <w:rStyle w:val="Hiperligao"/>
            <w:rFonts w:ascii="Garamond" w:hAnsi="Garamond"/>
            <w:iCs/>
            <w:noProof/>
            <w:color w:val="000000" w:themeColor="text1"/>
            <w:sz w:val="24"/>
            <w:szCs w:val="24"/>
          </w:rPr>
          <w:t>Hipótese H1</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_Toc46677143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60</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4" w:history="1">
        <w:r w:rsidR="00430D8D" w:rsidRPr="005905A3">
          <w:rPr>
            <w:rStyle w:val="Hiperligao"/>
            <w:rFonts w:ascii="Garamond" w:hAnsi="Garamond"/>
            <w:noProof/>
            <w:color w:val="000000" w:themeColor="text1"/>
            <w:sz w:val="24"/>
            <w:szCs w:val="24"/>
          </w:rPr>
          <w:t>Tabela 27 - Testes qui-quadrado, Hipótese H1</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_Toc46677144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61</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5" w:history="1">
        <w:r w:rsidR="00430D8D" w:rsidRPr="005905A3">
          <w:rPr>
            <w:rStyle w:val="Hiperligao"/>
            <w:rFonts w:ascii="Garamond" w:hAnsi="Garamond"/>
            <w:noProof/>
            <w:color w:val="000000" w:themeColor="text1"/>
            <w:sz w:val="24"/>
            <w:szCs w:val="24"/>
          </w:rPr>
          <w:t>Tabela 28 - Teste Kruskal – Wallis, Hipótese H2</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_Toc46677145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62</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6" w:history="1">
        <w:r w:rsidR="00430D8D" w:rsidRPr="005905A3">
          <w:rPr>
            <w:rStyle w:val="Hiperligao"/>
            <w:rFonts w:ascii="Garamond" w:hAnsi="Garamond"/>
            <w:noProof/>
            <w:color w:val="000000" w:themeColor="text1"/>
            <w:sz w:val="24"/>
            <w:szCs w:val="24"/>
          </w:rPr>
          <w:t>Tabela 29 - Estatísticas de teste a,b, Hipótese H2</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_Toc46677146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62</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7" w:history="1">
        <w:r w:rsidR="00430D8D" w:rsidRPr="005905A3">
          <w:rPr>
            <w:rStyle w:val="Hiperligao"/>
            <w:rFonts w:ascii="Garamond" w:hAnsi="Garamond"/>
            <w:iCs/>
            <w:noProof/>
            <w:color w:val="000000" w:themeColor="text1"/>
            <w:sz w:val="24"/>
            <w:szCs w:val="24"/>
          </w:rPr>
          <w:t>Tabela 30 -</w:t>
        </w:r>
        <w:r w:rsidR="00430D8D" w:rsidRPr="005905A3">
          <w:rPr>
            <w:rStyle w:val="Hiperligao"/>
            <w:rFonts w:ascii="Garamond" w:hAnsi="Garamond"/>
            <w:noProof/>
            <w:color w:val="000000" w:themeColor="text1"/>
            <w:sz w:val="24"/>
            <w:szCs w:val="24"/>
          </w:rPr>
          <w:t xml:space="preserve"> </w:t>
        </w:r>
        <w:r w:rsidR="00430D8D" w:rsidRPr="005905A3">
          <w:rPr>
            <w:rStyle w:val="Hiperligao"/>
            <w:rFonts w:ascii="Garamond" w:eastAsia="Times New Roman" w:hAnsi="Garamond" w:cs="Times New Roman"/>
            <w:noProof/>
            <w:color w:val="000000" w:themeColor="text1"/>
            <w:sz w:val="24"/>
            <w:szCs w:val="24"/>
            <w:lang w:eastAsia="pt-PT"/>
          </w:rPr>
          <w:t xml:space="preserve">Tabulação cruzada Satisfação com o trabalho (Categorizado) * Emoções positivas (Categorizado), </w:t>
        </w:r>
        <w:r w:rsidR="00430D8D" w:rsidRPr="005905A3">
          <w:rPr>
            <w:rStyle w:val="Hiperligao"/>
            <w:rFonts w:ascii="Garamond" w:hAnsi="Garamond"/>
            <w:iCs/>
            <w:noProof/>
            <w:color w:val="000000" w:themeColor="text1"/>
            <w:sz w:val="24"/>
            <w:szCs w:val="24"/>
          </w:rPr>
          <w:t>Hipótese H2</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_Toc46677147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63</w:t>
        </w:r>
        <w:r w:rsidR="00430D8D" w:rsidRPr="005905A3">
          <w:rPr>
            <w:rFonts w:ascii="Garamond" w:hAnsi="Garamond"/>
            <w:noProof/>
            <w:webHidden/>
            <w:color w:val="000000" w:themeColor="text1"/>
            <w:sz w:val="24"/>
            <w:szCs w:val="24"/>
          </w:rPr>
          <w:fldChar w:fldCharType="end"/>
        </w:r>
      </w:hyperlink>
    </w:p>
    <w:p w:rsidR="00430D8D" w:rsidRPr="005905A3" w:rsidRDefault="005905A3" w:rsidP="00DD63A6">
      <w:pPr>
        <w:pStyle w:val="ndicedeilustraes"/>
        <w:tabs>
          <w:tab w:val="right" w:leader="dot" w:pos="8493"/>
        </w:tabs>
        <w:spacing w:after="120"/>
        <w:rPr>
          <w:rFonts w:ascii="Garamond" w:eastAsiaTheme="minorEastAsia" w:hAnsi="Garamond"/>
          <w:noProof/>
          <w:color w:val="000000" w:themeColor="text1"/>
          <w:sz w:val="24"/>
          <w:szCs w:val="24"/>
          <w:lang w:eastAsia="pt-PT"/>
        </w:rPr>
      </w:pPr>
      <w:hyperlink w:anchor="_Toc46677148" w:history="1">
        <w:r w:rsidR="00430D8D" w:rsidRPr="005905A3">
          <w:rPr>
            <w:rStyle w:val="Hiperligao"/>
            <w:rFonts w:ascii="Garamond" w:hAnsi="Garamond"/>
            <w:noProof/>
            <w:color w:val="000000" w:themeColor="text1"/>
            <w:sz w:val="24"/>
            <w:szCs w:val="24"/>
          </w:rPr>
          <w:t>Tabela 31 - Testes qui-quadrado, Hipótese H2</w:t>
        </w:r>
        <w:r w:rsidR="00430D8D" w:rsidRPr="005905A3">
          <w:rPr>
            <w:rFonts w:ascii="Garamond" w:hAnsi="Garamond"/>
            <w:noProof/>
            <w:webHidden/>
            <w:color w:val="000000" w:themeColor="text1"/>
            <w:sz w:val="24"/>
            <w:szCs w:val="24"/>
          </w:rPr>
          <w:tab/>
        </w:r>
        <w:r w:rsidR="00430D8D" w:rsidRPr="005905A3">
          <w:rPr>
            <w:rFonts w:ascii="Garamond" w:hAnsi="Garamond"/>
            <w:noProof/>
            <w:webHidden/>
            <w:color w:val="000000" w:themeColor="text1"/>
            <w:sz w:val="24"/>
            <w:szCs w:val="24"/>
          </w:rPr>
          <w:fldChar w:fldCharType="begin"/>
        </w:r>
        <w:r w:rsidR="00430D8D" w:rsidRPr="005905A3">
          <w:rPr>
            <w:rFonts w:ascii="Garamond" w:hAnsi="Garamond"/>
            <w:noProof/>
            <w:webHidden/>
            <w:color w:val="000000" w:themeColor="text1"/>
            <w:sz w:val="24"/>
            <w:szCs w:val="24"/>
          </w:rPr>
          <w:instrText xml:space="preserve"> PAGEREF _Toc46677148 \h </w:instrText>
        </w:r>
        <w:r w:rsidR="00430D8D" w:rsidRPr="005905A3">
          <w:rPr>
            <w:rFonts w:ascii="Garamond" w:hAnsi="Garamond"/>
            <w:noProof/>
            <w:webHidden/>
            <w:color w:val="000000" w:themeColor="text1"/>
            <w:sz w:val="24"/>
            <w:szCs w:val="24"/>
          </w:rPr>
        </w:r>
        <w:r w:rsidR="00430D8D" w:rsidRPr="005905A3">
          <w:rPr>
            <w:rFonts w:ascii="Garamond" w:hAnsi="Garamond"/>
            <w:noProof/>
            <w:webHidden/>
            <w:color w:val="000000" w:themeColor="text1"/>
            <w:sz w:val="24"/>
            <w:szCs w:val="24"/>
          </w:rPr>
          <w:fldChar w:fldCharType="separate"/>
        </w:r>
        <w:r w:rsidR="00430D8D" w:rsidRPr="005905A3">
          <w:rPr>
            <w:rFonts w:ascii="Garamond" w:hAnsi="Garamond"/>
            <w:noProof/>
            <w:webHidden/>
            <w:color w:val="000000" w:themeColor="text1"/>
            <w:sz w:val="24"/>
            <w:szCs w:val="24"/>
          </w:rPr>
          <w:t>63</w:t>
        </w:r>
        <w:r w:rsidR="00430D8D" w:rsidRPr="005905A3">
          <w:rPr>
            <w:rFonts w:ascii="Garamond" w:hAnsi="Garamond"/>
            <w:noProof/>
            <w:webHidden/>
            <w:color w:val="000000" w:themeColor="text1"/>
            <w:sz w:val="24"/>
            <w:szCs w:val="24"/>
          </w:rPr>
          <w:fldChar w:fldCharType="end"/>
        </w:r>
      </w:hyperlink>
    </w:p>
    <w:p w:rsidR="00DC11BE" w:rsidRPr="0094770E" w:rsidRDefault="00DC11BE" w:rsidP="00DD63A6">
      <w:pPr>
        <w:spacing w:after="120"/>
        <w:rPr>
          <w:rFonts w:ascii="Garamond" w:hAnsi="Garamond"/>
          <w:b/>
          <w:sz w:val="24"/>
          <w:szCs w:val="24"/>
        </w:rPr>
      </w:pPr>
      <w:r w:rsidRPr="00430D8D">
        <w:rPr>
          <w:rFonts w:ascii="Garamond" w:hAnsi="Garamond"/>
          <w:b/>
          <w:sz w:val="24"/>
          <w:szCs w:val="24"/>
        </w:rPr>
        <w:fldChar w:fldCharType="end"/>
      </w:r>
      <w:r w:rsidRPr="0094770E">
        <w:rPr>
          <w:rFonts w:ascii="Garamond" w:hAnsi="Garamond"/>
          <w:b/>
          <w:sz w:val="24"/>
          <w:szCs w:val="24"/>
        </w:rPr>
        <w:br w:type="page"/>
      </w:r>
    </w:p>
    <w:p w:rsidR="00DC11BE" w:rsidRPr="0094770E" w:rsidRDefault="00DC11BE" w:rsidP="00CA2633">
      <w:pPr>
        <w:spacing w:after="120"/>
        <w:outlineLvl w:val="0"/>
        <w:rPr>
          <w:rFonts w:ascii="Garamond" w:hAnsi="Garamond"/>
          <w:b/>
          <w:sz w:val="28"/>
          <w:szCs w:val="28"/>
        </w:rPr>
      </w:pPr>
      <w:bookmarkStart w:id="6" w:name="_Toc46678965"/>
      <w:r w:rsidRPr="0094770E">
        <w:rPr>
          <w:rFonts w:ascii="Garamond" w:hAnsi="Garamond"/>
          <w:b/>
          <w:sz w:val="28"/>
          <w:szCs w:val="28"/>
        </w:rPr>
        <w:lastRenderedPageBreak/>
        <w:t>Índice de figuras</w:t>
      </w:r>
      <w:bookmarkEnd w:id="6"/>
    </w:p>
    <w:p w:rsidR="00430D8D" w:rsidRPr="00DD63A6" w:rsidRDefault="00DC11BE" w:rsidP="00430D8D">
      <w:pPr>
        <w:pStyle w:val="ndicedeilustraes"/>
        <w:tabs>
          <w:tab w:val="right" w:leader="dot" w:pos="8493"/>
        </w:tabs>
        <w:spacing w:before="120"/>
        <w:rPr>
          <w:rFonts w:ascii="Garamond" w:eastAsiaTheme="minorEastAsia" w:hAnsi="Garamond"/>
          <w:bCs/>
          <w:noProof/>
          <w:sz w:val="24"/>
          <w:szCs w:val="24"/>
          <w:lang w:eastAsia="pt-PT"/>
        </w:rPr>
      </w:pPr>
      <w:r w:rsidRPr="00DD63A6">
        <w:rPr>
          <w:rStyle w:val="Hiperligao"/>
          <w:rFonts w:ascii="Garamond" w:hAnsi="Garamond"/>
          <w:bCs/>
          <w:i/>
          <w:iCs/>
          <w:noProof/>
          <w:sz w:val="24"/>
          <w:szCs w:val="24"/>
        </w:rPr>
        <w:fldChar w:fldCharType="begin"/>
      </w:r>
      <w:r w:rsidRPr="00DD63A6">
        <w:rPr>
          <w:rStyle w:val="Hiperligao"/>
          <w:rFonts w:ascii="Garamond" w:hAnsi="Garamond"/>
          <w:bCs/>
          <w:i/>
          <w:iCs/>
          <w:noProof/>
          <w:sz w:val="24"/>
          <w:szCs w:val="24"/>
        </w:rPr>
        <w:instrText xml:space="preserve"> TOC \h \z \c "Figura" </w:instrText>
      </w:r>
      <w:r w:rsidRPr="00DD63A6">
        <w:rPr>
          <w:rStyle w:val="Hiperligao"/>
          <w:rFonts w:ascii="Garamond" w:hAnsi="Garamond"/>
          <w:bCs/>
          <w:i/>
          <w:iCs/>
          <w:noProof/>
          <w:sz w:val="24"/>
          <w:szCs w:val="24"/>
        </w:rPr>
        <w:fldChar w:fldCharType="separate"/>
      </w:r>
      <w:hyperlink w:anchor="_Toc46677149" w:history="1">
        <w:r w:rsidR="00430D8D" w:rsidRPr="00DD63A6">
          <w:rPr>
            <w:rStyle w:val="Hiperligao"/>
            <w:rFonts w:ascii="Garamond" w:hAnsi="Garamond"/>
            <w:bCs/>
            <w:noProof/>
            <w:sz w:val="24"/>
            <w:szCs w:val="24"/>
          </w:rPr>
          <w:t>Figura 1 - Os elos da cadeia de lucro de serviço</w:t>
        </w:r>
        <w:r w:rsidR="00430D8D" w:rsidRPr="00DD63A6">
          <w:rPr>
            <w:rFonts w:ascii="Garamond" w:hAnsi="Garamond"/>
            <w:bCs/>
            <w:noProof/>
            <w:webHidden/>
            <w:sz w:val="24"/>
            <w:szCs w:val="24"/>
          </w:rPr>
          <w:tab/>
        </w:r>
        <w:r w:rsidR="00430D8D" w:rsidRPr="00DD63A6">
          <w:rPr>
            <w:rFonts w:ascii="Garamond" w:hAnsi="Garamond"/>
            <w:bCs/>
            <w:noProof/>
            <w:webHidden/>
            <w:sz w:val="24"/>
            <w:szCs w:val="24"/>
          </w:rPr>
          <w:fldChar w:fldCharType="begin"/>
        </w:r>
        <w:r w:rsidR="00430D8D" w:rsidRPr="00DD63A6">
          <w:rPr>
            <w:rFonts w:ascii="Garamond" w:hAnsi="Garamond"/>
            <w:bCs/>
            <w:noProof/>
            <w:webHidden/>
            <w:sz w:val="24"/>
            <w:szCs w:val="24"/>
          </w:rPr>
          <w:instrText xml:space="preserve"> PAGEREF _Toc46677149 \h </w:instrText>
        </w:r>
        <w:r w:rsidR="00430D8D" w:rsidRPr="00DD63A6">
          <w:rPr>
            <w:rFonts w:ascii="Garamond" w:hAnsi="Garamond"/>
            <w:bCs/>
            <w:noProof/>
            <w:webHidden/>
            <w:sz w:val="24"/>
            <w:szCs w:val="24"/>
          </w:rPr>
        </w:r>
        <w:r w:rsidR="00430D8D" w:rsidRPr="00DD63A6">
          <w:rPr>
            <w:rFonts w:ascii="Garamond" w:hAnsi="Garamond"/>
            <w:bCs/>
            <w:noProof/>
            <w:webHidden/>
            <w:sz w:val="24"/>
            <w:szCs w:val="24"/>
          </w:rPr>
          <w:fldChar w:fldCharType="separate"/>
        </w:r>
        <w:r w:rsidR="00430D8D" w:rsidRPr="00DD63A6">
          <w:rPr>
            <w:rFonts w:ascii="Garamond" w:hAnsi="Garamond"/>
            <w:bCs/>
            <w:noProof/>
            <w:webHidden/>
            <w:sz w:val="24"/>
            <w:szCs w:val="24"/>
          </w:rPr>
          <w:t>6</w:t>
        </w:r>
        <w:r w:rsidR="00430D8D" w:rsidRPr="00DD63A6">
          <w:rPr>
            <w:rFonts w:ascii="Garamond" w:hAnsi="Garamond"/>
            <w:bCs/>
            <w:noProof/>
            <w:webHidden/>
            <w:sz w:val="24"/>
            <w:szCs w:val="24"/>
          </w:rPr>
          <w:fldChar w:fldCharType="end"/>
        </w:r>
      </w:hyperlink>
    </w:p>
    <w:p w:rsidR="00430D8D" w:rsidRPr="00DD63A6" w:rsidRDefault="005905A3" w:rsidP="00DD63A6">
      <w:pPr>
        <w:pStyle w:val="ndicedeilustraes"/>
        <w:tabs>
          <w:tab w:val="right" w:leader="dot" w:pos="8493"/>
        </w:tabs>
        <w:spacing w:after="120"/>
        <w:rPr>
          <w:rFonts w:ascii="Garamond" w:eastAsiaTheme="minorEastAsia" w:hAnsi="Garamond"/>
          <w:bCs/>
          <w:noProof/>
          <w:sz w:val="24"/>
          <w:szCs w:val="24"/>
          <w:lang w:eastAsia="pt-PT"/>
        </w:rPr>
      </w:pPr>
      <w:hyperlink w:anchor="_Toc46677150" w:history="1">
        <w:r w:rsidR="00430D8D" w:rsidRPr="00DD63A6">
          <w:rPr>
            <w:rStyle w:val="Hiperligao"/>
            <w:rFonts w:ascii="Garamond" w:hAnsi="Garamond"/>
            <w:bCs/>
            <w:noProof/>
            <w:sz w:val="24"/>
            <w:szCs w:val="24"/>
          </w:rPr>
          <w:t>Figura 2 - Modelo de investigação</w:t>
        </w:r>
        <w:r w:rsidR="00430D8D" w:rsidRPr="00DD63A6">
          <w:rPr>
            <w:rFonts w:ascii="Garamond" w:hAnsi="Garamond"/>
            <w:bCs/>
            <w:noProof/>
            <w:webHidden/>
            <w:sz w:val="24"/>
            <w:szCs w:val="24"/>
          </w:rPr>
          <w:tab/>
        </w:r>
        <w:r w:rsidR="00430D8D" w:rsidRPr="00DD63A6">
          <w:rPr>
            <w:rFonts w:ascii="Garamond" w:hAnsi="Garamond"/>
            <w:bCs/>
            <w:noProof/>
            <w:webHidden/>
            <w:sz w:val="24"/>
            <w:szCs w:val="24"/>
          </w:rPr>
          <w:fldChar w:fldCharType="begin"/>
        </w:r>
        <w:r w:rsidR="00430D8D" w:rsidRPr="00DD63A6">
          <w:rPr>
            <w:rFonts w:ascii="Garamond" w:hAnsi="Garamond"/>
            <w:bCs/>
            <w:noProof/>
            <w:webHidden/>
            <w:sz w:val="24"/>
            <w:szCs w:val="24"/>
          </w:rPr>
          <w:instrText xml:space="preserve"> PAGEREF _Toc46677150 \h </w:instrText>
        </w:r>
        <w:r w:rsidR="00430D8D" w:rsidRPr="00DD63A6">
          <w:rPr>
            <w:rFonts w:ascii="Garamond" w:hAnsi="Garamond"/>
            <w:bCs/>
            <w:noProof/>
            <w:webHidden/>
            <w:sz w:val="24"/>
            <w:szCs w:val="24"/>
          </w:rPr>
        </w:r>
        <w:r w:rsidR="00430D8D" w:rsidRPr="00DD63A6">
          <w:rPr>
            <w:rFonts w:ascii="Garamond" w:hAnsi="Garamond"/>
            <w:bCs/>
            <w:noProof/>
            <w:webHidden/>
            <w:sz w:val="24"/>
            <w:szCs w:val="24"/>
          </w:rPr>
          <w:fldChar w:fldCharType="separate"/>
        </w:r>
        <w:r w:rsidR="00430D8D" w:rsidRPr="00DD63A6">
          <w:rPr>
            <w:rFonts w:ascii="Garamond" w:hAnsi="Garamond"/>
            <w:bCs/>
            <w:noProof/>
            <w:webHidden/>
            <w:sz w:val="24"/>
            <w:szCs w:val="24"/>
          </w:rPr>
          <w:t>35</w:t>
        </w:r>
        <w:r w:rsidR="00430D8D" w:rsidRPr="00DD63A6">
          <w:rPr>
            <w:rFonts w:ascii="Garamond" w:hAnsi="Garamond"/>
            <w:bCs/>
            <w:noProof/>
            <w:webHidden/>
            <w:sz w:val="24"/>
            <w:szCs w:val="24"/>
          </w:rPr>
          <w:fldChar w:fldCharType="end"/>
        </w:r>
      </w:hyperlink>
    </w:p>
    <w:p w:rsidR="00430D8D" w:rsidRPr="00DD63A6" w:rsidRDefault="005905A3" w:rsidP="00DD63A6">
      <w:pPr>
        <w:pStyle w:val="ndicedeilustraes"/>
        <w:tabs>
          <w:tab w:val="right" w:leader="dot" w:pos="8493"/>
        </w:tabs>
        <w:spacing w:after="120"/>
        <w:rPr>
          <w:rFonts w:ascii="Garamond" w:eastAsiaTheme="minorEastAsia" w:hAnsi="Garamond"/>
          <w:bCs/>
          <w:noProof/>
          <w:sz w:val="24"/>
          <w:szCs w:val="24"/>
          <w:lang w:eastAsia="pt-PT"/>
        </w:rPr>
      </w:pPr>
      <w:hyperlink w:anchor="_Toc46677151" w:history="1">
        <w:r w:rsidR="00430D8D" w:rsidRPr="00DD63A6">
          <w:rPr>
            <w:rStyle w:val="Hiperligao"/>
            <w:rFonts w:ascii="Garamond" w:hAnsi="Garamond"/>
            <w:bCs/>
            <w:iCs/>
            <w:noProof/>
            <w:sz w:val="24"/>
            <w:szCs w:val="24"/>
          </w:rPr>
          <w:t>Figura 3 - Percentagem total de respostas ao inquérito referentes à questão: "Exerce/exerceu funções de contacto direto com o cliente?"</w:t>
        </w:r>
        <w:r w:rsidR="00430D8D" w:rsidRPr="00DD63A6">
          <w:rPr>
            <w:rFonts w:ascii="Garamond" w:hAnsi="Garamond"/>
            <w:bCs/>
            <w:noProof/>
            <w:webHidden/>
            <w:sz w:val="24"/>
            <w:szCs w:val="24"/>
          </w:rPr>
          <w:tab/>
        </w:r>
        <w:r w:rsidR="00430D8D" w:rsidRPr="00DD63A6">
          <w:rPr>
            <w:rFonts w:ascii="Garamond" w:hAnsi="Garamond"/>
            <w:bCs/>
            <w:noProof/>
            <w:webHidden/>
            <w:sz w:val="24"/>
            <w:szCs w:val="24"/>
          </w:rPr>
          <w:fldChar w:fldCharType="begin"/>
        </w:r>
        <w:r w:rsidR="00430D8D" w:rsidRPr="00DD63A6">
          <w:rPr>
            <w:rFonts w:ascii="Garamond" w:hAnsi="Garamond"/>
            <w:bCs/>
            <w:noProof/>
            <w:webHidden/>
            <w:sz w:val="24"/>
            <w:szCs w:val="24"/>
          </w:rPr>
          <w:instrText xml:space="preserve"> PAGEREF _Toc46677151 \h </w:instrText>
        </w:r>
        <w:r w:rsidR="00430D8D" w:rsidRPr="00DD63A6">
          <w:rPr>
            <w:rFonts w:ascii="Garamond" w:hAnsi="Garamond"/>
            <w:bCs/>
            <w:noProof/>
            <w:webHidden/>
            <w:sz w:val="24"/>
            <w:szCs w:val="24"/>
          </w:rPr>
        </w:r>
        <w:r w:rsidR="00430D8D" w:rsidRPr="00DD63A6">
          <w:rPr>
            <w:rFonts w:ascii="Garamond" w:hAnsi="Garamond"/>
            <w:bCs/>
            <w:noProof/>
            <w:webHidden/>
            <w:sz w:val="24"/>
            <w:szCs w:val="24"/>
          </w:rPr>
          <w:fldChar w:fldCharType="separate"/>
        </w:r>
        <w:r w:rsidR="00430D8D" w:rsidRPr="00DD63A6">
          <w:rPr>
            <w:rFonts w:ascii="Garamond" w:hAnsi="Garamond"/>
            <w:bCs/>
            <w:noProof/>
            <w:webHidden/>
            <w:sz w:val="24"/>
            <w:szCs w:val="24"/>
          </w:rPr>
          <w:t>43</w:t>
        </w:r>
        <w:r w:rsidR="00430D8D" w:rsidRPr="00DD63A6">
          <w:rPr>
            <w:rFonts w:ascii="Garamond" w:hAnsi="Garamond"/>
            <w:bCs/>
            <w:noProof/>
            <w:webHidden/>
            <w:sz w:val="24"/>
            <w:szCs w:val="24"/>
          </w:rPr>
          <w:fldChar w:fldCharType="end"/>
        </w:r>
      </w:hyperlink>
    </w:p>
    <w:p w:rsidR="00430D8D" w:rsidRPr="00DD63A6" w:rsidRDefault="005905A3" w:rsidP="00DD63A6">
      <w:pPr>
        <w:pStyle w:val="ndicedeilustraes"/>
        <w:tabs>
          <w:tab w:val="right" w:leader="dot" w:pos="8493"/>
        </w:tabs>
        <w:spacing w:after="120"/>
        <w:rPr>
          <w:rFonts w:ascii="Garamond" w:eastAsiaTheme="minorEastAsia" w:hAnsi="Garamond"/>
          <w:bCs/>
          <w:noProof/>
          <w:sz w:val="24"/>
          <w:szCs w:val="24"/>
          <w:lang w:eastAsia="pt-PT"/>
        </w:rPr>
      </w:pPr>
      <w:hyperlink w:anchor="_Toc46677152" w:history="1">
        <w:r w:rsidR="00430D8D" w:rsidRPr="00DD63A6">
          <w:rPr>
            <w:rStyle w:val="Hiperligao"/>
            <w:rFonts w:ascii="Garamond" w:hAnsi="Garamond"/>
            <w:bCs/>
            <w:noProof/>
            <w:sz w:val="24"/>
            <w:szCs w:val="24"/>
          </w:rPr>
          <w:t>Figura 4 - Distribuição percentual por sexo dos inquiridos</w:t>
        </w:r>
        <w:r w:rsidR="00430D8D" w:rsidRPr="00DD63A6">
          <w:rPr>
            <w:rFonts w:ascii="Garamond" w:hAnsi="Garamond"/>
            <w:bCs/>
            <w:noProof/>
            <w:webHidden/>
            <w:sz w:val="24"/>
            <w:szCs w:val="24"/>
          </w:rPr>
          <w:tab/>
        </w:r>
        <w:r w:rsidR="00430D8D" w:rsidRPr="00DD63A6">
          <w:rPr>
            <w:rFonts w:ascii="Garamond" w:hAnsi="Garamond"/>
            <w:bCs/>
            <w:noProof/>
            <w:webHidden/>
            <w:sz w:val="24"/>
            <w:szCs w:val="24"/>
          </w:rPr>
          <w:fldChar w:fldCharType="begin"/>
        </w:r>
        <w:r w:rsidR="00430D8D" w:rsidRPr="00DD63A6">
          <w:rPr>
            <w:rFonts w:ascii="Garamond" w:hAnsi="Garamond"/>
            <w:bCs/>
            <w:noProof/>
            <w:webHidden/>
            <w:sz w:val="24"/>
            <w:szCs w:val="24"/>
          </w:rPr>
          <w:instrText xml:space="preserve"> PAGEREF _Toc46677152 \h </w:instrText>
        </w:r>
        <w:r w:rsidR="00430D8D" w:rsidRPr="00DD63A6">
          <w:rPr>
            <w:rFonts w:ascii="Garamond" w:hAnsi="Garamond"/>
            <w:bCs/>
            <w:noProof/>
            <w:webHidden/>
            <w:sz w:val="24"/>
            <w:szCs w:val="24"/>
          </w:rPr>
        </w:r>
        <w:r w:rsidR="00430D8D" w:rsidRPr="00DD63A6">
          <w:rPr>
            <w:rFonts w:ascii="Garamond" w:hAnsi="Garamond"/>
            <w:bCs/>
            <w:noProof/>
            <w:webHidden/>
            <w:sz w:val="24"/>
            <w:szCs w:val="24"/>
          </w:rPr>
          <w:fldChar w:fldCharType="separate"/>
        </w:r>
        <w:r w:rsidR="00430D8D" w:rsidRPr="00DD63A6">
          <w:rPr>
            <w:rFonts w:ascii="Garamond" w:hAnsi="Garamond"/>
            <w:bCs/>
            <w:noProof/>
            <w:webHidden/>
            <w:sz w:val="24"/>
            <w:szCs w:val="24"/>
          </w:rPr>
          <w:t>44</w:t>
        </w:r>
        <w:r w:rsidR="00430D8D" w:rsidRPr="00DD63A6">
          <w:rPr>
            <w:rFonts w:ascii="Garamond" w:hAnsi="Garamond"/>
            <w:bCs/>
            <w:noProof/>
            <w:webHidden/>
            <w:sz w:val="24"/>
            <w:szCs w:val="24"/>
          </w:rPr>
          <w:fldChar w:fldCharType="end"/>
        </w:r>
      </w:hyperlink>
    </w:p>
    <w:p w:rsidR="00430D8D" w:rsidRPr="00DD63A6" w:rsidRDefault="005905A3" w:rsidP="00DD63A6">
      <w:pPr>
        <w:pStyle w:val="ndicedeilustraes"/>
        <w:tabs>
          <w:tab w:val="right" w:leader="dot" w:pos="8493"/>
        </w:tabs>
        <w:spacing w:after="120"/>
        <w:rPr>
          <w:rFonts w:ascii="Garamond" w:eastAsiaTheme="minorEastAsia" w:hAnsi="Garamond"/>
          <w:bCs/>
          <w:noProof/>
          <w:sz w:val="24"/>
          <w:szCs w:val="24"/>
          <w:lang w:eastAsia="pt-PT"/>
        </w:rPr>
      </w:pPr>
      <w:hyperlink w:anchor="_Toc46677153" w:history="1">
        <w:r w:rsidR="00430D8D" w:rsidRPr="00DD63A6">
          <w:rPr>
            <w:rStyle w:val="Hiperligao"/>
            <w:rFonts w:ascii="Garamond" w:hAnsi="Garamond"/>
            <w:bCs/>
            <w:noProof/>
            <w:sz w:val="24"/>
            <w:szCs w:val="24"/>
          </w:rPr>
          <w:t>Figura 5 - Distribuição percentual por situação profissional dos inquiridos</w:t>
        </w:r>
        <w:r w:rsidR="00430D8D" w:rsidRPr="00DD63A6">
          <w:rPr>
            <w:rFonts w:ascii="Garamond" w:hAnsi="Garamond"/>
            <w:bCs/>
            <w:noProof/>
            <w:webHidden/>
            <w:sz w:val="24"/>
            <w:szCs w:val="24"/>
          </w:rPr>
          <w:tab/>
        </w:r>
        <w:r w:rsidR="00430D8D" w:rsidRPr="00DD63A6">
          <w:rPr>
            <w:rFonts w:ascii="Garamond" w:hAnsi="Garamond"/>
            <w:bCs/>
            <w:noProof/>
            <w:webHidden/>
            <w:sz w:val="24"/>
            <w:szCs w:val="24"/>
          </w:rPr>
          <w:fldChar w:fldCharType="begin"/>
        </w:r>
        <w:r w:rsidR="00430D8D" w:rsidRPr="00DD63A6">
          <w:rPr>
            <w:rFonts w:ascii="Garamond" w:hAnsi="Garamond"/>
            <w:bCs/>
            <w:noProof/>
            <w:webHidden/>
            <w:sz w:val="24"/>
            <w:szCs w:val="24"/>
          </w:rPr>
          <w:instrText xml:space="preserve"> PAGEREF _Toc46677153 \h </w:instrText>
        </w:r>
        <w:r w:rsidR="00430D8D" w:rsidRPr="00DD63A6">
          <w:rPr>
            <w:rFonts w:ascii="Garamond" w:hAnsi="Garamond"/>
            <w:bCs/>
            <w:noProof/>
            <w:webHidden/>
            <w:sz w:val="24"/>
            <w:szCs w:val="24"/>
          </w:rPr>
        </w:r>
        <w:r w:rsidR="00430D8D" w:rsidRPr="00DD63A6">
          <w:rPr>
            <w:rFonts w:ascii="Garamond" w:hAnsi="Garamond"/>
            <w:bCs/>
            <w:noProof/>
            <w:webHidden/>
            <w:sz w:val="24"/>
            <w:szCs w:val="24"/>
          </w:rPr>
          <w:fldChar w:fldCharType="separate"/>
        </w:r>
        <w:r w:rsidR="00430D8D" w:rsidRPr="00DD63A6">
          <w:rPr>
            <w:rFonts w:ascii="Garamond" w:hAnsi="Garamond"/>
            <w:bCs/>
            <w:noProof/>
            <w:webHidden/>
            <w:sz w:val="24"/>
            <w:szCs w:val="24"/>
          </w:rPr>
          <w:t>44</w:t>
        </w:r>
        <w:r w:rsidR="00430D8D" w:rsidRPr="00DD63A6">
          <w:rPr>
            <w:rFonts w:ascii="Garamond" w:hAnsi="Garamond"/>
            <w:bCs/>
            <w:noProof/>
            <w:webHidden/>
            <w:sz w:val="24"/>
            <w:szCs w:val="24"/>
          </w:rPr>
          <w:fldChar w:fldCharType="end"/>
        </w:r>
      </w:hyperlink>
    </w:p>
    <w:p w:rsidR="00430D8D" w:rsidRPr="00DD63A6" w:rsidRDefault="005905A3" w:rsidP="00DD63A6">
      <w:pPr>
        <w:pStyle w:val="ndicedeilustraes"/>
        <w:tabs>
          <w:tab w:val="right" w:leader="dot" w:pos="8493"/>
        </w:tabs>
        <w:spacing w:after="120"/>
        <w:rPr>
          <w:rFonts w:ascii="Garamond" w:eastAsiaTheme="minorEastAsia" w:hAnsi="Garamond"/>
          <w:bCs/>
          <w:noProof/>
          <w:sz w:val="24"/>
          <w:szCs w:val="24"/>
          <w:lang w:eastAsia="pt-PT"/>
        </w:rPr>
      </w:pPr>
      <w:hyperlink w:anchor="_Toc46677154" w:history="1">
        <w:r w:rsidR="00430D8D" w:rsidRPr="00DD63A6">
          <w:rPr>
            <w:rStyle w:val="Hiperligao"/>
            <w:rFonts w:ascii="Garamond" w:hAnsi="Garamond"/>
            <w:bCs/>
            <w:noProof/>
            <w:sz w:val="24"/>
            <w:szCs w:val="24"/>
          </w:rPr>
          <w:t>Figura 6 - Distribuição percentual por sector de atividade dos inquiridos</w:t>
        </w:r>
        <w:r w:rsidR="00430D8D" w:rsidRPr="00DD63A6">
          <w:rPr>
            <w:rFonts w:ascii="Garamond" w:hAnsi="Garamond"/>
            <w:bCs/>
            <w:noProof/>
            <w:webHidden/>
            <w:sz w:val="24"/>
            <w:szCs w:val="24"/>
          </w:rPr>
          <w:tab/>
        </w:r>
        <w:r w:rsidR="00430D8D" w:rsidRPr="00DD63A6">
          <w:rPr>
            <w:rFonts w:ascii="Garamond" w:hAnsi="Garamond"/>
            <w:bCs/>
            <w:noProof/>
            <w:webHidden/>
            <w:sz w:val="24"/>
            <w:szCs w:val="24"/>
          </w:rPr>
          <w:fldChar w:fldCharType="begin"/>
        </w:r>
        <w:r w:rsidR="00430D8D" w:rsidRPr="00DD63A6">
          <w:rPr>
            <w:rFonts w:ascii="Garamond" w:hAnsi="Garamond"/>
            <w:bCs/>
            <w:noProof/>
            <w:webHidden/>
            <w:sz w:val="24"/>
            <w:szCs w:val="24"/>
          </w:rPr>
          <w:instrText xml:space="preserve"> PAGEREF _Toc46677154 \h </w:instrText>
        </w:r>
        <w:r w:rsidR="00430D8D" w:rsidRPr="00DD63A6">
          <w:rPr>
            <w:rFonts w:ascii="Garamond" w:hAnsi="Garamond"/>
            <w:bCs/>
            <w:noProof/>
            <w:webHidden/>
            <w:sz w:val="24"/>
            <w:szCs w:val="24"/>
          </w:rPr>
        </w:r>
        <w:r w:rsidR="00430D8D" w:rsidRPr="00DD63A6">
          <w:rPr>
            <w:rFonts w:ascii="Garamond" w:hAnsi="Garamond"/>
            <w:bCs/>
            <w:noProof/>
            <w:webHidden/>
            <w:sz w:val="24"/>
            <w:szCs w:val="24"/>
          </w:rPr>
          <w:fldChar w:fldCharType="separate"/>
        </w:r>
        <w:r w:rsidR="00430D8D" w:rsidRPr="00DD63A6">
          <w:rPr>
            <w:rFonts w:ascii="Garamond" w:hAnsi="Garamond"/>
            <w:bCs/>
            <w:noProof/>
            <w:webHidden/>
            <w:sz w:val="24"/>
            <w:szCs w:val="24"/>
          </w:rPr>
          <w:t>45</w:t>
        </w:r>
        <w:r w:rsidR="00430D8D" w:rsidRPr="00DD63A6">
          <w:rPr>
            <w:rFonts w:ascii="Garamond" w:hAnsi="Garamond"/>
            <w:bCs/>
            <w:noProof/>
            <w:webHidden/>
            <w:sz w:val="24"/>
            <w:szCs w:val="24"/>
          </w:rPr>
          <w:fldChar w:fldCharType="end"/>
        </w:r>
      </w:hyperlink>
    </w:p>
    <w:p w:rsidR="00430D8D" w:rsidRPr="00DD63A6" w:rsidRDefault="005905A3" w:rsidP="00DD63A6">
      <w:pPr>
        <w:pStyle w:val="ndicedeilustraes"/>
        <w:tabs>
          <w:tab w:val="right" w:leader="dot" w:pos="8493"/>
        </w:tabs>
        <w:spacing w:after="120"/>
        <w:rPr>
          <w:rFonts w:ascii="Garamond" w:eastAsiaTheme="minorEastAsia" w:hAnsi="Garamond"/>
          <w:bCs/>
          <w:noProof/>
          <w:sz w:val="24"/>
          <w:szCs w:val="24"/>
          <w:lang w:eastAsia="pt-PT"/>
        </w:rPr>
      </w:pPr>
      <w:hyperlink w:anchor="_Toc46677155" w:history="1">
        <w:r w:rsidR="00430D8D" w:rsidRPr="00DD63A6">
          <w:rPr>
            <w:rStyle w:val="Hiperligao"/>
            <w:rFonts w:ascii="Garamond" w:hAnsi="Garamond"/>
            <w:bCs/>
            <w:noProof/>
            <w:sz w:val="24"/>
            <w:szCs w:val="24"/>
          </w:rPr>
          <w:t>Figura 7 - Distribuição de respostas emocionais positivas</w:t>
        </w:r>
        <w:r w:rsidR="00430D8D" w:rsidRPr="00DD63A6">
          <w:rPr>
            <w:rFonts w:ascii="Garamond" w:hAnsi="Garamond"/>
            <w:bCs/>
            <w:noProof/>
            <w:webHidden/>
            <w:sz w:val="24"/>
            <w:szCs w:val="24"/>
          </w:rPr>
          <w:tab/>
        </w:r>
        <w:r w:rsidR="00430D8D" w:rsidRPr="00DD63A6">
          <w:rPr>
            <w:rFonts w:ascii="Garamond" w:hAnsi="Garamond"/>
            <w:bCs/>
            <w:noProof/>
            <w:webHidden/>
            <w:sz w:val="24"/>
            <w:szCs w:val="24"/>
          </w:rPr>
          <w:fldChar w:fldCharType="begin"/>
        </w:r>
        <w:r w:rsidR="00430D8D" w:rsidRPr="00DD63A6">
          <w:rPr>
            <w:rFonts w:ascii="Garamond" w:hAnsi="Garamond"/>
            <w:bCs/>
            <w:noProof/>
            <w:webHidden/>
            <w:sz w:val="24"/>
            <w:szCs w:val="24"/>
          </w:rPr>
          <w:instrText xml:space="preserve"> PAGEREF _Toc46677155 \h </w:instrText>
        </w:r>
        <w:r w:rsidR="00430D8D" w:rsidRPr="00DD63A6">
          <w:rPr>
            <w:rFonts w:ascii="Garamond" w:hAnsi="Garamond"/>
            <w:bCs/>
            <w:noProof/>
            <w:webHidden/>
            <w:sz w:val="24"/>
            <w:szCs w:val="24"/>
          </w:rPr>
        </w:r>
        <w:r w:rsidR="00430D8D" w:rsidRPr="00DD63A6">
          <w:rPr>
            <w:rFonts w:ascii="Garamond" w:hAnsi="Garamond"/>
            <w:bCs/>
            <w:noProof/>
            <w:webHidden/>
            <w:sz w:val="24"/>
            <w:szCs w:val="24"/>
          </w:rPr>
          <w:fldChar w:fldCharType="separate"/>
        </w:r>
        <w:r w:rsidR="00430D8D" w:rsidRPr="00DD63A6">
          <w:rPr>
            <w:rFonts w:ascii="Garamond" w:hAnsi="Garamond"/>
            <w:bCs/>
            <w:noProof/>
            <w:webHidden/>
            <w:sz w:val="24"/>
            <w:szCs w:val="24"/>
          </w:rPr>
          <w:t>51</w:t>
        </w:r>
        <w:r w:rsidR="00430D8D" w:rsidRPr="00DD63A6">
          <w:rPr>
            <w:rFonts w:ascii="Garamond" w:hAnsi="Garamond"/>
            <w:bCs/>
            <w:noProof/>
            <w:webHidden/>
            <w:sz w:val="24"/>
            <w:szCs w:val="24"/>
          </w:rPr>
          <w:fldChar w:fldCharType="end"/>
        </w:r>
      </w:hyperlink>
    </w:p>
    <w:p w:rsidR="00430D8D" w:rsidRPr="00DD63A6" w:rsidRDefault="005905A3" w:rsidP="00DD63A6">
      <w:pPr>
        <w:pStyle w:val="ndicedeilustraes"/>
        <w:tabs>
          <w:tab w:val="right" w:leader="dot" w:pos="8493"/>
        </w:tabs>
        <w:spacing w:after="120"/>
        <w:rPr>
          <w:rFonts w:ascii="Garamond" w:eastAsiaTheme="minorEastAsia" w:hAnsi="Garamond"/>
          <w:bCs/>
          <w:noProof/>
          <w:sz w:val="24"/>
          <w:szCs w:val="24"/>
          <w:lang w:eastAsia="pt-PT"/>
        </w:rPr>
      </w:pPr>
      <w:hyperlink w:anchor="_Toc46677156" w:history="1">
        <w:r w:rsidR="00430D8D" w:rsidRPr="00DD63A6">
          <w:rPr>
            <w:rStyle w:val="Hiperligao"/>
            <w:rFonts w:ascii="Garamond" w:hAnsi="Garamond"/>
            <w:bCs/>
            <w:noProof/>
            <w:sz w:val="24"/>
            <w:szCs w:val="24"/>
          </w:rPr>
          <w:t>Figura 8 - Distribuição de respostas emocionais negativas</w:t>
        </w:r>
        <w:r w:rsidR="00430D8D" w:rsidRPr="00DD63A6">
          <w:rPr>
            <w:rFonts w:ascii="Garamond" w:hAnsi="Garamond"/>
            <w:bCs/>
            <w:noProof/>
            <w:webHidden/>
            <w:sz w:val="24"/>
            <w:szCs w:val="24"/>
          </w:rPr>
          <w:tab/>
        </w:r>
        <w:r w:rsidR="00430D8D" w:rsidRPr="00DD63A6">
          <w:rPr>
            <w:rFonts w:ascii="Garamond" w:hAnsi="Garamond"/>
            <w:bCs/>
            <w:noProof/>
            <w:webHidden/>
            <w:sz w:val="24"/>
            <w:szCs w:val="24"/>
          </w:rPr>
          <w:fldChar w:fldCharType="begin"/>
        </w:r>
        <w:r w:rsidR="00430D8D" w:rsidRPr="00DD63A6">
          <w:rPr>
            <w:rFonts w:ascii="Garamond" w:hAnsi="Garamond"/>
            <w:bCs/>
            <w:noProof/>
            <w:webHidden/>
            <w:sz w:val="24"/>
            <w:szCs w:val="24"/>
          </w:rPr>
          <w:instrText xml:space="preserve"> PAGEREF _Toc46677156 \h </w:instrText>
        </w:r>
        <w:r w:rsidR="00430D8D" w:rsidRPr="00DD63A6">
          <w:rPr>
            <w:rFonts w:ascii="Garamond" w:hAnsi="Garamond"/>
            <w:bCs/>
            <w:noProof/>
            <w:webHidden/>
            <w:sz w:val="24"/>
            <w:szCs w:val="24"/>
          </w:rPr>
        </w:r>
        <w:r w:rsidR="00430D8D" w:rsidRPr="00DD63A6">
          <w:rPr>
            <w:rFonts w:ascii="Garamond" w:hAnsi="Garamond"/>
            <w:bCs/>
            <w:noProof/>
            <w:webHidden/>
            <w:sz w:val="24"/>
            <w:szCs w:val="24"/>
          </w:rPr>
          <w:fldChar w:fldCharType="separate"/>
        </w:r>
        <w:r w:rsidR="00430D8D" w:rsidRPr="00DD63A6">
          <w:rPr>
            <w:rFonts w:ascii="Garamond" w:hAnsi="Garamond"/>
            <w:bCs/>
            <w:noProof/>
            <w:webHidden/>
            <w:sz w:val="24"/>
            <w:szCs w:val="24"/>
          </w:rPr>
          <w:t>52</w:t>
        </w:r>
        <w:r w:rsidR="00430D8D" w:rsidRPr="00DD63A6">
          <w:rPr>
            <w:rFonts w:ascii="Garamond" w:hAnsi="Garamond"/>
            <w:bCs/>
            <w:noProof/>
            <w:webHidden/>
            <w:sz w:val="24"/>
            <w:szCs w:val="24"/>
          </w:rPr>
          <w:fldChar w:fldCharType="end"/>
        </w:r>
      </w:hyperlink>
    </w:p>
    <w:p w:rsidR="00DC11BE" w:rsidRPr="0094770E" w:rsidRDefault="00DC11BE" w:rsidP="005905A3">
      <w:pPr>
        <w:pStyle w:val="ndice1"/>
      </w:pPr>
      <w:r w:rsidRPr="00DD63A6">
        <w:rPr>
          <w:rStyle w:val="Hiperligao"/>
          <w:rFonts w:ascii="Garamond" w:hAnsi="Garamond"/>
          <w:b w:val="0"/>
          <w:i w:val="0"/>
          <w:iCs w:val="0"/>
          <w:noProof/>
        </w:rPr>
        <w:fldChar w:fldCharType="end"/>
      </w:r>
      <w:r w:rsidRPr="0094770E">
        <w:br w:type="page"/>
      </w:r>
    </w:p>
    <w:p w:rsidR="00DC11BE" w:rsidRPr="0094770E" w:rsidRDefault="00DC11BE" w:rsidP="00050136">
      <w:pPr>
        <w:pStyle w:val="Nvel22"/>
        <w:sectPr w:rsidR="00DC11BE" w:rsidRPr="0094770E" w:rsidSect="004E3707">
          <w:pgSz w:w="11906" w:h="16838"/>
          <w:pgMar w:top="1701" w:right="1418" w:bottom="1701" w:left="1985" w:header="708" w:footer="708" w:gutter="0"/>
          <w:pgNumType w:fmt="lowerRoman" w:start="1"/>
          <w:cols w:space="708"/>
          <w:docGrid w:linePitch="360"/>
        </w:sectPr>
      </w:pPr>
    </w:p>
    <w:p w:rsidR="00DC11BE" w:rsidRPr="00A32A19" w:rsidRDefault="00DC11BE" w:rsidP="00DD63A6">
      <w:pPr>
        <w:pStyle w:val="Nivel1"/>
      </w:pPr>
      <w:bookmarkStart w:id="7" w:name="_Toc37177044"/>
      <w:bookmarkStart w:id="8" w:name="_Toc46678966"/>
      <w:proofErr w:type="spellStart"/>
      <w:r w:rsidRPr="00A32A19">
        <w:lastRenderedPageBreak/>
        <w:t>Introdução</w:t>
      </w:r>
      <w:bookmarkEnd w:id="7"/>
      <w:bookmarkEnd w:id="8"/>
      <w:proofErr w:type="spellEnd"/>
    </w:p>
    <w:p w:rsidR="00DC11BE" w:rsidRPr="00D77886" w:rsidRDefault="00DC11BE" w:rsidP="00D77886">
      <w:pPr>
        <w:pStyle w:val="CorpoTexto"/>
      </w:pPr>
      <w:r w:rsidRPr="00D77886">
        <w:t xml:space="preserve">Independentemente da área de atividade, qualquer que seja a organização, depende da eficácia dos seus recursos humanos para o sucesso e crescimento (Du, Fan, &amp; Feng, 2011; Ramesh Babu &amp; Ramesh, 2013). Uma boa seleção, recrutamento e formação mostram-se extremamente eficazes no que diz respeito a atrair candidatos mais habilitados para as empresas, contudo só será possível melhorar o seu desempenho motivando-os </w:t>
      </w:r>
      <w:r w:rsidR="006F2B20" w:rsidRPr="00D77886">
        <w:t>(</w:t>
      </w:r>
      <w:r w:rsidRPr="00D77886">
        <w:t xml:space="preserve">Schneider &amp; Bowen, 1995). A motivação e satisfação influenciam, de um modo geral, o desempenho dos recursos humanos (Ramesh Babu &amp; Ramesh, 2013). </w:t>
      </w:r>
    </w:p>
    <w:p w:rsidR="00DC11BE" w:rsidRPr="00D77886" w:rsidRDefault="00DC11BE" w:rsidP="00D77886">
      <w:pPr>
        <w:pStyle w:val="CorpoTexto"/>
      </w:pPr>
      <w:r w:rsidRPr="00D77886">
        <w:t>No momento de autêntica interação entre o cliente e a organização, também apelidado como encontro de serviço (Fitzsimmons &amp; Fitzsimmons, 2006; Hoffmann &amp; Bateson, 1997), o pessoal de contacto é o representante da empresa e desempenha um papel fundamental durante a interação direta com os clientes (Fierro, Polo &amp; Carrasco, 2014; Yoshida et al., 2003). Com frequência, é o primeiro e único representante da empresa com quem o consumidor tem contacto, atuando como porta-voz da empresa. Tem um papel muito ativo na prestação do serviço, servindo de base à perceção do cliente pelo serviço prestado e desempenhando, por isso, atividades de imensa relevância para o valor da empresa (Danysz, Kostowski &amp; Archer, 1988; Fierro et al., 2014).</w:t>
      </w:r>
    </w:p>
    <w:p w:rsidR="00DC11BE" w:rsidRPr="00D77886" w:rsidRDefault="00DC11BE" w:rsidP="00D77886">
      <w:pPr>
        <w:pStyle w:val="CorpoTexto"/>
      </w:pPr>
      <w:r w:rsidRPr="00D77886">
        <w:t xml:space="preserve">Eventuais falhas nos encontros de serviços são extremamente difíceis de serem evitadas e as consequências de uma má gestão das mesmas irreversíveis (Lanza, Casielles, &amp; Martín, 2009). Estas são causadoras de sentimentos, emoções e reações negativas (Fitzsimmons &amp; Fitzsimmons, 2006; Hoffmann &amp; Bateson, 1997) e, com frequência, impulsionadoras de reclamações.  </w:t>
      </w:r>
    </w:p>
    <w:p w:rsidR="00DC11BE" w:rsidRPr="00D77886" w:rsidRDefault="00DC11BE" w:rsidP="00D77886">
      <w:pPr>
        <w:pStyle w:val="CorpoTexto"/>
      </w:pPr>
      <w:r w:rsidRPr="00D77886">
        <w:t>Em situações de falha de serviço e em todo o processo de recuperação, o comportamento e funções do pessoal de contacto têm um impacto direto na satisfação e/ou insatisfação dos clientes, daí que, também aqui, o seu papel ser de extrema importância. A avaliação feita pelos consumidores à resposta da empresa é feita tendo em conta o desempenho dos seus funcionários de contacto (Sparks &amp; McColl-Kennedy, 2001), os clientes avaliam as falhas em concordância com o comportamento interpessoal, as respostas dadas e o procedimento empregue ao longo do processo (Tax, Brown, &amp; Chandrashekaran, 1998).</w:t>
      </w:r>
    </w:p>
    <w:p w:rsidR="00DC11BE" w:rsidRPr="00D77886" w:rsidRDefault="00DC11BE" w:rsidP="00D77886">
      <w:pPr>
        <w:pStyle w:val="CorpoTexto"/>
      </w:pPr>
      <w:r w:rsidRPr="00D77886">
        <w:lastRenderedPageBreak/>
        <w:t>As respostas de recuperação dos funcionários de contacto aos clientes insatisfeitos devem ser, por isso, planeadas, treinadas, capacitadas e motivadas por forma a serem positivas e profissionais (</w:t>
      </w:r>
      <w:proofErr w:type="spellStart"/>
      <w:r w:rsidRPr="00D77886">
        <w:t>Dallimore</w:t>
      </w:r>
      <w:proofErr w:type="spellEnd"/>
      <w:r w:rsidRPr="00D77886">
        <w:t xml:space="preserve">, </w:t>
      </w:r>
      <w:proofErr w:type="spellStart"/>
      <w:r w:rsidRPr="00D77886">
        <w:t>Sparks</w:t>
      </w:r>
      <w:proofErr w:type="spellEnd"/>
      <w:r w:rsidRPr="00D77886">
        <w:t xml:space="preserve"> &amp; </w:t>
      </w:r>
      <w:proofErr w:type="spellStart"/>
      <w:r w:rsidRPr="00D77886">
        <w:t>Butcher</w:t>
      </w:r>
      <w:proofErr w:type="spellEnd"/>
      <w:r w:rsidRPr="00D77886">
        <w:t xml:space="preserve">, 2007). </w:t>
      </w:r>
    </w:p>
    <w:p w:rsidR="007E0D4E" w:rsidRPr="00D77886" w:rsidRDefault="00DC11BE" w:rsidP="00D77886">
      <w:pPr>
        <w:pStyle w:val="CorpoTexto"/>
      </w:pPr>
      <w:r w:rsidRPr="00D77886">
        <w:t>Conceitos populares, como a "cadeia de serviços lucrativos" (</w:t>
      </w:r>
      <w:proofErr w:type="spellStart"/>
      <w:r w:rsidRPr="00D77886">
        <w:t>Heskett</w:t>
      </w:r>
      <w:proofErr w:type="spellEnd"/>
      <w:r w:rsidRPr="00D77886">
        <w:t xml:space="preserve">, </w:t>
      </w:r>
      <w:proofErr w:type="spellStart"/>
      <w:r w:rsidRPr="00D77886">
        <w:t>Sasser</w:t>
      </w:r>
      <w:proofErr w:type="spellEnd"/>
      <w:r w:rsidRPr="00D77886">
        <w:t>, &amp; Schlesinger, 1997), sugerem ligações entre atitudes dos funcionários, satisfação do cliente e, finalmente, lucros organizacionais, mas a pesquisa empírica sobre o papel da emoção nas ligações empregado-cliente tem ficado para segundo plano (</w:t>
      </w:r>
      <w:proofErr w:type="spellStart"/>
      <w:r w:rsidRPr="00D77886">
        <w:t>Pugh</w:t>
      </w:r>
      <w:proofErr w:type="spellEnd"/>
      <w:r w:rsidRPr="00D77886">
        <w:t>, 2001).</w:t>
      </w:r>
      <w:r w:rsidR="00415A67" w:rsidRPr="00D77886">
        <w:t xml:space="preserve"> </w:t>
      </w:r>
    </w:p>
    <w:p w:rsidR="00DC11BE" w:rsidRPr="00D77886" w:rsidRDefault="00DC11BE" w:rsidP="00D77886">
      <w:pPr>
        <w:pStyle w:val="CorpoTexto"/>
      </w:pPr>
      <w:r w:rsidRPr="00D77886">
        <w:t>As emoções influenciam</w:t>
      </w:r>
      <w:r w:rsidR="00C40A67" w:rsidRPr="00D77886">
        <w:t xml:space="preserve">, igualmente </w:t>
      </w:r>
      <w:r w:rsidRPr="00D77886">
        <w:t>a satisfação com a recuperação do serviço (</w:t>
      </w:r>
      <w:proofErr w:type="spellStart"/>
      <w:r w:rsidRPr="00D77886">
        <w:t>Lanza</w:t>
      </w:r>
      <w:proofErr w:type="spellEnd"/>
      <w:r w:rsidRPr="00D77886">
        <w:t xml:space="preserve"> </w:t>
      </w:r>
      <w:proofErr w:type="spellStart"/>
      <w:r w:rsidRPr="00D77886">
        <w:t>et</w:t>
      </w:r>
      <w:proofErr w:type="spellEnd"/>
      <w:r w:rsidRPr="00D77886">
        <w:t xml:space="preserve"> al., 2009) que, por sua vez, influência diretamente a satisfação do cliente (</w:t>
      </w:r>
      <w:proofErr w:type="spellStart"/>
      <w:r w:rsidRPr="00D77886">
        <w:t>Pelaez</w:t>
      </w:r>
      <w:proofErr w:type="spellEnd"/>
      <w:r w:rsidRPr="00D77886">
        <w:t xml:space="preserve">, Garcia, &amp; </w:t>
      </w:r>
      <w:proofErr w:type="spellStart"/>
      <w:r w:rsidRPr="00D77886">
        <w:t>Lopez</w:t>
      </w:r>
      <w:proofErr w:type="spellEnd"/>
      <w:r w:rsidRPr="00D77886">
        <w:t>, 2015)</w:t>
      </w:r>
      <w:r w:rsidR="00D87C4E" w:rsidRPr="00D77886">
        <w:t xml:space="preserve">. Deste modo, </w:t>
      </w:r>
      <w:r w:rsidRPr="00D77886">
        <w:t>o interesse pelas emoções em contexto de encontro de serviço tem vindo a crescer consideravelmente entre os estudiosos em serviços (</w:t>
      </w:r>
      <w:proofErr w:type="spellStart"/>
      <w:r w:rsidRPr="00D77886">
        <w:t>Hogreve</w:t>
      </w:r>
      <w:proofErr w:type="spellEnd"/>
      <w:r w:rsidRPr="00D77886">
        <w:t xml:space="preserve"> &amp; </w:t>
      </w:r>
      <w:proofErr w:type="spellStart"/>
      <w:r w:rsidRPr="00D77886">
        <w:t>Gremler</w:t>
      </w:r>
      <w:proofErr w:type="spellEnd"/>
      <w:r w:rsidRPr="00D77886">
        <w:t>, 2009), todavia a influência das emoções na recuperação de serviços tem sida diminuta (</w:t>
      </w:r>
      <w:proofErr w:type="spellStart"/>
      <w:r w:rsidRPr="00D77886">
        <w:t>Lanza</w:t>
      </w:r>
      <w:proofErr w:type="spellEnd"/>
      <w:r w:rsidRPr="00D77886">
        <w:t xml:space="preserve"> </w:t>
      </w:r>
      <w:proofErr w:type="spellStart"/>
      <w:r w:rsidRPr="00D77886">
        <w:t>et</w:t>
      </w:r>
      <w:proofErr w:type="spellEnd"/>
      <w:r w:rsidRPr="00D77886">
        <w:t xml:space="preserve"> al., 2009).</w:t>
      </w:r>
      <w:r w:rsidR="00F34783" w:rsidRPr="00D77886">
        <w:t xml:space="preserve"> </w:t>
      </w:r>
    </w:p>
    <w:p w:rsidR="00DC11BE" w:rsidRPr="00D77886" w:rsidRDefault="00DC11BE" w:rsidP="00D77886">
      <w:pPr>
        <w:pStyle w:val="CorpoTexto"/>
      </w:pPr>
      <w:r w:rsidRPr="00D77886">
        <w:t>A forte componente de interação humana que caracteriza os encontros de serviços (</w:t>
      </w:r>
      <w:proofErr w:type="spellStart"/>
      <w:r w:rsidRPr="00D77886">
        <w:t>Bitner</w:t>
      </w:r>
      <w:proofErr w:type="spellEnd"/>
      <w:r w:rsidRPr="00D77886">
        <w:t xml:space="preserve">, Booms &amp; </w:t>
      </w:r>
      <w:proofErr w:type="spellStart"/>
      <w:r w:rsidRPr="00D77886">
        <w:t>Tetreault</w:t>
      </w:r>
      <w:proofErr w:type="spellEnd"/>
      <w:r w:rsidRPr="00D77886">
        <w:t>, 1990) e as interações entre clientes e funcionários de serviços foram examinadas extensivamente (</w:t>
      </w:r>
      <w:proofErr w:type="spellStart"/>
      <w:r w:rsidRPr="00D77886">
        <w:t>Jerger</w:t>
      </w:r>
      <w:proofErr w:type="spellEnd"/>
      <w:r w:rsidRPr="00D77886">
        <w:t xml:space="preserve"> &amp; </w:t>
      </w:r>
      <w:proofErr w:type="spellStart"/>
      <w:r w:rsidRPr="00D77886">
        <w:t>Wirtz</w:t>
      </w:r>
      <w:proofErr w:type="spellEnd"/>
      <w:r w:rsidRPr="00D77886">
        <w:t xml:space="preserve">, 2017; </w:t>
      </w:r>
      <w:proofErr w:type="spellStart"/>
      <w:r w:rsidRPr="00D77886">
        <w:t>Rafaeli</w:t>
      </w:r>
      <w:proofErr w:type="spellEnd"/>
      <w:r w:rsidRPr="00D77886">
        <w:t xml:space="preserve"> </w:t>
      </w:r>
      <w:proofErr w:type="spellStart"/>
      <w:r w:rsidRPr="00D77886">
        <w:t>et</w:t>
      </w:r>
      <w:proofErr w:type="spellEnd"/>
      <w:r w:rsidRPr="00D77886">
        <w:t xml:space="preserve"> al., 2017), contudo poucas pesquisas se concentram em variáveis organizacionais que possam determinar como os funcionários respondem em situações de recuperação de serviço (</w:t>
      </w:r>
      <w:proofErr w:type="spellStart"/>
      <w:r w:rsidRPr="00D77886">
        <w:t>Jerger</w:t>
      </w:r>
      <w:proofErr w:type="spellEnd"/>
      <w:r w:rsidRPr="00D77886">
        <w:t xml:space="preserve"> &amp; </w:t>
      </w:r>
      <w:proofErr w:type="spellStart"/>
      <w:r w:rsidRPr="00D77886">
        <w:t>Wirtz</w:t>
      </w:r>
      <w:proofErr w:type="spellEnd"/>
      <w:r w:rsidRPr="00D77886">
        <w:t xml:space="preserve">, 2017). </w:t>
      </w:r>
    </w:p>
    <w:p w:rsidR="00DC11BE" w:rsidRPr="00D77886" w:rsidRDefault="00DC11BE" w:rsidP="00D77886">
      <w:pPr>
        <w:pStyle w:val="CorpoTexto"/>
      </w:pPr>
      <w:r w:rsidRPr="00D77886">
        <w:t>Face a este enquadramento a investigação proposta terá como objetivo principal analisar</w:t>
      </w:r>
      <w:r w:rsidR="008118AE" w:rsidRPr="00D77886">
        <w:t xml:space="preserve"> a relação da motivação e satisfação do pessoal de contacto, relativamente a certos aspetos, com as emoções nas suas respostas às reclamações dos clientes. </w:t>
      </w:r>
      <w:r w:rsidRPr="00D77886">
        <w:t xml:space="preserve">De forma a dar resposta ao pretendido serão analisados, a motivação e a satisfação do pessoal de contacto e averiguar-se-á se existe correlação entre a perceção das variáveis motivacionais, nomeadamente o poder, o sucesso e a afiliação e das variáveis de satisfação, especialmente </w:t>
      </w:r>
      <w:r w:rsidR="00F34783" w:rsidRPr="00D77886">
        <w:t xml:space="preserve">com </w:t>
      </w:r>
      <w:r w:rsidRPr="00D77886">
        <w:t xml:space="preserve">os colegas de trabalho e os superiores hierárquicos, </w:t>
      </w:r>
      <w:r w:rsidR="00F34783" w:rsidRPr="00D77886">
        <w:t xml:space="preserve">com </w:t>
      </w:r>
      <w:r w:rsidRPr="00D77886">
        <w:t xml:space="preserve">a realização de tarefas, o salário e as promoções, com as respostas emocionais dos funcionários de contacto no momento das reclamações dos clientes. </w:t>
      </w:r>
    </w:p>
    <w:p w:rsidR="00DC11BE" w:rsidRPr="00D77886" w:rsidRDefault="00DC11BE" w:rsidP="00D77886">
      <w:pPr>
        <w:pStyle w:val="CorpoTexto"/>
      </w:pPr>
      <w:r w:rsidRPr="00D77886">
        <w:t xml:space="preserve">A presente dissertação será estruturada em duas partes principais. Na primeira apresentar-se-á o enquadramento teórico. Por conseguinte e para dar consecução a este desígnio, dividir-se-á esta em diversos temas onde se efetuará uma revisão de literatura de modo a enquadrar o tema do nosso trabalho. </w:t>
      </w:r>
    </w:p>
    <w:p w:rsidR="00DC11BE" w:rsidRPr="0094770E" w:rsidRDefault="00DC11BE" w:rsidP="00D77886">
      <w:pPr>
        <w:pStyle w:val="CorpoTexto"/>
      </w:pPr>
      <w:r w:rsidRPr="0094770E">
        <w:lastRenderedPageBreak/>
        <w:t xml:space="preserve">Assim, nos primeiros temas serão abordados os tópicos do papel e da importância do pessoal de contacto e as teorias e os principais conceitos da satisfação e da motivação dos funcionários. </w:t>
      </w:r>
    </w:p>
    <w:p w:rsidR="00DC11BE" w:rsidRPr="0094770E" w:rsidRDefault="00A52BFE" w:rsidP="00D77886">
      <w:pPr>
        <w:pStyle w:val="CorpoTexto"/>
      </w:pPr>
      <w:r w:rsidRPr="0094770E">
        <w:t xml:space="preserve">De seguida, </w:t>
      </w:r>
      <w:r w:rsidR="00DC11BE" w:rsidRPr="0094770E">
        <w:t xml:space="preserve">e de forma a complementar a revisão de literatura e dar ênfase a esta dissertação serão abordados os conceitos de falhas de serviço, reclamações e recuperação de serviço, servindo estes de mote para versar a relevância do pessoal de contacto. </w:t>
      </w:r>
    </w:p>
    <w:p w:rsidR="00DC11BE" w:rsidRPr="0094770E" w:rsidRDefault="00A52BFE" w:rsidP="00D77886">
      <w:pPr>
        <w:pStyle w:val="CorpoTexto"/>
      </w:pPr>
      <w:r w:rsidRPr="0094770E">
        <w:t xml:space="preserve">Posteriormente, </w:t>
      </w:r>
      <w:r w:rsidR="00DC11BE" w:rsidRPr="0094770E">
        <w:t xml:space="preserve">efetuar-se-á uma breve descrição das emoções a nível organizacional. </w:t>
      </w:r>
    </w:p>
    <w:p w:rsidR="00DC11BE" w:rsidRPr="0094770E" w:rsidRDefault="00F34783" w:rsidP="00D77886">
      <w:pPr>
        <w:pStyle w:val="CorpoTexto"/>
      </w:pPr>
      <w:r w:rsidRPr="0094770E">
        <w:t xml:space="preserve">A primeira parte encerrará com </w:t>
      </w:r>
      <w:r w:rsidR="00DC11BE" w:rsidRPr="0094770E">
        <w:t>uma breve síntese do enquadramento teórico.</w:t>
      </w:r>
    </w:p>
    <w:p w:rsidR="00DC11BE" w:rsidRPr="0094770E" w:rsidRDefault="00DC11BE" w:rsidP="00D77886">
      <w:pPr>
        <w:pStyle w:val="CorpoTexto"/>
      </w:pPr>
      <w:r w:rsidRPr="0094770E">
        <w:t>Na segunda parte da dissertação efetuar-se-á uma exposição do estudo empírico realizado. Em primeiro lugar apresentar-se-á a problemática da investigação em curso e nela far-se-á referência ao contexto em que se inseriu a investigação e que deu origem às questões de investigação e objetivos do estudo expostos. Posteriormente, apresentar-se-á o modelo e as hipóteses de estudo.</w:t>
      </w:r>
    </w:p>
    <w:p w:rsidR="00DC11BE" w:rsidRPr="0094770E" w:rsidRDefault="00F34783" w:rsidP="00D77886">
      <w:pPr>
        <w:pStyle w:val="CorpoTexto"/>
      </w:pPr>
      <w:r w:rsidRPr="0094770E">
        <w:t>Posteriormente</w:t>
      </w:r>
      <w:r w:rsidR="00DC11BE" w:rsidRPr="0094770E">
        <w:t xml:space="preserve"> apresentar-se-ão a metodologia de estudo, onde se fará referência à amostra e à população alvo, ao instrumento e às técnicas de recolha de dados e aos procedimentos adotados no estudo. </w:t>
      </w:r>
    </w:p>
    <w:p w:rsidR="00DC11BE" w:rsidRPr="0094770E" w:rsidRDefault="00DC11BE" w:rsidP="00D77886">
      <w:pPr>
        <w:pStyle w:val="CorpoTexto"/>
      </w:pPr>
      <w:r w:rsidRPr="0094770E">
        <w:t xml:space="preserve">De seguida serão apresentados os resultados obtidos. Após a apresentação destes efetuar-se-á a discussão dos dados, cuja análise descritiva das variáveis de estudo será comparada com a diversa literatura pesquisada. </w:t>
      </w:r>
    </w:p>
    <w:p w:rsidR="00DC11BE" w:rsidRPr="0094770E" w:rsidRDefault="00DC11BE" w:rsidP="00D77886">
      <w:pPr>
        <w:pStyle w:val="CorpoTexto"/>
      </w:pPr>
      <w:r w:rsidRPr="0094770E">
        <w:t xml:space="preserve">O trabalho finalizar-se-á com a apresentação das conclusões do estudo, com a exposição de algumas reflexões, com o contributo deste estudo para a gestão e literatura, as suas limitações, servindo de mote para a exposição de algumas possibilidades de investigação futura.   </w:t>
      </w:r>
    </w:p>
    <w:p w:rsidR="00DC11BE" w:rsidRPr="0094770E" w:rsidRDefault="00DC11BE" w:rsidP="00D77886">
      <w:pPr>
        <w:pStyle w:val="CorpoTexto"/>
      </w:pPr>
    </w:p>
    <w:p w:rsidR="00DC11BE" w:rsidRPr="0094770E" w:rsidRDefault="00DC11BE" w:rsidP="004E3707">
      <w:pPr>
        <w:rPr>
          <w:rFonts w:ascii="Garamond" w:hAnsi="Garamond"/>
          <w:b/>
          <w:sz w:val="24"/>
        </w:rPr>
      </w:pPr>
      <w:r w:rsidRPr="0094770E">
        <w:br w:type="page"/>
      </w:r>
    </w:p>
    <w:p w:rsidR="00DC11BE" w:rsidRPr="00D77886" w:rsidRDefault="00DC11BE" w:rsidP="00A32A19">
      <w:pPr>
        <w:pStyle w:val="Nivel1"/>
      </w:pPr>
      <w:bookmarkStart w:id="9" w:name="_Toc37177045"/>
      <w:bookmarkStart w:id="10" w:name="_Toc46678967"/>
      <w:proofErr w:type="spellStart"/>
      <w:r w:rsidRPr="00D77886">
        <w:lastRenderedPageBreak/>
        <w:t>Revisão</w:t>
      </w:r>
      <w:proofErr w:type="spellEnd"/>
      <w:r w:rsidRPr="00D77886">
        <w:t xml:space="preserve"> de </w:t>
      </w:r>
      <w:proofErr w:type="spellStart"/>
      <w:r w:rsidRPr="00D77886">
        <w:t>literatura</w:t>
      </w:r>
      <w:bookmarkEnd w:id="9"/>
      <w:bookmarkEnd w:id="10"/>
      <w:proofErr w:type="spellEnd"/>
    </w:p>
    <w:p w:rsidR="00DC11BE" w:rsidRPr="0094770E" w:rsidRDefault="00DC11BE" w:rsidP="00D77886">
      <w:pPr>
        <w:pStyle w:val="CorpoTexto"/>
        <w:rPr>
          <w:b/>
        </w:rPr>
      </w:pPr>
      <w:r w:rsidRPr="0094770E">
        <w:t xml:space="preserve">Os temas subsequentes expõem a revisão de literatura contextualizando o tema em estudo. Nos primeiros temas são abordados os tópicos relacionados com o papel e a importância do pessoal de contacto nas organizações e as teorias e os principais conceitos da satisfação e da motivação dos funcionários, conceitos presentes nas variáveis em estudo.  </w:t>
      </w:r>
    </w:p>
    <w:p w:rsidR="00DC11BE" w:rsidRPr="0094770E" w:rsidRDefault="00DC11BE" w:rsidP="00D77886">
      <w:pPr>
        <w:pStyle w:val="CorpoTexto"/>
        <w:rPr>
          <w:b/>
        </w:rPr>
      </w:pPr>
      <w:r w:rsidRPr="0094770E">
        <w:t>A exposição de conteúdos continua com mais quatro temas onde são tratados os conceitos</w:t>
      </w:r>
      <w:r w:rsidRPr="00CE365D">
        <w:t xml:space="preserve"> </w:t>
      </w:r>
      <w:r w:rsidRPr="0094770E">
        <w:t>de falhas de serviço, reclamações e recuperação de serviço, na perspetiva da relevância do pessoal de contacto, conceitos fundamentais nesta dissertação.</w:t>
      </w:r>
    </w:p>
    <w:p w:rsidR="00DC11BE" w:rsidRDefault="00DC11BE" w:rsidP="00D77886">
      <w:pPr>
        <w:pStyle w:val="CorpoTexto"/>
        <w:rPr>
          <w:b/>
        </w:rPr>
      </w:pPr>
      <w:r w:rsidRPr="0094770E">
        <w:t xml:space="preserve">Por último é efetuada uma explanação sobre o tema das emoções, particularizando-o em contexto organizacional e dando enfase ao contágio emocional, bem presente em situações de falha de serviço. </w:t>
      </w:r>
    </w:p>
    <w:p w:rsidR="00095BC8" w:rsidRPr="0094770E" w:rsidRDefault="00095BC8" w:rsidP="004E3707">
      <w:pPr>
        <w:pStyle w:val="CTITULO"/>
        <w:rPr>
          <w:rFonts w:ascii="Garamond" w:hAnsi="Garamond"/>
          <w:b w:val="0"/>
        </w:rPr>
      </w:pPr>
    </w:p>
    <w:p w:rsidR="00DC11BE" w:rsidRPr="00DD63A6" w:rsidRDefault="00DC11BE" w:rsidP="00DD63A6">
      <w:pPr>
        <w:pStyle w:val="Nvel2"/>
      </w:pPr>
      <w:bookmarkStart w:id="11" w:name="_Toc37177046"/>
      <w:bookmarkStart w:id="12" w:name="_Toc46678968"/>
      <w:proofErr w:type="spellStart"/>
      <w:r w:rsidRPr="00DD63A6">
        <w:t>Pessoal</w:t>
      </w:r>
      <w:proofErr w:type="spellEnd"/>
      <w:r w:rsidRPr="00DD63A6">
        <w:t xml:space="preserve"> de </w:t>
      </w:r>
      <w:proofErr w:type="spellStart"/>
      <w:r w:rsidRPr="00DD63A6">
        <w:t>contacto</w:t>
      </w:r>
      <w:bookmarkEnd w:id="11"/>
      <w:bookmarkEnd w:id="12"/>
      <w:proofErr w:type="spellEnd"/>
    </w:p>
    <w:p w:rsidR="00DC11BE" w:rsidRPr="0094770E" w:rsidRDefault="00DC11BE" w:rsidP="00D77886">
      <w:pPr>
        <w:pStyle w:val="CorpoTexto"/>
        <w:rPr>
          <w:b/>
        </w:rPr>
      </w:pPr>
      <w:r w:rsidRPr="0094770E">
        <w:t xml:space="preserve">De uma perspetiva organizacional o capital humano é definido como a soma do valor do comportamento de criação e qualidades dos funcionários </w:t>
      </w:r>
      <w:r w:rsidRPr="0094770E">
        <w:rPr>
          <w:noProof/>
        </w:rPr>
        <w:t>(Smart, 1998)</w:t>
      </w:r>
      <w:r w:rsidRPr="0094770E">
        <w:t xml:space="preserve">. Numa compreensão mais integral do fenómeno é um ativo intangível de extrema importância constituído por elementos também eles intangíveis, como, por exemplo, conhecimentos gerais, qualificações, competências específicas que se relacionam com o trabalho e com avaliações de características psicológicas como traços de personalidade, estilos comportamentais, aptidões cognitivas, motivações, entre outros </w:t>
      </w:r>
      <w:r w:rsidRPr="0094770E">
        <w:rPr>
          <w:noProof/>
        </w:rPr>
        <w:t>(Becker, 1993)</w:t>
      </w:r>
      <w:r w:rsidRPr="0094770E">
        <w:t>.</w:t>
      </w:r>
    </w:p>
    <w:p w:rsidR="00DC11BE" w:rsidRPr="0094770E" w:rsidRDefault="00DC11BE" w:rsidP="00D77886">
      <w:pPr>
        <w:pStyle w:val="CorpoTexto"/>
        <w:rPr>
          <w:b/>
        </w:rPr>
      </w:pPr>
      <w:r w:rsidRPr="0094770E">
        <w:t xml:space="preserve">A maioria das organizações de serviços, consideradas como casos de sucesso, apresenta um elevado compromisso com a gestão de recursos humanos, desde o recrutamento, seleção, formação, motivação e retenção de funcionários </w:t>
      </w:r>
      <w:r w:rsidRPr="0094770E">
        <w:rPr>
          <w:noProof/>
        </w:rPr>
        <w:t>(Schneider &amp; Schneider, 1994)</w:t>
      </w:r>
      <w:r w:rsidRPr="0094770E">
        <w:t>.</w:t>
      </w:r>
    </w:p>
    <w:p w:rsidR="00DC11BE" w:rsidRPr="0094770E" w:rsidRDefault="00DC11BE" w:rsidP="00D77886">
      <w:pPr>
        <w:pStyle w:val="CorpoTexto"/>
        <w:rPr>
          <w:b/>
        </w:rPr>
      </w:pPr>
      <w:r w:rsidRPr="0094770E">
        <w:t xml:space="preserve">Estratégias de recursos humanos aliadas a uma forte gestão a todos os níveis mostram-se uma vantagem competitiva sustentável </w:t>
      </w:r>
      <w:r w:rsidRPr="0094770E">
        <w:rPr>
          <w:noProof/>
        </w:rPr>
        <w:t>(Heskett, Sasser, &amp; Schlesinger, 2015; Hong, Liao, Hu, &amp; Jiang, 2013)</w:t>
      </w:r>
      <w:r w:rsidRPr="0094770E">
        <w:t xml:space="preserve"> que possibilita o sucesso numa economia de serviços </w:t>
      </w:r>
      <w:r w:rsidRPr="0094770E">
        <w:rPr>
          <w:noProof/>
        </w:rPr>
        <w:t>(Sanchez, Aragon, &amp; Valle, 2003)</w:t>
      </w:r>
      <w:r w:rsidRPr="0094770E">
        <w:t>.</w:t>
      </w:r>
    </w:p>
    <w:p w:rsidR="00DC11BE" w:rsidRPr="0094770E" w:rsidRDefault="00DC11BE" w:rsidP="00D77886">
      <w:pPr>
        <w:pStyle w:val="CorpoTexto"/>
        <w:rPr>
          <w:b/>
        </w:rPr>
      </w:pPr>
      <w:r w:rsidRPr="0094770E">
        <w:t xml:space="preserve">O alto desempenho dos recursos humanos revela-se, também, uma vantagem na medida em que é um recurso de difícil duplicação pelos concorrentes </w:t>
      </w:r>
      <w:r w:rsidRPr="0094770E">
        <w:rPr>
          <w:noProof/>
        </w:rPr>
        <w:t>(Wirtz &amp; Jerger, 2016)</w:t>
      </w:r>
      <w:r w:rsidRPr="0094770E">
        <w:t>.</w:t>
      </w:r>
    </w:p>
    <w:p w:rsidR="00DC11BE" w:rsidRPr="0094770E" w:rsidRDefault="00DC11BE" w:rsidP="00D77886">
      <w:pPr>
        <w:pStyle w:val="CorpoTexto"/>
        <w:rPr>
          <w:b/>
        </w:rPr>
      </w:pPr>
      <w:r w:rsidRPr="0094770E">
        <w:lastRenderedPageBreak/>
        <w:t xml:space="preserve">Esta vantagem competitiva tende a estar frequentemente, nas organizações de serviços, relacionada com a gestão dos funcionários da linha de frente, uma vez que </w:t>
      </w:r>
      <w:r w:rsidR="00833A3F">
        <w:t>é</w:t>
      </w:r>
      <w:r w:rsidRPr="0094770E">
        <w:t xml:space="preserve"> componente essencial para ser entregue um serviço de excelência e, consequentemente, para que as empresas tenham sucesso na economia de serviços </w:t>
      </w:r>
      <w:r w:rsidRPr="0094770E">
        <w:rPr>
          <w:noProof/>
        </w:rPr>
        <w:t>(Altinay, Altinay, &amp; Gannon, 2008; Berry, 2009; Salanova, Agut, &amp; Peiro, 2005)</w:t>
      </w:r>
      <w:r w:rsidRPr="0094770E">
        <w:t xml:space="preserve">. </w:t>
      </w:r>
    </w:p>
    <w:p w:rsidR="00DC11BE" w:rsidRPr="0094770E" w:rsidRDefault="00DC11BE" w:rsidP="00D77886">
      <w:pPr>
        <w:pStyle w:val="CorpoTexto"/>
        <w:rPr>
          <w:b/>
        </w:rPr>
      </w:pPr>
      <w:r w:rsidRPr="0094770E">
        <w:t xml:space="preserve">O pessoal de contacto é um dos elementos do serviço mais percetível para o cliente, assim como parte fundamental do resultado de serviço </w:t>
      </w:r>
      <w:r w:rsidRPr="0094770E">
        <w:rPr>
          <w:noProof/>
        </w:rPr>
        <w:t>(Hennig</w:t>
      </w:r>
      <w:r w:rsidRPr="0094770E">
        <w:rPr>
          <w:rFonts w:ascii="Cambria Math" w:hAnsi="Cambria Math" w:cs="Cambria Math"/>
          <w:noProof/>
        </w:rPr>
        <w:t>‐</w:t>
      </w:r>
      <w:r w:rsidRPr="0094770E">
        <w:rPr>
          <w:noProof/>
        </w:rPr>
        <w:t>Thurau, 2004)</w:t>
      </w:r>
      <w:r w:rsidRPr="0094770E">
        <w:t xml:space="preserve">, representando a organização </w:t>
      </w:r>
      <w:r w:rsidRPr="0094770E">
        <w:rPr>
          <w:noProof/>
        </w:rPr>
        <w:t>(Berry, 2009)</w:t>
      </w:r>
      <w:r w:rsidRPr="0094770E">
        <w:t xml:space="preserve">, moldando expressivamente a experiência de serviço </w:t>
      </w:r>
      <w:r w:rsidRPr="0094770E">
        <w:rPr>
          <w:noProof/>
        </w:rPr>
        <w:t>(Hausknecht &amp; Langevin, 2010; Verhoef et al., 2009)</w:t>
      </w:r>
      <w:r w:rsidRPr="0094770E">
        <w:t xml:space="preserve"> e determinando o valor e compromisso </w:t>
      </w:r>
      <w:r w:rsidRPr="0094770E">
        <w:rPr>
          <w:noProof/>
        </w:rPr>
        <w:t>(Sirianni, Bitner, Brown, &amp; Mandel, 2013)</w:t>
      </w:r>
      <w:r w:rsidRPr="0094770E">
        <w:t xml:space="preserve"> do ponto de vista do cliente. O pessoal de contacto é mais inclinado a percecionar melhor as necessidades e desejos dos clientes, o que permite criar com eles uma ligação mais personalizada e de fidelização, pois há a possibilidade de adaptar a prestação de serviço </w:t>
      </w:r>
      <w:r w:rsidRPr="0094770E">
        <w:rPr>
          <w:noProof/>
        </w:rPr>
        <w:t>(Bove &amp; Johnson, 2001; Rafaeli, Ziklik, &amp; Doucet, 2008; Soderlund &amp; Rosengren, 2008)</w:t>
      </w:r>
      <w:r w:rsidRPr="0094770E">
        <w:t>.</w:t>
      </w:r>
    </w:p>
    <w:p w:rsidR="00DC11BE" w:rsidRPr="0094770E" w:rsidRDefault="00DC11BE" w:rsidP="00D77886">
      <w:pPr>
        <w:pStyle w:val="CorpoTexto"/>
        <w:rPr>
          <w:b/>
        </w:rPr>
      </w:pPr>
      <w:r w:rsidRPr="0094770E">
        <w:t xml:space="preserve">Há uma forte relação, já muito estudada, entre a satisfação do funcionário e do cliente, esta, inicialmente, foi apelidada de </w:t>
      </w:r>
      <w:proofErr w:type="spellStart"/>
      <w:r w:rsidRPr="0094770E">
        <w:rPr>
          <w:i/>
        </w:rPr>
        <w:t>Service-Profit</w:t>
      </w:r>
      <w:proofErr w:type="spellEnd"/>
      <w:r w:rsidRPr="0094770E">
        <w:rPr>
          <w:i/>
        </w:rPr>
        <w:t xml:space="preserve"> </w:t>
      </w:r>
      <w:proofErr w:type="spellStart"/>
      <w:r w:rsidRPr="0094770E">
        <w:rPr>
          <w:i/>
        </w:rPr>
        <w:t>Chain</w:t>
      </w:r>
      <w:proofErr w:type="spellEnd"/>
      <w:r w:rsidRPr="0094770E">
        <w:t xml:space="preserve"> </w:t>
      </w:r>
      <w:r w:rsidRPr="0094770E">
        <w:rPr>
          <w:noProof/>
        </w:rPr>
        <w:t>(Heskett, Jones, Loveman, Sasser, &amp; Schlesinger, 1994)</w:t>
      </w:r>
      <w:r w:rsidRPr="0094770E">
        <w:t xml:space="preserve"> e mais tarde é intitulada como a prescrição básica de um modo de vida para as principais organizações de serviços </w:t>
      </w:r>
      <w:r w:rsidRPr="0094770E">
        <w:rPr>
          <w:noProof/>
        </w:rPr>
        <w:t>(Heskett et al., 2015)</w:t>
      </w:r>
      <w:r w:rsidRPr="0094770E">
        <w:t>.</w:t>
      </w:r>
    </w:p>
    <w:p w:rsidR="00CE0756" w:rsidRDefault="00DC11BE" w:rsidP="00D77886">
      <w:pPr>
        <w:pStyle w:val="CorpoTexto"/>
      </w:pPr>
      <w:r w:rsidRPr="0094770E">
        <w:t xml:space="preserve">A </w:t>
      </w:r>
      <w:proofErr w:type="spellStart"/>
      <w:r w:rsidRPr="0094770E">
        <w:rPr>
          <w:i/>
        </w:rPr>
        <w:t>Service-Profit</w:t>
      </w:r>
      <w:proofErr w:type="spellEnd"/>
      <w:r w:rsidRPr="0094770E">
        <w:rPr>
          <w:i/>
        </w:rPr>
        <w:t xml:space="preserve"> </w:t>
      </w:r>
      <w:proofErr w:type="spellStart"/>
      <w:r w:rsidRPr="0094770E">
        <w:rPr>
          <w:i/>
        </w:rPr>
        <w:t>Chain</w:t>
      </w:r>
      <w:proofErr w:type="spellEnd"/>
      <w:r w:rsidRPr="0094770E">
        <w:t xml:space="preserve"> foi um instrumento desenvolvido para gerir e medir o sucesso no setor dos serviços e a sua pesquisa demonstra a cadeia de relacionamentos entre satisfação, retenção e produtividade dos funcionários, valor de serviço, satisfação e fidelidade do cliente e crescimento de receita e lucratividade para a empresa </w:t>
      </w:r>
      <w:r w:rsidRPr="0094770E">
        <w:rPr>
          <w:noProof/>
        </w:rPr>
        <w:t>(Heskett et al., 1994)</w:t>
      </w:r>
      <w:r w:rsidRPr="0094770E">
        <w:t>.</w:t>
      </w:r>
    </w:p>
    <w:p w:rsidR="00CE0756" w:rsidRDefault="00CE0756" w:rsidP="00CE0756">
      <w:pPr>
        <w:rPr>
          <w:rFonts w:ascii="Garamond" w:hAnsi="Garamond"/>
          <w:sz w:val="24"/>
        </w:rPr>
      </w:pPr>
      <w:r>
        <w:br w:type="page"/>
      </w:r>
    </w:p>
    <w:p w:rsidR="00CE0756" w:rsidRPr="00CE0756" w:rsidRDefault="00CE0756" w:rsidP="00CE0756">
      <w:pPr>
        <w:pStyle w:val="Legenda"/>
        <w:spacing w:after="120"/>
        <w:rPr>
          <w:rFonts w:ascii="Garamond" w:hAnsi="Garamond"/>
          <w:i w:val="0"/>
          <w:color w:val="000000" w:themeColor="text1"/>
          <w:sz w:val="20"/>
          <w:szCs w:val="20"/>
        </w:rPr>
      </w:pPr>
      <w:bookmarkStart w:id="13" w:name="_Toc46677149"/>
      <w:r w:rsidRPr="0094770E">
        <w:rPr>
          <w:rFonts w:ascii="Garamond" w:hAnsi="Garamond"/>
          <w:b/>
          <w:i w:val="0"/>
          <w:color w:val="000000" w:themeColor="text1"/>
          <w:sz w:val="20"/>
          <w:szCs w:val="20"/>
        </w:rPr>
        <w:lastRenderedPageBreak/>
        <w:t xml:space="preserve">Figura </w:t>
      </w:r>
      <w:r w:rsidRPr="0094770E">
        <w:rPr>
          <w:rFonts w:ascii="Garamond" w:hAnsi="Garamond"/>
          <w:b/>
          <w:i w:val="0"/>
          <w:color w:val="000000" w:themeColor="text1"/>
          <w:sz w:val="20"/>
          <w:szCs w:val="20"/>
        </w:rPr>
        <w:fldChar w:fldCharType="begin"/>
      </w:r>
      <w:r w:rsidRPr="0094770E">
        <w:rPr>
          <w:rFonts w:ascii="Garamond" w:hAnsi="Garamond"/>
          <w:b/>
          <w:i w:val="0"/>
          <w:color w:val="000000" w:themeColor="text1"/>
          <w:sz w:val="20"/>
          <w:szCs w:val="20"/>
        </w:rPr>
        <w:instrText xml:space="preserve"> SEQ Figura \* ARABIC </w:instrText>
      </w:r>
      <w:r w:rsidRPr="0094770E">
        <w:rPr>
          <w:rFonts w:ascii="Garamond" w:hAnsi="Garamond"/>
          <w:b/>
          <w:i w:val="0"/>
          <w:color w:val="000000" w:themeColor="text1"/>
          <w:sz w:val="20"/>
          <w:szCs w:val="20"/>
        </w:rPr>
        <w:fldChar w:fldCharType="separate"/>
      </w:r>
      <w:r>
        <w:rPr>
          <w:rFonts w:ascii="Garamond" w:hAnsi="Garamond"/>
          <w:b/>
          <w:i w:val="0"/>
          <w:noProof/>
          <w:color w:val="000000" w:themeColor="text1"/>
          <w:sz w:val="20"/>
          <w:szCs w:val="20"/>
        </w:rPr>
        <w:t>1</w:t>
      </w:r>
      <w:r w:rsidRPr="0094770E">
        <w:rPr>
          <w:rFonts w:ascii="Garamond" w:hAnsi="Garamond"/>
          <w:b/>
          <w:i w:val="0"/>
          <w:color w:val="000000" w:themeColor="text1"/>
          <w:sz w:val="20"/>
          <w:szCs w:val="20"/>
        </w:rPr>
        <w:fldChar w:fldCharType="end"/>
      </w:r>
      <w:r w:rsidRPr="0094770E">
        <w:rPr>
          <w:rFonts w:ascii="Garamond" w:hAnsi="Garamond"/>
          <w:i w:val="0"/>
          <w:color w:val="000000" w:themeColor="text1"/>
          <w:sz w:val="20"/>
          <w:szCs w:val="20"/>
        </w:rPr>
        <w:t xml:space="preserve"> - Os elos da cadeia de lucro de serviço</w:t>
      </w:r>
      <w:bookmarkEnd w:id="13"/>
    </w:p>
    <w:p w:rsidR="00DC11BE" w:rsidRPr="0094770E" w:rsidRDefault="00DC11BE" w:rsidP="004E3707">
      <w:pPr>
        <w:pStyle w:val="CTITULO"/>
        <w:keepNext/>
        <w:spacing w:line="240" w:lineRule="auto"/>
        <w:jc w:val="left"/>
      </w:pPr>
      <w:r w:rsidRPr="0094770E">
        <w:rPr>
          <w:rFonts w:ascii="Garamond" w:hAnsi="Garamond"/>
          <w:b w:val="0"/>
          <w:noProof/>
          <w:lang w:eastAsia="pt-PT"/>
        </w:rPr>
        <w:drawing>
          <wp:inline distT="0" distB="0" distL="0" distR="0" wp14:anchorId="3B3E611A" wp14:editId="6320025A">
            <wp:extent cx="5399405" cy="3217740"/>
            <wp:effectExtent l="19050" t="19050" r="10795" b="20955"/>
            <wp:docPr id="2" name="Picture 2" descr="C:\Users\Utilizador\Desktop\R0807L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dor\Desktop\R0807L_A.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9405" cy="3217740"/>
                    </a:xfrm>
                    <a:prstGeom prst="rect">
                      <a:avLst/>
                    </a:prstGeom>
                    <a:noFill/>
                    <a:ln>
                      <a:solidFill>
                        <a:schemeClr val="tx1"/>
                      </a:solidFill>
                    </a:ln>
                  </pic:spPr>
                </pic:pic>
              </a:graphicData>
            </a:graphic>
          </wp:inline>
        </w:drawing>
      </w:r>
    </w:p>
    <w:p w:rsidR="00DC11BE" w:rsidRPr="0094770E" w:rsidRDefault="00DC11BE" w:rsidP="00CE0756">
      <w:pPr>
        <w:spacing w:before="120" w:line="240" w:lineRule="auto"/>
        <w:rPr>
          <w:rFonts w:ascii="Garamond" w:hAnsi="Garamond"/>
          <w:color w:val="000000" w:themeColor="text1"/>
          <w:sz w:val="20"/>
          <w:szCs w:val="20"/>
        </w:rPr>
      </w:pPr>
      <w:r w:rsidRPr="0094770E">
        <w:rPr>
          <w:rFonts w:ascii="Garamond" w:hAnsi="Garamond"/>
          <w:b/>
          <w:color w:val="000000" w:themeColor="text1"/>
          <w:sz w:val="20"/>
          <w:szCs w:val="20"/>
        </w:rPr>
        <w:t>Fonte:</w:t>
      </w:r>
      <w:r w:rsidRPr="0094770E">
        <w:rPr>
          <w:rFonts w:ascii="Garamond" w:hAnsi="Garamond"/>
          <w:color w:val="000000" w:themeColor="text1"/>
          <w:sz w:val="20"/>
          <w:szCs w:val="20"/>
        </w:rPr>
        <w:t xml:space="preserve"> Harvard Business </w:t>
      </w:r>
      <w:proofErr w:type="spellStart"/>
      <w:r w:rsidRPr="0094770E">
        <w:rPr>
          <w:rFonts w:ascii="Garamond" w:hAnsi="Garamond"/>
          <w:color w:val="000000" w:themeColor="text1"/>
          <w:sz w:val="20"/>
          <w:szCs w:val="20"/>
        </w:rPr>
        <w:t>Review</w:t>
      </w:r>
      <w:proofErr w:type="spellEnd"/>
      <w:r w:rsidRPr="0094770E">
        <w:rPr>
          <w:rFonts w:ascii="Garamond" w:hAnsi="Garamond"/>
          <w:color w:val="000000" w:themeColor="text1"/>
          <w:sz w:val="20"/>
          <w:szCs w:val="20"/>
        </w:rPr>
        <w:t>, 2008/07</w:t>
      </w:r>
    </w:p>
    <w:p w:rsidR="00DC11BE" w:rsidRPr="0094770E" w:rsidRDefault="00DC11BE" w:rsidP="004E3707">
      <w:pPr>
        <w:pStyle w:val="CTITULO"/>
        <w:rPr>
          <w:rFonts w:ascii="Garamond" w:hAnsi="Garamond"/>
          <w:b w:val="0"/>
        </w:rPr>
      </w:pPr>
    </w:p>
    <w:p w:rsidR="00DC11BE" w:rsidRPr="0094770E" w:rsidRDefault="000F0B4C" w:rsidP="00D77886">
      <w:pPr>
        <w:pStyle w:val="CorpoTexto"/>
        <w:rPr>
          <w:b/>
        </w:rPr>
      </w:pPr>
      <w:r w:rsidRPr="0094770E">
        <w:t>A F</w:t>
      </w:r>
      <w:r w:rsidR="00DC11BE" w:rsidRPr="0094770E">
        <w:t>igura anterior (Ver Figura 1) permite compreender as ligações entre as variáveis que o compõem e como se podem refletir os resultados de um investimento cuidado nestas no desempenho da organização. É percetível, por exemplo, que apostar num maior apoio e/ou formação dos colaboradores resultará num valor acrescentado tanto para a empresa como para os consumidores.</w:t>
      </w:r>
    </w:p>
    <w:p w:rsidR="00DC11BE" w:rsidRPr="0094770E" w:rsidRDefault="00DC11BE" w:rsidP="00D77886">
      <w:pPr>
        <w:pStyle w:val="CorpoTexto"/>
        <w:rPr>
          <w:b/>
        </w:rPr>
      </w:pPr>
      <w:r w:rsidRPr="0094770E">
        <w:t xml:space="preserve">A qualidade do serviço prestado pelo pessoal de contacto de uma organização desempenha um papel fundamental na determinação do seu sucesso no mercado e no seu desempenho financeiro </w:t>
      </w:r>
      <w:r w:rsidRPr="0094770E">
        <w:rPr>
          <w:noProof/>
        </w:rPr>
        <w:t>(Heskett et al., 2015)</w:t>
      </w:r>
      <w:r w:rsidRPr="0094770E">
        <w:t>.</w:t>
      </w:r>
    </w:p>
    <w:p w:rsidR="00DC11BE" w:rsidRPr="0094770E" w:rsidRDefault="00DC11BE" w:rsidP="00D77886">
      <w:pPr>
        <w:pStyle w:val="CorpoTexto"/>
        <w:rPr>
          <w:b/>
        </w:rPr>
      </w:pPr>
      <w:r w:rsidRPr="0094770E">
        <w:t xml:space="preserve">A importância do pessoal de contacto é comprovada, ainda, através das próprias características dos serviços. A intangibilidade de um serviço faz com que estes sejam de difícil avaliação para os consumidores, acabando por avaliar, muitas das vezes, a interação com o pessoal de contacto, o seu comportamento e competências </w:t>
      </w:r>
      <w:r w:rsidRPr="0094770E">
        <w:rPr>
          <w:noProof/>
        </w:rPr>
        <w:t>(Parasuraman, Zeithaml, &amp; Berry, 1985)</w:t>
      </w:r>
      <w:r w:rsidRPr="0094770E">
        <w:t xml:space="preserve">. A heterogeneidade dos serviços fomenta a que haja o dever de adaptação do encontro serviço às necessidades e desejos do cliente por parte do pessoal de contacto </w:t>
      </w:r>
      <w:r w:rsidRPr="0094770E">
        <w:rPr>
          <w:noProof/>
        </w:rPr>
        <w:t>(Bitner et al., 1990)</w:t>
      </w:r>
      <w:r w:rsidRPr="0094770E">
        <w:t xml:space="preserve">. A inseparabilidade da produção e consumo dos serviços afeta uma forte componente de interação humana revelando-se fundamental para o êxito da entrega do serviço, a satisfação ou insatisfação do cliente e a sua perceção de qualidade </w:t>
      </w:r>
      <w:r w:rsidRPr="0094770E">
        <w:rPr>
          <w:noProof/>
        </w:rPr>
        <w:t>(Bitner et al., 1990)</w:t>
      </w:r>
      <w:r w:rsidRPr="0094770E">
        <w:t>.</w:t>
      </w:r>
    </w:p>
    <w:p w:rsidR="00DC11BE" w:rsidRPr="0094770E" w:rsidRDefault="00DC11BE" w:rsidP="00D77886">
      <w:pPr>
        <w:pStyle w:val="CorpoTexto"/>
        <w:rPr>
          <w:b/>
        </w:rPr>
      </w:pPr>
      <w:r w:rsidRPr="0094770E">
        <w:lastRenderedPageBreak/>
        <w:t xml:space="preserve">Na prestação do serviço o pessoal de contacto representa um fator crítico, as emoções sentidas pelos consumidores durante o encontro de serviço são, com muita frequência, resultado das atitudes e comportamento dos primeiros </w:t>
      </w:r>
      <w:r w:rsidRPr="0094770E">
        <w:rPr>
          <w:noProof/>
        </w:rPr>
        <w:t>(McColl-Kennedy &amp; Smith, 2006)</w:t>
      </w:r>
      <w:r w:rsidRPr="0094770E">
        <w:t>.</w:t>
      </w:r>
    </w:p>
    <w:p w:rsidR="00DC11BE" w:rsidRPr="0094770E" w:rsidRDefault="00DC11BE" w:rsidP="00D77886">
      <w:pPr>
        <w:pStyle w:val="CorpoTexto"/>
        <w:rPr>
          <w:b/>
        </w:rPr>
      </w:pPr>
      <w:r w:rsidRPr="0094770E">
        <w:t xml:space="preserve">É entendido pela literatura que, em contexto organizacional, os funcionários de contacto são possuidores ou não de competência emocional e que isso influenciará o encontro de serviço </w:t>
      </w:r>
      <w:r w:rsidRPr="0094770E">
        <w:rPr>
          <w:noProof/>
        </w:rPr>
        <w:t>(Cartwright &amp; Pappas, 2008)</w:t>
      </w:r>
      <w:r w:rsidRPr="0094770E">
        <w:t xml:space="preserve">. </w:t>
      </w:r>
    </w:p>
    <w:p w:rsidR="00DC11BE" w:rsidRDefault="00DC11BE" w:rsidP="00D77886">
      <w:pPr>
        <w:pStyle w:val="CorpoTexto"/>
        <w:rPr>
          <w:b/>
        </w:rPr>
      </w:pPr>
      <w:r w:rsidRPr="0094770E">
        <w:t>As competências emocionais do pessoal de contacto relacionam-se diretamente com a sua importância, principalmente em circunstâncias de falhas e recuperação de serviço. Contudo as suas emoções propriamente ditas, não têm sido contempladas pela literatura.</w:t>
      </w:r>
    </w:p>
    <w:p w:rsidR="00095BC8" w:rsidRPr="0094770E" w:rsidRDefault="00095BC8" w:rsidP="004E3707">
      <w:pPr>
        <w:pStyle w:val="CTITULO"/>
        <w:rPr>
          <w:rFonts w:ascii="Garamond" w:hAnsi="Garamond"/>
          <w:b w:val="0"/>
        </w:rPr>
      </w:pPr>
    </w:p>
    <w:p w:rsidR="00DC11BE" w:rsidRPr="0094770E" w:rsidRDefault="00DC11BE" w:rsidP="00A32A19">
      <w:pPr>
        <w:pStyle w:val="Nvel2"/>
      </w:pPr>
      <w:bookmarkStart w:id="14" w:name="_Toc37177047"/>
      <w:bookmarkStart w:id="15" w:name="_Toc46678969"/>
      <w:r w:rsidRPr="0094770E">
        <w:t>Satisfação</w:t>
      </w:r>
      <w:bookmarkEnd w:id="14"/>
      <w:bookmarkEnd w:id="15"/>
    </w:p>
    <w:p w:rsidR="00DC11BE" w:rsidRPr="0094770E" w:rsidRDefault="00DC11BE" w:rsidP="00D77886">
      <w:pPr>
        <w:pStyle w:val="CorpoTexto"/>
        <w:rPr>
          <w:b/>
        </w:rPr>
      </w:pPr>
      <w:r w:rsidRPr="0094770E">
        <w:t xml:space="preserve">A par do conceito de motivação, uma das variáveis mais pesquisadas pela psicologia organizacional é a satisfação </w:t>
      </w:r>
      <w:r w:rsidRPr="0094770E">
        <w:rPr>
          <w:noProof/>
        </w:rPr>
        <w:t>(Grandey, Cordeiro, &amp; Crouter, 2005)</w:t>
      </w:r>
      <w:r w:rsidRPr="0094770E">
        <w:t xml:space="preserve">. E, tal como a motivação, também a elaboração de um conceito não tem sido consensual uma vez que o conceito de satisfação é considerado um conceito próprio, subjetivo e diferente de indivíduo para indivíduo, por ser produto das expetativas e experiências das pessoas </w:t>
      </w:r>
      <w:r w:rsidRPr="0094770E">
        <w:rPr>
          <w:noProof/>
        </w:rPr>
        <w:t>(Pan, 2015)</w:t>
      </w:r>
      <w:r w:rsidRPr="0094770E">
        <w:t xml:space="preserve"> e da experiência enquanto trabalhador </w:t>
      </w:r>
      <w:r w:rsidRPr="0094770E">
        <w:rPr>
          <w:noProof/>
        </w:rPr>
        <w:t>(Filiz, 2014)</w:t>
      </w:r>
      <w:r w:rsidRPr="0094770E">
        <w:t>.</w:t>
      </w:r>
    </w:p>
    <w:p w:rsidR="00DC11BE" w:rsidRPr="0094770E" w:rsidRDefault="00DC11BE" w:rsidP="00D77886">
      <w:pPr>
        <w:pStyle w:val="CorpoTexto"/>
        <w:rPr>
          <w:rFonts w:cs="Times New Roman"/>
          <w:szCs w:val="24"/>
        </w:rPr>
      </w:pPr>
      <w:r w:rsidRPr="0094770E">
        <w:rPr>
          <w:rFonts w:cs="Times New Roman"/>
          <w:szCs w:val="24"/>
        </w:rPr>
        <w:t xml:space="preserve">No âmbito do comportamento organizacional, o fator humano começou a ganhar relevo e a provocar interesse na comunidade, acabando por ocupar um lugar central nas investigações neste contexto a partir do momento em que é possível constatar o quão prejudicial é para as organizações </w:t>
      </w:r>
      <w:r w:rsidRPr="0094770E">
        <w:rPr>
          <w:rFonts w:cs="Times New Roman"/>
          <w:noProof/>
          <w:szCs w:val="24"/>
        </w:rPr>
        <w:t>(Cunha, Cunha, Rego, Neves, &amp; Cabral-Cardoso, 2006; Lima, Monteiro, &amp; Vala, 1995)</w:t>
      </w:r>
      <w:r w:rsidRPr="0094770E">
        <w:rPr>
          <w:rFonts w:cs="Times New Roman"/>
          <w:szCs w:val="24"/>
        </w:rPr>
        <w:t>.</w:t>
      </w:r>
    </w:p>
    <w:p w:rsidR="00DC11BE" w:rsidRPr="0094770E" w:rsidRDefault="00DC11BE" w:rsidP="00D77886">
      <w:pPr>
        <w:pStyle w:val="CorpoTexto"/>
        <w:rPr>
          <w:rFonts w:cs="Times New Roman"/>
          <w:szCs w:val="24"/>
        </w:rPr>
      </w:pPr>
      <w:r w:rsidRPr="0094770E">
        <w:rPr>
          <w:rFonts w:cs="Times New Roman"/>
          <w:szCs w:val="24"/>
        </w:rPr>
        <w:t xml:space="preserve">A importância dada a este fator nas organizações está intimamente relacionada com o reconhecimento de que a satisfação é um dos produtos mais relevantes do capital humano em contexto de trabalho e por ser constantemente associada uma relação entre a satisfação e o desempenho dos funcionários </w:t>
      </w:r>
      <w:r w:rsidRPr="0094770E">
        <w:rPr>
          <w:rFonts w:cs="Times New Roman"/>
          <w:noProof/>
          <w:szCs w:val="24"/>
        </w:rPr>
        <w:t>(Cunha et al., 2006)</w:t>
      </w:r>
      <w:r w:rsidRPr="0094770E">
        <w:rPr>
          <w:rFonts w:cs="Times New Roman"/>
          <w:szCs w:val="24"/>
        </w:rPr>
        <w:t xml:space="preserve">, a realização pessoal dos funcionários e, consequentemente, com a produtividade das empresas </w:t>
      </w:r>
      <w:r w:rsidRPr="0094770E">
        <w:rPr>
          <w:rFonts w:cs="Times New Roman"/>
          <w:noProof/>
          <w:szCs w:val="24"/>
        </w:rPr>
        <w:t>(Lima et al., 1995)</w:t>
      </w:r>
      <w:r w:rsidRPr="0094770E">
        <w:rPr>
          <w:rFonts w:cs="Times New Roman"/>
          <w:szCs w:val="24"/>
        </w:rPr>
        <w:t>.</w:t>
      </w:r>
    </w:p>
    <w:p w:rsidR="00DC11BE" w:rsidRPr="0094770E" w:rsidRDefault="00DC11BE" w:rsidP="00D77886">
      <w:pPr>
        <w:pStyle w:val="CorpoTexto"/>
        <w:rPr>
          <w:b/>
        </w:rPr>
      </w:pPr>
      <w:r w:rsidRPr="0094770E">
        <w:t>Dependendo do referencial teórico adotado, a satisfação no trabalho pode ser definida de diferentes formas. A satisfação no trabalho é, para alguns autores, a atitude dos indivíduos perante determinada</w:t>
      </w:r>
      <w:r w:rsidR="00095BC8">
        <w:t>s</w:t>
      </w:r>
      <w:r w:rsidRPr="0094770E">
        <w:t xml:space="preserve"> características do trabalho, um estado emocional positivo ou de prazer, </w:t>
      </w:r>
      <w:r w:rsidRPr="0094770E">
        <w:lastRenderedPageBreak/>
        <w:t xml:space="preserve">resultante da avaliação do trabalho ou das experiências proporcionadas pelo trabalho </w:t>
      </w:r>
      <w:r w:rsidR="008118AE" w:rsidRPr="0094770E">
        <w:rPr>
          <w:noProof/>
        </w:rPr>
        <w:t>(</w:t>
      </w:r>
      <w:r w:rsidRPr="0094770E">
        <w:rPr>
          <w:noProof/>
        </w:rPr>
        <w:t>Locke, 1976)</w:t>
      </w:r>
      <w:r w:rsidRPr="0094770E">
        <w:t xml:space="preserve">, outros defendem que as diferenças existentes na satisfação dos trabalhadores têm origem na disposição e natureza de cada indivíduo </w:t>
      </w:r>
      <w:r w:rsidRPr="0094770E">
        <w:rPr>
          <w:noProof/>
        </w:rPr>
        <w:t>(House, Shane, &amp; Herold, 1996)</w:t>
      </w:r>
      <w:r w:rsidRPr="0094770E">
        <w:t xml:space="preserve">. Para outros é um estado emocional expresso através da avaliação afetiva e/ ou cognitiva de uma experiência de trabalho, com algum grau de favorabilidade ou </w:t>
      </w:r>
      <w:proofErr w:type="spellStart"/>
      <w:r w:rsidRPr="0094770E">
        <w:t>desfavorabilidade</w:t>
      </w:r>
      <w:proofErr w:type="spellEnd"/>
      <w:r w:rsidRPr="0094770E">
        <w:t xml:space="preserve"> </w:t>
      </w:r>
      <w:r w:rsidRPr="0094770E">
        <w:rPr>
          <w:noProof/>
        </w:rPr>
        <w:t>(Brief, 1998)</w:t>
      </w:r>
      <w:r w:rsidRPr="0094770E">
        <w:t xml:space="preserve">, ou o conjunto de sentimentos e crenças das pessoas sobre o seu atual trabalho. Os graus ou níveis de satisfação das pessoas sobre o seu trabalho podem ir da satisfação extrema à insatisfação extrema. Além de terem atitudes sobre o seu trabalho como um todo, as pessoas podem também ter atitudes sobre os vários aspetos do seu trabalho - como o tipo de trabalho que fazem, os seus colegas, supervisores ou subordinados ou o pagamento </w:t>
      </w:r>
      <w:r w:rsidRPr="0094770E">
        <w:rPr>
          <w:noProof/>
        </w:rPr>
        <w:t>(George &amp; Jones, 1996)</w:t>
      </w:r>
      <w:r w:rsidRPr="0094770E">
        <w:t xml:space="preserve">, ou, ainda, para outros, é a atitude generalizada em relação ao trabalho em geral </w:t>
      </w:r>
      <w:r w:rsidRPr="0094770E">
        <w:rPr>
          <w:noProof/>
        </w:rPr>
        <w:t>(Rast &amp; Tourani, 2012)</w:t>
      </w:r>
      <w:r w:rsidRPr="0094770E">
        <w:t>.</w:t>
      </w:r>
    </w:p>
    <w:p w:rsidR="00DC11BE" w:rsidRPr="00D77886" w:rsidRDefault="00DC11BE" w:rsidP="00D77886">
      <w:pPr>
        <w:pStyle w:val="CorpoTexto"/>
      </w:pPr>
      <w:r w:rsidRPr="0094770E">
        <w:t>Apesar de muito diversificadas, todos os conceitos de satisfação no trabalho a definem como se tratando de uma reação emocional das pessoas ao trabalho que executam, a atitude que os indivíduos sentem em relação ao seu trabalho em geral como em relação a</w:t>
      </w:r>
      <w:r w:rsidR="00095BC8">
        <w:t>o</w:t>
      </w:r>
      <w:r w:rsidRPr="0094770E">
        <w:t xml:space="preserve">s aspetos específicos. Seguindo este conceito, a satisfação no trabalho pode ser abordada tendo em conta uma vertente global ou uma vertente composta por facetas. A primeira abordagem, unidimensional, compreende que a satisfação no trabalho é um sentimento global e único, enquanto a abordagem em aspetos, multidimensional, é compreendida como resultado de um </w:t>
      </w:r>
      <w:r w:rsidRPr="00D77886">
        <w:t>conjunto de fatores associados ao trabalho, sendo possível a sua medição separadamente (</w:t>
      </w:r>
      <w:proofErr w:type="spellStart"/>
      <w:r w:rsidRPr="00D77886">
        <w:t>Spector</w:t>
      </w:r>
      <w:proofErr w:type="spellEnd"/>
      <w:r w:rsidRPr="00D77886">
        <w:t>, 1997).</w:t>
      </w:r>
    </w:p>
    <w:p w:rsidR="00DC11BE" w:rsidRDefault="00DC11BE" w:rsidP="00D77886">
      <w:pPr>
        <w:pStyle w:val="CorpoTexto"/>
      </w:pPr>
      <w:r w:rsidRPr="00D77886">
        <w:t xml:space="preserve">A literatura existente sobre o tema agrupa a satisfação em três grandes modelos de investigação: situacionais, individuais e interação social (Cunha, Cunha, Rego, Neves, &amp; Cabral-Cardoso, 2014; Lima </w:t>
      </w:r>
      <w:proofErr w:type="spellStart"/>
      <w:r w:rsidRPr="00D77886">
        <w:t>et</w:t>
      </w:r>
      <w:proofErr w:type="spellEnd"/>
      <w:r w:rsidRPr="00D77886">
        <w:t xml:space="preserve"> al., 1995). Posto isto, as tabelas 5, 6 e 7 mostram um resumo dos modelos anteriormente referidos.</w:t>
      </w:r>
    </w:p>
    <w:p w:rsidR="00CE0756" w:rsidRPr="00E355FB" w:rsidRDefault="00E355FB" w:rsidP="00E355FB">
      <w:pPr>
        <w:rPr>
          <w:rFonts w:ascii="Garamond" w:hAnsi="Garamond"/>
          <w:sz w:val="24"/>
        </w:rPr>
      </w:pPr>
      <w:r>
        <w:br w:type="page"/>
      </w:r>
    </w:p>
    <w:p w:rsidR="00DC11BE" w:rsidRPr="0094770E" w:rsidRDefault="00DC11BE" w:rsidP="00CE0756">
      <w:pPr>
        <w:pStyle w:val="Legenda"/>
        <w:keepNext/>
        <w:spacing w:after="120"/>
        <w:rPr>
          <w:rFonts w:ascii="Garamond" w:hAnsi="Garamond"/>
          <w:i w:val="0"/>
          <w:color w:val="auto"/>
          <w:sz w:val="20"/>
          <w:szCs w:val="20"/>
        </w:rPr>
      </w:pPr>
      <w:bookmarkStart w:id="16" w:name="_Toc46677118"/>
      <w:r w:rsidRPr="0094770E">
        <w:rPr>
          <w:rFonts w:ascii="Garamond" w:hAnsi="Garamond"/>
          <w:b/>
          <w:i w:val="0"/>
          <w:color w:val="auto"/>
          <w:sz w:val="20"/>
          <w:szCs w:val="20"/>
        </w:rPr>
        <w:lastRenderedPageBreak/>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1</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Modelo de satisfação centrado nas situações.</w:t>
      </w:r>
      <w:bookmarkEnd w:id="16"/>
    </w:p>
    <w:tbl>
      <w:tblPr>
        <w:tblStyle w:val="TabelacomGrelh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40"/>
        <w:gridCol w:w="4243"/>
      </w:tblGrid>
      <w:tr w:rsidR="00DC11BE" w:rsidRPr="0094770E" w:rsidTr="00CE0756">
        <w:tc>
          <w:tcPr>
            <w:tcW w:w="4240" w:type="dxa"/>
            <w:vAlign w:val="center"/>
          </w:tcPr>
          <w:p w:rsidR="00DC11BE" w:rsidRPr="0094770E" w:rsidRDefault="00DC11BE" w:rsidP="00E355FB">
            <w:pPr>
              <w:pStyle w:val="CTITULO"/>
              <w:spacing w:after="120" w:line="360" w:lineRule="auto"/>
              <w:jc w:val="center"/>
              <w:rPr>
                <w:rFonts w:ascii="Garamond" w:hAnsi="Garamond"/>
                <w:b w:val="0"/>
              </w:rPr>
            </w:pPr>
            <w:r w:rsidRPr="0094770E">
              <w:rPr>
                <w:rFonts w:ascii="Garamond" w:eastAsia="Times New Roman" w:hAnsi="Garamond"/>
                <w:color w:val="000000" w:themeColor="text1"/>
                <w:lang w:eastAsia="pt-PT"/>
              </w:rPr>
              <w:t>Tipos de variáveis utilizadas na explicação da satisfação</w:t>
            </w:r>
          </w:p>
        </w:tc>
        <w:tc>
          <w:tcPr>
            <w:tcW w:w="4243" w:type="dxa"/>
          </w:tcPr>
          <w:p w:rsidR="00DC11BE" w:rsidRPr="0094770E" w:rsidRDefault="00DC11BE" w:rsidP="00E355FB">
            <w:pPr>
              <w:spacing w:after="120" w:line="360" w:lineRule="auto"/>
              <w:rPr>
                <w:rFonts w:ascii="Garamond" w:hAnsi="Garamond" w:cs="Times New Roman"/>
                <w:b/>
                <w:sz w:val="24"/>
                <w:szCs w:val="24"/>
              </w:rPr>
            </w:pPr>
            <w:r w:rsidRPr="0094770E">
              <w:rPr>
                <w:rFonts w:ascii="Garamond" w:hAnsi="Garamond" w:cs="Times New Roman"/>
                <w:b/>
                <w:sz w:val="24"/>
                <w:szCs w:val="24"/>
              </w:rPr>
              <w:t>Centrado nas situações</w:t>
            </w:r>
          </w:p>
          <w:p w:rsidR="00DC11BE" w:rsidRPr="0094770E" w:rsidRDefault="00DC11BE" w:rsidP="00E355FB">
            <w:pPr>
              <w:spacing w:after="120" w:line="360" w:lineRule="auto"/>
              <w:jc w:val="both"/>
              <w:rPr>
                <w:rFonts w:ascii="Garamond" w:hAnsi="Garamond" w:cs="Times New Roman"/>
                <w:sz w:val="24"/>
                <w:szCs w:val="24"/>
              </w:rPr>
            </w:pPr>
            <w:r w:rsidRPr="0094770E">
              <w:rPr>
                <w:rFonts w:ascii="Garamond" w:hAnsi="Garamond" w:cs="Times New Roman"/>
                <w:sz w:val="24"/>
                <w:szCs w:val="24"/>
              </w:rPr>
              <w:t xml:space="preserve">Tentam reconhecer as particularidades do contexto/situação que mais se relacionam com os níveis de satisfação sentidos (Cunha </w:t>
            </w:r>
            <w:proofErr w:type="spellStart"/>
            <w:r w:rsidRPr="0094770E">
              <w:rPr>
                <w:rFonts w:ascii="Garamond" w:hAnsi="Garamond" w:cs="Times New Roman"/>
                <w:sz w:val="24"/>
                <w:szCs w:val="24"/>
              </w:rPr>
              <w:t>et</w:t>
            </w:r>
            <w:proofErr w:type="spellEnd"/>
            <w:r w:rsidRPr="0094770E">
              <w:rPr>
                <w:rFonts w:ascii="Garamond" w:hAnsi="Garamond" w:cs="Times New Roman"/>
                <w:sz w:val="24"/>
                <w:szCs w:val="24"/>
              </w:rPr>
              <w:t xml:space="preserve"> al., 2014)</w:t>
            </w:r>
          </w:p>
        </w:tc>
      </w:tr>
      <w:tr w:rsidR="00DC11BE" w:rsidRPr="0094770E" w:rsidTr="00CE0756">
        <w:tc>
          <w:tcPr>
            <w:tcW w:w="4240" w:type="dxa"/>
            <w:vAlign w:val="center"/>
          </w:tcPr>
          <w:p w:rsidR="00DC11BE" w:rsidRPr="0094770E" w:rsidRDefault="00DC11BE" w:rsidP="00E355FB">
            <w:pPr>
              <w:pStyle w:val="CorpoTexto"/>
              <w:spacing w:line="360" w:lineRule="auto"/>
              <w:jc w:val="both"/>
              <w:rPr>
                <w:b/>
              </w:rPr>
            </w:pPr>
            <w:r w:rsidRPr="0094770E">
              <w:rPr>
                <w:lang w:eastAsia="pt-PT"/>
              </w:rPr>
              <w:t>Conceitos chave e respetivos autores</w:t>
            </w:r>
          </w:p>
        </w:tc>
        <w:tc>
          <w:tcPr>
            <w:tcW w:w="4243" w:type="dxa"/>
          </w:tcPr>
          <w:p w:rsidR="00DC11BE" w:rsidRPr="0094770E" w:rsidRDefault="00DC11BE" w:rsidP="00E355FB">
            <w:pPr>
              <w:pStyle w:val="CorpoTexto"/>
              <w:spacing w:line="360" w:lineRule="auto"/>
              <w:jc w:val="both"/>
              <w:rPr>
                <w:rFonts w:cs="Times New Roman"/>
                <w:szCs w:val="24"/>
              </w:rPr>
            </w:pPr>
            <w:r w:rsidRPr="0094770E">
              <w:rPr>
                <w:rFonts w:cs="Times New Roman"/>
                <w:szCs w:val="24"/>
              </w:rPr>
              <w:t>- Características da função (</w:t>
            </w:r>
            <w:proofErr w:type="spellStart"/>
            <w:r w:rsidRPr="0094770E">
              <w:rPr>
                <w:rFonts w:cs="Times New Roman"/>
                <w:szCs w:val="24"/>
              </w:rPr>
              <w:t>Herzberg</w:t>
            </w:r>
            <w:proofErr w:type="spellEnd"/>
            <w:r w:rsidRPr="0094770E">
              <w:rPr>
                <w:rFonts w:cs="Times New Roman"/>
                <w:szCs w:val="24"/>
              </w:rPr>
              <w:t xml:space="preserve">, 1959; </w:t>
            </w:r>
            <w:proofErr w:type="spellStart"/>
            <w:r w:rsidRPr="0094770E">
              <w:rPr>
                <w:rFonts w:cs="Times New Roman"/>
                <w:szCs w:val="24"/>
              </w:rPr>
              <w:t>Hackman</w:t>
            </w:r>
            <w:proofErr w:type="spellEnd"/>
            <w:r w:rsidRPr="0094770E">
              <w:rPr>
                <w:rFonts w:cs="Times New Roman"/>
                <w:szCs w:val="24"/>
              </w:rPr>
              <w:t xml:space="preserve"> e </w:t>
            </w:r>
            <w:proofErr w:type="spellStart"/>
            <w:r w:rsidRPr="0094770E">
              <w:rPr>
                <w:rFonts w:cs="Times New Roman"/>
                <w:szCs w:val="24"/>
              </w:rPr>
              <w:t>Holdham</w:t>
            </w:r>
            <w:proofErr w:type="spellEnd"/>
            <w:r w:rsidRPr="0094770E">
              <w:rPr>
                <w:rFonts w:cs="Times New Roman"/>
                <w:szCs w:val="24"/>
              </w:rPr>
              <w:t xml:space="preserve">, 1975; </w:t>
            </w:r>
            <w:proofErr w:type="spellStart"/>
            <w:r w:rsidRPr="0094770E">
              <w:rPr>
                <w:rFonts w:cs="Times New Roman"/>
                <w:szCs w:val="24"/>
              </w:rPr>
              <w:t>White</w:t>
            </w:r>
            <w:proofErr w:type="spellEnd"/>
            <w:r w:rsidRPr="0094770E">
              <w:rPr>
                <w:rFonts w:cs="Times New Roman"/>
                <w:szCs w:val="24"/>
              </w:rPr>
              <w:t xml:space="preserve"> e Mitchell, 1979; </w:t>
            </w:r>
            <w:proofErr w:type="spellStart"/>
            <w:r w:rsidRPr="0094770E">
              <w:rPr>
                <w:rFonts w:cs="Times New Roman"/>
                <w:szCs w:val="24"/>
              </w:rPr>
              <w:t>Griffin</w:t>
            </w:r>
            <w:proofErr w:type="spellEnd"/>
            <w:r w:rsidRPr="0094770E">
              <w:rPr>
                <w:rFonts w:cs="Times New Roman"/>
                <w:szCs w:val="24"/>
              </w:rPr>
              <w:t>, 1981)</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 Características do processo de tomada de decisão (</w:t>
            </w:r>
            <w:proofErr w:type="spellStart"/>
            <w:r w:rsidRPr="0094770E">
              <w:rPr>
                <w:rFonts w:cs="Times New Roman"/>
                <w:szCs w:val="24"/>
              </w:rPr>
              <w:t>Alutto</w:t>
            </w:r>
            <w:proofErr w:type="spellEnd"/>
            <w:r w:rsidRPr="0094770E">
              <w:rPr>
                <w:rFonts w:cs="Times New Roman"/>
                <w:szCs w:val="24"/>
              </w:rPr>
              <w:t xml:space="preserve"> e </w:t>
            </w:r>
            <w:proofErr w:type="spellStart"/>
            <w:r w:rsidRPr="0094770E">
              <w:rPr>
                <w:rFonts w:cs="Times New Roman"/>
                <w:szCs w:val="24"/>
              </w:rPr>
              <w:t>Achito</w:t>
            </w:r>
            <w:proofErr w:type="spellEnd"/>
            <w:r w:rsidRPr="0094770E">
              <w:rPr>
                <w:rFonts w:cs="Times New Roman"/>
                <w:szCs w:val="24"/>
              </w:rPr>
              <w:t xml:space="preserve">, 1974; </w:t>
            </w:r>
            <w:proofErr w:type="spellStart"/>
            <w:r w:rsidRPr="0094770E">
              <w:rPr>
                <w:rFonts w:cs="Times New Roman"/>
                <w:szCs w:val="24"/>
              </w:rPr>
              <w:t>Schuller</w:t>
            </w:r>
            <w:proofErr w:type="spellEnd"/>
            <w:r w:rsidRPr="0094770E">
              <w:rPr>
                <w:rFonts w:cs="Times New Roman"/>
                <w:szCs w:val="24"/>
              </w:rPr>
              <w:t xml:space="preserve">, 1977; </w:t>
            </w:r>
            <w:proofErr w:type="spellStart"/>
            <w:r w:rsidRPr="0094770E">
              <w:rPr>
                <w:rFonts w:cs="Times New Roman"/>
                <w:szCs w:val="24"/>
              </w:rPr>
              <w:t>Griffin</w:t>
            </w:r>
            <w:proofErr w:type="spellEnd"/>
            <w:r w:rsidRPr="0094770E">
              <w:rPr>
                <w:rFonts w:cs="Times New Roman"/>
                <w:szCs w:val="24"/>
              </w:rPr>
              <w:t xml:space="preserve"> e </w:t>
            </w:r>
            <w:proofErr w:type="spellStart"/>
            <w:r w:rsidRPr="0094770E">
              <w:rPr>
                <w:rFonts w:cs="Times New Roman"/>
                <w:szCs w:val="24"/>
              </w:rPr>
              <w:t>Bateman</w:t>
            </w:r>
            <w:proofErr w:type="spellEnd"/>
            <w:r w:rsidRPr="0094770E">
              <w:rPr>
                <w:rFonts w:cs="Times New Roman"/>
                <w:szCs w:val="24"/>
              </w:rPr>
              <w:t xml:space="preserve">, 1980; </w:t>
            </w:r>
            <w:proofErr w:type="spellStart"/>
            <w:r w:rsidRPr="0094770E">
              <w:rPr>
                <w:rFonts w:cs="Times New Roman"/>
                <w:szCs w:val="24"/>
              </w:rPr>
              <w:t>Petterson</w:t>
            </w:r>
            <w:proofErr w:type="spellEnd"/>
            <w:r w:rsidRPr="0094770E">
              <w:rPr>
                <w:rFonts w:cs="Times New Roman"/>
                <w:szCs w:val="24"/>
              </w:rPr>
              <w:t>, 1984)</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 Características do reforço (</w:t>
            </w:r>
            <w:proofErr w:type="spellStart"/>
            <w:r w:rsidRPr="0094770E">
              <w:rPr>
                <w:rFonts w:cs="Times New Roman"/>
                <w:szCs w:val="24"/>
              </w:rPr>
              <w:t>Porter</w:t>
            </w:r>
            <w:proofErr w:type="spellEnd"/>
            <w:r w:rsidRPr="0094770E">
              <w:rPr>
                <w:rFonts w:cs="Times New Roman"/>
                <w:szCs w:val="24"/>
              </w:rPr>
              <w:t xml:space="preserve"> e </w:t>
            </w:r>
            <w:proofErr w:type="spellStart"/>
            <w:r w:rsidRPr="0094770E">
              <w:rPr>
                <w:rFonts w:cs="Times New Roman"/>
                <w:szCs w:val="24"/>
              </w:rPr>
              <w:t>Lawler</w:t>
            </w:r>
            <w:proofErr w:type="spellEnd"/>
            <w:r w:rsidRPr="0094770E">
              <w:rPr>
                <w:rFonts w:cs="Times New Roman"/>
                <w:szCs w:val="24"/>
              </w:rPr>
              <w:t xml:space="preserve">, 1968; </w:t>
            </w:r>
            <w:proofErr w:type="spellStart"/>
            <w:r w:rsidRPr="0094770E">
              <w:rPr>
                <w:rFonts w:cs="Times New Roman"/>
                <w:szCs w:val="24"/>
              </w:rPr>
              <w:t>Heneman</w:t>
            </w:r>
            <w:proofErr w:type="spellEnd"/>
            <w:r w:rsidRPr="0094770E">
              <w:rPr>
                <w:rFonts w:cs="Times New Roman"/>
                <w:szCs w:val="24"/>
              </w:rPr>
              <w:t xml:space="preserve"> e </w:t>
            </w:r>
            <w:proofErr w:type="spellStart"/>
            <w:r w:rsidRPr="0094770E">
              <w:rPr>
                <w:rFonts w:cs="Times New Roman"/>
                <w:szCs w:val="24"/>
              </w:rPr>
              <w:t>Schwab</w:t>
            </w:r>
            <w:proofErr w:type="spellEnd"/>
            <w:r w:rsidRPr="0094770E">
              <w:rPr>
                <w:rFonts w:cs="Times New Roman"/>
                <w:szCs w:val="24"/>
              </w:rPr>
              <w:t>, 1979)</w:t>
            </w:r>
          </w:p>
        </w:tc>
      </w:tr>
      <w:tr w:rsidR="00DC11BE" w:rsidRPr="0094770E" w:rsidTr="00CE0756">
        <w:tc>
          <w:tcPr>
            <w:tcW w:w="4240" w:type="dxa"/>
            <w:vAlign w:val="center"/>
          </w:tcPr>
          <w:p w:rsidR="00DC11BE" w:rsidRPr="0094770E" w:rsidRDefault="00DC11BE" w:rsidP="00E355FB">
            <w:pPr>
              <w:pStyle w:val="CorpoTexto"/>
              <w:spacing w:line="360" w:lineRule="auto"/>
              <w:jc w:val="both"/>
              <w:rPr>
                <w:b/>
              </w:rPr>
            </w:pPr>
            <w:r w:rsidRPr="0094770E">
              <w:rPr>
                <w:lang w:eastAsia="pt-PT"/>
              </w:rPr>
              <w:t>Abordagem teórica</w:t>
            </w:r>
          </w:p>
        </w:tc>
        <w:tc>
          <w:tcPr>
            <w:tcW w:w="4243" w:type="dxa"/>
          </w:tcPr>
          <w:p w:rsidR="00DC11BE" w:rsidRPr="0094770E" w:rsidRDefault="00DC11BE" w:rsidP="00E355FB">
            <w:pPr>
              <w:pStyle w:val="CorpoTexto"/>
              <w:spacing w:line="360" w:lineRule="auto"/>
              <w:jc w:val="both"/>
              <w:rPr>
                <w:rFonts w:cs="Times New Roman"/>
                <w:szCs w:val="24"/>
              </w:rPr>
            </w:pPr>
            <w:r w:rsidRPr="0094770E">
              <w:rPr>
                <w:rFonts w:cs="Times New Roman"/>
                <w:szCs w:val="24"/>
              </w:rPr>
              <w:t>Variáveis consideradas como potencialmente influenciadoras da satisfação:</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Clima organizacional</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Características do trabalho</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Informação social</w:t>
            </w:r>
          </w:p>
        </w:tc>
      </w:tr>
    </w:tbl>
    <w:p w:rsidR="00DC11BE" w:rsidRPr="00CE0756" w:rsidRDefault="00CE0756" w:rsidP="00CE0756">
      <w:pPr>
        <w:spacing w:before="120" w:after="120" w:line="240" w:lineRule="auto"/>
        <w:rPr>
          <w:rFonts w:ascii="Garamond" w:hAnsi="Garamond"/>
          <w:iCs/>
        </w:rPr>
      </w:pPr>
      <w:r w:rsidRPr="00CE0756">
        <w:rPr>
          <w:rFonts w:ascii="Garamond" w:hAnsi="Garamond"/>
          <w:b/>
          <w:iCs/>
          <w:sz w:val="20"/>
          <w:szCs w:val="20"/>
        </w:rPr>
        <w:t>Fonte:</w:t>
      </w:r>
      <w:r w:rsidRPr="00CE0756">
        <w:rPr>
          <w:rFonts w:ascii="Garamond" w:hAnsi="Garamond"/>
          <w:iCs/>
          <w:sz w:val="20"/>
          <w:szCs w:val="20"/>
        </w:rPr>
        <w:t xml:space="preserve"> Elaboração própria. Adaptado de Lima </w:t>
      </w:r>
      <w:proofErr w:type="spellStart"/>
      <w:r w:rsidRPr="00CE0756">
        <w:rPr>
          <w:rFonts w:ascii="Garamond" w:hAnsi="Garamond"/>
          <w:iCs/>
          <w:sz w:val="20"/>
          <w:szCs w:val="20"/>
        </w:rPr>
        <w:t>et</w:t>
      </w:r>
      <w:proofErr w:type="spellEnd"/>
      <w:r w:rsidRPr="00CE0756">
        <w:rPr>
          <w:rFonts w:ascii="Garamond" w:hAnsi="Garamond"/>
          <w:iCs/>
          <w:sz w:val="20"/>
          <w:szCs w:val="20"/>
        </w:rPr>
        <w:t xml:space="preserve"> al, 1995 e Cunha </w:t>
      </w:r>
      <w:proofErr w:type="spellStart"/>
      <w:r w:rsidRPr="00CE0756">
        <w:rPr>
          <w:rFonts w:ascii="Garamond" w:hAnsi="Garamond"/>
          <w:iCs/>
          <w:sz w:val="20"/>
          <w:szCs w:val="20"/>
        </w:rPr>
        <w:t>et</w:t>
      </w:r>
      <w:proofErr w:type="spellEnd"/>
      <w:r w:rsidRPr="00CE0756">
        <w:rPr>
          <w:rFonts w:ascii="Garamond" w:hAnsi="Garamond"/>
          <w:iCs/>
          <w:sz w:val="20"/>
          <w:szCs w:val="20"/>
        </w:rPr>
        <w:t xml:space="preserve"> al, 2014.</w:t>
      </w:r>
    </w:p>
    <w:p w:rsidR="00DC11BE" w:rsidRPr="0094770E" w:rsidRDefault="00DC11BE" w:rsidP="004E3707">
      <w:pPr>
        <w:rPr>
          <w:rFonts w:ascii="Garamond" w:hAnsi="Garamond"/>
        </w:rPr>
      </w:pPr>
    </w:p>
    <w:p w:rsidR="00E355FB" w:rsidRDefault="00E355FB">
      <w:pPr>
        <w:rPr>
          <w:rFonts w:ascii="Garamond" w:hAnsi="Garamond"/>
          <w:b/>
          <w:iCs/>
          <w:sz w:val="20"/>
          <w:szCs w:val="20"/>
        </w:rPr>
      </w:pPr>
      <w:r>
        <w:rPr>
          <w:rFonts w:ascii="Garamond" w:hAnsi="Garamond"/>
          <w:b/>
          <w:i/>
          <w:sz w:val="20"/>
          <w:szCs w:val="20"/>
        </w:rPr>
        <w:br w:type="page"/>
      </w:r>
    </w:p>
    <w:p w:rsidR="00DC11BE" w:rsidRPr="0094770E" w:rsidRDefault="00DC11BE" w:rsidP="00CE0756">
      <w:pPr>
        <w:pStyle w:val="Legenda"/>
        <w:keepNext/>
        <w:spacing w:after="120"/>
        <w:rPr>
          <w:rFonts w:ascii="Garamond" w:hAnsi="Garamond"/>
          <w:i w:val="0"/>
          <w:color w:val="auto"/>
          <w:sz w:val="20"/>
          <w:szCs w:val="20"/>
        </w:rPr>
      </w:pPr>
      <w:bookmarkStart w:id="17" w:name="_Toc46677119"/>
      <w:r w:rsidRPr="0094770E">
        <w:rPr>
          <w:rFonts w:ascii="Garamond" w:hAnsi="Garamond"/>
          <w:b/>
          <w:i w:val="0"/>
          <w:color w:val="auto"/>
          <w:sz w:val="20"/>
          <w:szCs w:val="20"/>
        </w:rPr>
        <w:lastRenderedPageBreak/>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Modelo de satisfação centrados no indivíduo.</w:t>
      </w:r>
      <w:bookmarkEnd w:id="17"/>
    </w:p>
    <w:tbl>
      <w:tblPr>
        <w:tblStyle w:val="TabelacomGrelha"/>
        <w:tblW w:w="0" w:type="auto"/>
        <w:tblLook w:val="04A0" w:firstRow="1" w:lastRow="0" w:firstColumn="1" w:lastColumn="0" w:noHBand="0" w:noVBand="1"/>
      </w:tblPr>
      <w:tblGrid>
        <w:gridCol w:w="4246"/>
        <w:gridCol w:w="4247"/>
      </w:tblGrid>
      <w:tr w:rsidR="00DC11BE" w:rsidRPr="0094770E" w:rsidTr="004E3707">
        <w:tc>
          <w:tcPr>
            <w:tcW w:w="4246" w:type="dxa"/>
            <w:vAlign w:val="center"/>
          </w:tcPr>
          <w:p w:rsidR="00DC11BE" w:rsidRPr="0094770E" w:rsidRDefault="00DC11BE" w:rsidP="00E355FB">
            <w:pPr>
              <w:pStyle w:val="CorpoTexto"/>
              <w:spacing w:line="360" w:lineRule="auto"/>
              <w:rPr>
                <w:lang w:eastAsia="pt-PT"/>
              </w:rPr>
            </w:pPr>
            <w:r w:rsidRPr="0094770E">
              <w:rPr>
                <w:lang w:eastAsia="pt-PT"/>
              </w:rPr>
              <w:t>Tipos de variáveis utilizadas na explicação da satisfação</w:t>
            </w:r>
          </w:p>
        </w:tc>
        <w:tc>
          <w:tcPr>
            <w:tcW w:w="4247" w:type="dxa"/>
          </w:tcPr>
          <w:p w:rsidR="00DC11BE" w:rsidRPr="0094770E" w:rsidRDefault="00DC11BE" w:rsidP="00E355FB">
            <w:pPr>
              <w:pStyle w:val="CorpoTexto"/>
              <w:spacing w:line="360" w:lineRule="auto"/>
              <w:jc w:val="both"/>
              <w:rPr>
                <w:rFonts w:cs="Times New Roman"/>
                <w:b/>
                <w:szCs w:val="24"/>
              </w:rPr>
            </w:pPr>
            <w:r w:rsidRPr="0094770E">
              <w:rPr>
                <w:rFonts w:cs="Times New Roman"/>
                <w:b/>
                <w:szCs w:val="24"/>
              </w:rPr>
              <w:t>Centrados no Indivíduo</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 xml:space="preserve">Defende que as características pessoais tornam determinados sujeitos genuinamente mais ou menos satisfeitos (Cunha </w:t>
            </w:r>
            <w:proofErr w:type="spellStart"/>
            <w:r w:rsidRPr="0094770E">
              <w:rPr>
                <w:rFonts w:cs="Times New Roman"/>
                <w:szCs w:val="24"/>
              </w:rPr>
              <w:t>et</w:t>
            </w:r>
            <w:proofErr w:type="spellEnd"/>
            <w:r w:rsidRPr="0094770E">
              <w:rPr>
                <w:rFonts w:cs="Times New Roman"/>
                <w:szCs w:val="24"/>
              </w:rPr>
              <w:t xml:space="preserve"> al., 2014)</w:t>
            </w:r>
          </w:p>
        </w:tc>
      </w:tr>
      <w:tr w:rsidR="00DC11BE" w:rsidRPr="0094770E" w:rsidTr="004E3707">
        <w:tc>
          <w:tcPr>
            <w:tcW w:w="4246" w:type="dxa"/>
            <w:vAlign w:val="center"/>
          </w:tcPr>
          <w:p w:rsidR="00DC11BE" w:rsidRPr="0094770E" w:rsidRDefault="00DC11BE" w:rsidP="00E355FB">
            <w:pPr>
              <w:pStyle w:val="CorpoTexto"/>
              <w:spacing w:line="360" w:lineRule="auto"/>
              <w:rPr>
                <w:lang w:eastAsia="pt-PT"/>
              </w:rPr>
            </w:pPr>
            <w:r w:rsidRPr="0094770E">
              <w:rPr>
                <w:lang w:eastAsia="pt-PT"/>
              </w:rPr>
              <w:t>Conceitos chave e respetivos autores</w:t>
            </w:r>
          </w:p>
        </w:tc>
        <w:tc>
          <w:tcPr>
            <w:tcW w:w="4247" w:type="dxa"/>
          </w:tcPr>
          <w:p w:rsidR="00DC11BE" w:rsidRPr="0094770E" w:rsidRDefault="00DC11BE" w:rsidP="00E355FB">
            <w:pPr>
              <w:pStyle w:val="CorpoTexto"/>
              <w:spacing w:line="360" w:lineRule="auto"/>
              <w:jc w:val="both"/>
              <w:rPr>
                <w:rFonts w:cs="Times New Roman"/>
                <w:szCs w:val="24"/>
              </w:rPr>
            </w:pPr>
            <w:r w:rsidRPr="0094770E">
              <w:rPr>
                <w:rFonts w:cs="Times New Roman"/>
                <w:szCs w:val="24"/>
              </w:rPr>
              <w:t>Discrepância entre expectativas e resposta da organização (</w:t>
            </w:r>
            <w:proofErr w:type="spellStart"/>
            <w:r w:rsidRPr="0094770E">
              <w:rPr>
                <w:rFonts w:cs="Times New Roman"/>
                <w:szCs w:val="24"/>
              </w:rPr>
              <w:t>Lawler</w:t>
            </w:r>
            <w:proofErr w:type="spellEnd"/>
            <w:r w:rsidRPr="0094770E">
              <w:rPr>
                <w:rFonts w:cs="Times New Roman"/>
                <w:szCs w:val="24"/>
              </w:rPr>
              <w:t xml:space="preserve">, 1981; </w:t>
            </w:r>
            <w:proofErr w:type="spellStart"/>
            <w:r w:rsidRPr="0094770E">
              <w:rPr>
                <w:rFonts w:cs="Times New Roman"/>
                <w:szCs w:val="24"/>
              </w:rPr>
              <w:t>Heneman</w:t>
            </w:r>
            <w:proofErr w:type="spellEnd"/>
            <w:r w:rsidRPr="0094770E">
              <w:rPr>
                <w:rFonts w:cs="Times New Roman"/>
                <w:szCs w:val="24"/>
              </w:rPr>
              <w:t>, 1985)</w:t>
            </w:r>
          </w:p>
        </w:tc>
      </w:tr>
      <w:tr w:rsidR="00DC11BE" w:rsidRPr="0094770E" w:rsidTr="004E3707">
        <w:tc>
          <w:tcPr>
            <w:tcW w:w="4246" w:type="dxa"/>
            <w:vAlign w:val="center"/>
          </w:tcPr>
          <w:p w:rsidR="00DC11BE" w:rsidRPr="0094770E" w:rsidRDefault="00DC11BE" w:rsidP="00E355FB">
            <w:pPr>
              <w:pStyle w:val="CorpoTexto"/>
              <w:spacing w:line="360" w:lineRule="auto"/>
              <w:rPr>
                <w:lang w:eastAsia="pt-PT"/>
              </w:rPr>
            </w:pPr>
            <w:r w:rsidRPr="0094770E">
              <w:rPr>
                <w:lang w:eastAsia="pt-PT"/>
              </w:rPr>
              <w:t>Abordagem teórica</w:t>
            </w:r>
          </w:p>
        </w:tc>
        <w:tc>
          <w:tcPr>
            <w:tcW w:w="4247" w:type="dxa"/>
          </w:tcPr>
          <w:p w:rsidR="00DC11BE" w:rsidRPr="0094770E" w:rsidRDefault="00DC11BE" w:rsidP="00E355FB">
            <w:pPr>
              <w:pStyle w:val="CorpoTexto"/>
              <w:spacing w:line="360" w:lineRule="auto"/>
              <w:jc w:val="both"/>
              <w:rPr>
                <w:rFonts w:cs="Times New Roman"/>
                <w:szCs w:val="24"/>
              </w:rPr>
            </w:pPr>
            <w:r w:rsidRPr="0094770E">
              <w:rPr>
                <w:rFonts w:cs="Times New Roman"/>
                <w:szCs w:val="24"/>
              </w:rPr>
              <w:t>- Modelos dos efeitos pessoais específicos. Estudos orientados para a análise da relação entre as variáveis específicas (locus de controlo, afeto positivo ou negativo, necessidade de crescimento psicológico ou variáveis demográficas como o sexo, a idade ou o nível de escolaridade) e o grau de satisfação com o trabalho (</w:t>
            </w:r>
            <w:proofErr w:type="spellStart"/>
            <w:r w:rsidRPr="0094770E">
              <w:rPr>
                <w:rFonts w:cs="Times New Roman"/>
                <w:szCs w:val="24"/>
              </w:rPr>
              <w:t>Arvey</w:t>
            </w:r>
            <w:proofErr w:type="spellEnd"/>
            <w:r w:rsidRPr="0094770E">
              <w:rPr>
                <w:rFonts w:cs="Times New Roman"/>
                <w:szCs w:val="24"/>
              </w:rPr>
              <w:t xml:space="preserve"> </w:t>
            </w:r>
            <w:proofErr w:type="spellStart"/>
            <w:r w:rsidRPr="0094770E">
              <w:rPr>
                <w:rFonts w:cs="Times New Roman"/>
                <w:szCs w:val="24"/>
              </w:rPr>
              <w:t>et</w:t>
            </w:r>
            <w:proofErr w:type="spellEnd"/>
            <w:r w:rsidRPr="0094770E">
              <w:rPr>
                <w:rFonts w:cs="Times New Roman"/>
                <w:szCs w:val="24"/>
              </w:rPr>
              <w:t xml:space="preserve"> al., 1991)</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 xml:space="preserve">- Modelo dos efeitos pessoais </w:t>
            </w:r>
            <w:proofErr w:type="spellStart"/>
            <w:r w:rsidRPr="0094770E">
              <w:rPr>
                <w:rFonts w:cs="Times New Roman"/>
                <w:szCs w:val="24"/>
              </w:rPr>
              <w:t>inespecíficos</w:t>
            </w:r>
            <w:proofErr w:type="spellEnd"/>
            <w:r w:rsidRPr="0094770E">
              <w:rPr>
                <w:rFonts w:cs="Times New Roman"/>
                <w:szCs w:val="24"/>
              </w:rPr>
              <w:t>. Estudos orientados para determinar qual a influência das variáveis pessoais na satisfação, sem tentarem especificar quais são essas variáveis pessoais (</w:t>
            </w:r>
            <w:proofErr w:type="spellStart"/>
            <w:r w:rsidRPr="0094770E">
              <w:rPr>
                <w:rFonts w:cs="Times New Roman"/>
                <w:szCs w:val="24"/>
              </w:rPr>
              <w:t>Arvey</w:t>
            </w:r>
            <w:proofErr w:type="spellEnd"/>
            <w:r w:rsidRPr="0094770E">
              <w:rPr>
                <w:rFonts w:cs="Times New Roman"/>
                <w:szCs w:val="24"/>
              </w:rPr>
              <w:t xml:space="preserve"> </w:t>
            </w:r>
            <w:proofErr w:type="spellStart"/>
            <w:r w:rsidRPr="0094770E">
              <w:rPr>
                <w:rFonts w:cs="Times New Roman"/>
                <w:szCs w:val="24"/>
              </w:rPr>
              <w:t>et</w:t>
            </w:r>
            <w:proofErr w:type="spellEnd"/>
            <w:r w:rsidRPr="0094770E">
              <w:rPr>
                <w:rFonts w:cs="Times New Roman"/>
                <w:szCs w:val="24"/>
              </w:rPr>
              <w:t xml:space="preserve"> al., 1991).</w:t>
            </w:r>
          </w:p>
        </w:tc>
      </w:tr>
    </w:tbl>
    <w:p w:rsidR="00DC11BE" w:rsidRPr="0094770E" w:rsidRDefault="00CE0756" w:rsidP="00CE0756">
      <w:pPr>
        <w:pStyle w:val="Legenda"/>
        <w:spacing w:before="120" w:after="120"/>
        <w:rPr>
          <w:rFonts w:ascii="Garamond" w:hAnsi="Garamond" w:cs="Times New Roman"/>
          <w:i w:val="0"/>
          <w:color w:val="auto"/>
          <w:sz w:val="20"/>
          <w:szCs w:val="20"/>
        </w:rPr>
      </w:pPr>
      <w:r w:rsidRPr="0094770E">
        <w:rPr>
          <w:rFonts w:ascii="Garamond" w:hAnsi="Garamond"/>
          <w:b/>
          <w:i w:val="0"/>
          <w:color w:val="auto"/>
          <w:sz w:val="20"/>
          <w:szCs w:val="20"/>
        </w:rPr>
        <w:t>Fonte:</w:t>
      </w:r>
      <w:r w:rsidRPr="0094770E">
        <w:rPr>
          <w:rFonts w:ascii="Garamond" w:hAnsi="Garamond"/>
          <w:i w:val="0"/>
          <w:color w:val="auto"/>
          <w:sz w:val="20"/>
          <w:szCs w:val="20"/>
        </w:rPr>
        <w:t xml:space="preserve"> Elaboração própria. Adaptado de Lima </w:t>
      </w:r>
      <w:proofErr w:type="spellStart"/>
      <w:r w:rsidRPr="0094770E">
        <w:rPr>
          <w:rFonts w:ascii="Garamond" w:hAnsi="Garamond"/>
          <w:i w:val="0"/>
          <w:color w:val="auto"/>
          <w:sz w:val="20"/>
          <w:szCs w:val="20"/>
        </w:rPr>
        <w:t>et</w:t>
      </w:r>
      <w:proofErr w:type="spellEnd"/>
      <w:r w:rsidRPr="0094770E">
        <w:rPr>
          <w:rFonts w:ascii="Garamond" w:hAnsi="Garamond"/>
          <w:i w:val="0"/>
          <w:color w:val="auto"/>
          <w:sz w:val="20"/>
          <w:szCs w:val="20"/>
        </w:rPr>
        <w:t xml:space="preserve"> al, 1995 e Cunha </w:t>
      </w:r>
      <w:proofErr w:type="spellStart"/>
      <w:r w:rsidRPr="0094770E">
        <w:rPr>
          <w:rFonts w:ascii="Garamond" w:hAnsi="Garamond"/>
          <w:i w:val="0"/>
          <w:color w:val="auto"/>
          <w:sz w:val="20"/>
          <w:szCs w:val="20"/>
        </w:rPr>
        <w:t>et</w:t>
      </w:r>
      <w:proofErr w:type="spellEnd"/>
      <w:r w:rsidRPr="0094770E">
        <w:rPr>
          <w:rFonts w:ascii="Garamond" w:hAnsi="Garamond"/>
          <w:i w:val="0"/>
          <w:color w:val="auto"/>
          <w:sz w:val="20"/>
          <w:szCs w:val="20"/>
        </w:rPr>
        <w:t xml:space="preserve"> al, 2014.</w:t>
      </w:r>
    </w:p>
    <w:p w:rsidR="00DC11BE" w:rsidRPr="0094770E" w:rsidRDefault="00DC11BE" w:rsidP="004E3707"/>
    <w:p w:rsidR="00E355FB" w:rsidRDefault="00E355FB">
      <w:pPr>
        <w:rPr>
          <w:rFonts w:ascii="Garamond" w:hAnsi="Garamond"/>
          <w:b/>
          <w:iCs/>
          <w:sz w:val="20"/>
          <w:szCs w:val="20"/>
        </w:rPr>
      </w:pPr>
      <w:r>
        <w:rPr>
          <w:rFonts w:ascii="Garamond" w:hAnsi="Garamond"/>
          <w:b/>
          <w:i/>
          <w:sz w:val="20"/>
          <w:szCs w:val="20"/>
        </w:rPr>
        <w:br w:type="page"/>
      </w:r>
    </w:p>
    <w:p w:rsidR="00DC11BE" w:rsidRPr="0094770E" w:rsidRDefault="00DC11BE" w:rsidP="00CE0756">
      <w:pPr>
        <w:pStyle w:val="Legenda"/>
        <w:keepNext/>
        <w:spacing w:after="120"/>
        <w:rPr>
          <w:rFonts w:ascii="Garamond" w:hAnsi="Garamond"/>
          <w:i w:val="0"/>
          <w:color w:val="auto"/>
          <w:sz w:val="20"/>
          <w:szCs w:val="20"/>
        </w:rPr>
      </w:pPr>
      <w:bookmarkStart w:id="18" w:name="_Toc46677120"/>
      <w:r w:rsidRPr="0094770E">
        <w:rPr>
          <w:rFonts w:ascii="Garamond" w:hAnsi="Garamond"/>
          <w:b/>
          <w:i w:val="0"/>
          <w:color w:val="auto"/>
          <w:sz w:val="20"/>
          <w:szCs w:val="20"/>
        </w:rPr>
        <w:lastRenderedPageBreak/>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3</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Modelo de satisfação centrados nas interações.</w:t>
      </w:r>
      <w:bookmarkEnd w:id="18"/>
    </w:p>
    <w:tbl>
      <w:tblPr>
        <w:tblStyle w:val="TabelacomGrelha"/>
        <w:tblW w:w="0" w:type="auto"/>
        <w:tblLook w:val="04A0" w:firstRow="1" w:lastRow="0" w:firstColumn="1" w:lastColumn="0" w:noHBand="0" w:noVBand="1"/>
      </w:tblPr>
      <w:tblGrid>
        <w:gridCol w:w="4246"/>
        <w:gridCol w:w="4247"/>
      </w:tblGrid>
      <w:tr w:rsidR="00DC11BE" w:rsidRPr="0094770E" w:rsidTr="004E3707">
        <w:tc>
          <w:tcPr>
            <w:tcW w:w="4246" w:type="dxa"/>
            <w:vAlign w:val="center"/>
          </w:tcPr>
          <w:p w:rsidR="00DC11BE" w:rsidRPr="0094770E" w:rsidRDefault="00DC11BE" w:rsidP="00E355FB">
            <w:pPr>
              <w:pStyle w:val="CorpoTexto"/>
              <w:spacing w:line="360" w:lineRule="auto"/>
              <w:jc w:val="both"/>
              <w:rPr>
                <w:lang w:eastAsia="pt-PT"/>
              </w:rPr>
            </w:pPr>
            <w:r w:rsidRPr="0094770E">
              <w:rPr>
                <w:lang w:eastAsia="pt-PT"/>
              </w:rPr>
              <w:t>Tipos de variáveis utilizadas na explicação da satisfação</w:t>
            </w:r>
          </w:p>
        </w:tc>
        <w:tc>
          <w:tcPr>
            <w:tcW w:w="4247" w:type="dxa"/>
          </w:tcPr>
          <w:p w:rsidR="00DC11BE" w:rsidRPr="0094770E" w:rsidRDefault="00DC11BE" w:rsidP="00E355FB">
            <w:pPr>
              <w:pStyle w:val="CorpoTexto"/>
              <w:spacing w:line="360" w:lineRule="auto"/>
              <w:jc w:val="both"/>
              <w:rPr>
                <w:rFonts w:cs="Times New Roman"/>
                <w:b/>
                <w:szCs w:val="24"/>
              </w:rPr>
            </w:pPr>
            <w:r w:rsidRPr="0094770E">
              <w:rPr>
                <w:rFonts w:cs="Times New Roman"/>
                <w:b/>
                <w:szCs w:val="24"/>
              </w:rPr>
              <w:t>Centrados nas Interações</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Investiga a ação da confluência entre as variáveis individuais e situacionais (</w:t>
            </w:r>
            <w:proofErr w:type="spellStart"/>
            <w:r w:rsidRPr="0094770E">
              <w:rPr>
                <w:rFonts w:cs="Times New Roman"/>
                <w:szCs w:val="24"/>
              </w:rPr>
              <w:t>Arvey</w:t>
            </w:r>
            <w:proofErr w:type="spellEnd"/>
            <w:r w:rsidRPr="0094770E">
              <w:rPr>
                <w:rFonts w:cs="Times New Roman"/>
                <w:szCs w:val="24"/>
              </w:rPr>
              <w:t xml:space="preserve"> </w:t>
            </w:r>
            <w:proofErr w:type="spellStart"/>
            <w:r w:rsidRPr="0094770E">
              <w:rPr>
                <w:rFonts w:cs="Times New Roman"/>
                <w:szCs w:val="24"/>
              </w:rPr>
              <w:t>et</w:t>
            </w:r>
            <w:proofErr w:type="spellEnd"/>
            <w:r w:rsidRPr="0094770E">
              <w:rPr>
                <w:rFonts w:cs="Times New Roman"/>
                <w:szCs w:val="24"/>
              </w:rPr>
              <w:t xml:space="preserve"> al., 1991)</w:t>
            </w:r>
          </w:p>
        </w:tc>
      </w:tr>
      <w:tr w:rsidR="00DC11BE" w:rsidRPr="0094770E" w:rsidTr="004E3707">
        <w:tc>
          <w:tcPr>
            <w:tcW w:w="4246" w:type="dxa"/>
            <w:vAlign w:val="center"/>
          </w:tcPr>
          <w:p w:rsidR="00DC11BE" w:rsidRPr="0094770E" w:rsidRDefault="00DC11BE" w:rsidP="00E355FB">
            <w:pPr>
              <w:pStyle w:val="CorpoTexto"/>
              <w:spacing w:line="360" w:lineRule="auto"/>
              <w:jc w:val="both"/>
              <w:rPr>
                <w:lang w:eastAsia="pt-PT"/>
              </w:rPr>
            </w:pPr>
            <w:r w:rsidRPr="0094770E">
              <w:rPr>
                <w:lang w:eastAsia="pt-PT"/>
              </w:rPr>
              <w:t>Conceitos chave e respetivos autores</w:t>
            </w:r>
          </w:p>
        </w:tc>
        <w:tc>
          <w:tcPr>
            <w:tcW w:w="4247" w:type="dxa"/>
          </w:tcPr>
          <w:p w:rsidR="00DC11BE" w:rsidRPr="0094770E" w:rsidRDefault="00DC11BE" w:rsidP="00E355FB">
            <w:pPr>
              <w:pStyle w:val="CorpoTexto"/>
              <w:spacing w:line="360" w:lineRule="auto"/>
              <w:jc w:val="both"/>
              <w:rPr>
                <w:rFonts w:cs="Times New Roman"/>
                <w:szCs w:val="24"/>
              </w:rPr>
            </w:pPr>
            <w:r w:rsidRPr="0094770E">
              <w:rPr>
                <w:rFonts w:cs="Times New Roman"/>
                <w:szCs w:val="24"/>
              </w:rPr>
              <w:t>- Comparação Social (</w:t>
            </w:r>
            <w:proofErr w:type="spellStart"/>
            <w:r w:rsidRPr="0094770E">
              <w:rPr>
                <w:rFonts w:cs="Times New Roman"/>
                <w:szCs w:val="24"/>
              </w:rPr>
              <w:t>Homans</w:t>
            </w:r>
            <w:proofErr w:type="spellEnd"/>
            <w:r w:rsidRPr="0094770E">
              <w:rPr>
                <w:rFonts w:cs="Times New Roman"/>
                <w:szCs w:val="24"/>
              </w:rPr>
              <w:t xml:space="preserve">, 1961; Adams, 1965; </w:t>
            </w:r>
            <w:proofErr w:type="spellStart"/>
            <w:r w:rsidRPr="0094770E">
              <w:rPr>
                <w:rFonts w:cs="Times New Roman"/>
                <w:szCs w:val="24"/>
              </w:rPr>
              <w:t>Runciman</w:t>
            </w:r>
            <w:proofErr w:type="spellEnd"/>
            <w:r w:rsidRPr="0094770E">
              <w:rPr>
                <w:rFonts w:cs="Times New Roman"/>
                <w:szCs w:val="24"/>
              </w:rPr>
              <w:t>, 1966)</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 Processamento social da informação (</w:t>
            </w:r>
            <w:proofErr w:type="spellStart"/>
            <w:r w:rsidRPr="0094770E">
              <w:rPr>
                <w:rFonts w:cs="Times New Roman"/>
                <w:szCs w:val="24"/>
              </w:rPr>
              <w:t>Aasch</w:t>
            </w:r>
            <w:proofErr w:type="spellEnd"/>
            <w:r w:rsidRPr="0094770E">
              <w:rPr>
                <w:rFonts w:cs="Times New Roman"/>
                <w:szCs w:val="24"/>
              </w:rPr>
              <w:t xml:space="preserve">, 1952; </w:t>
            </w:r>
            <w:proofErr w:type="spellStart"/>
            <w:r w:rsidRPr="0094770E">
              <w:rPr>
                <w:rFonts w:cs="Times New Roman"/>
                <w:szCs w:val="24"/>
              </w:rPr>
              <w:t>Salancick</w:t>
            </w:r>
            <w:proofErr w:type="spellEnd"/>
            <w:r w:rsidRPr="0094770E">
              <w:rPr>
                <w:rFonts w:cs="Times New Roman"/>
                <w:szCs w:val="24"/>
              </w:rPr>
              <w:t xml:space="preserve"> e </w:t>
            </w:r>
            <w:proofErr w:type="spellStart"/>
            <w:r w:rsidRPr="0094770E">
              <w:rPr>
                <w:rFonts w:cs="Times New Roman"/>
                <w:szCs w:val="24"/>
              </w:rPr>
              <w:t>Pfeffer</w:t>
            </w:r>
            <w:proofErr w:type="spellEnd"/>
            <w:r w:rsidRPr="0094770E">
              <w:rPr>
                <w:rFonts w:cs="Times New Roman"/>
                <w:szCs w:val="24"/>
              </w:rPr>
              <w:t xml:space="preserve">, 1978; O´Reilly e </w:t>
            </w:r>
            <w:proofErr w:type="spellStart"/>
            <w:r w:rsidRPr="0094770E">
              <w:rPr>
                <w:rFonts w:cs="Times New Roman"/>
                <w:szCs w:val="24"/>
              </w:rPr>
              <w:t>Caldwell</w:t>
            </w:r>
            <w:proofErr w:type="spellEnd"/>
            <w:r w:rsidRPr="0094770E">
              <w:rPr>
                <w:rFonts w:cs="Times New Roman"/>
                <w:szCs w:val="24"/>
              </w:rPr>
              <w:t>, 1979)</w:t>
            </w:r>
          </w:p>
          <w:p w:rsidR="00DC11BE" w:rsidRPr="0094770E" w:rsidRDefault="00DC11BE" w:rsidP="00E355FB">
            <w:pPr>
              <w:pStyle w:val="CorpoTexto"/>
              <w:spacing w:line="360" w:lineRule="auto"/>
              <w:jc w:val="both"/>
              <w:rPr>
                <w:rFonts w:cs="Times New Roman"/>
                <w:szCs w:val="24"/>
              </w:rPr>
            </w:pPr>
            <w:r w:rsidRPr="0094770E">
              <w:rPr>
                <w:rFonts w:cs="Times New Roman"/>
                <w:szCs w:val="24"/>
              </w:rPr>
              <w:t>- Cultura organizacional (</w:t>
            </w:r>
            <w:proofErr w:type="spellStart"/>
            <w:r w:rsidRPr="0094770E">
              <w:rPr>
                <w:rFonts w:cs="Times New Roman"/>
                <w:szCs w:val="24"/>
              </w:rPr>
              <w:t>Geertz</w:t>
            </w:r>
            <w:proofErr w:type="spellEnd"/>
            <w:r w:rsidRPr="0094770E">
              <w:rPr>
                <w:rFonts w:cs="Times New Roman"/>
                <w:szCs w:val="24"/>
              </w:rPr>
              <w:t xml:space="preserve">, 1973; Schneider, 1975; </w:t>
            </w:r>
            <w:proofErr w:type="spellStart"/>
            <w:r w:rsidRPr="0094770E">
              <w:rPr>
                <w:rFonts w:cs="Times New Roman"/>
                <w:szCs w:val="24"/>
              </w:rPr>
              <w:t>Schein</w:t>
            </w:r>
            <w:proofErr w:type="spellEnd"/>
            <w:r w:rsidRPr="0094770E">
              <w:rPr>
                <w:rFonts w:cs="Times New Roman"/>
                <w:szCs w:val="24"/>
              </w:rPr>
              <w:t>, 1985)</w:t>
            </w:r>
          </w:p>
        </w:tc>
      </w:tr>
      <w:tr w:rsidR="00DC11BE" w:rsidRPr="0094770E" w:rsidTr="004E3707">
        <w:tc>
          <w:tcPr>
            <w:tcW w:w="4246" w:type="dxa"/>
            <w:vAlign w:val="center"/>
          </w:tcPr>
          <w:p w:rsidR="00DC11BE" w:rsidRPr="0094770E" w:rsidRDefault="00DC11BE" w:rsidP="00E355FB">
            <w:pPr>
              <w:pStyle w:val="CorpoTexto"/>
              <w:spacing w:line="360" w:lineRule="auto"/>
              <w:jc w:val="both"/>
              <w:rPr>
                <w:lang w:eastAsia="pt-PT"/>
              </w:rPr>
            </w:pPr>
            <w:r w:rsidRPr="0094770E">
              <w:rPr>
                <w:lang w:eastAsia="pt-PT"/>
              </w:rPr>
              <w:t>Abordagem teórica</w:t>
            </w:r>
          </w:p>
        </w:tc>
        <w:tc>
          <w:tcPr>
            <w:tcW w:w="4247" w:type="dxa"/>
          </w:tcPr>
          <w:p w:rsidR="00DC11BE" w:rsidRPr="0094770E" w:rsidRDefault="00DC11BE" w:rsidP="00E355FB">
            <w:pPr>
              <w:pStyle w:val="CorpoTexto"/>
              <w:spacing w:line="360" w:lineRule="auto"/>
              <w:jc w:val="both"/>
              <w:rPr>
                <w:rFonts w:cs="Times New Roman"/>
                <w:szCs w:val="24"/>
              </w:rPr>
            </w:pPr>
            <w:r w:rsidRPr="0094770E">
              <w:rPr>
                <w:rFonts w:cs="Times New Roman"/>
                <w:szCs w:val="24"/>
              </w:rPr>
              <w:t xml:space="preserve">O comportamento é visto como consequência da interação de fatores internos e externos (Cunha </w:t>
            </w:r>
            <w:proofErr w:type="spellStart"/>
            <w:r w:rsidRPr="0094770E">
              <w:rPr>
                <w:rFonts w:cs="Times New Roman"/>
                <w:szCs w:val="24"/>
              </w:rPr>
              <w:t>et</w:t>
            </w:r>
            <w:proofErr w:type="spellEnd"/>
            <w:r w:rsidRPr="0094770E">
              <w:rPr>
                <w:rFonts w:cs="Times New Roman"/>
                <w:szCs w:val="24"/>
              </w:rPr>
              <w:t xml:space="preserve"> al., 2014).</w:t>
            </w:r>
          </w:p>
        </w:tc>
      </w:tr>
    </w:tbl>
    <w:p w:rsidR="00DC11BE" w:rsidRDefault="00CE0756" w:rsidP="00CE0756">
      <w:pPr>
        <w:pStyle w:val="Legenda"/>
        <w:spacing w:before="120" w:after="120"/>
        <w:rPr>
          <w:rFonts w:ascii="Garamond" w:hAnsi="Garamond"/>
          <w:i w:val="0"/>
          <w:color w:val="auto"/>
          <w:sz w:val="20"/>
          <w:szCs w:val="20"/>
        </w:rPr>
      </w:pPr>
      <w:r w:rsidRPr="0094770E">
        <w:rPr>
          <w:rFonts w:ascii="Garamond" w:hAnsi="Garamond"/>
          <w:b/>
          <w:i w:val="0"/>
          <w:color w:val="auto"/>
          <w:sz w:val="20"/>
          <w:szCs w:val="20"/>
        </w:rPr>
        <w:t>Fonte</w:t>
      </w:r>
      <w:r w:rsidRPr="0094770E">
        <w:rPr>
          <w:rFonts w:ascii="Garamond" w:hAnsi="Garamond"/>
          <w:i w:val="0"/>
          <w:color w:val="auto"/>
          <w:sz w:val="20"/>
          <w:szCs w:val="20"/>
        </w:rPr>
        <w:t xml:space="preserve">: Elaboração própria. Adaptado de Lima </w:t>
      </w:r>
      <w:proofErr w:type="spellStart"/>
      <w:r w:rsidRPr="0094770E">
        <w:rPr>
          <w:rFonts w:ascii="Garamond" w:hAnsi="Garamond"/>
          <w:i w:val="0"/>
          <w:color w:val="auto"/>
          <w:sz w:val="20"/>
          <w:szCs w:val="20"/>
        </w:rPr>
        <w:t>et</w:t>
      </w:r>
      <w:proofErr w:type="spellEnd"/>
      <w:r w:rsidRPr="0094770E">
        <w:rPr>
          <w:rFonts w:ascii="Garamond" w:hAnsi="Garamond"/>
          <w:i w:val="0"/>
          <w:color w:val="auto"/>
          <w:sz w:val="20"/>
          <w:szCs w:val="20"/>
        </w:rPr>
        <w:t xml:space="preserve"> al, 1995 e Cunha </w:t>
      </w:r>
      <w:proofErr w:type="spellStart"/>
      <w:r w:rsidRPr="0094770E">
        <w:rPr>
          <w:rFonts w:ascii="Garamond" w:hAnsi="Garamond"/>
          <w:i w:val="0"/>
          <w:color w:val="auto"/>
          <w:sz w:val="20"/>
          <w:szCs w:val="20"/>
        </w:rPr>
        <w:t>et</w:t>
      </w:r>
      <w:proofErr w:type="spellEnd"/>
      <w:r w:rsidRPr="0094770E">
        <w:rPr>
          <w:rFonts w:ascii="Garamond" w:hAnsi="Garamond"/>
          <w:i w:val="0"/>
          <w:color w:val="auto"/>
          <w:sz w:val="20"/>
          <w:szCs w:val="20"/>
        </w:rPr>
        <w:t xml:space="preserve"> al, 2014.</w:t>
      </w:r>
    </w:p>
    <w:p w:rsidR="00CE0756" w:rsidRPr="00CE0756" w:rsidRDefault="00CE0756" w:rsidP="00CE0756"/>
    <w:p w:rsidR="00DC11BE" w:rsidRPr="0094770E" w:rsidRDefault="00DC11BE" w:rsidP="00D77886">
      <w:pPr>
        <w:pStyle w:val="CorpoTexto"/>
      </w:pPr>
      <w:r w:rsidRPr="0094770E">
        <w:t xml:space="preserve">É defendido que as causas de satisfação com o trabalho são produto do indivíduo, do trabalho e/ou da interação entre indivíduo e trabalho </w:t>
      </w:r>
      <w:r w:rsidRPr="0094770E">
        <w:rPr>
          <w:noProof/>
        </w:rPr>
        <w:t>(Cunha et al., 2014)</w:t>
      </w:r>
      <w:r w:rsidRPr="0094770E">
        <w:t>.</w:t>
      </w:r>
    </w:p>
    <w:p w:rsidR="00DC11BE" w:rsidRPr="0094770E" w:rsidRDefault="00DC11BE" w:rsidP="00D77886">
      <w:pPr>
        <w:pStyle w:val="CorpoTexto"/>
      </w:pPr>
      <w:r w:rsidRPr="0094770E">
        <w:t xml:space="preserve">Os modelos centrados no indivíduo, por sua vez, podem ser separados em modelo dos efeitos pessoais específicos e o modelo dos efeitos pessoais </w:t>
      </w:r>
      <w:proofErr w:type="spellStart"/>
      <w:r w:rsidRPr="0094770E">
        <w:t>inespecíficos</w:t>
      </w:r>
      <w:proofErr w:type="spellEnd"/>
      <w:r w:rsidRPr="0094770E">
        <w:t xml:space="preserve">. Os estudos orientados para o modelo dos efeitos pessoais específicos analisam a relação entre variáveis individuais específicas e o nível de satisfação dos indivíduos com o trabalho, buscando determinar em que medida fatores pessoais (diferenças individuais e variáveis demográficas) fazem variar a satisfação. Os trabalhos realizados no âmbito do modelo dos efeitos pessoais </w:t>
      </w:r>
      <w:proofErr w:type="spellStart"/>
      <w:r w:rsidRPr="0094770E">
        <w:t>inespecíficos</w:t>
      </w:r>
      <w:proofErr w:type="spellEnd"/>
      <w:r w:rsidRPr="0094770E">
        <w:t xml:space="preserve"> visam, sem especificar quais as variáveis pessoais, demonstrar como estas podem influenciar a satisfação </w:t>
      </w:r>
      <w:r w:rsidRPr="0094770E">
        <w:rPr>
          <w:noProof/>
        </w:rPr>
        <w:t>(Arvey, Carter, &amp; Buerkley, 1991)</w:t>
      </w:r>
      <w:r w:rsidRPr="0094770E">
        <w:t>.</w:t>
      </w:r>
    </w:p>
    <w:p w:rsidR="00DC11BE" w:rsidRPr="0094770E" w:rsidRDefault="00DC11BE" w:rsidP="00D77886">
      <w:pPr>
        <w:pStyle w:val="CorpoTexto"/>
        <w:rPr>
          <w:rFonts w:cs="Times New Roman"/>
          <w:szCs w:val="24"/>
        </w:rPr>
      </w:pPr>
      <w:r w:rsidRPr="0094770E">
        <w:rPr>
          <w:rFonts w:cs="Times New Roman"/>
          <w:szCs w:val="24"/>
        </w:rPr>
        <w:t xml:space="preserve">Os modelos centrados nas situações tentam apresentar que fatores do contexto se relacionam mais com o grau de satisfação sentido. São várias as variáveis consideradas como potenciais influenciadores da satisfação, contudo as que mais se destacam são o clima organizacional, características do trabalho e a informação social </w:t>
      </w:r>
      <w:r w:rsidRPr="0094770E">
        <w:rPr>
          <w:rFonts w:cs="Times New Roman"/>
          <w:noProof/>
          <w:szCs w:val="24"/>
        </w:rPr>
        <w:t>(Cunha et al., 2014)</w:t>
      </w:r>
      <w:r w:rsidRPr="0094770E">
        <w:rPr>
          <w:rFonts w:cs="Times New Roman"/>
          <w:szCs w:val="24"/>
        </w:rPr>
        <w:t>.</w:t>
      </w:r>
    </w:p>
    <w:p w:rsidR="00DC11BE" w:rsidRPr="0094770E" w:rsidRDefault="00DC11BE" w:rsidP="00D77886">
      <w:pPr>
        <w:pStyle w:val="CorpoTexto"/>
        <w:rPr>
          <w:rFonts w:cs="Times New Roman"/>
          <w:szCs w:val="24"/>
        </w:rPr>
      </w:pPr>
      <w:r w:rsidRPr="0094770E">
        <w:rPr>
          <w:rFonts w:cs="Times New Roman"/>
          <w:szCs w:val="24"/>
        </w:rPr>
        <w:lastRenderedPageBreak/>
        <w:t xml:space="preserve">Por último, os modelos centrados nas interações observam a influência da interação entre variáveis individuais e variáveis situacionais. São integrados, assim, fatores internos e externos, com o intuito de compreender o resultado da convergência entre ambos </w:t>
      </w:r>
      <w:r w:rsidRPr="0094770E">
        <w:rPr>
          <w:rFonts w:cs="Times New Roman"/>
          <w:noProof/>
          <w:szCs w:val="24"/>
        </w:rPr>
        <w:t>(Arvey et al., 1991; Cunha et al., 2014)</w:t>
      </w:r>
      <w:r w:rsidRPr="0094770E">
        <w:rPr>
          <w:rFonts w:cs="Times New Roman"/>
          <w:szCs w:val="24"/>
        </w:rPr>
        <w:t xml:space="preserve">. </w:t>
      </w:r>
    </w:p>
    <w:p w:rsidR="00DC11BE" w:rsidRPr="0094770E" w:rsidRDefault="00DC11BE" w:rsidP="00D77886">
      <w:pPr>
        <w:pStyle w:val="CorpoTexto"/>
        <w:rPr>
          <w:b/>
        </w:rPr>
      </w:pPr>
      <w:r w:rsidRPr="0094770E">
        <w:t xml:space="preserve">Há uma série de estudos relativos à satisfação no trabalho e que mostram que o desempenho no trabalho é influenciado significativamente pela satisfação no mesmo. Locke citado por </w:t>
      </w:r>
      <w:r w:rsidRPr="0094770E">
        <w:rPr>
          <w:noProof/>
        </w:rPr>
        <w:t xml:space="preserve">Siqueira </w:t>
      </w:r>
      <w:r w:rsidR="00984FA2" w:rsidRPr="0094770E">
        <w:rPr>
          <w:noProof/>
        </w:rPr>
        <w:t>e</w:t>
      </w:r>
      <w:r w:rsidRPr="0094770E">
        <w:rPr>
          <w:noProof/>
        </w:rPr>
        <w:t xml:space="preserve"> Padovam (2008, p. 206)</w:t>
      </w:r>
      <w:r w:rsidRPr="0094770E">
        <w:t xml:space="preserve"> define a satisfação no trabalho como “um estado emocional positivo ou de prazer, resultante de um trabalho ou de experiências de trabalho”, </w:t>
      </w:r>
      <w:r w:rsidRPr="0094770E">
        <w:rPr>
          <w:noProof/>
        </w:rPr>
        <w:t xml:space="preserve">Edwards, Bell, Arthur, </w:t>
      </w:r>
      <w:r w:rsidR="00984FA2" w:rsidRPr="0094770E">
        <w:rPr>
          <w:noProof/>
        </w:rPr>
        <w:t>e</w:t>
      </w:r>
      <w:r w:rsidRPr="0094770E">
        <w:rPr>
          <w:noProof/>
        </w:rPr>
        <w:t xml:space="preserve"> Decuir (2008)</w:t>
      </w:r>
      <w:r w:rsidRPr="0094770E">
        <w:t xml:space="preserve"> encontraram uma relação positiva estatisticamente significativa entre a satisfação geral e o desempenho; </w:t>
      </w:r>
      <w:r w:rsidRPr="0094770E">
        <w:rPr>
          <w:noProof/>
        </w:rPr>
        <w:t>Springer (2011)</w:t>
      </w:r>
      <w:r w:rsidRPr="0094770E">
        <w:t xml:space="preserve"> sugere que os gerentes podem melhorar o desempenho do trabalho e a motivação no trabalho, </w:t>
      </w:r>
      <w:r w:rsidRPr="0094770E">
        <w:rPr>
          <w:noProof/>
        </w:rPr>
        <w:t xml:space="preserve">Fu, Deshpande, </w:t>
      </w:r>
      <w:r w:rsidR="00984FA2" w:rsidRPr="0094770E">
        <w:rPr>
          <w:noProof/>
        </w:rPr>
        <w:t>e</w:t>
      </w:r>
      <w:r w:rsidRPr="0094770E">
        <w:rPr>
          <w:noProof/>
        </w:rPr>
        <w:t xml:space="preserve"> Zhao (2011)</w:t>
      </w:r>
      <w:r w:rsidRPr="0094770E">
        <w:t xml:space="preserve"> relatam haver facetas de satisfação no trabalho (salário, colegas de trabalho, supervisão e trabalho em si) que têm impacto no comprometimento organizacional, </w:t>
      </w:r>
      <w:r w:rsidRPr="0094770E">
        <w:rPr>
          <w:noProof/>
        </w:rPr>
        <w:t xml:space="preserve">Chen, Zhao, Liu, </w:t>
      </w:r>
      <w:r w:rsidR="00984FA2" w:rsidRPr="0094770E">
        <w:rPr>
          <w:noProof/>
        </w:rPr>
        <w:t>e</w:t>
      </w:r>
      <w:r w:rsidRPr="0094770E">
        <w:rPr>
          <w:noProof/>
        </w:rPr>
        <w:t xml:space="preserve"> Wu (2012)</w:t>
      </w:r>
      <w:r w:rsidRPr="0094770E">
        <w:t xml:space="preserve"> descobriram que o desempenho no trabalho em Taiwan foi afetado positivamente pelo envolvimento no trabalho, satisfação no trabalho e marketing interno.</w:t>
      </w:r>
    </w:p>
    <w:p w:rsidR="00DC11BE" w:rsidRPr="0094770E" w:rsidRDefault="00DC11BE" w:rsidP="00D77886">
      <w:pPr>
        <w:pStyle w:val="CorpoTexto"/>
      </w:pPr>
      <w:r w:rsidRPr="0094770E">
        <w:t xml:space="preserve">Partindo do princípio da teoria de Locke, o comportamento de cada indivíduo fundamenta-se em valores e objetivos e a satisfação no trabalho é definida como função da relação percebida entre aquilo que o indivíduo pretende obter do seu trabalho e a perceção do que realmente recebe. A satisfação e insatisfação no trabalho são respostas emocionais positivas e negativas, respetivamente, correspondendo as primeiras a uma avaliação do trabalho compatível com os valores do indivíduo e as segundas resultantes de avaliação de trabalho incompatível com os valores do indivíduo. Em contexto laboral, para compreender o conceito de satisfação, é necessário ver analisado os elementos constituintes do trabalho, direcionando-nos, assim, para uma abordagem multidimensional </w:t>
      </w:r>
      <w:r w:rsidRPr="0094770E">
        <w:rPr>
          <w:noProof/>
        </w:rPr>
        <w:t>(Locke, 1976)</w:t>
      </w:r>
      <w:r w:rsidRPr="0094770E">
        <w:t>.</w:t>
      </w:r>
    </w:p>
    <w:p w:rsidR="00DC11BE" w:rsidRPr="0094770E" w:rsidRDefault="00DC11BE" w:rsidP="00D77886">
      <w:pPr>
        <w:pStyle w:val="CorpoTexto"/>
      </w:pPr>
      <w:r w:rsidRPr="0094770E">
        <w:t xml:space="preserve">A satisfação no trabalho torna-se competência tanto do empregador como do empregado, e embora existam diferenças individuais consideráveis no que diz respeito ao que desejam do seu trabalho os funcionários, os fatores motivadores de satisfação são bastante similares (eventos e condições e agentes) </w:t>
      </w:r>
      <w:r w:rsidRPr="0094770E">
        <w:rPr>
          <w:noProof/>
        </w:rPr>
        <w:t>(Locke, 1984)</w:t>
      </w:r>
      <w:r w:rsidRPr="0094770E">
        <w:t>.</w:t>
      </w:r>
    </w:p>
    <w:p w:rsidR="00DC11BE" w:rsidRPr="0094770E" w:rsidRDefault="00DC11BE" w:rsidP="00D77886">
      <w:pPr>
        <w:pStyle w:val="CorpoTexto"/>
        <w:rPr>
          <w:b/>
        </w:rPr>
      </w:pPr>
      <w:r w:rsidRPr="0094770E">
        <w:t xml:space="preserve">Os fatores indutivos de satisfação e/ou insatisfação podem variar de indivíduo para indivíduo, o que dificulta às empresas a avaliação das dimensões causadoras de satisfação ou insatisfação e a sua melhoria </w:t>
      </w:r>
      <w:r w:rsidRPr="0094770E">
        <w:rPr>
          <w:noProof/>
        </w:rPr>
        <w:t>(Spagnoli, Caetano, &amp; Santos, 2012)</w:t>
      </w:r>
      <w:r w:rsidRPr="0094770E">
        <w:t>.</w:t>
      </w:r>
    </w:p>
    <w:p w:rsidR="00DC11BE" w:rsidRPr="0094770E" w:rsidRDefault="00DC11BE" w:rsidP="00D77886">
      <w:pPr>
        <w:pStyle w:val="CorpoTexto"/>
      </w:pPr>
      <w:r w:rsidRPr="0094770E">
        <w:lastRenderedPageBreak/>
        <w:t xml:space="preserve">Os fatores provocadores de satisfação no trabalho podem ser divididos em dois grupos: causas pessoais (variáveis demográficos e diferenças individuais) e causas organizacionais (salário, trabalho em si, perspetivas de carreira, chefia, colegas e condições físicas) </w:t>
      </w:r>
      <w:r w:rsidRPr="0094770E">
        <w:rPr>
          <w:noProof/>
        </w:rPr>
        <w:t>(Cunha et al., 2006)</w:t>
      </w:r>
      <w:r w:rsidRPr="0094770E">
        <w:t>.</w:t>
      </w:r>
    </w:p>
    <w:p w:rsidR="00DC11BE" w:rsidRPr="0094770E" w:rsidRDefault="00DC11BE" w:rsidP="00D77886">
      <w:pPr>
        <w:pStyle w:val="CorpoTexto"/>
        <w:rPr>
          <w:b/>
        </w:rPr>
      </w:pPr>
      <w:r w:rsidRPr="0094770E">
        <w:t xml:space="preserve">Tendo em conta a avaliação feita à satisfação no trabalho, esta também pode ser categorizada na literatura como afetiva e cognitiva, uma avaliação emocional do trabalho e uma avaliação lógica e racional das condições, oportunidades e/ou resultados do trabalho, respetivamente </w:t>
      </w:r>
      <w:r w:rsidRPr="0094770E">
        <w:rPr>
          <w:noProof/>
        </w:rPr>
        <w:t>(Organ &amp; Near, 1985)</w:t>
      </w:r>
      <w:r w:rsidRPr="0094770E">
        <w:t>.</w:t>
      </w:r>
    </w:p>
    <w:p w:rsidR="00DC11BE" w:rsidRPr="0094770E" w:rsidRDefault="00DC11BE" w:rsidP="00D77886">
      <w:pPr>
        <w:pStyle w:val="CorpoTexto"/>
        <w:rPr>
          <w:b/>
        </w:rPr>
      </w:pPr>
      <w:r w:rsidRPr="0094770E">
        <w:t xml:space="preserve">Os benefícios, as recompensas, as promoções, as relações com os colegas de trabalho e chefias, a natureza do trabalho e da organização estão incluídas na maior parte das dimensões avaliadas </w:t>
      </w:r>
      <w:r w:rsidRPr="0094770E">
        <w:rPr>
          <w:noProof/>
        </w:rPr>
        <w:t>(Rast &amp; Tourani, 2012; Spector, 1997)</w:t>
      </w:r>
      <w:r w:rsidRPr="0094770E">
        <w:t>.</w:t>
      </w:r>
    </w:p>
    <w:p w:rsidR="00DC11BE" w:rsidRPr="0094770E" w:rsidRDefault="00DC11BE" w:rsidP="00D77886">
      <w:pPr>
        <w:pStyle w:val="CorpoTexto"/>
        <w:rPr>
          <w:b/>
        </w:rPr>
      </w:pPr>
      <w:r w:rsidRPr="0094770E">
        <w:t xml:space="preserve">As empresas devem ver os seus colaboradores como se de clientes se tratassem e darem atenção a questões internas de maneira a </w:t>
      </w:r>
      <w:r w:rsidR="00095BC8" w:rsidRPr="0094770E">
        <w:t>satisfazê-los</w:t>
      </w:r>
      <w:r w:rsidRPr="0094770E">
        <w:t xml:space="preserve"> da maneira mais completa e melhor possível </w:t>
      </w:r>
      <w:r w:rsidRPr="0094770E">
        <w:rPr>
          <w:noProof/>
        </w:rPr>
        <w:t>(Wangenheim, Evanschitzky, &amp; Wunderlich, 2007)</w:t>
      </w:r>
      <w:r w:rsidRPr="0094770E">
        <w:t>.</w:t>
      </w:r>
    </w:p>
    <w:p w:rsidR="00DC11BE" w:rsidRPr="0094770E" w:rsidRDefault="00DC11BE" w:rsidP="00D77886">
      <w:pPr>
        <w:pStyle w:val="CorpoTexto"/>
        <w:rPr>
          <w:b/>
        </w:rPr>
      </w:pPr>
      <w:r w:rsidRPr="0094770E">
        <w:t xml:space="preserve">Uma série de estudos demonstra que a satisfação no trabalho também tem impacto significativo no comprometimento organizacional </w:t>
      </w:r>
      <w:r w:rsidRPr="0094770E">
        <w:rPr>
          <w:noProof/>
        </w:rPr>
        <w:t>(Fu &amp; Deshpande, 2014)</w:t>
      </w:r>
      <w:r w:rsidRPr="0094770E">
        <w:t xml:space="preserve"> e que a satisfação no trabalho aborda perceções e atitudes que os funcionários têm em relação ao seu trabalho </w:t>
      </w:r>
      <w:r w:rsidRPr="0094770E">
        <w:rPr>
          <w:noProof/>
        </w:rPr>
        <w:t>(Castro &amp; Martins, 2010)</w:t>
      </w:r>
      <w:r w:rsidRPr="0094770E">
        <w:t>.</w:t>
      </w:r>
    </w:p>
    <w:p w:rsidR="00DC11BE" w:rsidRDefault="00DC11BE" w:rsidP="00D77886">
      <w:pPr>
        <w:pStyle w:val="CorpoTexto"/>
        <w:rPr>
          <w:b/>
        </w:rPr>
      </w:pPr>
      <w:r w:rsidRPr="0094770E">
        <w:t xml:space="preserve">No setor dos serviços, o comportamento dos funcionários pode ter um impacto significativo na reputação, no sucesso e na qualidade do serviço da organização. Todavia poucos são os estudos que examinam o impacto direto e/ou indireto da satisfação no trabalho com o desempenho no trabalho </w:t>
      </w:r>
      <w:r w:rsidRPr="0094770E">
        <w:rPr>
          <w:noProof/>
        </w:rPr>
        <w:t>(Fu &amp; Deshpande, 2014)</w:t>
      </w:r>
      <w:r w:rsidRPr="0094770E">
        <w:t>.</w:t>
      </w:r>
    </w:p>
    <w:p w:rsidR="00095BC8" w:rsidRPr="0094770E" w:rsidRDefault="00095BC8" w:rsidP="004E3707">
      <w:pPr>
        <w:pStyle w:val="CTITULO"/>
        <w:rPr>
          <w:rFonts w:ascii="Garamond" w:hAnsi="Garamond"/>
          <w:b w:val="0"/>
        </w:rPr>
      </w:pPr>
    </w:p>
    <w:p w:rsidR="00DC11BE" w:rsidRPr="0094770E" w:rsidRDefault="00DC11BE" w:rsidP="00A32A19">
      <w:pPr>
        <w:pStyle w:val="Nvel2"/>
      </w:pPr>
      <w:bookmarkStart w:id="19" w:name="_Toc37177048"/>
      <w:bookmarkStart w:id="20" w:name="_Toc46678970"/>
      <w:r w:rsidRPr="0094770E">
        <w:t>Motivação</w:t>
      </w:r>
      <w:bookmarkEnd w:id="19"/>
      <w:bookmarkEnd w:id="20"/>
    </w:p>
    <w:p w:rsidR="00DC11BE" w:rsidRDefault="00DC11BE" w:rsidP="00D77886">
      <w:pPr>
        <w:pStyle w:val="CorpoTexto"/>
      </w:pPr>
      <w:r w:rsidRPr="00A32A19">
        <w:rPr>
          <w:i/>
          <w:iCs/>
          <w:lang w:val="en-US"/>
        </w:rPr>
        <w:t>People often say that motivation doesn´t last. Well, neither does bathing – That´s why we recommend it daily.</w:t>
      </w:r>
      <w:r w:rsidR="007B420B" w:rsidRPr="00A32A19">
        <w:rPr>
          <w:i/>
          <w:iCs/>
          <w:lang w:val="en-US"/>
        </w:rPr>
        <w:tab/>
      </w:r>
      <w:r w:rsidR="007B420B" w:rsidRPr="00A32A19">
        <w:rPr>
          <w:i/>
          <w:iCs/>
          <w:lang w:val="en-US"/>
        </w:rPr>
        <w:tab/>
      </w:r>
      <w:r w:rsidR="007B420B" w:rsidRPr="00A32A19">
        <w:rPr>
          <w:i/>
          <w:iCs/>
          <w:lang w:val="en-US"/>
        </w:rPr>
        <w:tab/>
      </w:r>
      <w:r w:rsidR="007B420B" w:rsidRPr="00A32A19">
        <w:rPr>
          <w:i/>
          <w:iCs/>
          <w:lang w:val="en-US"/>
        </w:rPr>
        <w:tab/>
      </w:r>
      <w:r w:rsidR="007B420B" w:rsidRPr="00A32A19">
        <w:rPr>
          <w:i/>
          <w:iCs/>
          <w:lang w:val="en-US"/>
        </w:rPr>
        <w:tab/>
      </w:r>
      <w:r w:rsidR="007B420B" w:rsidRPr="00A32A19">
        <w:rPr>
          <w:i/>
          <w:iCs/>
          <w:lang w:val="en-US"/>
        </w:rPr>
        <w:tab/>
      </w:r>
      <w:r w:rsidR="007B420B" w:rsidRPr="00A32A19">
        <w:rPr>
          <w:i/>
          <w:iCs/>
          <w:lang w:val="en-US"/>
        </w:rPr>
        <w:tab/>
      </w:r>
      <w:r w:rsidR="007B420B" w:rsidRPr="00A32A19">
        <w:rPr>
          <w:i/>
          <w:iCs/>
          <w:lang w:val="en-US"/>
        </w:rPr>
        <w:tab/>
      </w:r>
      <w:r w:rsidR="007B420B" w:rsidRPr="00A32A19">
        <w:rPr>
          <w:i/>
          <w:iCs/>
          <w:lang w:val="en-US"/>
        </w:rPr>
        <w:tab/>
      </w:r>
      <w:r w:rsidR="007B420B" w:rsidRPr="00A32A19">
        <w:rPr>
          <w:i/>
          <w:iCs/>
          <w:lang w:val="en-US"/>
        </w:rPr>
        <w:tab/>
      </w:r>
      <w:r w:rsidRPr="00D77886">
        <w:t>(</w:t>
      </w:r>
      <w:proofErr w:type="spellStart"/>
      <w:r w:rsidRPr="00D77886">
        <w:t>Ziglar</w:t>
      </w:r>
      <w:proofErr w:type="spellEnd"/>
      <w:r w:rsidRPr="00D77886">
        <w:t>, 2020)</w:t>
      </w:r>
    </w:p>
    <w:p w:rsidR="00E355FB" w:rsidRPr="00D77886" w:rsidRDefault="00E355FB" w:rsidP="00D77886">
      <w:pPr>
        <w:pStyle w:val="CorpoTexto"/>
        <w:rPr>
          <w:i/>
          <w:iCs/>
        </w:rPr>
      </w:pPr>
    </w:p>
    <w:p w:rsidR="00DC11BE" w:rsidRPr="00D77886" w:rsidRDefault="00DC11BE" w:rsidP="00D77886">
      <w:pPr>
        <w:pStyle w:val="CorpoTexto"/>
      </w:pPr>
      <w:r w:rsidRPr="00D77886">
        <w:t>O conceito de motivação não tem sido consensual entre os autores ao longo dos tempos. Desde ser o impulsionador do comportamento (</w:t>
      </w:r>
      <w:proofErr w:type="spellStart"/>
      <w:r w:rsidRPr="00D77886">
        <w:t>Berlyne</w:t>
      </w:r>
      <w:proofErr w:type="spellEnd"/>
      <w:r w:rsidRPr="00D77886">
        <w:t xml:space="preserve">, </w:t>
      </w:r>
      <w:proofErr w:type="spellStart"/>
      <w:r w:rsidRPr="00D77886">
        <w:t>Craw</w:t>
      </w:r>
      <w:proofErr w:type="spellEnd"/>
      <w:r w:rsidRPr="00D77886">
        <w:t xml:space="preserve">, </w:t>
      </w:r>
      <w:proofErr w:type="spellStart"/>
      <w:r w:rsidRPr="00D77886">
        <w:t>Salapatek</w:t>
      </w:r>
      <w:proofErr w:type="spellEnd"/>
      <w:r w:rsidRPr="00D77886">
        <w:t xml:space="preserve">, &amp; Lewis, 1963), à </w:t>
      </w:r>
      <w:r w:rsidRPr="00D77886">
        <w:lastRenderedPageBreak/>
        <w:t>propensão intencional para o comportamento com o intuito de adquirir carências não satisfeitas (</w:t>
      </w:r>
      <w:proofErr w:type="spellStart"/>
      <w:r w:rsidRPr="00D77886">
        <w:t>Buford</w:t>
      </w:r>
      <w:proofErr w:type="spellEnd"/>
      <w:r w:rsidRPr="00D77886">
        <w:t xml:space="preserve">, </w:t>
      </w:r>
      <w:proofErr w:type="spellStart"/>
      <w:r w:rsidRPr="00D77886">
        <w:t>Bedeian</w:t>
      </w:r>
      <w:proofErr w:type="spellEnd"/>
      <w:r w:rsidRPr="00D77886">
        <w:t xml:space="preserve">, &amp; </w:t>
      </w:r>
      <w:proofErr w:type="spellStart"/>
      <w:r w:rsidRPr="00D77886">
        <w:t>Lindner</w:t>
      </w:r>
      <w:proofErr w:type="spellEnd"/>
      <w:r w:rsidRPr="00D77886">
        <w:t>, 1995), ao entusiasmo e perseverança proveniente de forças internas e externas do indivíduo com o intuito de percorrer determinada trajetória de atuação (</w:t>
      </w:r>
      <w:proofErr w:type="spellStart"/>
      <w:r w:rsidRPr="00D77886">
        <w:t>Daft</w:t>
      </w:r>
      <w:proofErr w:type="spellEnd"/>
      <w:r w:rsidRPr="00D77886">
        <w:t>, 2014).</w:t>
      </w:r>
    </w:p>
    <w:p w:rsidR="00DC11BE" w:rsidRPr="00D77886" w:rsidRDefault="00DC11BE" w:rsidP="00D77886">
      <w:pPr>
        <w:pStyle w:val="CorpoTexto"/>
      </w:pPr>
      <w:r w:rsidRPr="00D77886">
        <w:t xml:space="preserve">Apesar de significados bastante diferentes, as definições não são contraditórias e todas as ideologias admitem que a motivação se trata de um ímpeto, um sentimento que impulsiona a forma de ação com o intuito de alcançar determinados objetivos. A literatura sobre a especialidade admite que o que leva um indivíduo a exercer uma determinada atividade, o que o leva a escolher entre uma ou outra ação, a intensidade com que o faz e durante quanto tempo são aspetos comuns e presentes na maior parte das definições de motivação (Gomes &amp; Borba, 2011). </w:t>
      </w:r>
    </w:p>
    <w:p w:rsidR="00DC11BE" w:rsidRPr="00D77886" w:rsidRDefault="00DC11BE" w:rsidP="00D77886">
      <w:pPr>
        <w:pStyle w:val="CorpoTexto"/>
      </w:pPr>
      <w:r w:rsidRPr="00D77886">
        <w:t>O conceito de motivação pode ainda ser diferenciado relativamente ao seu carácter interno ou externo, ou seja, se tem um</w:t>
      </w:r>
      <w:r w:rsidR="00095BC8" w:rsidRPr="00D77886">
        <w:t>a</w:t>
      </w:r>
      <w:r w:rsidRPr="00D77886">
        <w:t xml:space="preserve"> índole intrínseca, referente ao indivíduo, ou se, por outro lado, tem uma natureza extrínseca, respeitante ao meio envolvente (</w:t>
      </w:r>
      <w:proofErr w:type="spellStart"/>
      <w:r w:rsidRPr="00D77886">
        <w:t>Deci</w:t>
      </w:r>
      <w:proofErr w:type="spellEnd"/>
      <w:r w:rsidRPr="00D77886">
        <w:t xml:space="preserve"> &amp; </w:t>
      </w:r>
      <w:proofErr w:type="spellStart"/>
      <w:r w:rsidRPr="00D77886">
        <w:t>Ryan</w:t>
      </w:r>
      <w:proofErr w:type="spellEnd"/>
      <w:r w:rsidRPr="00D77886">
        <w:t>, 1985).</w:t>
      </w:r>
    </w:p>
    <w:p w:rsidR="00DC11BE" w:rsidRPr="00D77886" w:rsidRDefault="00DC11BE" w:rsidP="00D77886">
      <w:pPr>
        <w:pStyle w:val="CorpoTexto"/>
      </w:pPr>
      <w:r w:rsidRPr="00D77886">
        <w:t>A maneira de ser, gostos e interesses são fatores internos, individuais e que originam a motivação intrínseca. Uma vez que a tarefa realizada, aqui, é representativa de um interesse para o indivíduo, é alguma coisa de que ele gosta ou que se relaciona com a maneira de ser do sujeito, não há a necessidade de haver algum tipo de compensação ou recompensa.</w:t>
      </w:r>
    </w:p>
    <w:p w:rsidR="00DC11BE" w:rsidRPr="00D77886" w:rsidRDefault="00DC11BE" w:rsidP="00D77886">
      <w:pPr>
        <w:pStyle w:val="CorpoTexto"/>
      </w:pPr>
      <w:r w:rsidRPr="00D77886">
        <w:t>O salário, benefícios, promoções, são, por sua vez, fatores que têm origem externa ao indivíduo e são, por isso, considerados motivação extrínseca. Neste caso a tarefa realizada tem inerente outro objetivo que não o da própria tarefa, o sujeito realiza a atividade com a finalidade de ser de alguma forma recompensado ou, em última instância, de não ser castigado (</w:t>
      </w:r>
      <w:proofErr w:type="spellStart"/>
      <w:r w:rsidRPr="00D77886">
        <w:t>Ryan</w:t>
      </w:r>
      <w:proofErr w:type="spellEnd"/>
      <w:r w:rsidRPr="00D77886">
        <w:t xml:space="preserve"> &amp; </w:t>
      </w:r>
      <w:proofErr w:type="spellStart"/>
      <w:r w:rsidRPr="00D77886">
        <w:t>Deci</w:t>
      </w:r>
      <w:proofErr w:type="spellEnd"/>
      <w:r w:rsidRPr="00D77886">
        <w:t>, 2000).</w:t>
      </w:r>
    </w:p>
    <w:p w:rsidR="00DC11BE" w:rsidRPr="0094770E" w:rsidRDefault="00DC11BE" w:rsidP="00D77886">
      <w:pPr>
        <w:pStyle w:val="CorpoTexto"/>
        <w:rPr>
          <w:b/>
        </w:rPr>
      </w:pPr>
      <w:r w:rsidRPr="00D77886">
        <w:t xml:space="preserve">O que influencia as pessoas a terem determinado comportamento e todo o processo que estimula os indivíduos a agirem de determinada maneira está relacionado com a motivação. Como já referido, esta motivação pode ter </w:t>
      </w:r>
      <w:r w:rsidR="00095BC8" w:rsidRPr="00D77886">
        <w:t>uma vertente mais individual,</w:t>
      </w:r>
      <w:r w:rsidRPr="00D77886">
        <w:t xml:space="preserve"> contudo, mesmo</w:t>
      </w:r>
      <w:r w:rsidRPr="0094770E">
        <w:t xml:space="preserve"> esta poderá ser manipulada por causas exteriores como, por exemplo, o ambiente da organização </w:t>
      </w:r>
      <w:r w:rsidRPr="0094770E">
        <w:rPr>
          <w:noProof/>
        </w:rPr>
        <w:t>(Chiavenato, 1999)</w:t>
      </w:r>
      <w:r w:rsidRPr="0094770E">
        <w:t>.</w:t>
      </w:r>
    </w:p>
    <w:p w:rsidR="00DC11BE" w:rsidRPr="0094770E" w:rsidRDefault="00DC11BE" w:rsidP="00D77886">
      <w:pPr>
        <w:pStyle w:val="CorpoTexto"/>
        <w:rPr>
          <w:b/>
        </w:rPr>
      </w:pPr>
      <w:r w:rsidRPr="0094770E">
        <w:t xml:space="preserve">Com a intenção de prever o comportamento, inúmeras teorias foram desenvolvidas na tentativa de explicar a motivação </w:t>
      </w:r>
      <w:r w:rsidRPr="0094770E">
        <w:rPr>
          <w:noProof/>
        </w:rPr>
        <w:t>(Fabiani, Gabella, Monticone, &amp; Schiffer, 1965)</w:t>
      </w:r>
      <w:r w:rsidRPr="0094770E">
        <w:t xml:space="preserve">. Foi, assim, possível concluir que é na interligação entre o prisma mais intrínseco da motivação e os </w:t>
      </w:r>
      <w:r w:rsidRPr="0094770E">
        <w:lastRenderedPageBreak/>
        <w:t xml:space="preserve">fatores externos que se encontra o busílis da questão teórica sobre a motivação. Dentro desta perspetiva é possível considerar cinco abordagens: comportamentalista, humanista, cognitiva, sociocultural e cognitivo-social </w:t>
      </w:r>
      <w:r w:rsidRPr="0094770E">
        <w:rPr>
          <w:noProof/>
        </w:rPr>
        <w:t>(Woolfolk, 2010)</w:t>
      </w:r>
      <w:r w:rsidRPr="0094770E">
        <w:t>.</w:t>
      </w:r>
    </w:p>
    <w:p w:rsidR="00DC11BE" w:rsidRPr="0094770E" w:rsidRDefault="00DC11BE" w:rsidP="00D77886">
      <w:pPr>
        <w:pStyle w:val="CorpoTexto"/>
        <w:rPr>
          <w:b/>
        </w:rPr>
      </w:pPr>
      <w:r w:rsidRPr="0094770E">
        <w:t xml:space="preserve">Teorias como a de </w:t>
      </w:r>
      <w:proofErr w:type="spellStart"/>
      <w:r w:rsidRPr="0094770E">
        <w:t>Thorndike</w:t>
      </w:r>
      <w:proofErr w:type="spellEnd"/>
      <w:r w:rsidRPr="0094770E">
        <w:t>, Watson e Skinner são orientadas para uma abordagem comportamentalista, defendendo que a motivação não é mais que um conjunto de aspetos externos que vão influenciar o indivíduo e o seu comportamento.</w:t>
      </w:r>
    </w:p>
    <w:p w:rsidR="00DC11BE" w:rsidRPr="0094770E" w:rsidRDefault="00DC11BE" w:rsidP="00D77886">
      <w:pPr>
        <w:pStyle w:val="CorpoTexto"/>
        <w:rPr>
          <w:b/>
        </w:rPr>
      </w:pPr>
      <w:r w:rsidRPr="0094770E">
        <w:t xml:space="preserve">As abordagens humanistas, cognitiva e sociocultural, por sua parte, seguem uma outra perspetiva, onde é defendido que os indivíduos são motivados por fatores internos (Teoria da Hierarquia das Necessidades de </w:t>
      </w:r>
      <w:proofErr w:type="spellStart"/>
      <w:r w:rsidRPr="0094770E">
        <w:t>Maslow</w:t>
      </w:r>
      <w:proofErr w:type="spellEnd"/>
      <w:r w:rsidRPr="0094770E">
        <w:t xml:space="preserve">, Teoria da Autodeterminação de </w:t>
      </w:r>
      <w:proofErr w:type="spellStart"/>
      <w:r w:rsidRPr="0094770E">
        <w:t>Deci</w:t>
      </w:r>
      <w:proofErr w:type="spellEnd"/>
      <w:r w:rsidRPr="0094770E">
        <w:t xml:space="preserve"> e </w:t>
      </w:r>
      <w:proofErr w:type="spellStart"/>
      <w:r w:rsidRPr="0094770E">
        <w:t>Ryan</w:t>
      </w:r>
      <w:proofErr w:type="spellEnd"/>
      <w:r w:rsidRPr="0094770E">
        <w:t xml:space="preserve">, Teoria Cognitivo-Social de </w:t>
      </w:r>
      <w:proofErr w:type="spellStart"/>
      <w:r w:rsidRPr="0094770E">
        <w:t>Albert</w:t>
      </w:r>
      <w:proofErr w:type="spellEnd"/>
      <w:r w:rsidRPr="0094770E">
        <w:t xml:space="preserve"> </w:t>
      </w:r>
      <w:proofErr w:type="spellStart"/>
      <w:r w:rsidRPr="0094770E">
        <w:t>Bandura</w:t>
      </w:r>
      <w:proofErr w:type="spellEnd"/>
      <w:r w:rsidRPr="0094770E">
        <w:t>, entre outras).</w:t>
      </w:r>
    </w:p>
    <w:p w:rsidR="00DC11BE" w:rsidRPr="0094770E" w:rsidRDefault="00DC11BE" w:rsidP="00D77886">
      <w:pPr>
        <w:pStyle w:val="CorpoTexto"/>
        <w:rPr>
          <w:b/>
        </w:rPr>
      </w:pPr>
      <w:r w:rsidRPr="0094770E">
        <w:t>Partindo do prossuposto que a motivação é a junção de determinados fatores que influenciam a atitude das pessoas, também no setor profissional os indivíduos podem ver a sua conduta influenciada.</w:t>
      </w:r>
    </w:p>
    <w:p w:rsidR="00DC11BE" w:rsidRPr="0094770E" w:rsidRDefault="00DC11BE" w:rsidP="00D77886">
      <w:pPr>
        <w:pStyle w:val="CorpoTexto"/>
        <w:rPr>
          <w:b/>
        </w:rPr>
      </w:pPr>
      <w:r w:rsidRPr="0094770E">
        <w:t xml:space="preserve">Numa empresa, a motivação é inserida no setor dos recursos humanos e é considerada um fator determinante para o bom funcionamento da organização uma vez que os níveis motivacionais dos seus funcionários vão traduzir-se no seu desempenho e, consequente, desempenho organizacional </w:t>
      </w:r>
      <w:r w:rsidRPr="0094770E">
        <w:rPr>
          <w:noProof/>
        </w:rPr>
        <w:t>(Steers &amp; Porter, 1991)</w:t>
      </w:r>
      <w:r w:rsidRPr="0094770E">
        <w:t>.</w:t>
      </w:r>
    </w:p>
    <w:p w:rsidR="00DC11BE" w:rsidRPr="0094770E" w:rsidRDefault="00DC11BE" w:rsidP="00D77886">
      <w:pPr>
        <w:pStyle w:val="CorpoTexto"/>
        <w:rPr>
          <w:b/>
        </w:rPr>
      </w:pPr>
      <w:r w:rsidRPr="0094770E">
        <w:t xml:space="preserve">No caso do pessoal de contacto, se altamente motivados, são capazes de demonstrar um esforço imenso que os coloca no centro da excelência do serviço </w:t>
      </w:r>
      <w:r w:rsidRPr="0094770E">
        <w:rPr>
          <w:noProof/>
        </w:rPr>
        <w:t>(Heracleous &amp; Wirtz, 2010)</w:t>
      </w:r>
      <w:r w:rsidRPr="0094770E">
        <w:t xml:space="preserve">, afetando diretamente a sua produtividade operacional </w:t>
      </w:r>
      <w:r w:rsidRPr="0094770E">
        <w:rPr>
          <w:noProof/>
        </w:rPr>
        <w:t>(Heskett et al., 2015)</w:t>
      </w:r>
      <w:r w:rsidRPr="0094770E">
        <w:t>.</w:t>
      </w:r>
    </w:p>
    <w:p w:rsidR="00DC11BE" w:rsidRPr="0094770E" w:rsidRDefault="00DC11BE" w:rsidP="00D77886">
      <w:pPr>
        <w:pStyle w:val="CorpoTexto"/>
        <w:rPr>
          <w:b/>
        </w:rPr>
      </w:pPr>
      <w:r w:rsidRPr="0094770E">
        <w:t xml:space="preserve">Continuando na perspetiva organizacional, podemos dividir as teorias da motivação em teorias de conteúdo e teorias de processo </w:t>
      </w:r>
      <w:r w:rsidRPr="0094770E">
        <w:rPr>
          <w:noProof/>
        </w:rPr>
        <w:t>(Neves, 2011; Tribett &amp; Rush, 1984)</w:t>
      </w:r>
      <w:r w:rsidRPr="0094770E">
        <w:t xml:space="preserve">. </w:t>
      </w:r>
    </w:p>
    <w:p w:rsidR="00DC11BE" w:rsidRPr="0094770E" w:rsidRDefault="00DC11BE" w:rsidP="00D77886">
      <w:pPr>
        <w:pStyle w:val="CorpoTexto"/>
        <w:rPr>
          <w:b/>
        </w:rPr>
      </w:pPr>
      <w:r w:rsidRPr="0094770E">
        <w:t xml:space="preserve">Por um lado, as teorias de conteúdo analisam a relação entre os agentes internos e os comportamentos, tentando compreender o que motiva os colaboradores, explicam a motivação humana a partir das necessidades do indivíduo, garantindo que a conduta é direcionada para a sua satisfação </w:t>
      </w:r>
      <w:r w:rsidRPr="0094770E">
        <w:rPr>
          <w:noProof/>
        </w:rPr>
        <w:t>(Rego, 2000)</w:t>
      </w:r>
      <w:r w:rsidRPr="0094770E">
        <w:t xml:space="preserve">. Pressupõe-se que os indivíduos têm necessidades interiores (origem da força para o comportamento) que necessitam de satisfazer e visa percecionar as necessidades das pessoas e o que as impele para agir </w:t>
      </w:r>
      <w:r w:rsidRPr="0094770E">
        <w:rPr>
          <w:noProof/>
        </w:rPr>
        <w:t>(Neves, 2011)</w:t>
      </w:r>
      <w:r w:rsidRPr="0094770E">
        <w:t>.</w:t>
      </w:r>
    </w:p>
    <w:p w:rsidR="00DC11BE" w:rsidRPr="0094770E" w:rsidRDefault="00DC11BE" w:rsidP="00D77886">
      <w:pPr>
        <w:pStyle w:val="CorpoTexto"/>
        <w:rPr>
          <w:b/>
        </w:rPr>
      </w:pPr>
      <w:r w:rsidRPr="0094770E">
        <w:t>Já as teorias de processo visa</w:t>
      </w:r>
      <w:r w:rsidR="00095BC8">
        <w:t>m</w:t>
      </w:r>
      <w:r w:rsidRPr="0094770E">
        <w:t xml:space="preserve"> a compreensão da razão pela qual os indivíduos ficam motivados, compreendem a motivação como um processo de tomada de decisão onde são implicadas perceções, objetivos, expetativas e metas pessoais </w:t>
      </w:r>
      <w:r w:rsidRPr="0094770E">
        <w:rPr>
          <w:noProof/>
        </w:rPr>
        <w:t>(Rego, 2000)</w:t>
      </w:r>
      <w:r w:rsidRPr="0094770E">
        <w:t xml:space="preserve">. Estas teorias </w:t>
      </w:r>
      <w:r w:rsidRPr="0094770E">
        <w:lastRenderedPageBreak/>
        <w:t xml:space="preserve">consideram que os indivíduos são distintos no que os motiva e que as suas motivações se alteram com o tempo </w:t>
      </w:r>
      <w:r w:rsidRPr="0094770E">
        <w:rPr>
          <w:noProof/>
        </w:rPr>
        <w:t>(Neves, 2011)</w:t>
      </w:r>
      <w:r w:rsidRPr="0094770E">
        <w:t>.</w:t>
      </w:r>
    </w:p>
    <w:p w:rsidR="00DC11BE" w:rsidRPr="0094770E" w:rsidRDefault="00DC11BE" w:rsidP="00D77886">
      <w:pPr>
        <w:pStyle w:val="CorpoTexto"/>
        <w:rPr>
          <w:b/>
        </w:rPr>
      </w:pPr>
      <w:r w:rsidRPr="0094770E">
        <w:t>Nos quadros abaixo (ver Tabela 1, 2, 3 e 4) é apresentado um resumo das principais teorias da motivação humana abordadas.</w:t>
      </w:r>
    </w:p>
    <w:p w:rsidR="00DC11BE" w:rsidRPr="0094770E" w:rsidRDefault="00DC11BE" w:rsidP="00D77886">
      <w:pPr>
        <w:pStyle w:val="CorpoTexto"/>
        <w:rPr>
          <w:b/>
        </w:rPr>
      </w:pPr>
      <w:r w:rsidRPr="0094770E">
        <w:t xml:space="preserve">Das teorias que examinam o que motiva o comportamento humano, o que motiva os indivíduos </w:t>
      </w:r>
      <w:r w:rsidRPr="0094770E">
        <w:rPr>
          <w:noProof/>
        </w:rPr>
        <w:t>(Rocha, 2010)</w:t>
      </w:r>
      <w:r w:rsidRPr="0094770E">
        <w:t xml:space="preserve"> – teorias de conteúdo – fazem parte a Teoria da Hierarquia das Necessidades de </w:t>
      </w:r>
      <w:proofErr w:type="spellStart"/>
      <w:r w:rsidRPr="0094770E">
        <w:t>Maslow</w:t>
      </w:r>
      <w:proofErr w:type="spellEnd"/>
      <w:r w:rsidRPr="0094770E">
        <w:t xml:space="preserve">, a Teoria dos dois Fatores de </w:t>
      </w:r>
      <w:proofErr w:type="spellStart"/>
      <w:r w:rsidRPr="0094770E">
        <w:t>Herzberg</w:t>
      </w:r>
      <w:proofErr w:type="spellEnd"/>
      <w:r w:rsidRPr="0094770E">
        <w:t xml:space="preserve">, a Teoria das Necessidades de </w:t>
      </w:r>
      <w:proofErr w:type="spellStart"/>
      <w:r w:rsidRPr="0094770E">
        <w:t>McClelland</w:t>
      </w:r>
      <w:proofErr w:type="spellEnd"/>
      <w:r w:rsidRPr="0094770E">
        <w:t xml:space="preserve"> e a Teoria das características da função de </w:t>
      </w:r>
      <w:proofErr w:type="spellStart"/>
      <w:r w:rsidRPr="0094770E">
        <w:t>Hackman</w:t>
      </w:r>
      <w:proofErr w:type="spellEnd"/>
      <w:r w:rsidRPr="0094770E">
        <w:t xml:space="preserve"> e Oldham.</w:t>
      </w:r>
    </w:p>
    <w:p w:rsidR="00DC11BE" w:rsidRPr="0094770E" w:rsidRDefault="00DC11BE" w:rsidP="004E3707">
      <w:pPr>
        <w:pStyle w:val="Legenda"/>
        <w:keepNext/>
        <w:spacing w:after="0"/>
        <w:rPr>
          <w:rFonts w:ascii="Garamond" w:hAnsi="Garamond"/>
          <w:b/>
          <w:i w:val="0"/>
          <w:color w:val="auto"/>
          <w:sz w:val="20"/>
          <w:szCs w:val="20"/>
        </w:rPr>
      </w:pPr>
    </w:p>
    <w:p w:rsidR="00DC11BE" w:rsidRPr="0094770E" w:rsidRDefault="00DC11BE" w:rsidP="00CE0756">
      <w:pPr>
        <w:pStyle w:val="Legenda"/>
        <w:keepNext/>
        <w:spacing w:after="120"/>
        <w:rPr>
          <w:rFonts w:ascii="Garamond" w:hAnsi="Garamond"/>
          <w:i w:val="0"/>
          <w:color w:val="auto"/>
          <w:sz w:val="20"/>
          <w:szCs w:val="20"/>
        </w:rPr>
      </w:pPr>
      <w:bookmarkStart w:id="21" w:name="_Toc46677121"/>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4</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Teorias de Conteúdo Gerais: Teoria de hierarquia das necessidades de </w:t>
      </w:r>
      <w:proofErr w:type="spellStart"/>
      <w:r w:rsidRPr="0094770E">
        <w:rPr>
          <w:rFonts w:ascii="Garamond" w:hAnsi="Garamond"/>
          <w:i w:val="0"/>
          <w:color w:val="auto"/>
          <w:sz w:val="20"/>
          <w:szCs w:val="20"/>
        </w:rPr>
        <w:t>Maslow</w:t>
      </w:r>
      <w:proofErr w:type="spellEnd"/>
      <w:r w:rsidRPr="0094770E">
        <w:rPr>
          <w:rFonts w:ascii="Garamond" w:hAnsi="Garamond"/>
          <w:i w:val="0"/>
          <w:color w:val="auto"/>
          <w:sz w:val="20"/>
          <w:szCs w:val="20"/>
        </w:rPr>
        <w:t xml:space="preserve"> e Teoria dos Motivos de </w:t>
      </w:r>
      <w:proofErr w:type="spellStart"/>
      <w:r w:rsidRPr="0094770E">
        <w:rPr>
          <w:rFonts w:ascii="Garamond" w:hAnsi="Garamond"/>
          <w:i w:val="0"/>
          <w:color w:val="auto"/>
          <w:sz w:val="20"/>
          <w:szCs w:val="20"/>
        </w:rPr>
        <w:t>McClelland</w:t>
      </w:r>
      <w:proofErr w:type="spellEnd"/>
      <w:r w:rsidRPr="0094770E">
        <w:rPr>
          <w:rFonts w:ascii="Garamond" w:hAnsi="Garamond"/>
          <w:i w:val="0"/>
          <w:color w:val="auto"/>
          <w:sz w:val="20"/>
          <w:szCs w:val="20"/>
        </w:rPr>
        <w:t>.</w:t>
      </w:r>
      <w:bookmarkEnd w:id="21"/>
      <w:r w:rsidRPr="0094770E">
        <w:rPr>
          <w:rFonts w:ascii="Garamond" w:hAnsi="Garamond"/>
          <w:i w:val="0"/>
          <w:color w:val="auto"/>
          <w:sz w:val="20"/>
          <w:szCs w:val="20"/>
        </w:rPr>
        <w:t xml:space="preserve"> </w:t>
      </w:r>
    </w:p>
    <w:tbl>
      <w:tblPr>
        <w:tblStyle w:val="TabelacomGrelha"/>
        <w:tblpPr w:leftFromText="141" w:rightFromText="141" w:vertAnchor="text" w:horzAnchor="margin" w:tblpY="105"/>
        <w:tblW w:w="0" w:type="auto"/>
        <w:tblLook w:val="04A0" w:firstRow="1" w:lastRow="0" w:firstColumn="1" w:lastColumn="0" w:noHBand="0" w:noVBand="1"/>
      </w:tblPr>
      <w:tblGrid>
        <w:gridCol w:w="4246"/>
        <w:gridCol w:w="4247"/>
      </w:tblGrid>
      <w:tr w:rsidR="00DC11BE" w:rsidRPr="0094770E" w:rsidTr="004E3707">
        <w:tc>
          <w:tcPr>
            <w:tcW w:w="8493" w:type="dxa"/>
            <w:gridSpan w:val="2"/>
          </w:tcPr>
          <w:p w:rsidR="00DC11BE" w:rsidRPr="0094770E" w:rsidRDefault="00DC11BE" w:rsidP="00E355FB">
            <w:pPr>
              <w:pStyle w:val="CTITULO"/>
              <w:spacing w:before="120" w:after="120" w:line="360" w:lineRule="auto"/>
              <w:jc w:val="center"/>
              <w:rPr>
                <w:rFonts w:ascii="Garamond" w:hAnsi="Garamond"/>
                <w:b w:val="0"/>
              </w:rPr>
            </w:pPr>
            <w:r w:rsidRPr="0094770E">
              <w:rPr>
                <w:rFonts w:ascii="Garamond" w:eastAsia="Times New Roman" w:hAnsi="Garamond"/>
                <w:bCs/>
                <w:color w:val="000000" w:themeColor="text1"/>
                <w:lang w:eastAsia="pt-PT"/>
              </w:rPr>
              <w:t>Teorias de Conteúdo</w:t>
            </w:r>
          </w:p>
        </w:tc>
      </w:tr>
      <w:tr w:rsidR="00DC11BE" w:rsidRPr="0094770E" w:rsidTr="004E3707">
        <w:tc>
          <w:tcPr>
            <w:tcW w:w="8493" w:type="dxa"/>
            <w:gridSpan w:val="2"/>
          </w:tcPr>
          <w:p w:rsidR="00DC11BE" w:rsidRPr="0094770E" w:rsidRDefault="00DC11BE" w:rsidP="00E355FB">
            <w:pPr>
              <w:pStyle w:val="CTITULO"/>
              <w:spacing w:before="120" w:after="120" w:line="360" w:lineRule="auto"/>
              <w:jc w:val="center"/>
              <w:rPr>
                <w:rFonts w:ascii="Garamond" w:hAnsi="Garamond"/>
                <w:b w:val="0"/>
              </w:rPr>
            </w:pPr>
            <w:r w:rsidRPr="0094770E">
              <w:rPr>
                <w:rFonts w:ascii="Garamond" w:eastAsia="Times New Roman" w:hAnsi="Garamond"/>
                <w:bCs/>
                <w:color w:val="000000"/>
                <w:lang w:eastAsia="pt-PT"/>
              </w:rPr>
              <w:t>Gerais</w:t>
            </w:r>
          </w:p>
        </w:tc>
      </w:tr>
      <w:tr w:rsidR="00DC11BE" w:rsidRPr="0094770E" w:rsidTr="004E3707">
        <w:tc>
          <w:tcPr>
            <w:tcW w:w="4246" w:type="dxa"/>
          </w:tcPr>
          <w:p w:rsidR="00DC11BE" w:rsidRPr="0094770E" w:rsidRDefault="00DC11BE" w:rsidP="00E355FB">
            <w:pPr>
              <w:pStyle w:val="CTITULO"/>
              <w:spacing w:before="120" w:after="120" w:line="360" w:lineRule="auto"/>
              <w:jc w:val="center"/>
              <w:rPr>
                <w:rFonts w:ascii="Garamond" w:hAnsi="Garamond"/>
                <w:b w:val="0"/>
                <w:color w:val="000000" w:themeColor="text1"/>
              </w:rPr>
            </w:pPr>
            <w:r w:rsidRPr="0094770E">
              <w:rPr>
                <w:rFonts w:ascii="Garamond" w:eastAsia="Times New Roman" w:hAnsi="Garamond"/>
                <w:color w:val="000000" w:themeColor="text1"/>
                <w:lang w:eastAsia="pt-PT"/>
              </w:rPr>
              <w:t xml:space="preserve">Teoria de hierarquia das necessidades de </w:t>
            </w:r>
            <w:proofErr w:type="spellStart"/>
            <w:r w:rsidRPr="0094770E">
              <w:rPr>
                <w:rFonts w:ascii="Garamond" w:eastAsia="Times New Roman" w:hAnsi="Garamond"/>
                <w:color w:val="000000" w:themeColor="text1"/>
                <w:lang w:eastAsia="pt-PT"/>
              </w:rPr>
              <w:t>Maslow</w:t>
            </w:r>
            <w:proofErr w:type="spellEnd"/>
            <w:r w:rsidRPr="0094770E">
              <w:rPr>
                <w:rFonts w:ascii="Garamond" w:eastAsia="Times New Roman" w:hAnsi="Garamond"/>
                <w:color w:val="000000" w:themeColor="text1"/>
                <w:lang w:eastAsia="pt-PT"/>
              </w:rPr>
              <w:t xml:space="preserve"> (1943)</w:t>
            </w:r>
          </w:p>
        </w:tc>
        <w:tc>
          <w:tcPr>
            <w:tcW w:w="4247" w:type="dxa"/>
          </w:tcPr>
          <w:p w:rsidR="00DC11BE" w:rsidRPr="0094770E" w:rsidRDefault="00DC11BE" w:rsidP="00E355FB">
            <w:pPr>
              <w:pStyle w:val="CTITULO"/>
              <w:spacing w:before="120" w:after="120" w:line="360" w:lineRule="auto"/>
              <w:jc w:val="center"/>
              <w:rPr>
                <w:rFonts w:ascii="Garamond" w:hAnsi="Garamond"/>
                <w:b w:val="0"/>
                <w:color w:val="000000" w:themeColor="text1"/>
              </w:rPr>
            </w:pPr>
            <w:r w:rsidRPr="0094770E">
              <w:rPr>
                <w:rFonts w:ascii="Garamond" w:eastAsia="Times New Roman" w:hAnsi="Garamond"/>
                <w:color w:val="000000" w:themeColor="text1"/>
                <w:lang w:eastAsia="pt-PT"/>
              </w:rPr>
              <w:t xml:space="preserve">Teoria dos motivos de </w:t>
            </w:r>
            <w:proofErr w:type="spellStart"/>
            <w:r w:rsidRPr="0094770E">
              <w:rPr>
                <w:rFonts w:ascii="Garamond" w:eastAsia="Times New Roman" w:hAnsi="Garamond"/>
                <w:color w:val="000000" w:themeColor="text1"/>
                <w:lang w:eastAsia="pt-PT"/>
              </w:rPr>
              <w:t>McClelland</w:t>
            </w:r>
            <w:proofErr w:type="spellEnd"/>
            <w:r w:rsidRPr="0094770E">
              <w:rPr>
                <w:rFonts w:ascii="Garamond" w:eastAsia="Times New Roman" w:hAnsi="Garamond"/>
                <w:color w:val="000000" w:themeColor="text1"/>
                <w:lang w:eastAsia="pt-PT"/>
              </w:rPr>
              <w:t xml:space="preserve"> (1987)</w:t>
            </w:r>
          </w:p>
        </w:tc>
      </w:tr>
      <w:tr w:rsidR="00DC11BE" w:rsidRPr="0094770E" w:rsidTr="004E3707">
        <w:tc>
          <w:tcPr>
            <w:tcW w:w="4246" w:type="dxa"/>
          </w:tcPr>
          <w:p w:rsidR="00DC11BE" w:rsidRPr="0094770E" w:rsidRDefault="00DC11BE" w:rsidP="00E355FB">
            <w:pPr>
              <w:pStyle w:val="CTITULO"/>
              <w:spacing w:before="120" w:after="120" w:line="360" w:lineRule="auto"/>
              <w:jc w:val="both"/>
              <w:rPr>
                <w:rFonts w:ascii="Garamond" w:eastAsia="Times New Roman" w:hAnsi="Garamond"/>
                <w:b w:val="0"/>
                <w:color w:val="000000"/>
                <w:lang w:eastAsia="pt-PT"/>
              </w:rPr>
            </w:pPr>
            <w:r w:rsidRPr="0094770E">
              <w:rPr>
                <w:rFonts w:ascii="Garamond" w:eastAsia="Times New Roman" w:hAnsi="Garamond"/>
                <w:b w:val="0"/>
                <w:color w:val="000000"/>
                <w:lang w:eastAsia="pt-PT"/>
              </w:rPr>
              <w:t>Os indivíduos são motivados a satisfazer todas as suas necessidades humanas organizadas hierarquicamente por ordem de importância:</w:t>
            </w:r>
          </w:p>
          <w:p w:rsidR="00DC11BE" w:rsidRPr="0094770E" w:rsidRDefault="00DC11BE" w:rsidP="00E355FB">
            <w:pPr>
              <w:pStyle w:val="CTITULO"/>
              <w:spacing w:before="120" w:after="120" w:line="360" w:lineRule="auto"/>
              <w:jc w:val="both"/>
              <w:rPr>
                <w:rFonts w:ascii="Garamond" w:eastAsia="Times New Roman" w:hAnsi="Garamond"/>
                <w:b w:val="0"/>
                <w:color w:val="000000"/>
                <w:lang w:eastAsia="pt-PT"/>
              </w:rPr>
            </w:pPr>
            <w:r w:rsidRPr="0094770E">
              <w:rPr>
                <w:rFonts w:ascii="Garamond" w:eastAsia="Times New Roman" w:hAnsi="Garamond"/>
                <w:b w:val="0"/>
                <w:color w:val="000000"/>
                <w:lang w:eastAsia="pt-PT"/>
              </w:rPr>
              <w:t xml:space="preserve">Fisiológicas, Segurança, Social, Estima e </w:t>
            </w:r>
            <w:proofErr w:type="spellStart"/>
            <w:r w:rsidRPr="0094770E">
              <w:rPr>
                <w:rFonts w:ascii="Garamond" w:eastAsia="Times New Roman" w:hAnsi="Garamond"/>
                <w:b w:val="0"/>
                <w:color w:val="000000"/>
                <w:lang w:eastAsia="pt-PT"/>
              </w:rPr>
              <w:t>Auto-realização</w:t>
            </w:r>
            <w:proofErr w:type="spellEnd"/>
            <w:r w:rsidRPr="0094770E">
              <w:rPr>
                <w:rFonts w:ascii="Garamond" w:eastAsia="Times New Roman" w:hAnsi="Garamond"/>
                <w:b w:val="0"/>
                <w:color w:val="000000"/>
                <w:lang w:eastAsia="pt-PT"/>
              </w:rPr>
              <w:t>. As necessidades de nível superior só serão satisfeitas depois de se encontrarem satisfeitas as do nível imediatamente inferior e, tendo em conta que estas só são geradoras de motivação enquanto não são satisfeitas, uma vez satisfeito um nível, o nível seguinte passa a ser determinante do comportamento (</w:t>
            </w:r>
            <w:proofErr w:type="spellStart"/>
            <w:r w:rsidRPr="0094770E">
              <w:rPr>
                <w:rFonts w:ascii="Garamond" w:eastAsia="Times New Roman" w:hAnsi="Garamond"/>
                <w:b w:val="0"/>
                <w:color w:val="000000"/>
                <w:lang w:eastAsia="pt-PT"/>
              </w:rPr>
              <w:t>Bradutanu</w:t>
            </w:r>
            <w:proofErr w:type="spellEnd"/>
            <w:r w:rsidRPr="0094770E">
              <w:rPr>
                <w:rFonts w:ascii="Garamond" w:eastAsia="Times New Roman" w:hAnsi="Garamond"/>
                <w:b w:val="0"/>
                <w:color w:val="000000"/>
                <w:lang w:eastAsia="pt-PT"/>
              </w:rPr>
              <w:t>, 2011).</w:t>
            </w:r>
          </w:p>
        </w:tc>
        <w:tc>
          <w:tcPr>
            <w:tcW w:w="4247" w:type="dxa"/>
          </w:tcPr>
          <w:p w:rsidR="00DC11BE" w:rsidRPr="0094770E" w:rsidRDefault="00DC11BE" w:rsidP="00E355FB">
            <w:pPr>
              <w:pStyle w:val="CTITULO"/>
              <w:keepNext/>
              <w:spacing w:before="120" w:after="120" w:line="360" w:lineRule="auto"/>
              <w:jc w:val="both"/>
              <w:rPr>
                <w:rFonts w:ascii="Garamond" w:hAnsi="Garamond"/>
                <w:b w:val="0"/>
              </w:rPr>
            </w:pPr>
            <w:r w:rsidRPr="0094770E">
              <w:rPr>
                <w:rFonts w:ascii="Garamond" w:eastAsia="Times New Roman" w:hAnsi="Garamond"/>
                <w:b w:val="0"/>
                <w:color w:val="000000"/>
                <w:lang w:eastAsia="pt-PT"/>
              </w:rPr>
              <w:t>O comportamento de todos os indivíduos é motivado por três necessidades internas: sucesso, afiliação e poder, predominando uma em relação às restantes (</w:t>
            </w:r>
            <w:proofErr w:type="spellStart"/>
            <w:r w:rsidRPr="0094770E">
              <w:rPr>
                <w:rFonts w:ascii="Garamond" w:eastAsia="Times New Roman" w:hAnsi="Garamond"/>
                <w:b w:val="0"/>
                <w:color w:val="000000"/>
                <w:lang w:eastAsia="pt-PT"/>
              </w:rPr>
              <w:t>McClelland</w:t>
            </w:r>
            <w:proofErr w:type="spellEnd"/>
            <w:r w:rsidRPr="0094770E">
              <w:rPr>
                <w:rFonts w:ascii="Garamond" w:eastAsia="Times New Roman" w:hAnsi="Garamond"/>
                <w:b w:val="0"/>
                <w:color w:val="000000"/>
                <w:lang w:eastAsia="pt-PT"/>
              </w:rPr>
              <w:t xml:space="preserve">, 1989; Rego, 2000; Cunha </w:t>
            </w:r>
            <w:proofErr w:type="spellStart"/>
            <w:r w:rsidRPr="0094770E">
              <w:rPr>
                <w:rFonts w:ascii="Garamond" w:eastAsia="Times New Roman" w:hAnsi="Garamond"/>
                <w:b w:val="0"/>
                <w:color w:val="000000"/>
                <w:lang w:eastAsia="pt-PT"/>
              </w:rPr>
              <w:t>et</w:t>
            </w:r>
            <w:proofErr w:type="spellEnd"/>
            <w:r w:rsidRPr="0094770E">
              <w:rPr>
                <w:rFonts w:ascii="Garamond" w:eastAsia="Times New Roman" w:hAnsi="Garamond"/>
                <w:b w:val="0"/>
                <w:color w:val="000000"/>
                <w:lang w:eastAsia="pt-PT"/>
              </w:rPr>
              <w:t xml:space="preserve"> al, 2014).</w:t>
            </w:r>
          </w:p>
        </w:tc>
      </w:tr>
    </w:tbl>
    <w:p w:rsidR="00E355FB" w:rsidRDefault="00DC11BE" w:rsidP="00E355FB">
      <w:pPr>
        <w:spacing w:before="120" w:after="120" w:line="240" w:lineRule="auto"/>
        <w:rPr>
          <w:rFonts w:ascii="Garamond" w:hAnsi="Garamond"/>
          <w:b/>
          <w:i/>
          <w:sz w:val="20"/>
          <w:szCs w:val="20"/>
        </w:rPr>
      </w:pPr>
      <w:r w:rsidRPr="0094770E">
        <w:t xml:space="preserve"> </w:t>
      </w:r>
      <w:r w:rsidR="00CE0756" w:rsidRPr="00CE0756">
        <w:rPr>
          <w:rFonts w:ascii="Garamond" w:hAnsi="Garamond"/>
          <w:b/>
          <w:iCs/>
          <w:sz w:val="20"/>
          <w:szCs w:val="20"/>
        </w:rPr>
        <w:t>Fonte:</w:t>
      </w:r>
      <w:r w:rsidR="00CE0756" w:rsidRPr="00CE0756">
        <w:rPr>
          <w:rFonts w:ascii="Garamond" w:hAnsi="Garamond"/>
          <w:iCs/>
          <w:sz w:val="20"/>
          <w:szCs w:val="20"/>
        </w:rPr>
        <w:t xml:space="preserve"> Elaboração própria.</w:t>
      </w:r>
    </w:p>
    <w:p w:rsidR="00DC11BE" w:rsidRPr="00E355FB" w:rsidRDefault="00DC11BE" w:rsidP="00E355FB">
      <w:pPr>
        <w:spacing w:before="120" w:after="120" w:line="240" w:lineRule="auto"/>
        <w:rPr>
          <w:rFonts w:ascii="Garamond" w:hAnsi="Garamond"/>
          <w:iCs/>
          <w:sz w:val="20"/>
          <w:szCs w:val="20"/>
        </w:rPr>
      </w:pPr>
      <w:bookmarkStart w:id="22" w:name="_Toc46677122"/>
      <w:r w:rsidRPr="00E355FB">
        <w:rPr>
          <w:rFonts w:ascii="Garamond" w:hAnsi="Garamond"/>
          <w:b/>
          <w:iCs/>
          <w:sz w:val="20"/>
          <w:szCs w:val="20"/>
        </w:rPr>
        <w:lastRenderedPageBreak/>
        <w:t xml:space="preserve">Tabela </w:t>
      </w:r>
      <w:r w:rsidRPr="00E355FB">
        <w:rPr>
          <w:rFonts w:ascii="Garamond" w:hAnsi="Garamond"/>
          <w:b/>
          <w:iCs/>
          <w:sz w:val="20"/>
          <w:szCs w:val="20"/>
        </w:rPr>
        <w:fldChar w:fldCharType="begin"/>
      </w:r>
      <w:r w:rsidRPr="00E355FB">
        <w:rPr>
          <w:rFonts w:ascii="Garamond" w:hAnsi="Garamond"/>
          <w:b/>
          <w:iCs/>
          <w:sz w:val="20"/>
          <w:szCs w:val="20"/>
        </w:rPr>
        <w:instrText xml:space="preserve"> SEQ Tabela \* ARABIC </w:instrText>
      </w:r>
      <w:r w:rsidRPr="00E355FB">
        <w:rPr>
          <w:rFonts w:ascii="Garamond" w:hAnsi="Garamond"/>
          <w:b/>
          <w:iCs/>
          <w:sz w:val="20"/>
          <w:szCs w:val="20"/>
        </w:rPr>
        <w:fldChar w:fldCharType="separate"/>
      </w:r>
      <w:r w:rsidR="004E0B72" w:rsidRPr="00E355FB">
        <w:rPr>
          <w:rFonts w:ascii="Garamond" w:hAnsi="Garamond"/>
          <w:b/>
          <w:iCs/>
          <w:noProof/>
          <w:sz w:val="20"/>
          <w:szCs w:val="20"/>
        </w:rPr>
        <w:t>5</w:t>
      </w:r>
      <w:r w:rsidRPr="00E355FB">
        <w:rPr>
          <w:rFonts w:ascii="Garamond" w:hAnsi="Garamond"/>
          <w:b/>
          <w:iCs/>
          <w:sz w:val="20"/>
          <w:szCs w:val="20"/>
        </w:rPr>
        <w:fldChar w:fldCharType="end"/>
      </w:r>
      <w:r w:rsidRPr="00E355FB">
        <w:rPr>
          <w:rFonts w:ascii="Garamond" w:hAnsi="Garamond"/>
          <w:iCs/>
          <w:sz w:val="20"/>
          <w:szCs w:val="20"/>
        </w:rPr>
        <w:t xml:space="preserve"> - Teorias de Conteúdo Organizacionais: Teoria </w:t>
      </w:r>
      <w:proofErr w:type="spellStart"/>
      <w:r w:rsidRPr="00E355FB">
        <w:rPr>
          <w:rFonts w:ascii="Garamond" w:hAnsi="Garamond"/>
          <w:iCs/>
          <w:sz w:val="20"/>
          <w:szCs w:val="20"/>
        </w:rPr>
        <w:t>Bifatorial</w:t>
      </w:r>
      <w:proofErr w:type="spellEnd"/>
      <w:r w:rsidRPr="00E355FB">
        <w:rPr>
          <w:rFonts w:ascii="Garamond" w:hAnsi="Garamond"/>
          <w:iCs/>
          <w:sz w:val="20"/>
          <w:szCs w:val="20"/>
        </w:rPr>
        <w:t xml:space="preserve"> de </w:t>
      </w:r>
      <w:proofErr w:type="spellStart"/>
      <w:r w:rsidRPr="00E355FB">
        <w:rPr>
          <w:rFonts w:ascii="Garamond" w:hAnsi="Garamond"/>
          <w:iCs/>
          <w:sz w:val="20"/>
          <w:szCs w:val="20"/>
        </w:rPr>
        <w:t>Herzberg</w:t>
      </w:r>
      <w:proofErr w:type="spellEnd"/>
      <w:r w:rsidRPr="00E355FB">
        <w:rPr>
          <w:rFonts w:ascii="Garamond" w:hAnsi="Garamond"/>
          <w:iCs/>
          <w:sz w:val="20"/>
          <w:szCs w:val="20"/>
        </w:rPr>
        <w:t xml:space="preserve"> e Teoria das características da função de </w:t>
      </w:r>
      <w:proofErr w:type="spellStart"/>
      <w:r w:rsidRPr="00E355FB">
        <w:rPr>
          <w:rFonts w:ascii="Garamond" w:hAnsi="Garamond"/>
          <w:iCs/>
          <w:sz w:val="20"/>
          <w:szCs w:val="20"/>
        </w:rPr>
        <w:t>Hackman</w:t>
      </w:r>
      <w:proofErr w:type="spellEnd"/>
      <w:r w:rsidRPr="00E355FB">
        <w:rPr>
          <w:rFonts w:ascii="Garamond" w:hAnsi="Garamond"/>
          <w:iCs/>
          <w:sz w:val="20"/>
          <w:szCs w:val="20"/>
        </w:rPr>
        <w:t xml:space="preserve"> e </w:t>
      </w:r>
      <w:proofErr w:type="spellStart"/>
      <w:r w:rsidRPr="00E355FB">
        <w:rPr>
          <w:rFonts w:ascii="Garamond" w:hAnsi="Garamond"/>
          <w:iCs/>
          <w:sz w:val="20"/>
          <w:szCs w:val="20"/>
        </w:rPr>
        <w:t>Oldman</w:t>
      </w:r>
      <w:bookmarkEnd w:id="22"/>
      <w:proofErr w:type="spellEnd"/>
    </w:p>
    <w:tbl>
      <w:tblPr>
        <w:tblStyle w:val="TabelacomGrelha"/>
        <w:tblW w:w="0" w:type="auto"/>
        <w:tblLook w:val="04A0" w:firstRow="1" w:lastRow="0" w:firstColumn="1" w:lastColumn="0" w:noHBand="0" w:noVBand="1"/>
      </w:tblPr>
      <w:tblGrid>
        <w:gridCol w:w="4246"/>
        <w:gridCol w:w="4247"/>
      </w:tblGrid>
      <w:tr w:rsidR="00DC11BE" w:rsidRPr="0094770E" w:rsidTr="004E3707">
        <w:tc>
          <w:tcPr>
            <w:tcW w:w="8493" w:type="dxa"/>
            <w:gridSpan w:val="2"/>
          </w:tcPr>
          <w:p w:rsidR="00DC11BE" w:rsidRPr="0094770E" w:rsidRDefault="00DC11BE" w:rsidP="00E355FB">
            <w:pPr>
              <w:pStyle w:val="CTITULO"/>
              <w:spacing w:line="360" w:lineRule="auto"/>
              <w:jc w:val="center"/>
              <w:rPr>
                <w:rFonts w:ascii="Garamond" w:hAnsi="Garamond"/>
                <w:b w:val="0"/>
              </w:rPr>
            </w:pPr>
            <w:r w:rsidRPr="0094770E">
              <w:rPr>
                <w:rFonts w:ascii="Garamond" w:eastAsia="Times New Roman" w:hAnsi="Garamond"/>
                <w:bCs/>
                <w:color w:val="000000" w:themeColor="text1"/>
                <w:lang w:eastAsia="pt-PT"/>
              </w:rPr>
              <w:t>Teorias de Conteúdo</w:t>
            </w:r>
          </w:p>
        </w:tc>
      </w:tr>
      <w:tr w:rsidR="00DC11BE" w:rsidRPr="0094770E" w:rsidTr="004E3707">
        <w:tc>
          <w:tcPr>
            <w:tcW w:w="8493" w:type="dxa"/>
            <w:gridSpan w:val="2"/>
          </w:tcPr>
          <w:p w:rsidR="00DC11BE" w:rsidRPr="0094770E" w:rsidRDefault="00DC11BE" w:rsidP="00E355FB">
            <w:pPr>
              <w:pStyle w:val="CTITULO"/>
              <w:spacing w:line="360" w:lineRule="auto"/>
              <w:jc w:val="center"/>
              <w:rPr>
                <w:rFonts w:ascii="Garamond" w:hAnsi="Garamond"/>
                <w:b w:val="0"/>
              </w:rPr>
            </w:pPr>
            <w:r w:rsidRPr="0094770E">
              <w:rPr>
                <w:rFonts w:ascii="Garamond" w:eastAsia="Times New Roman" w:hAnsi="Garamond"/>
                <w:bCs/>
                <w:color w:val="000000"/>
                <w:lang w:eastAsia="pt-PT"/>
              </w:rPr>
              <w:t>Organizacionais</w:t>
            </w:r>
          </w:p>
        </w:tc>
      </w:tr>
      <w:tr w:rsidR="00DC11BE" w:rsidRPr="0094770E" w:rsidTr="004E3707">
        <w:tc>
          <w:tcPr>
            <w:tcW w:w="4246" w:type="dxa"/>
          </w:tcPr>
          <w:p w:rsidR="00DC11BE" w:rsidRPr="0094770E" w:rsidRDefault="00DC11BE" w:rsidP="00E355FB">
            <w:pPr>
              <w:pStyle w:val="CTITULO"/>
              <w:spacing w:line="360" w:lineRule="auto"/>
              <w:jc w:val="center"/>
              <w:rPr>
                <w:rFonts w:ascii="Garamond" w:hAnsi="Garamond"/>
                <w:b w:val="0"/>
                <w:color w:val="000000" w:themeColor="text1"/>
              </w:rPr>
            </w:pPr>
            <w:r w:rsidRPr="0094770E">
              <w:rPr>
                <w:rFonts w:ascii="Garamond" w:eastAsia="Times New Roman" w:hAnsi="Garamond"/>
                <w:color w:val="000000" w:themeColor="text1"/>
                <w:lang w:eastAsia="pt-PT"/>
              </w:rPr>
              <w:t xml:space="preserve">Teoria </w:t>
            </w:r>
            <w:proofErr w:type="spellStart"/>
            <w:r w:rsidRPr="0094770E">
              <w:rPr>
                <w:rFonts w:ascii="Garamond" w:eastAsia="Times New Roman" w:hAnsi="Garamond"/>
                <w:color w:val="000000" w:themeColor="text1"/>
                <w:lang w:eastAsia="pt-PT"/>
              </w:rPr>
              <w:t>Bifactorial</w:t>
            </w:r>
            <w:proofErr w:type="spellEnd"/>
            <w:r w:rsidRPr="0094770E">
              <w:rPr>
                <w:rFonts w:ascii="Garamond" w:eastAsia="Times New Roman" w:hAnsi="Garamond"/>
                <w:color w:val="000000" w:themeColor="text1"/>
                <w:lang w:eastAsia="pt-PT"/>
              </w:rPr>
              <w:t xml:space="preserve"> de </w:t>
            </w:r>
            <w:proofErr w:type="spellStart"/>
            <w:r w:rsidRPr="0094770E">
              <w:rPr>
                <w:rFonts w:ascii="Garamond" w:eastAsia="Times New Roman" w:hAnsi="Garamond"/>
                <w:color w:val="000000" w:themeColor="text1"/>
                <w:lang w:eastAsia="pt-PT"/>
              </w:rPr>
              <w:t>Herzberg</w:t>
            </w:r>
            <w:proofErr w:type="spellEnd"/>
            <w:r w:rsidRPr="0094770E">
              <w:rPr>
                <w:rFonts w:ascii="Garamond" w:eastAsia="Times New Roman" w:hAnsi="Garamond"/>
                <w:color w:val="000000" w:themeColor="text1"/>
                <w:lang w:eastAsia="pt-PT"/>
              </w:rPr>
              <w:t xml:space="preserve"> (1966)</w:t>
            </w:r>
          </w:p>
        </w:tc>
        <w:tc>
          <w:tcPr>
            <w:tcW w:w="4247" w:type="dxa"/>
          </w:tcPr>
          <w:p w:rsidR="00DC11BE" w:rsidRPr="0094770E" w:rsidRDefault="00DC11BE" w:rsidP="00E355FB">
            <w:pPr>
              <w:pStyle w:val="CTITULO"/>
              <w:spacing w:line="360" w:lineRule="auto"/>
              <w:jc w:val="center"/>
              <w:rPr>
                <w:rFonts w:ascii="Garamond" w:hAnsi="Garamond"/>
                <w:b w:val="0"/>
                <w:color w:val="000000" w:themeColor="text1"/>
              </w:rPr>
            </w:pPr>
            <w:r w:rsidRPr="0094770E">
              <w:rPr>
                <w:rFonts w:ascii="Garamond" w:eastAsia="Times New Roman" w:hAnsi="Garamond"/>
                <w:color w:val="000000" w:themeColor="text1"/>
                <w:lang w:eastAsia="pt-PT"/>
              </w:rPr>
              <w:t xml:space="preserve">Teoria das características da função de </w:t>
            </w:r>
            <w:proofErr w:type="spellStart"/>
            <w:r w:rsidRPr="0094770E">
              <w:rPr>
                <w:rFonts w:ascii="Garamond" w:eastAsia="Times New Roman" w:hAnsi="Garamond"/>
                <w:color w:val="000000" w:themeColor="text1"/>
                <w:lang w:eastAsia="pt-PT"/>
              </w:rPr>
              <w:t>Hackman</w:t>
            </w:r>
            <w:proofErr w:type="spellEnd"/>
            <w:r w:rsidRPr="0094770E">
              <w:rPr>
                <w:rFonts w:ascii="Garamond" w:eastAsia="Times New Roman" w:hAnsi="Garamond"/>
                <w:color w:val="000000" w:themeColor="text1"/>
                <w:lang w:eastAsia="pt-PT"/>
              </w:rPr>
              <w:t xml:space="preserve"> e Oldham (1976)</w:t>
            </w:r>
          </w:p>
        </w:tc>
      </w:tr>
      <w:tr w:rsidR="00DC11BE" w:rsidRPr="0094770E" w:rsidTr="004E3707">
        <w:tc>
          <w:tcPr>
            <w:tcW w:w="4246" w:type="dxa"/>
          </w:tcPr>
          <w:p w:rsidR="00DC11BE" w:rsidRPr="0094770E" w:rsidRDefault="00DC11BE" w:rsidP="00E355FB">
            <w:pPr>
              <w:pStyle w:val="CTITULO"/>
              <w:spacing w:line="360" w:lineRule="auto"/>
              <w:jc w:val="both"/>
              <w:rPr>
                <w:rFonts w:ascii="Garamond" w:eastAsia="Times New Roman" w:hAnsi="Garamond"/>
                <w:b w:val="0"/>
                <w:color w:val="000000"/>
                <w:lang w:eastAsia="pt-PT"/>
              </w:rPr>
            </w:pPr>
            <w:r w:rsidRPr="0094770E">
              <w:rPr>
                <w:rFonts w:ascii="Garamond" w:eastAsia="Times New Roman" w:hAnsi="Garamond"/>
                <w:b w:val="0"/>
                <w:color w:val="000000"/>
                <w:lang w:eastAsia="pt-PT"/>
              </w:rPr>
              <w:t>A motivação considera haver duas ordens diferentes de necessidades, as que levam à satisfação e as levam à insatisfação no trabalho (</w:t>
            </w:r>
            <w:proofErr w:type="spellStart"/>
            <w:r w:rsidRPr="0094770E">
              <w:rPr>
                <w:rFonts w:ascii="Garamond" w:eastAsia="Times New Roman" w:hAnsi="Garamond"/>
                <w:b w:val="0"/>
                <w:color w:val="000000"/>
                <w:lang w:eastAsia="pt-PT"/>
              </w:rPr>
              <w:t>Robbins</w:t>
            </w:r>
            <w:proofErr w:type="spellEnd"/>
            <w:r w:rsidRPr="0094770E">
              <w:rPr>
                <w:rFonts w:ascii="Garamond" w:eastAsia="Times New Roman" w:hAnsi="Garamond"/>
                <w:b w:val="0"/>
                <w:color w:val="000000"/>
                <w:lang w:eastAsia="pt-PT"/>
              </w:rPr>
              <w:t xml:space="preserve">, 2005). Os indivíduos têm um grupo de necessidades motivadoras intrínsecas ao trabalho que cumprem uma dinâmica de ampliação e conduzem à satisfação a longo prazo e, de natureza extrínseca ao trabalho, um grupo de necessidades higiénicas que encaminham ao alívio da insatisfação a curto prazo (Cunha </w:t>
            </w:r>
            <w:proofErr w:type="spellStart"/>
            <w:r w:rsidRPr="0094770E">
              <w:rPr>
                <w:rFonts w:ascii="Garamond" w:eastAsia="Times New Roman" w:hAnsi="Garamond"/>
                <w:b w:val="0"/>
                <w:color w:val="000000"/>
                <w:lang w:eastAsia="pt-PT"/>
              </w:rPr>
              <w:t>et</w:t>
            </w:r>
            <w:proofErr w:type="spellEnd"/>
            <w:r w:rsidRPr="0094770E">
              <w:rPr>
                <w:rFonts w:ascii="Garamond" w:eastAsia="Times New Roman" w:hAnsi="Garamond"/>
                <w:b w:val="0"/>
                <w:color w:val="000000"/>
                <w:lang w:eastAsia="pt-PT"/>
              </w:rPr>
              <w:t xml:space="preserve"> al., 2014).</w:t>
            </w:r>
          </w:p>
        </w:tc>
        <w:tc>
          <w:tcPr>
            <w:tcW w:w="4247" w:type="dxa"/>
          </w:tcPr>
          <w:p w:rsidR="00DC11BE" w:rsidRPr="0094770E" w:rsidRDefault="00DC11BE" w:rsidP="00E355FB">
            <w:pPr>
              <w:pStyle w:val="CTITULO"/>
              <w:keepNext/>
              <w:spacing w:line="360" w:lineRule="auto"/>
              <w:jc w:val="both"/>
              <w:rPr>
                <w:rFonts w:ascii="Garamond" w:hAnsi="Garamond"/>
                <w:b w:val="0"/>
              </w:rPr>
            </w:pPr>
            <w:r w:rsidRPr="0094770E">
              <w:rPr>
                <w:rFonts w:ascii="Garamond" w:eastAsia="Times New Roman" w:hAnsi="Garamond"/>
                <w:b w:val="0"/>
                <w:color w:val="000000"/>
                <w:lang w:eastAsia="pt-PT"/>
              </w:rPr>
              <w:t xml:space="preserve">A motivação é efeito da forma como são combinadas as características da situação com as das pessoas (Cunha </w:t>
            </w:r>
            <w:proofErr w:type="spellStart"/>
            <w:r w:rsidRPr="0094770E">
              <w:rPr>
                <w:rFonts w:ascii="Garamond" w:eastAsia="Times New Roman" w:hAnsi="Garamond"/>
                <w:b w:val="0"/>
                <w:color w:val="000000"/>
                <w:lang w:eastAsia="pt-PT"/>
              </w:rPr>
              <w:t>et</w:t>
            </w:r>
            <w:proofErr w:type="spellEnd"/>
            <w:r w:rsidRPr="0094770E">
              <w:rPr>
                <w:rFonts w:ascii="Garamond" w:eastAsia="Times New Roman" w:hAnsi="Garamond"/>
                <w:b w:val="0"/>
                <w:color w:val="000000"/>
                <w:lang w:eastAsia="pt-PT"/>
              </w:rPr>
              <w:t xml:space="preserve"> al., 2014). Tendo por base a Teoria de </w:t>
            </w:r>
            <w:proofErr w:type="spellStart"/>
            <w:r w:rsidRPr="0094770E">
              <w:rPr>
                <w:rFonts w:ascii="Garamond" w:eastAsia="Times New Roman" w:hAnsi="Garamond"/>
                <w:b w:val="0"/>
                <w:color w:val="000000"/>
                <w:lang w:eastAsia="pt-PT"/>
              </w:rPr>
              <w:t>Herzberg</w:t>
            </w:r>
            <w:proofErr w:type="spellEnd"/>
            <w:r w:rsidRPr="0094770E">
              <w:rPr>
                <w:rFonts w:ascii="Garamond" w:eastAsia="Times New Roman" w:hAnsi="Garamond"/>
                <w:b w:val="0"/>
                <w:color w:val="000000"/>
                <w:lang w:eastAsia="pt-PT"/>
              </w:rPr>
              <w:t>, considera características de relevo no trabalho bem como as diversidades entre indivíduos, tendo em conta as suas necessidades. Só os funcionários com necessidades de aumento de autonomia, reconhecimento, responsabilidade, feedback e variedade de tarefas se sentirão motivados com o enriquecimento do trabalho (</w:t>
            </w:r>
            <w:proofErr w:type="spellStart"/>
            <w:r w:rsidRPr="0094770E">
              <w:rPr>
                <w:rFonts w:ascii="Garamond" w:eastAsia="Times New Roman" w:hAnsi="Garamond"/>
                <w:b w:val="0"/>
                <w:color w:val="000000"/>
                <w:lang w:eastAsia="pt-PT"/>
              </w:rPr>
              <w:t>Latham</w:t>
            </w:r>
            <w:proofErr w:type="spellEnd"/>
            <w:r w:rsidRPr="0094770E">
              <w:rPr>
                <w:rFonts w:ascii="Garamond" w:eastAsia="Times New Roman" w:hAnsi="Garamond"/>
                <w:b w:val="0"/>
                <w:color w:val="000000"/>
                <w:lang w:eastAsia="pt-PT"/>
              </w:rPr>
              <w:t xml:space="preserve"> &amp; Ernst, 2006).</w:t>
            </w:r>
          </w:p>
        </w:tc>
      </w:tr>
    </w:tbl>
    <w:p w:rsidR="00DC11BE" w:rsidRPr="00E355FB" w:rsidRDefault="00CE0756" w:rsidP="00E355FB">
      <w:pPr>
        <w:pStyle w:val="CTITULO"/>
        <w:spacing w:before="120" w:after="120"/>
        <w:rPr>
          <w:rFonts w:ascii="Garamond" w:hAnsi="Garamond"/>
          <w:bCs/>
          <w:sz w:val="20"/>
          <w:szCs w:val="20"/>
        </w:rPr>
      </w:pPr>
      <w:r w:rsidRPr="00E355FB">
        <w:rPr>
          <w:rFonts w:ascii="Garamond" w:hAnsi="Garamond"/>
          <w:bCs/>
          <w:sz w:val="20"/>
          <w:szCs w:val="20"/>
        </w:rPr>
        <w:t xml:space="preserve">Fonte: </w:t>
      </w:r>
      <w:r w:rsidRPr="00E355FB">
        <w:rPr>
          <w:rFonts w:ascii="Garamond" w:hAnsi="Garamond"/>
          <w:b w:val="0"/>
          <w:sz w:val="20"/>
          <w:szCs w:val="20"/>
        </w:rPr>
        <w:t>Elaboração própria.</w:t>
      </w:r>
    </w:p>
    <w:p w:rsidR="00CE0756" w:rsidRPr="0094770E" w:rsidRDefault="00CE0756" w:rsidP="004E3707">
      <w:pPr>
        <w:pStyle w:val="CTITULO"/>
        <w:rPr>
          <w:rFonts w:ascii="Garamond" w:hAnsi="Garamond"/>
          <w:b w:val="0"/>
        </w:rPr>
      </w:pPr>
    </w:p>
    <w:p w:rsidR="00DC11BE" w:rsidRPr="000D65DA" w:rsidRDefault="00DC11BE" w:rsidP="000D65DA">
      <w:pPr>
        <w:pStyle w:val="CorpoTexto"/>
      </w:pPr>
      <w:r w:rsidRPr="0094770E">
        <w:t xml:space="preserve">A Teoria da Equidade de Adams, a Teoria </w:t>
      </w:r>
      <w:proofErr w:type="spellStart"/>
      <w:r w:rsidRPr="0094770E">
        <w:t>ModCo</w:t>
      </w:r>
      <w:proofErr w:type="spellEnd"/>
      <w:r w:rsidRPr="0094770E">
        <w:t xml:space="preserve"> (modificação de comportamento), a Teoria da Definição de Objetivos de Locke e </w:t>
      </w:r>
      <w:proofErr w:type="spellStart"/>
      <w:r w:rsidRPr="0094770E">
        <w:t>Latham</w:t>
      </w:r>
      <w:proofErr w:type="spellEnd"/>
      <w:r w:rsidRPr="0094770E">
        <w:t xml:space="preserve"> e a Teoria das Expetativas de </w:t>
      </w:r>
      <w:proofErr w:type="spellStart"/>
      <w:r w:rsidRPr="0094770E">
        <w:t>Vroom</w:t>
      </w:r>
      <w:proofErr w:type="spellEnd"/>
      <w:r w:rsidRPr="0094770E">
        <w:t xml:space="preserve"> são exemplo de teorias que analisam como se pode motivar o comportamento humano, analisam o processo de motivação </w:t>
      </w:r>
      <w:r w:rsidRPr="0094770E">
        <w:rPr>
          <w:noProof/>
        </w:rPr>
        <w:t>(Rocha, 2010)</w:t>
      </w:r>
      <w:r w:rsidRPr="0094770E">
        <w:t xml:space="preserve"> – teorias de processo.</w:t>
      </w:r>
    </w:p>
    <w:p w:rsidR="00E355FB" w:rsidRDefault="00DC11BE" w:rsidP="000D65DA">
      <w:pPr>
        <w:pStyle w:val="CorpoTexto"/>
      </w:pPr>
      <w:r w:rsidRPr="0094770E">
        <w:t xml:space="preserve">Estas últimas podem, ainda, ser dívidas em teorias gerais (ambições gerais do indivíduo que conduzem as suas escolhas) e teorias organizacionais (fatores diretamente relacionados com a motivação e ambiente de trabalho e com o comportamento organizacional) </w:t>
      </w:r>
      <w:r w:rsidRPr="0094770E">
        <w:rPr>
          <w:noProof/>
        </w:rPr>
        <w:t>(Cunha et al., 2006)</w:t>
      </w:r>
      <w:r w:rsidRPr="0094770E">
        <w:t>.</w:t>
      </w:r>
    </w:p>
    <w:p w:rsidR="00E355FB" w:rsidRPr="00E355FB" w:rsidRDefault="00E355FB" w:rsidP="00D77886">
      <w:pPr>
        <w:pStyle w:val="CorpoTexto"/>
      </w:pPr>
    </w:p>
    <w:p w:rsidR="000D65DA" w:rsidRDefault="000D65DA">
      <w:pPr>
        <w:rPr>
          <w:rFonts w:ascii="Garamond" w:hAnsi="Garamond"/>
          <w:b/>
          <w:iCs/>
          <w:sz w:val="20"/>
          <w:szCs w:val="20"/>
        </w:rPr>
      </w:pPr>
      <w:r>
        <w:rPr>
          <w:rFonts w:ascii="Garamond" w:hAnsi="Garamond"/>
          <w:b/>
          <w:iCs/>
          <w:sz w:val="20"/>
          <w:szCs w:val="20"/>
        </w:rPr>
        <w:br w:type="page"/>
      </w:r>
    </w:p>
    <w:p w:rsidR="00DC11BE" w:rsidRPr="00182811" w:rsidRDefault="00DC11BE" w:rsidP="00E355FB">
      <w:pPr>
        <w:rPr>
          <w:rFonts w:ascii="Garamond" w:hAnsi="Garamond"/>
          <w:b/>
          <w:iCs/>
          <w:sz w:val="20"/>
          <w:szCs w:val="20"/>
        </w:rPr>
      </w:pPr>
      <w:bookmarkStart w:id="23" w:name="_Toc46677123"/>
      <w:r w:rsidRPr="00182811">
        <w:rPr>
          <w:rFonts w:ascii="Garamond" w:hAnsi="Garamond"/>
          <w:b/>
          <w:iCs/>
          <w:sz w:val="20"/>
          <w:szCs w:val="20"/>
        </w:rPr>
        <w:lastRenderedPageBreak/>
        <w:t xml:space="preserve">Tabela </w:t>
      </w:r>
      <w:r w:rsidRPr="00182811">
        <w:rPr>
          <w:rFonts w:ascii="Garamond" w:hAnsi="Garamond"/>
          <w:b/>
          <w:iCs/>
          <w:sz w:val="20"/>
          <w:szCs w:val="20"/>
        </w:rPr>
        <w:fldChar w:fldCharType="begin"/>
      </w:r>
      <w:r w:rsidRPr="00182811">
        <w:rPr>
          <w:rFonts w:ascii="Garamond" w:hAnsi="Garamond"/>
          <w:b/>
          <w:iCs/>
          <w:sz w:val="20"/>
          <w:szCs w:val="20"/>
        </w:rPr>
        <w:instrText xml:space="preserve"> SEQ Tabela \* ARABIC </w:instrText>
      </w:r>
      <w:r w:rsidRPr="00182811">
        <w:rPr>
          <w:rFonts w:ascii="Garamond" w:hAnsi="Garamond"/>
          <w:b/>
          <w:iCs/>
          <w:sz w:val="20"/>
          <w:szCs w:val="20"/>
        </w:rPr>
        <w:fldChar w:fldCharType="separate"/>
      </w:r>
      <w:r w:rsidR="004E0B72" w:rsidRPr="00182811">
        <w:rPr>
          <w:rFonts w:ascii="Garamond" w:hAnsi="Garamond"/>
          <w:b/>
          <w:iCs/>
          <w:noProof/>
          <w:sz w:val="20"/>
          <w:szCs w:val="20"/>
        </w:rPr>
        <w:t>6</w:t>
      </w:r>
      <w:r w:rsidRPr="00182811">
        <w:rPr>
          <w:rFonts w:ascii="Garamond" w:hAnsi="Garamond"/>
          <w:b/>
          <w:iCs/>
          <w:sz w:val="20"/>
          <w:szCs w:val="20"/>
        </w:rPr>
        <w:fldChar w:fldCharType="end"/>
      </w:r>
      <w:r w:rsidRPr="00182811">
        <w:rPr>
          <w:rFonts w:ascii="Garamond" w:hAnsi="Garamond"/>
          <w:iCs/>
          <w:sz w:val="20"/>
          <w:szCs w:val="20"/>
        </w:rPr>
        <w:t xml:space="preserve"> - Teorias de Processo Gerais: Teoria da Equidade de Adams e Teoria </w:t>
      </w:r>
      <w:proofErr w:type="spellStart"/>
      <w:r w:rsidRPr="00182811">
        <w:rPr>
          <w:rFonts w:ascii="Garamond" w:hAnsi="Garamond"/>
          <w:iCs/>
          <w:sz w:val="20"/>
          <w:szCs w:val="20"/>
        </w:rPr>
        <w:t>ModCo</w:t>
      </w:r>
      <w:proofErr w:type="spellEnd"/>
      <w:r w:rsidRPr="00182811">
        <w:rPr>
          <w:rFonts w:ascii="Garamond" w:hAnsi="Garamond"/>
          <w:iCs/>
          <w:sz w:val="20"/>
          <w:szCs w:val="20"/>
        </w:rPr>
        <w:t xml:space="preserve"> de </w:t>
      </w:r>
      <w:proofErr w:type="spellStart"/>
      <w:r w:rsidRPr="00182811">
        <w:rPr>
          <w:rFonts w:ascii="Garamond" w:hAnsi="Garamond"/>
          <w:iCs/>
          <w:sz w:val="20"/>
          <w:szCs w:val="20"/>
        </w:rPr>
        <w:t>Luthans</w:t>
      </w:r>
      <w:proofErr w:type="spellEnd"/>
      <w:r w:rsidRPr="00182811">
        <w:rPr>
          <w:rFonts w:ascii="Garamond" w:hAnsi="Garamond"/>
          <w:iCs/>
          <w:sz w:val="20"/>
          <w:szCs w:val="20"/>
        </w:rPr>
        <w:t xml:space="preserve"> e </w:t>
      </w:r>
      <w:proofErr w:type="spellStart"/>
      <w:r w:rsidRPr="00182811">
        <w:rPr>
          <w:rFonts w:ascii="Garamond" w:hAnsi="Garamond"/>
          <w:iCs/>
          <w:sz w:val="20"/>
          <w:szCs w:val="20"/>
        </w:rPr>
        <w:t>Kreitner</w:t>
      </w:r>
      <w:proofErr w:type="spellEnd"/>
      <w:r w:rsidRPr="00182811">
        <w:rPr>
          <w:rFonts w:ascii="Garamond" w:hAnsi="Garamond"/>
          <w:iCs/>
          <w:sz w:val="20"/>
          <w:szCs w:val="20"/>
        </w:rPr>
        <w:t>.</w:t>
      </w:r>
      <w:bookmarkEnd w:id="23"/>
      <w:r w:rsidRPr="00182811">
        <w:rPr>
          <w:rFonts w:ascii="Garamond" w:hAnsi="Garamond"/>
          <w:iCs/>
          <w:sz w:val="20"/>
          <w:szCs w:val="20"/>
        </w:rPr>
        <w:t xml:space="preserve"> </w:t>
      </w:r>
    </w:p>
    <w:tbl>
      <w:tblPr>
        <w:tblStyle w:val="TabelacomGrelha"/>
        <w:tblW w:w="0" w:type="auto"/>
        <w:tblLook w:val="04A0" w:firstRow="1" w:lastRow="0" w:firstColumn="1" w:lastColumn="0" w:noHBand="0" w:noVBand="1"/>
      </w:tblPr>
      <w:tblGrid>
        <w:gridCol w:w="4246"/>
        <w:gridCol w:w="4247"/>
      </w:tblGrid>
      <w:tr w:rsidR="00DC11BE" w:rsidRPr="0094770E" w:rsidTr="004E3707">
        <w:tc>
          <w:tcPr>
            <w:tcW w:w="8493" w:type="dxa"/>
            <w:gridSpan w:val="2"/>
          </w:tcPr>
          <w:p w:rsidR="00DC11BE" w:rsidRPr="0094770E" w:rsidRDefault="00DC11BE" w:rsidP="00E355FB">
            <w:pPr>
              <w:pStyle w:val="CTITULO"/>
              <w:spacing w:line="360" w:lineRule="auto"/>
              <w:jc w:val="center"/>
              <w:rPr>
                <w:rFonts w:ascii="Garamond" w:hAnsi="Garamond"/>
                <w:b w:val="0"/>
              </w:rPr>
            </w:pPr>
            <w:r w:rsidRPr="0094770E">
              <w:rPr>
                <w:rFonts w:ascii="Garamond" w:eastAsia="Times New Roman" w:hAnsi="Garamond"/>
                <w:bCs/>
                <w:color w:val="000000" w:themeColor="text1"/>
                <w:lang w:eastAsia="pt-PT"/>
              </w:rPr>
              <w:t>Teorias de Processo</w:t>
            </w:r>
          </w:p>
        </w:tc>
      </w:tr>
      <w:tr w:rsidR="00DC11BE" w:rsidRPr="0094770E" w:rsidTr="004E3707">
        <w:tc>
          <w:tcPr>
            <w:tcW w:w="8493" w:type="dxa"/>
            <w:gridSpan w:val="2"/>
          </w:tcPr>
          <w:p w:rsidR="00DC11BE" w:rsidRPr="0094770E" w:rsidRDefault="00DC11BE" w:rsidP="00E355FB">
            <w:pPr>
              <w:pStyle w:val="CTITULO"/>
              <w:spacing w:line="360" w:lineRule="auto"/>
              <w:jc w:val="center"/>
              <w:rPr>
                <w:rFonts w:ascii="Garamond" w:hAnsi="Garamond"/>
                <w:b w:val="0"/>
              </w:rPr>
            </w:pPr>
            <w:r w:rsidRPr="0094770E">
              <w:rPr>
                <w:rFonts w:ascii="Garamond" w:eastAsia="Times New Roman" w:hAnsi="Garamond"/>
                <w:bCs/>
                <w:color w:val="000000"/>
                <w:lang w:eastAsia="pt-PT"/>
              </w:rPr>
              <w:t>Gerais</w:t>
            </w:r>
          </w:p>
        </w:tc>
      </w:tr>
      <w:tr w:rsidR="00DC11BE" w:rsidRPr="0094770E" w:rsidTr="004E3707">
        <w:tc>
          <w:tcPr>
            <w:tcW w:w="4246" w:type="dxa"/>
          </w:tcPr>
          <w:p w:rsidR="00DC11BE" w:rsidRPr="0094770E" w:rsidRDefault="00DC11BE" w:rsidP="00E355FB">
            <w:pPr>
              <w:pStyle w:val="CTITULO"/>
              <w:spacing w:line="360" w:lineRule="auto"/>
              <w:jc w:val="center"/>
              <w:rPr>
                <w:rFonts w:ascii="Garamond" w:hAnsi="Garamond"/>
                <w:b w:val="0"/>
                <w:color w:val="000000" w:themeColor="text1"/>
              </w:rPr>
            </w:pPr>
            <w:r w:rsidRPr="0094770E">
              <w:rPr>
                <w:rFonts w:ascii="Garamond" w:eastAsia="Times New Roman" w:hAnsi="Garamond"/>
                <w:color w:val="000000" w:themeColor="text1"/>
                <w:lang w:eastAsia="pt-PT"/>
              </w:rPr>
              <w:t>Teoria da Equidade de Adams (1963)</w:t>
            </w:r>
          </w:p>
        </w:tc>
        <w:tc>
          <w:tcPr>
            <w:tcW w:w="4247" w:type="dxa"/>
          </w:tcPr>
          <w:p w:rsidR="00DC11BE" w:rsidRPr="0094770E" w:rsidRDefault="00DC11BE" w:rsidP="00E355FB">
            <w:pPr>
              <w:pStyle w:val="CTITULO"/>
              <w:spacing w:line="360" w:lineRule="auto"/>
              <w:jc w:val="center"/>
              <w:rPr>
                <w:rFonts w:ascii="Garamond" w:hAnsi="Garamond"/>
                <w:b w:val="0"/>
                <w:color w:val="000000" w:themeColor="text1"/>
              </w:rPr>
            </w:pPr>
            <w:r w:rsidRPr="0094770E">
              <w:rPr>
                <w:rFonts w:ascii="Garamond" w:eastAsia="Times New Roman" w:hAnsi="Garamond"/>
                <w:color w:val="000000" w:themeColor="text1"/>
                <w:lang w:eastAsia="pt-PT"/>
              </w:rPr>
              <w:t xml:space="preserve">Teoria </w:t>
            </w:r>
            <w:proofErr w:type="spellStart"/>
            <w:r w:rsidRPr="0094770E">
              <w:rPr>
                <w:rFonts w:ascii="Garamond" w:eastAsia="Times New Roman" w:hAnsi="Garamond"/>
                <w:color w:val="000000" w:themeColor="text1"/>
                <w:lang w:eastAsia="pt-PT"/>
              </w:rPr>
              <w:t>ModCo</w:t>
            </w:r>
            <w:proofErr w:type="spellEnd"/>
            <w:r w:rsidRPr="0094770E">
              <w:rPr>
                <w:rFonts w:ascii="Garamond" w:eastAsia="Times New Roman" w:hAnsi="Garamond"/>
                <w:color w:val="000000" w:themeColor="text1"/>
                <w:lang w:eastAsia="pt-PT"/>
              </w:rPr>
              <w:t xml:space="preserve"> (modificação do Comportamento) de </w:t>
            </w:r>
            <w:proofErr w:type="spellStart"/>
            <w:r w:rsidRPr="0094770E">
              <w:rPr>
                <w:rFonts w:ascii="Garamond" w:eastAsia="Times New Roman" w:hAnsi="Garamond"/>
                <w:color w:val="000000" w:themeColor="text1"/>
                <w:lang w:eastAsia="pt-PT"/>
              </w:rPr>
              <w:t>Luthans</w:t>
            </w:r>
            <w:proofErr w:type="spellEnd"/>
            <w:r w:rsidRPr="0094770E">
              <w:rPr>
                <w:rFonts w:ascii="Garamond" w:eastAsia="Times New Roman" w:hAnsi="Garamond"/>
                <w:color w:val="000000" w:themeColor="text1"/>
                <w:lang w:eastAsia="pt-PT"/>
              </w:rPr>
              <w:t xml:space="preserve"> e </w:t>
            </w:r>
            <w:proofErr w:type="spellStart"/>
            <w:r w:rsidRPr="0094770E">
              <w:rPr>
                <w:rFonts w:ascii="Garamond" w:eastAsia="Times New Roman" w:hAnsi="Garamond"/>
                <w:color w:val="000000" w:themeColor="text1"/>
                <w:lang w:eastAsia="pt-PT"/>
              </w:rPr>
              <w:t>Kreitner</w:t>
            </w:r>
            <w:proofErr w:type="spellEnd"/>
            <w:r w:rsidRPr="0094770E">
              <w:rPr>
                <w:rFonts w:ascii="Garamond" w:eastAsia="Times New Roman" w:hAnsi="Garamond"/>
                <w:color w:val="000000" w:themeColor="text1"/>
                <w:lang w:eastAsia="pt-PT"/>
              </w:rPr>
              <w:t xml:space="preserve"> (1975)</w:t>
            </w:r>
          </w:p>
        </w:tc>
      </w:tr>
      <w:tr w:rsidR="00DC11BE" w:rsidRPr="0094770E" w:rsidTr="004E3707">
        <w:tc>
          <w:tcPr>
            <w:tcW w:w="4246" w:type="dxa"/>
          </w:tcPr>
          <w:p w:rsidR="00DC11BE" w:rsidRPr="0094770E" w:rsidRDefault="00DC11BE" w:rsidP="00E355FB">
            <w:pPr>
              <w:pStyle w:val="CTITULO"/>
              <w:spacing w:line="360" w:lineRule="auto"/>
              <w:jc w:val="both"/>
              <w:rPr>
                <w:rFonts w:ascii="Garamond" w:eastAsia="Times New Roman" w:hAnsi="Garamond"/>
                <w:b w:val="0"/>
                <w:color w:val="000000"/>
                <w:lang w:eastAsia="pt-PT"/>
              </w:rPr>
            </w:pPr>
            <w:r w:rsidRPr="0094770E">
              <w:rPr>
                <w:rFonts w:ascii="Garamond" w:eastAsia="Times New Roman" w:hAnsi="Garamond"/>
                <w:b w:val="0"/>
                <w:color w:val="000000"/>
                <w:lang w:eastAsia="pt-PT"/>
              </w:rPr>
              <w:t xml:space="preserve">São analisados conceitos de equidade e desigualdade, de justiça e injustiça, fundamentando-se na imagem de que os indivíduos, periodicamente, estabelecem comparações em relação às suas contribuições e às suas compensações (Cunha </w:t>
            </w:r>
            <w:proofErr w:type="spellStart"/>
            <w:r w:rsidRPr="0094770E">
              <w:rPr>
                <w:rFonts w:ascii="Garamond" w:eastAsia="Times New Roman" w:hAnsi="Garamond"/>
                <w:b w:val="0"/>
                <w:color w:val="000000"/>
                <w:lang w:eastAsia="pt-PT"/>
              </w:rPr>
              <w:t>et</w:t>
            </w:r>
            <w:proofErr w:type="spellEnd"/>
            <w:r w:rsidRPr="0094770E">
              <w:rPr>
                <w:rFonts w:ascii="Garamond" w:eastAsia="Times New Roman" w:hAnsi="Garamond"/>
                <w:b w:val="0"/>
                <w:color w:val="000000"/>
                <w:lang w:eastAsia="pt-PT"/>
              </w:rPr>
              <w:t xml:space="preserve"> al., 2014).</w:t>
            </w:r>
          </w:p>
        </w:tc>
        <w:tc>
          <w:tcPr>
            <w:tcW w:w="4247" w:type="dxa"/>
          </w:tcPr>
          <w:p w:rsidR="00DC11BE" w:rsidRPr="0094770E" w:rsidRDefault="00DC11BE" w:rsidP="00E355FB">
            <w:pPr>
              <w:pStyle w:val="CTITULO"/>
              <w:keepNext/>
              <w:spacing w:line="360" w:lineRule="auto"/>
              <w:jc w:val="both"/>
              <w:rPr>
                <w:rFonts w:ascii="Garamond" w:hAnsi="Garamond"/>
                <w:b w:val="0"/>
              </w:rPr>
            </w:pPr>
            <w:r w:rsidRPr="0094770E">
              <w:rPr>
                <w:rFonts w:ascii="Garamond" w:eastAsia="Times New Roman" w:hAnsi="Garamond"/>
                <w:b w:val="0"/>
                <w:color w:val="000000"/>
                <w:lang w:eastAsia="pt-PT"/>
              </w:rPr>
              <w:t xml:space="preserve">Considerando o desempenho individual de cada indivíduo, tenta estimular comportamentos convenientes e suprimir os inapropriados através de um reforço positivo ou punição, respetivamente (Santos, 1999; Neves, 2011; Cunha </w:t>
            </w:r>
            <w:proofErr w:type="spellStart"/>
            <w:r w:rsidRPr="0094770E">
              <w:rPr>
                <w:rFonts w:ascii="Garamond" w:eastAsia="Times New Roman" w:hAnsi="Garamond"/>
                <w:b w:val="0"/>
                <w:color w:val="000000"/>
                <w:lang w:eastAsia="pt-PT"/>
              </w:rPr>
              <w:t>et</w:t>
            </w:r>
            <w:proofErr w:type="spellEnd"/>
            <w:r w:rsidRPr="0094770E">
              <w:rPr>
                <w:rFonts w:ascii="Garamond" w:eastAsia="Times New Roman" w:hAnsi="Garamond"/>
                <w:b w:val="0"/>
                <w:color w:val="000000"/>
                <w:lang w:eastAsia="pt-PT"/>
              </w:rPr>
              <w:t xml:space="preserve"> al., 2014).</w:t>
            </w:r>
          </w:p>
        </w:tc>
      </w:tr>
    </w:tbl>
    <w:p w:rsidR="004E0B72" w:rsidRDefault="00CE0756" w:rsidP="000D65DA">
      <w:pPr>
        <w:pStyle w:val="Legenda"/>
        <w:keepNext/>
        <w:spacing w:before="120" w:after="120"/>
        <w:rPr>
          <w:rFonts w:ascii="Garamond" w:hAnsi="Garamond"/>
          <w:b/>
          <w:i w:val="0"/>
          <w:color w:val="auto"/>
          <w:sz w:val="20"/>
          <w:szCs w:val="20"/>
        </w:rPr>
      </w:pPr>
      <w:r w:rsidRPr="0094770E">
        <w:rPr>
          <w:rFonts w:ascii="Garamond" w:hAnsi="Garamond"/>
          <w:b/>
          <w:i w:val="0"/>
          <w:color w:val="auto"/>
          <w:sz w:val="20"/>
          <w:szCs w:val="20"/>
        </w:rPr>
        <w:t>Fonte:</w:t>
      </w:r>
      <w:r w:rsidRPr="0094770E">
        <w:rPr>
          <w:rFonts w:ascii="Garamond" w:hAnsi="Garamond"/>
          <w:i w:val="0"/>
          <w:color w:val="auto"/>
          <w:sz w:val="20"/>
          <w:szCs w:val="20"/>
        </w:rPr>
        <w:t xml:space="preserve"> Elaboração própria.</w:t>
      </w:r>
    </w:p>
    <w:p w:rsidR="00E355FB" w:rsidRPr="00E355FB" w:rsidRDefault="00E355FB" w:rsidP="00E355FB"/>
    <w:p w:rsidR="00DC11BE" w:rsidRPr="000D65DA" w:rsidRDefault="00DC11BE" w:rsidP="000D65DA">
      <w:pPr>
        <w:rPr>
          <w:rFonts w:ascii="Garamond" w:hAnsi="Garamond"/>
          <w:b/>
          <w:iCs/>
          <w:sz w:val="20"/>
          <w:szCs w:val="20"/>
        </w:rPr>
      </w:pPr>
      <w:bookmarkStart w:id="24" w:name="_Toc46677124"/>
      <w:r w:rsidRPr="0094770E">
        <w:rPr>
          <w:rFonts w:ascii="Garamond" w:hAnsi="Garamond"/>
          <w:b/>
          <w:sz w:val="20"/>
          <w:szCs w:val="20"/>
        </w:rPr>
        <w:t xml:space="preserve">Tabela </w:t>
      </w:r>
      <w:r w:rsidRPr="0094770E">
        <w:rPr>
          <w:rFonts w:ascii="Garamond" w:hAnsi="Garamond"/>
          <w:b/>
          <w:i/>
          <w:sz w:val="20"/>
          <w:szCs w:val="20"/>
        </w:rPr>
        <w:fldChar w:fldCharType="begin"/>
      </w:r>
      <w:r w:rsidRPr="0094770E">
        <w:rPr>
          <w:rFonts w:ascii="Garamond" w:hAnsi="Garamond"/>
          <w:b/>
          <w:sz w:val="20"/>
          <w:szCs w:val="20"/>
        </w:rPr>
        <w:instrText xml:space="preserve"> SEQ Tabela \* ARABIC </w:instrText>
      </w:r>
      <w:r w:rsidRPr="0094770E">
        <w:rPr>
          <w:rFonts w:ascii="Garamond" w:hAnsi="Garamond"/>
          <w:b/>
          <w:i/>
          <w:sz w:val="20"/>
          <w:szCs w:val="20"/>
        </w:rPr>
        <w:fldChar w:fldCharType="separate"/>
      </w:r>
      <w:r w:rsidR="004E0B72">
        <w:rPr>
          <w:rFonts w:ascii="Garamond" w:hAnsi="Garamond"/>
          <w:b/>
          <w:noProof/>
          <w:sz w:val="20"/>
          <w:szCs w:val="20"/>
        </w:rPr>
        <w:t>7</w:t>
      </w:r>
      <w:r w:rsidRPr="0094770E">
        <w:rPr>
          <w:rFonts w:ascii="Garamond" w:hAnsi="Garamond"/>
          <w:b/>
          <w:i/>
          <w:sz w:val="20"/>
          <w:szCs w:val="20"/>
        </w:rPr>
        <w:fldChar w:fldCharType="end"/>
      </w:r>
      <w:r w:rsidRPr="0094770E">
        <w:rPr>
          <w:rFonts w:ascii="Garamond" w:hAnsi="Garamond"/>
          <w:sz w:val="20"/>
          <w:szCs w:val="20"/>
        </w:rPr>
        <w:t xml:space="preserve"> - Teorias de Processo Organizacionais: Teoria da definição de objetivos de Locke e </w:t>
      </w:r>
      <w:proofErr w:type="spellStart"/>
      <w:r w:rsidRPr="0094770E">
        <w:rPr>
          <w:rFonts w:ascii="Garamond" w:hAnsi="Garamond"/>
          <w:sz w:val="20"/>
          <w:szCs w:val="20"/>
        </w:rPr>
        <w:t>Latham</w:t>
      </w:r>
      <w:proofErr w:type="spellEnd"/>
      <w:r w:rsidRPr="0094770E">
        <w:rPr>
          <w:rFonts w:ascii="Garamond" w:hAnsi="Garamond"/>
          <w:sz w:val="20"/>
          <w:szCs w:val="20"/>
        </w:rPr>
        <w:t xml:space="preserve"> e Teoria das expectativas de </w:t>
      </w:r>
      <w:proofErr w:type="spellStart"/>
      <w:r w:rsidRPr="0094770E">
        <w:rPr>
          <w:rFonts w:ascii="Garamond" w:hAnsi="Garamond"/>
          <w:sz w:val="20"/>
          <w:szCs w:val="20"/>
        </w:rPr>
        <w:t>Vroom</w:t>
      </w:r>
      <w:proofErr w:type="spellEnd"/>
      <w:r w:rsidRPr="0094770E">
        <w:rPr>
          <w:rFonts w:ascii="Garamond" w:hAnsi="Garamond"/>
          <w:sz w:val="20"/>
          <w:szCs w:val="20"/>
        </w:rPr>
        <w:t>.</w:t>
      </w:r>
      <w:bookmarkEnd w:id="24"/>
    </w:p>
    <w:tbl>
      <w:tblPr>
        <w:tblStyle w:val="TabelacomGrelha"/>
        <w:tblW w:w="0" w:type="auto"/>
        <w:tblLook w:val="04A0" w:firstRow="1" w:lastRow="0" w:firstColumn="1" w:lastColumn="0" w:noHBand="0" w:noVBand="1"/>
      </w:tblPr>
      <w:tblGrid>
        <w:gridCol w:w="4246"/>
        <w:gridCol w:w="4247"/>
      </w:tblGrid>
      <w:tr w:rsidR="00DC11BE" w:rsidRPr="0094770E" w:rsidTr="004E3707">
        <w:tc>
          <w:tcPr>
            <w:tcW w:w="8493" w:type="dxa"/>
            <w:gridSpan w:val="2"/>
          </w:tcPr>
          <w:p w:rsidR="00DC11BE" w:rsidRPr="0094770E" w:rsidRDefault="00DC11BE" w:rsidP="000D65DA">
            <w:pPr>
              <w:pStyle w:val="CTITULO"/>
              <w:spacing w:line="360" w:lineRule="auto"/>
              <w:jc w:val="center"/>
              <w:rPr>
                <w:rFonts w:ascii="Garamond" w:hAnsi="Garamond"/>
                <w:b w:val="0"/>
                <w:color w:val="000000" w:themeColor="text1"/>
              </w:rPr>
            </w:pPr>
            <w:r w:rsidRPr="0094770E">
              <w:rPr>
                <w:rFonts w:ascii="Garamond" w:eastAsia="Times New Roman" w:hAnsi="Garamond"/>
                <w:bCs/>
                <w:color w:val="000000" w:themeColor="text1"/>
                <w:lang w:eastAsia="pt-PT"/>
              </w:rPr>
              <w:t>Teorias de Processo</w:t>
            </w:r>
          </w:p>
        </w:tc>
      </w:tr>
      <w:tr w:rsidR="00DC11BE" w:rsidRPr="0094770E" w:rsidTr="004E3707">
        <w:tc>
          <w:tcPr>
            <w:tcW w:w="8493" w:type="dxa"/>
            <w:gridSpan w:val="2"/>
          </w:tcPr>
          <w:p w:rsidR="00DC11BE" w:rsidRPr="0094770E" w:rsidRDefault="00DC11BE" w:rsidP="000D65DA">
            <w:pPr>
              <w:pStyle w:val="CTITULO"/>
              <w:spacing w:line="360" w:lineRule="auto"/>
              <w:jc w:val="center"/>
              <w:rPr>
                <w:rFonts w:ascii="Garamond" w:hAnsi="Garamond"/>
                <w:b w:val="0"/>
                <w:color w:val="000000" w:themeColor="text1"/>
              </w:rPr>
            </w:pPr>
            <w:r w:rsidRPr="0094770E">
              <w:rPr>
                <w:rFonts w:ascii="Garamond" w:eastAsia="Times New Roman" w:hAnsi="Garamond"/>
                <w:bCs/>
                <w:color w:val="000000" w:themeColor="text1"/>
                <w:lang w:eastAsia="pt-PT"/>
              </w:rPr>
              <w:t>Organizacionais</w:t>
            </w:r>
          </w:p>
        </w:tc>
      </w:tr>
      <w:tr w:rsidR="00DC11BE" w:rsidRPr="0094770E" w:rsidTr="000D65DA">
        <w:trPr>
          <w:trHeight w:val="916"/>
        </w:trPr>
        <w:tc>
          <w:tcPr>
            <w:tcW w:w="4246" w:type="dxa"/>
          </w:tcPr>
          <w:p w:rsidR="00DC11BE" w:rsidRPr="0094770E" w:rsidRDefault="00DC11BE" w:rsidP="000D65DA">
            <w:pPr>
              <w:pStyle w:val="CTITULO"/>
              <w:spacing w:line="360" w:lineRule="auto"/>
              <w:jc w:val="center"/>
              <w:rPr>
                <w:rFonts w:ascii="Garamond" w:hAnsi="Garamond"/>
                <w:b w:val="0"/>
                <w:color w:val="000000" w:themeColor="text1"/>
              </w:rPr>
            </w:pPr>
            <w:r w:rsidRPr="0094770E">
              <w:rPr>
                <w:rFonts w:ascii="Garamond" w:eastAsia="Times New Roman" w:hAnsi="Garamond"/>
                <w:color w:val="000000" w:themeColor="text1"/>
                <w:lang w:eastAsia="pt-PT"/>
              </w:rPr>
              <w:t xml:space="preserve">Teoria da definição de objetivos de Locke e </w:t>
            </w:r>
            <w:proofErr w:type="spellStart"/>
            <w:r w:rsidRPr="0094770E">
              <w:rPr>
                <w:rFonts w:ascii="Garamond" w:eastAsia="Times New Roman" w:hAnsi="Garamond"/>
                <w:color w:val="000000" w:themeColor="text1"/>
                <w:lang w:eastAsia="pt-PT"/>
              </w:rPr>
              <w:t>Latham</w:t>
            </w:r>
            <w:proofErr w:type="spellEnd"/>
            <w:r w:rsidRPr="0094770E">
              <w:rPr>
                <w:rFonts w:ascii="Garamond" w:eastAsia="Times New Roman" w:hAnsi="Garamond"/>
                <w:color w:val="000000" w:themeColor="text1"/>
                <w:lang w:eastAsia="pt-PT"/>
              </w:rPr>
              <w:t xml:space="preserve"> (1990)</w:t>
            </w:r>
          </w:p>
        </w:tc>
        <w:tc>
          <w:tcPr>
            <w:tcW w:w="4247" w:type="dxa"/>
          </w:tcPr>
          <w:p w:rsidR="00DC11BE" w:rsidRPr="0094770E" w:rsidRDefault="00DC11BE" w:rsidP="000D65DA">
            <w:pPr>
              <w:pStyle w:val="CTITULO"/>
              <w:spacing w:line="360" w:lineRule="auto"/>
              <w:jc w:val="center"/>
              <w:rPr>
                <w:rFonts w:ascii="Garamond" w:hAnsi="Garamond"/>
                <w:b w:val="0"/>
                <w:color w:val="000000" w:themeColor="text1"/>
              </w:rPr>
            </w:pPr>
            <w:r w:rsidRPr="0094770E">
              <w:rPr>
                <w:rFonts w:ascii="Garamond" w:eastAsia="Times New Roman" w:hAnsi="Garamond"/>
                <w:color w:val="000000" w:themeColor="text1"/>
                <w:lang w:eastAsia="pt-PT"/>
              </w:rPr>
              <w:t xml:space="preserve">Teoria das expectativas de </w:t>
            </w:r>
            <w:proofErr w:type="spellStart"/>
            <w:r w:rsidRPr="0094770E">
              <w:rPr>
                <w:rFonts w:ascii="Garamond" w:eastAsia="Times New Roman" w:hAnsi="Garamond"/>
                <w:color w:val="000000" w:themeColor="text1"/>
                <w:lang w:eastAsia="pt-PT"/>
              </w:rPr>
              <w:t>Vroom</w:t>
            </w:r>
            <w:proofErr w:type="spellEnd"/>
            <w:r w:rsidRPr="0094770E">
              <w:rPr>
                <w:rFonts w:ascii="Garamond" w:eastAsia="Times New Roman" w:hAnsi="Garamond"/>
                <w:color w:val="000000" w:themeColor="text1"/>
                <w:lang w:eastAsia="pt-PT"/>
              </w:rPr>
              <w:t xml:space="preserve"> (1964)</w:t>
            </w:r>
          </w:p>
        </w:tc>
      </w:tr>
      <w:tr w:rsidR="00DC11BE" w:rsidRPr="0094770E" w:rsidTr="004E3707">
        <w:tc>
          <w:tcPr>
            <w:tcW w:w="4246" w:type="dxa"/>
          </w:tcPr>
          <w:p w:rsidR="00DC11BE" w:rsidRPr="0094770E" w:rsidRDefault="00DC11BE" w:rsidP="00E355FB">
            <w:pPr>
              <w:pStyle w:val="CTITULO"/>
              <w:spacing w:line="480" w:lineRule="auto"/>
              <w:jc w:val="both"/>
              <w:rPr>
                <w:rFonts w:ascii="Garamond" w:eastAsia="Times New Roman" w:hAnsi="Garamond"/>
                <w:b w:val="0"/>
                <w:color w:val="000000"/>
                <w:lang w:eastAsia="pt-PT"/>
              </w:rPr>
            </w:pPr>
            <w:r w:rsidRPr="0094770E">
              <w:rPr>
                <w:rFonts w:ascii="Garamond" w:eastAsia="Times New Roman" w:hAnsi="Garamond"/>
                <w:b w:val="0"/>
                <w:color w:val="000000"/>
                <w:lang w:eastAsia="pt-PT"/>
              </w:rPr>
              <w:t xml:space="preserve">A definição de objetivos mostra-se a maior fonte de motivação e da melhoria dos níveis de desempenho das tarefas dos trabalhadores. (Locke &amp; </w:t>
            </w:r>
            <w:proofErr w:type="spellStart"/>
            <w:r w:rsidRPr="0094770E">
              <w:rPr>
                <w:rFonts w:ascii="Garamond" w:eastAsia="Times New Roman" w:hAnsi="Garamond"/>
                <w:b w:val="0"/>
                <w:color w:val="000000"/>
                <w:lang w:eastAsia="pt-PT"/>
              </w:rPr>
              <w:t>Latham</w:t>
            </w:r>
            <w:proofErr w:type="spellEnd"/>
            <w:r w:rsidRPr="0094770E">
              <w:rPr>
                <w:rFonts w:ascii="Garamond" w:eastAsia="Times New Roman" w:hAnsi="Garamond"/>
                <w:b w:val="0"/>
                <w:color w:val="000000"/>
                <w:lang w:eastAsia="pt-PT"/>
              </w:rPr>
              <w:t xml:space="preserve">, 2004; </w:t>
            </w:r>
            <w:proofErr w:type="spellStart"/>
            <w:r w:rsidRPr="0094770E">
              <w:rPr>
                <w:rFonts w:ascii="Garamond" w:eastAsia="Times New Roman" w:hAnsi="Garamond"/>
                <w:b w:val="0"/>
                <w:color w:val="000000"/>
                <w:lang w:eastAsia="pt-PT"/>
              </w:rPr>
              <w:t>Robbins</w:t>
            </w:r>
            <w:proofErr w:type="spellEnd"/>
            <w:r w:rsidRPr="0094770E">
              <w:rPr>
                <w:rFonts w:ascii="Garamond" w:eastAsia="Times New Roman" w:hAnsi="Garamond"/>
                <w:b w:val="0"/>
                <w:color w:val="000000"/>
                <w:lang w:eastAsia="pt-PT"/>
              </w:rPr>
              <w:t xml:space="preserve">, 2005). Objetivos que conciliem os atributos </w:t>
            </w:r>
            <w:proofErr w:type="spellStart"/>
            <w:r w:rsidRPr="0094770E">
              <w:rPr>
                <w:rFonts w:ascii="Garamond" w:eastAsia="Times New Roman" w:hAnsi="Garamond"/>
                <w:b w:val="0"/>
                <w:color w:val="000000"/>
                <w:lang w:eastAsia="pt-PT"/>
              </w:rPr>
              <w:t>Specifics</w:t>
            </w:r>
            <w:proofErr w:type="spellEnd"/>
            <w:r w:rsidRPr="0094770E">
              <w:rPr>
                <w:rFonts w:ascii="Garamond" w:eastAsia="Times New Roman" w:hAnsi="Garamond"/>
                <w:b w:val="0"/>
                <w:color w:val="000000"/>
                <w:lang w:eastAsia="pt-PT"/>
              </w:rPr>
              <w:t xml:space="preserve">, </w:t>
            </w:r>
            <w:proofErr w:type="spellStart"/>
            <w:r w:rsidRPr="0094770E">
              <w:rPr>
                <w:rFonts w:ascii="Garamond" w:eastAsia="Times New Roman" w:hAnsi="Garamond"/>
                <w:b w:val="0"/>
                <w:color w:val="000000"/>
                <w:lang w:eastAsia="pt-PT"/>
              </w:rPr>
              <w:t>Measurables</w:t>
            </w:r>
            <w:proofErr w:type="spellEnd"/>
            <w:r w:rsidRPr="0094770E">
              <w:rPr>
                <w:rFonts w:ascii="Garamond" w:eastAsia="Times New Roman" w:hAnsi="Garamond"/>
                <w:b w:val="0"/>
                <w:color w:val="000000"/>
                <w:lang w:eastAsia="pt-PT"/>
              </w:rPr>
              <w:t xml:space="preserve">, </w:t>
            </w:r>
            <w:proofErr w:type="spellStart"/>
            <w:r w:rsidRPr="0094770E">
              <w:rPr>
                <w:rFonts w:ascii="Garamond" w:eastAsia="Times New Roman" w:hAnsi="Garamond"/>
                <w:b w:val="0"/>
                <w:color w:val="000000"/>
                <w:lang w:eastAsia="pt-PT"/>
              </w:rPr>
              <w:t>Agreed</w:t>
            </w:r>
            <w:proofErr w:type="spellEnd"/>
            <w:r w:rsidRPr="0094770E">
              <w:rPr>
                <w:rFonts w:ascii="Garamond" w:eastAsia="Times New Roman" w:hAnsi="Garamond"/>
                <w:b w:val="0"/>
                <w:color w:val="000000"/>
                <w:lang w:eastAsia="pt-PT"/>
              </w:rPr>
              <w:t xml:space="preserve">, </w:t>
            </w:r>
            <w:proofErr w:type="spellStart"/>
            <w:r w:rsidRPr="0094770E">
              <w:rPr>
                <w:rFonts w:ascii="Garamond" w:eastAsia="Times New Roman" w:hAnsi="Garamond"/>
                <w:b w:val="0"/>
                <w:color w:val="000000"/>
                <w:lang w:eastAsia="pt-PT"/>
              </w:rPr>
              <w:t>Realistic</w:t>
            </w:r>
            <w:proofErr w:type="spellEnd"/>
            <w:r w:rsidRPr="0094770E">
              <w:rPr>
                <w:rFonts w:ascii="Garamond" w:eastAsia="Times New Roman" w:hAnsi="Garamond"/>
                <w:b w:val="0"/>
                <w:color w:val="000000"/>
                <w:lang w:eastAsia="pt-PT"/>
              </w:rPr>
              <w:t xml:space="preserve">, </w:t>
            </w:r>
            <w:proofErr w:type="spellStart"/>
            <w:r w:rsidRPr="0094770E">
              <w:rPr>
                <w:rFonts w:ascii="Garamond" w:eastAsia="Times New Roman" w:hAnsi="Garamond"/>
                <w:b w:val="0"/>
                <w:color w:val="000000"/>
                <w:lang w:eastAsia="pt-PT"/>
              </w:rPr>
              <w:t>Timed</w:t>
            </w:r>
            <w:proofErr w:type="spellEnd"/>
            <w:r w:rsidRPr="0094770E">
              <w:rPr>
                <w:rFonts w:ascii="Garamond" w:eastAsia="Times New Roman" w:hAnsi="Garamond"/>
                <w:b w:val="0"/>
                <w:color w:val="000000"/>
                <w:lang w:eastAsia="pt-PT"/>
              </w:rPr>
              <w:t xml:space="preserve"> (SMART) são os mais eficientes (Cunha </w:t>
            </w:r>
            <w:proofErr w:type="spellStart"/>
            <w:r w:rsidRPr="0094770E">
              <w:rPr>
                <w:rFonts w:ascii="Garamond" w:eastAsia="Times New Roman" w:hAnsi="Garamond"/>
                <w:b w:val="0"/>
                <w:color w:val="000000"/>
                <w:lang w:eastAsia="pt-PT"/>
              </w:rPr>
              <w:t>et</w:t>
            </w:r>
            <w:proofErr w:type="spellEnd"/>
            <w:r w:rsidRPr="0094770E">
              <w:rPr>
                <w:rFonts w:ascii="Garamond" w:eastAsia="Times New Roman" w:hAnsi="Garamond"/>
                <w:b w:val="0"/>
                <w:color w:val="000000"/>
                <w:lang w:eastAsia="pt-PT"/>
              </w:rPr>
              <w:t xml:space="preserve"> al., 2014).</w:t>
            </w:r>
          </w:p>
        </w:tc>
        <w:tc>
          <w:tcPr>
            <w:tcW w:w="4247" w:type="dxa"/>
          </w:tcPr>
          <w:p w:rsidR="00DC11BE" w:rsidRPr="0094770E" w:rsidRDefault="00DC11BE" w:rsidP="00E355FB">
            <w:pPr>
              <w:pStyle w:val="CTITULO"/>
              <w:keepNext/>
              <w:spacing w:line="480" w:lineRule="auto"/>
              <w:jc w:val="both"/>
              <w:rPr>
                <w:rFonts w:ascii="Garamond" w:hAnsi="Garamond"/>
                <w:b w:val="0"/>
              </w:rPr>
            </w:pPr>
            <w:r w:rsidRPr="0094770E">
              <w:rPr>
                <w:rFonts w:ascii="Garamond" w:eastAsia="Times New Roman" w:hAnsi="Garamond"/>
                <w:b w:val="0"/>
                <w:color w:val="000000"/>
                <w:lang w:eastAsia="pt-PT"/>
              </w:rPr>
              <w:t>Os indivíduos são motivados a atuar pela probabilidade de sucesso e o que poderão retirar de importante para si resultante desse esforço, caso não julguem interessante a recompensa oferecida, não tenham expetativas, a motivação será nula (</w:t>
            </w:r>
            <w:proofErr w:type="spellStart"/>
            <w:r w:rsidRPr="0094770E">
              <w:rPr>
                <w:rFonts w:ascii="Garamond" w:eastAsia="Times New Roman" w:hAnsi="Garamond"/>
                <w:b w:val="0"/>
                <w:color w:val="000000"/>
                <w:lang w:eastAsia="pt-PT"/>
              </w:rPr>
              <w:t>Latham</w:t>
            </w:r>
            <w:proofErr w:type="spellEnd"/>
            <w:r w:rsidRPr="0094770E">
              <w:rPr>
                <w:rFonts w:ascii="Garamond" w:eastAsia="Times New Roman" w:hAnsi="Garamond"/>
                <w:b w:val="0"/>
                <w:color w:val="000000"/>
                <w:lang w:eastAsia="pt-PT"/>
              </w:rPr>
              <w:t xml:space="preserve"> &amp; Ernst, 2006; Proença &amp; Gomes, 2015).</w:t>
            </w:r>
          </w:p>
        </w:tc>
      </w:tr>
    </w:tbl>
    <w:p w:rsidR="00E355FB" w:rsidRPr="000D65DA" w:rsidRDefault="00CE0756" w:rsidP="00E355FB">
      <w:pPr>
        <w:pStyle w:val="CTITULO"/>
        <w:spacing w:before="120" w:after="120"/>
        <w:rPr>
          <w:rFonts w:ascii="Garamond" w:hAnsi="Garamond"/>
          <w:b w:val="0"/>
          <w:iCs/>
          <w:sz w:val="20"/>
          <w:szCs w:val="20"/>
        </w:rPr>
      </w:pPr>
      <w:r w:rsidRPr="00E355FB">
        <w:rPr>
          <w:rFonts w:ascii="Garamond" w:hAnsi="Garamond"/>
          <w:bCs/>
          <w:iCs/>
          <w:sz w:val="20"/>
          <w:szCs w:val="20"/>
        </w:rPr>
        <w:t xml:space="preserve">Fonte: </w:t>
      </w:r>
      <w:r w:rsidRPr="00E355FB">
        <w:rPr>
          <w:rFonts w:ascii="Garamond" w:hAnsi="Garamond"/>
          <w:b w:val="0"/>
          <w:iCs/>
          <w:sz w:val="20"/>
          <w:szCs w:val="20"/>
        </w:rPr>
        <w:t>Elaboração própria.</w:t>
      </w:r>
    </w:p>
    <w:p w:rsidR="00DC11BE" w:rsidRDefault="00DC11BE" w:rsidP="00D77886">
      <w:pPr>
        <w:pStyle w:val="CorpoTexto"/>
      </w:pPr>
      <w:r w:rsidRPr="0094770E">
        <w:lastRenderedPageBreak/>
        <w:t xml:space="preserve">Os conceitos de satisfação e de motivação embora estejam relacionados devem ser separados uma vez que medem coisas distintas. Os erros na formulação de hipóteses e na seleção dos instrumentos de investigação estão na origem das confusões entre os conceitos </w:t>
      </w:r>
      <w:r w:rsidRPr="0094770E">
        <w:rPr>
          <w:noProof/>
        </w:rPr>
        <w:t>(M. Martinez &amp; Paraguay, 2003)</w:t>
      </w:r>
      <w:r w:rsidRPr="0094770E">
        <w:t>.</w:t>
      </w:r>
    </w:p>
    <w:p w:rsidR="00E355FB" w:rsidRPr="0094770E" w:rsidRDefault="00E355FB" w:rsidP="00D77886">
      <w:pPr>
        <w:pStyle w:val="CorpoTexto"/>
        <w:rPr>
          <w:b/>
        </w:rPr>
      </w:pPr>
    </w:p>
    <w:p w:rsidR="00DC11BE" w:rsidRPr="0094770E" w:rsidRDefault="00DC11BE" w:rsidP="00A32A19">
      <w:pPr>
        <w:pStyle w:val="Nvel2"/>
      </w:pPr>
      <w:bookmarkStart w:id="25" w:name="_Toc37177049"/>
      <w:bookmarkStart w:id="26" w:name="_Toc46678971"/>
      <w:r w:rsidRPr="0094770E">
        <w:t>Falhas no serviço</w:t>
      </w:r>
      <w:bookmarkEnd w:id="25"/>
      <w:bookmarkEnd w:id="26"/>
    </w:p>
    <w:p w:rsidR="00DC11BE" w:rsidRPr="0094770E" w:rsidRDefault="0059615C" w:rsidP="00D77886">
      <w:pPr>
        <w:pStyle w:val="CorpoTexto"/>
        <w:rPr>
          <w:b/>
        </w:rPr>
      </w:pPr>
      <w:r w:rsidRPr="0094770E">
        <w:t xml:space="preserve">Foi </w:t>
      </w:r>
      <w:r w:rsidR="00DC11BE" w:rsidRPr="0094770E">
        <w:t>na década de 90 que se d</w:t>
      </w:r>
      <w:r w:rsidRPr="0094770E">
        <w:t xml:space="preserve">eu </w:t>
      </w:r>
      <w:r w:rsidR="00D952E8" w:rsidRPr="0094770E">
        <w:t>início</w:t>
      </w:r>
      <w:r w:rsidRPr="0094770E">
        <w:t xml:space="preserve"> a</w:t>
      </w:r>
      <w:r w:rsidR="00DC11BE" w:rsidRPr="0094770E">
        <w:t xml:space="preserve">os estudos sobre a temática das falhas nos serviços, sendo apresentadas como fatores de insatisfação </w:t>
      </w:r>
      <w:r w:rsidR="00DC11BE" w:rsidRPr="0094770E">
        <w:rPr>
          <w:noProof/>
        </w:rPr>
        <w:t>(Bitner et al., 1990; Parasuraman et al., 1985).</w:t>
      </w:r>
    </w:p>
    <w:p w:rsidR="00DC11BE" w:rsidRPr="0094770E" w:rsidRDefault="00DC11BE" w:rsidP="00D77886">
      <w:pPr>
        <w:pStyle w:val="CorpoTexto"/>
        <w:rPr>
          <w:b/>
        </w:rPr>
      </w:pPr>
      <w:r w:rsidRPr="0094770E">
        <w:t xml:space="preserve">Os momentos de interação entre o consumidor e a empresa são também considerados os momentos críticos da prestação do serviço, os apelidados pela literatura como </w:t>
      </w:r>
      <w:proofErr w:type="spellStart"/>
      <w:r w:rsidRPr="0094770E">
        <w:rPr>
          <w:i/>
        </w:rPr>
        <w:t>moments</w:t>
      </w:r>
      <w:proofErr w:type="spellEnd"/>
      <w:r w:rsidRPr="0094770E">
        <w:rPr>
          <w:i/>
        </w:rPr>
        <w:t xml:space="preserve"> </w:t>
      </w:r>
      <w:proofErr w:type="spellStart"/>
      <w:r w:rsidRPr="0094770E">
        <w:rPr>
          <w:i/>
        </w:rPr>
        <w:t>of</w:t>
      </w:r>
      <w:proofErr w:type="spellEnd"/>
      <w:r w:rsidRPr="0094770E">
        <w:rPr>
          <w:i/>
        </w:rPr>
        <w:t xml:space="preserve"> </w:t>
      </w:r>
      <w:proofErr w:type="spellStart"/>
      <w:r w:rsidRPr="0094770E">
        <w:rPr>
          <w:i/>
        </w:rPr>
        <w:t>truth</w:t>
      </w:r>
      <w:proofErr w:type="spellEnd"/>
      <w:r w:rsidRPr="0094770E">
        <w:t xml:space="preserve">. As falhas de serviço ocorrem nestes momentos e a satisfação/insatisfação do cliente será fundamentada a partir das situações positivas/negativas vivenciadas por este nesta ocasião </w:t>
      </w:r>
      <w:r w:rsidRPr="0094770E">
        <w:rPr>
          <w:noProof/>
        </w:rPr>
        <w:t>(Bateson &amp; Hoffman, 2001)</w:t>
      </w:r>
      <w:r w:rsidRPr="0094770E">
        <w:t>.</w:t>
      </w:r>
    </w:p>
    <w:p w:rsidR="00DC11BE" w:rsidRPr="0094770E" w:rsidRDefault="00DC11BE" w:rsidP="00D77886">
      <w:pPr>
        <w:pStyle w:val="CorpoTexto"/>
        <w:rPr>
          <w:b/>
        </w:rPr>
      </w:pPr>
      <w:r w:rsidRPr="0094770E">
        <w:t xml:space="preserve">As interações em serviços são bastante profícuas na ocorrência de falhas, em muito devido às caraterísticas dos serviços intangibilidade </w:t>
      </w:r>
      <w:r w:rsidRPr="0094770E">
        <w:rPr>
          <w:noProof/>
        </w:rPr>
        <w:t>(Kotler &amp; Armstrong, 1991)</w:t>
      </w:r>
      <w:r w:rsidRPr="0094770E">
        <w:t xml:space="preserve">, heterogeneidade </w:t>
      </w:r>
      <w:r w:rsidRPr="0094770E">
        <w:rPr>
          <w:noProof/>
        </w:rPr>
        <w:t>(Zeithaml, Parasuraman, &amp; Berry, 1985)</w:t>
      </w:r>
      <w:r w:rsidRPr="0094770E">
        <w:t xml:space="preserve">, inseparabilidade </w:t>
      </w:r>
      <w:r w:rsidRPr="0094770E">
        <w:rPr>
          <w:noProof/>
        </w:rPr>
        <w:t>(Kotler &amp; Armstrong, 1991)</w:t>
      </w:r>
      <w:r w:rsidRPr="0094770E">
        <w:t xml:space="preserve"> e perecibilidade </w:t>
      </w:r>
      <w:r w:rsidRPr="0094770E">
        <w:rPr>
          <w:noProof/>
        </w:rPr>
        <w:t>(Edgett &amp; Parkinson, 1993; Zeithaml et al., 1985)</w:t>
      </w:r>
      <w:r w:rsidRPr="0094770E">
        <w:t xml:space="preserve">. </w:t>
      </w:r>
    </w:p>
    <w:p w:rsidR="00DC11BE" w:rsidRPr="0094770E" w:rsidRDefault="00DC11BE" w:rsidP="00D77886">
      <w:pPr>
        <w:pStyle w:val="CorpoTexto"/>
        <w:rPr>
          <w:b/>
        </w:rPr>
      </w:pPr>
      <w:r w:rsidRPr="0094770E">
        <w:t xml:space="preserve">O tipo de falhas nos serviços pode ter que ver com disponibilidade, tempo ou questões relativas ao serviço </w:t>
      </w:r>
      <w:r w:rsidRPr="0094770E">
        <w:rPr>
          <w:i/>
        </w:rPr>
        <w:t>per si</w:t>
      </w:r>
      <w:r w:rsidRPr="0094770E">
        <w:t xml:space="preserve"> como, por exemplo, falta de recursos disponíveis </w:t>
      </w:r>
      <w:r w:rsidRPr="0094770E">
        <w:rPr>
          <w:noProof/>
        </w:rPr>
        <w:t>(Bitner et al., 1990)</w:t>
      </w:r>
      <w:r w:rsidRPr="0094770E">
        <w:t xml:space="preserve"> e podem ter lugar quer no que diz respeito aos resultados como ao nível do processo de encontro de serviço </w:t>
      </w:r>
      <w:r w:rsidRPr="0094770E">
        <w:rPr>
          <w:noProof/>
        </w:rPr>
        <w:t>(Parasuraman et al., 1985)</w:t>
      </w:r>
      <w:r w:rsidRPr="0094770E">
        <w:t>.</w:t>
      </w:r>
    </w:p>
    <w:p w:rsidR="00DC11BE" w:rsidRPr="0094770E" w:rsidRDefault="00DC11BE" w:rsidP="00D77886">
      <w:pPr>
        <w:pStyle w:val="CorpoTexto"/>
        <w:rPr>
          <w:b/>
        </w:rPr>
      </w:pPr>
      <w:r w:rsidRPr="0094770E">
        <w:t xml:space="preserve">Relativamente ao tipo de falha, esta pode ser classificada como falha de resultado ou falha de processo, envolvendo uma troca utilitária e uma troca simbólica, respetivamente </w:t>
      </w:r>
      <w:r w:rsidRPr="0094770E">
        <w:rPr>
          <w:noProof/>
        </w:rPr>
        <w:t>(Lind, Johannsen, &amp; Lauritzen, 1990)</w:t>
      </w:r>
      <w:r w:rsidRPr="0094770E">
        <w:t>.</w:t>
      </w:r>
    </w:p>
    <w:p w:rsidR="00DC11BE" w:rsidRPr="0094770E" w:rsidRDefault="00DC11BE" w:rsidP="00D77886">
      <w:pPr>
        <w:pStyle w:val="CorpoTexto"/>
        <w:rPr>
          <w:b/>
        </w:rPr>
      </w:pPr>
      <w:r w:rsidRPr="0094770E">
        <w:t xml:space="preserve">Outros autores definem a falha no serviço como atividades produto do resultado das expetativas do consumidor ou da sua zona de tolerância, compreendendo as expetativas dos consumidores de uma nova forma, como zonas ao contrário de pontos fixos </w:t>
      </w:r>
      <w:r w:rsidRPr="0094770E">
        <w:rPr>
          <w:noProof/>
        </w:rPr>
        <w:t>(Holloway &amp; Beatty, 2003)</w:t>
      </w:r>
      <w:r w:rsidRPr="0094770E">
        <w:t>.</w:t>
      </w:r>
    </w:p>
    <w:p w:rsidR="00DC11BE" w:rsidRPr="0094770E" w:rsidRDefault="00DC11BE" w:rsidP="00D77886">
      <w:pPr>
        <w:pStyle w:val="CorpoTexto"/>
        <w:rPr>
          <w:b/>
        </w:rPr>
      </w:pPr>
      <w:r w:rsidRPr="0094770E">
        <w:lastRenderedPageBreak/>
        <w:t xml:space="preserve">Este conceito de zona de tolerância mostra haver dois níveis nas expetativas dos clientes: o serviço desejado e o serviço adequado. O primeiro relaciona-se com o que consumidor espera receber, enquanto o segundo será o mínimo que o consumidor estará disposto admitir como aceitável </w:t>
      </w:r>
      <w:r w:rsidRPr="0094770E">
        <w:rPr>
          <w:noProof/>
        </w:rPr>
        <w:t>(Parasuraman, Berry, &amp; Zeithaml, 1993)</w:t>
      </w:r>
      <w:r w:rsidRPr="0094770E">
        <w:t xml:space="preserve">. A zona entre os dois níveis de expetativas dos clientes é apelidada como tolerância e pode variar consoante o consumidor e a situação </w:t>
      </w:r>
      <w:r w:rsidRPr="0094770E">
        <w:rPr>
          <w:noProof/>
        </w:rPr>
        <w:t>(Parasuraman, Berry, &amp; Zeithaml, 1991)</w:t>
      </w:r>
      <w:r w:rsidRPr="0094770E">
        <w:t>.</w:t>
      </w:r>
    </w:p>
    <w:p w:rsidR="00DC11BE" w:rsidRPr="0094770E" w:rsidRDefault="00DC11BE" w:rsidP="00D77886">
      <w:pPr>
        <w:pStyle w:val="CorpoTexto"/>
        <w:rPr>
          <w:b/>
        </w:rPr>
      </w:pPr>
      <w:r w:rsidRPr="0094770E">
        <w:t xml:space="preserve">É inexequível para as empresas eliminar por completo todas as falhas de serviço, mesmo tratando-se de uma instituição com uma entrega de serviço extraordinário ou por muito que tente prever e prevenir o erro </w:t>
      </w:r>
      <w:r w:rsidRPr="0094770E">
        <w:rPr>
          <w:noProof/>
        </w:rPr>
        <w:t>(Kuz'min, 1973; Maxham &amp; Netemeyer, 2002)</w:t>
      </w:r>
      <w:r w:rsidRPr="0094770E">
        <w:t xml:space="preserve">. Não existem serviços livres de erros, e, uma vez que as falhas nos serviços provocam a insatisfação do cliente, as empresas devem estar organizadas para agirem </w:t>
      </w:r>
      <w:r w:rsidRPr="0094770E">
        <w:rPr>
          <w:noProof/>
        </w:rPr>
        <w:t>(Firnstahl, 1989)</w:t>
      </w:r>
      <w:r w:rsidRPr="0094770E">
        <w:t>.</w:t>
      </w:r>
    </w:p>
    <w:p w:rsidR="00DC11BE" w:rsidRDefault="00DC11BE" w:rsidP="00D77886">
      <w:pPr>
        <w:pStyle w:val="CorpoTexto"/>
        <w:rPr>
          <w:b/>
        </w:rPr>
      </w:pPr>
      <w:r w:rsidRPr="0094770E">
        <w:t xml:space="preserve">Todas as empresas que se mostrem mais habilitadas a compreender os comportamentos do consumidor durante uma falha de serviço são as que mais oportunidades possuem de verem a reclamação concretizada e, por conseguinte, de corrigir o erro e reter o cliente </w:t>
      </w:r>
      <w:r w:rsidRPr="0094770E">
        <w:rPr>
          <w:noProof/>
        </w:rPr>
        <w:t>(Stephens &amp; Gwinner, 1998)</w:t>
      </w:r>
      <w:r w:rsidRPr="0094770E">
        <w:t>.</w:t>
      </w:r>
    </w:p>
    <w:p w:rsidR="00095BC8" w:rsidRPr="0094770E" w:rsidRDefault="00095BC8" w:rsidP="004E3707">
      <w:pPr>
        <w:pStyle w:val="CTITULO"/>
        <w:rPr>
          <w:rFonts w:ascii="Garamond" w:hAnsi="Garamond"/>
          <w:b w:val="0"/>
        </w:rPr>
      </w:pPr>
    </w:p>
    <w:p w:rsidR="00DC11BE" w:rsidRPr="00D77886" w:rsidRDefault="00DC11BE" w:rsidP="00A32A19">
      <w:pPr>
        <w:pStyle w:val="Nvel2"/>
      </w:pPr>
      <w:bookmarkStart w:id="27" w:name="_Toc37177050"/>
      <w:bookmarkStart w:id="28" w:name="_Toc46678972"/>
      <w:r w:rsidRPr="00D77886">
        <w:t>Reclamações</w:t>
      </w:r>
      <w:bookmarkEnd w:id="27"/>
      <w:bookmarkEnd w:id="28"/>
    </w:p>
    <w:p w:rsidR="00DC11BE" w:rsidRPr="0094770E" w:rsidRDefault="00DC11BE" w:rsidP="00D77886">
      <w:pPr>
        <w:pStyle w:val="CorpoTexto"/>
        <w:rPr>
          <w:b/>
        </w:rPr>
      </w:pPr>
      <w:r w:rsidRPr="0094770E">
        <w:t xml:space="preserve">O conceito de reclamação foi estudado por diversos autores tendo, assim, várias definições. Há quem defenda ser uma conclusão de um ato de consumo onde o consumidor vivencia insatisfação </w:t>
      </w:r>
      <w:r w:rsidRPr="0094770E">
        <w:rPr>
          <w:noProof/>
        </w:rPr>
        <w:t>(Day, Schaetzle, Grabicke, &amp; Staubach, 1981)</w:t>
      </w:r>
      <w:r w:rsidRPr="0094770E">
        <w:t xml:space="preserve">, ou o ímpeto pessoal pela busca de uma compensação junto da empresa prestadora de serviço por parte do consumidor descontente </w:t>
      </w:r>
      <w:r w:rsidRPr="0094770E">
        <w:rPr>
          <w:noProof/>
        </w:rPr>
        <w:t>(Richins, 1982)</w:t>
      </w:r>
      <w:r w:rsidRPr="0094770E">
        <w:t xml:space="preserve">, uma maneira do consumidor tentar modificar uma situação que lhe foi desagradável </w:t>
      </w:r>
      <w:r w:rsidRPr="0094770E">
        <w:rPr>
          <w:noProof/>
        </w:rPr>
        <w:t>(Fornell &amp; Wernerfelt, 1987)</w:t>
      </w:r>
      <w:r w:rsidRPr="0094770E">
        <w:t xml:space="preserve">, ou até um meio reivindicativo utilizado pelo consumidor para exteriorizar a sua insatisfação </w:t>
      </w:r>
      <w:r w:rsidRPr="0094770E">
        <w:rPr>
          <w:noProof/>
        </w:rPr>
        <w:t>(Barlow &amp; Moller, 2008)</w:t>
      </w:r>
      <w:r w:rsidRPr="0094770E">
        <w:t>.</w:t>
      </w:r>
    </w:p>
    <w:p w:rsidR="00DC11BE" w:rsidRPr="0094770E" w:rsidRDefault="00DC11BE" w:rsidP="00D77886">
      <w:pPr>
        <w:pStyle w:val="CorpoTexto"/>
        <w:rPr>
          <w:b/>
        </w:rPr>
      </w:pPr>
      <w:r w:rsidRPr="0094770E">
        <w:t xml:space="preserve">Um cliente insatisfeito é parte fulcral no contexto das reclamações uma vez que a insatisfação pode ser considerada um fator necessário para a reclamação, contudo nem sempre é o suficiente para o início de uma e, em alguns casos, nem é considerado o impulsionador da mesma </w:t>
      </w:r>
      <w:r w:rsidRPr="0094770E">
        <w:rPr>
          <w:noProof/>
        </w:rPr>
        <w:t>(Singh, 1990)</w:t>
      </w:r>
      <w:r w:rsidRPr="0094770E">
        <w:t>.</w:t>
      </w:r>
    </w:p>
    <w:p w:rsidR="00DC11BE" w:rsidRPr="0094770E" w:rsidRDefault="00DC11BE" w:rsidP="00D77886">
      <w:pPr>
        <w:pStyle w:val="CorpoTexto"/>
        <w:rPr>
          <w:b/>
        </w:rPr>
      </w:pPr>
      <w:r w:rsidRPr="0094770E">
        <w:t xml:space="preserve">Da insatisfação resultante, o cliente pode adotar vários papéis, tendo em conta o seu âmbito ou o tipo de resposta que este pretende obter, agrupando, assim, as reclamações em dois tipos consoante as funções que lhes infligem. Quando o objetivo do reclamante é a solução </w:t>
      </w:r>
      <w:r w:rsidRPr="0094770E">
        <w:lastRenderedPageBreak/>
        <w:t xml:space="preserve">do problema a que se viu sujeito, ou seja, ter aquilo a que tem direito, estamos perante uma reclamação instrumental. Se, por outro lado, o objetivo principal do reclamante é de alguma forma vingar-se ou retaliar a organização, deixando para segundo plano a resolução do problema, estamos perante uma reclamação não instrumental </w:t>
      </w:r>
      <w:r w:rsidRPr="0094770E">
        <w:rPr>
          <w:noProof/>
        </w:rPr>
        <w:t>(Kolodinsky, 1992; Liu &amp; McClure, 2001)</w:t>
      </w:r>
      <w:r w:rsidRPr="0094770E">
        <w:t>.</w:t>
      </w:r>
    </w:p>
    <w:p w:rsidR="00DC11BE" w:rsidRPr="0094770E" w:rsidRDefault="00DC11BE" w:rsidP="00D77886">
      <w:pPr>
        <w:pStyle w:val="CorpoTexto"/>
        <w:rPr>
          <w:b/>
        </w:rPr>
      </w:pPr>
      <w:r w:rsidRPr="0094770E">
        <w:t xml:space="preserve">Existem, ainda, autores que, apoiando os conceitos de reclamação instrumental e não instrumental, apesar de na primeira compartilharem da ideia de que os consumidores pretendem a retificação de algo que não ocorreu como desejável, defendem que nas reclamações não instrumentais os consumidores não têm a expectativa de ver alterada a situação causadora da sua insatisfação por parte do prestador do serviço </w:t>
      </w:r>
      <w:r w:rsidRPr="0094770E">
        <w:rPr>
          <w:noProof/>
        </w:rPr>
        <w:t>(Bateson &amp; Hoffman, 2001; Zeithaml &amp; Bitner, 2003)</w:t>
      </w:r>
      <w:r w:rsidRPr="0094770E">
        <w:t>.</w:t>
      </w:r>
    </w:p>
    <w:p w:rsidR="00DC11BE" w:rsidRPr="0094770E" w:rsidRDefault="00DC11BE" w:rsidP="00D77886">
      <w:pPr>
        <w:pStyle w:val="CorpoTexto"/>
        <w:rPr>
          <w:b/>
        </w:rPr>
      </w:pPr>
      <w:r w:rsidRPr="0094770E">
        <w:t xml:space="preserve">Na área dos serviços, a reclamação não pode ser vista como uma mera resposta à insatisfação, uma vez que se trata de algo mais complexo. Entende-se que uma reclamação é um processo onde são experienciados pelas partes que interagem incidentes negativos, ou seja, o surgimento de uma reclamação verifica-se quando uma experiência negativa tem lugar e se posiciona abaixo do nível de aceitação do cliente, sendo que a anterior poderá ser desencadeada por diversos fatores </w:t>
      </w:r>
      <w:r w:rsidRPr="0094770E">
        <w:rPr>
          <w:noProof/>
        </w:rPr>
        <w:t>(Tronvoll, 2007)</w:t>
      </w:r>
      <w:r w:rsidRPr="0094770E">
        <w:t xml:space="preserve">. O conjunto de agentes que pode influenciar a reclamação de um cliente pode ter uma natureza isolada ou podem acontecer em paralelo </w:t>
      </w:r>
      <w:r w:rsidRPr="0094770E">
        <w:rPr>
          <w:noProof/>
        </w:rPr>
        <w:t>(Zeithaml &amp; Bitner, 1996)</w:t>
      </w:r>
      <w:r w:rsidRPr="0094770E">
        <w:t>.</w:t>
      </w:r>
    </w:p>
    <w:p w:rsidR="00DC11BE" w:rsidRPr="0094770E" w:rsidRDefault="00DC11BE" w:rsidP="00D77886">
      <w:pPr>
        <w:pStyle w:val="CorpoTexto"/>
        <w:rPr>
          <w:b/>
        </w:rPr>
      </w:pPr>
      <w:r w:rsidRPr="0094770E">
        <w:t xml:space="preserve">Nesse sentido, a reclamação por parte do cliente pode ser entendida sobre a perspetiva do modelo económico ou sobre o modelo comportamental. O modelo económico compreende que a reclamação dependerá de três componentes, dos custos percebidos, dos benefícios percebidos e, por último, da probabilidade de êxito na reclamação. O modelo comportamental, por sua parte, compreende componentes psicológicas, defendendo que a reclamação dependerá da habilidade e motivação do cliente </w:t>
      </w:r>
      <w:r w:rsidRPr="0094770E">
        <w:rPr>
          <w:noProof/>
        </w:rPr>
        <w:t>(Oliver, 1997)</w:t>
      </w:r>
      <w:r w:rsidRPr="0094770E">
        <w:t>.</w:t>
      </w:r>
    </w:p>
    <w:p w:rsidR="00DC11BE" w:rsidRPr="0094770E" w:rsidRDefault="00DC11BE" w:rsidP="00D77886">
      <w:pPr>
        <w:pStyle w:val="CorpoTexto"/>
        <w:rPr>
          <w:b/>
        </w:rPr>
      </w:pPr>
      <w:r w:rsidRPr="0094770E">
        <w:t xml:space="preserve">As reclamações são informação facultada pelos clientes a custo zero e ajudam a identificar erros de forma direta e detalhada. Por isso, quer a informação quer a reclamação, devem ser vistas pelas instituições com um valor inestimável pois ambas permitem reconhecer erros, dificuldades e analisar aspetos, métodos e processos por forma a </w:t>
      </w:r>
      <w:r w:rsidR="00D952E8" w:rsidRPr="0094770E">
        <w:t>melhorá-los</w:t>
      </w:r>
      <w:r w:rsidRPr="0094770E">
        <w:t xml:space="preserve"> </w:t>
      </w:r>
      <w:r w:rsidRPr="0094770E">
        <w:rPr>
          <w:noProof/>
        </w:rPr>
        <w:t>(Reichheld &amp; Sasser Jr, 1990)</w:t>
      </w:r>
      <w:r w:rsidRPr="0094770E">
        <w:t>.</w:t>
      </w:r>
    </w:p>
    <w:p w:rsidR="00DC11BE" w:rsidRPr="0094770E" w:rsidRDefault="00DC11BE" w:rsidP="00D77886">
      <w:pPr>
        <w:pStyle w:val="CorpoTexto"/>
        <w:rPr>
          <w:b/>
        </w:rPr>
      </w:pPr>
      <w:r w:rsidRPr="0094770E">
        <w:t xml:space="preserve">O prestador de serviço deve, por isso, incentivar a reclamação do cliente e não temer as suas atitudes ou o que ele possa dizer. As alternativas a uma não reclamação por parte do </w:t>
      </w:r>
      <w:r w:rsidRPr="0094770E">
        <w:lastRenderedPageBreak/>
        <w:t xml:space="preserve">consumidor serão sempre mais prejudiciais para a imagem da empresa e para a manutenção dos clientes e a tentativa das empresas em definir objetivos para ver reduzido o número de reclamações pode até ser perigosa. As empresas precisam de focar-se numa gestão de reclamações adequada e não na redução delas, gerando mais oportunidades para o seu cliente exprimir a sua insatisfação na prestação do serviço </w:t>
      </w:r>
      <w:r w:rsidRPr="0094770E">
        <w:rPr>
          <w:noProof/>
        </w:rPr>
        <w:t>(Barlow &amp; Moller, 2008)</w:t>
      </w:r>
      <w:r w:rsidRPr="0094770E">
        <w:t>.</w:t>
      </w:r>
    </w:p>
    <w:p w:rsidR="00DC11BE" w:rsidRPr="0094770E" w:rsidRDefault="00DC11BE" w:rsidP="00D77886">
      <w:pPr>
        <w:pStyle w:val="CorpoTexto"/>
        <w:rPr>
          <w:b/>
        </w:rPr>
      </w:pPr>
      <w:r w:rsidRPr="0094770E">
        <w:t xml:space="preserve">Organizar e planear estratégias e procedimentos revela-se crucial para que toda a empresa tenha incutida uma postura positiva perante a reclamação </w:t>
      </w:r>
      <w:r w:rsidRPr="0094770E">
        <w:rPr>
          <w:noProof/>
        </w:rPr>
        <w:t>(Lovelock &amp; Wirtz, 2007)</w:t>
      </w:r>
      <w:r w:rsidRPr="0094770E">
        <w:t>.</w:t>
      </w:r>
    </w:p>
    <w:p w:rsidR="00095BC8" w:rsidRDefault="00DC11BE" w:rsidP="005C5E61">
      <w:pPr>
        <w:pStyle w:val="CorpoTexto"/>
      </w:pPr>
      <w:r w:rsidRPr="0094770E">
        <w:t xml:space="preserve">Para satisfação do cliente, ao longo do processo de tratamento de reclamação há que ter em conta que a ação deve ser rápida </w:t>
      </w:r>
      <w:r w:rsidRPr="0094770E">
        <w:rPr>
          <w:noProof/>
        </w:rPr>
        <w:t>(Farkas, Moriel, &amp; Prat, 1983; Johnston &amp; Mehra, 2002; Stauss, 2002)</w:t>
      </w:r>
      <w:r w:rsidRPr="0094770E">
        <w:t xml:space="preserve"> para que não haja a possibilidade do cliente se sentir mais insatisfeito com a situação </w:t>
      </w:r>
      <w:r w:rsidRPr="0094770E">
        <w:rPr>
          <w:noProof/>
        </w:rPr>
        <w:t>(Lovelock &amp; Wirtz, 2007)</w:t>
      </w:r>
      <w:r w:rsidRPr="0094770E">
        <w:t xml:space="preserve">. O consumidor deve ser tratado com empatia, simpatia, cortesia e educação </w:t>
      </w:r>
      <w:r w:rsidRPr="0094770E">
        <w:rPr>
          <w:noProof/>
        </w:rPr>
        <w:t>(Stauss, 2002)</w:t>
      </w:r>
      <w:r w:rsidRPr="0094770E">
        <w:t>.</w:t>
      </w:r>
    </w:p>
    <w:p w:rsidR="006425F7" w:rsidRPr="0094770E" w:rsidRDefault="006425F7" w:rsidP="005C5E61">
      <w:pPr>
        <w:pStyle w:val="CorpoTexto"/>
        <w:rPr>
          <w:b/>
        </w:rPr>
      </w:pPr>
    </w:p>
    <w:p w:rsidR="00DC11BE" w:rsidRPr="0094770E" w:rsidRDefault="00DC11BE" w:rsidP="00A32A19">
      <w:pPr>
        <w:pStyle w:val="Nvel2"/>
      </w:pPr>
      <w:bookmarkStart w:id="29" w:name="_Toc37177051"/>
      <w:bookmarkStart w:id="30" w:name="_Toc46678973"/>
      <w:r w:rsidRPr="0094770E">
        <w:t>Recuperação de serviço</w:t>
      </w:r>
      <w:bookmarkEnd w:id="29"/>
      <w:bookmarkEnd w:id="30"/>
    </w:p>
    <w:p w:rsidR="00DC11BE" w:rsidRPr="0094770E" w:rsidRDefault="00DC11BE" w:rsidP="00D77886">
      <w:pPr>
        <w:pStyle w:val="CorpoTexto"/>
        <w:rPr>
          <w:b/>
        </w:rPr>
      </w:pPr>
      <w:r w:rsidRPr="0094770E">
        <w:t xml:space="preserve">A recuperação de serviços está intimamente ligada à gestão de reclamações uma vez que ambas são provenientes de uma falha no serviço. Contudo, diferem na medida em que uma se trata da habilidade que a empresa possui em reagir a uma falha de serviço de imediato, de forma a satisfazer o cliente antes que este sinta a necessidade de reclamar e, a outra, se refere à reação da empresa a uma queixa efetiva do cliente, respetivamente </w:t>
      </w:r>
      <w:r w:rsidRPr="0094770E">
        <w:rPr>
          <w:noProof/>
        </w:rPr>
        <w:t>(Miller, Craighead, &amp; Karwan, 2000)</w:t>
      </w:r>
      <w:r w:rsidRPr="0094770E">
        <w:t>.</w:t>
      </w:r>
    </w:p>
    <w:p w:rsidR="00DC11BE" w:rsidRPr="0094770E" w:rsidRDefault="00DC11BE" w:rsidP="00D77886">
      <w:pPr>
        <w:pStyle w:val="CorpoTexto"/>
        <w:rPr>
          <w:b/>
        </w:rPr>
      </w:pPr>
      <w:r w:rsidRPr="0094770E">
        <w:t xml:space="preserve">Ao depararem-se com a falha no serviço, os consumidores podem reclamar e dar, assim a oportunidade ao prestador de serviço de retificar o erro ou, então, não reclamar de todo </w:t>
      </w:r>
      <w:r w:rsidRPr="0094770E">
        <w:rPr>
          <w:noProof/>
        </w:rPr>
        <w:t>(Sabharwal, Soch, &amp; Kaur, 2010)</w:t>
      </w:r>
      <w:r w:rsidRPr="0094770E">
        <w:t>.</w:t>
      </w:r>
    </w:p>
    <w:p w:rsidR="00DC11BE" w:rsidRPr="0094770E" w:rsidRDefault="00DC11BE" w:rsidP="00D77886">
      <w:pPr>
        <w:pStyle w:val="CorpoTexto"/>
        <w:rPr>
          <w:b/>
        </w:rPr>
      </w:pPr>
      <w:r w:rsidRPr="0094770E">
        <w:t xml:space="preserve">Os estudos realizados com a finalidade de compreender de que forma os clientes avaliam uma recuperação de serviços têm-se fundamentado na teoria da equidade </w:t>
      </w:r>
      <w:r w:rsidRPr="0094770E">
        <w:rPr>
          <w:noProof/>
        </w:rPr>
        <w:t>(Blodgett, Granbois, &amp; Walters, 1993; Goodwin &amp; Ross, 1992; Kelley &amp; Davis, 1994)</w:t>
      </w:r>
      <w:r w:rsidRPr="0094770E">
        <w:t xml:space="preserve">. Uma teoria que assenta no processo motivacional resultante da comparação feita pelos indivíduos daquilo que investem e da recompensa que terão de uma transação, esta última também comparada com outras experiências semelhantes vivenciadas por outros sujeitos </w:t>
      </w:r>
      <w:r w:rsidRPr="0094770E">
        <w:rPr>
          <w:noProof/>
        </w:rPr>
        <w:t>(Maxham, 2001)</w:t>
      </w:r>
      <w:r w:rsidRPr="0094770E">
        <w:t>.</w:t>
      </w:r>
    </w:p>
    <w:p w:rsidR="00DC11BE" w:rsidRPr="0094770E" w:rsidRDefault="00DC11BE" w:rsidP="00D77886">
      <w:pPr>
        <w:pStyle w:val="CorpoTexto"/>
        <w:rPr>
          <w:b/>
        </w:rPr>
      </w:pPr>
      <w:r w:rsidRPr="0094770E">
        <w:lastRenderedPageBreak/>
        <w:t xml:space="preserve">São estabelecidas expetativas, por parte dos consumidores, em relação aos esforços feitos pelo prestador de serviços numa recuperação de serviço </w:t>
      </w:r>
      <w:r w:rsidRPr="0094770E">
        <w:rPr>
          <w:noProof/>
        </w:rPr>
        <w:t>(Ok, Back, &amp; Shanklin, 2007)</w:t>
      </w:r>
      <w:r w:rsidRPr="0094770E">
        <w:t xml:space="preserve">. Aquando de uma falha de serviço em curso, os clientes reagem positivamente a elementos tangíveis (descontos, créditos, ofertas de serviços equivalentes) </w:t>
      </w:r>
      <w:r w:rsidRPr="0094770E">
        <w:rPr>
          <w:noProof/>
        </w:rPr>
        <w:t>(Kelley &amp; Davis, 1994; Ruyter &amp; Wetzels, 2000)</w:t>
      </w:r>
      <w:r w:rsidRPr="0094770E">
        <w:t xml:space="preserve">, assim como aos recursos e processos utilizados numa recuperação </w:t>
      </w:r>
      <w:r w:rsidRPr="0094770E">
        <w:rPr>
          <w:noProof/>
        </w:rPr>
        <w:t>(Blodgett, Hill, &amp; Tax, 1997; Conlon &amp; Murray, 1996; Maxham &amp; Netemeyer, 2002; Ok et al., 2007; Ruyter &amp; Wetzels, 2000; Tax et al., 1998)</w:t>
      </w:r>
      <w:r w:rsidRPr="0094770E">
        <w:t>.</w:t>
      </w:r>
    </w:p>
    <w:p w:rsidR="00DC11BE" w:rsidRPr="0094770E" w:rsidRDefault="00DC11BE" w:rsidP="00D77886">
      <w:pPr>
        <w:pStyle w:val="CorpoTexto"/>
        <w:rPr>
          <w:b/>
        </w:rPr>
      </w:pPr>
      <w:r w:rsidRPr="0094770E">
        <w:t xml:space="preserve">A forma como as empresas respondem à falha de serviço vai ser decisiva para o seu sucesso, é então fulcral que as organizações desenvolvam estratégias eficazes de recuperação de serviço </w:t>
      </w:r>
      <w:r w:rsidRPr="0094770E">
        <w:rPr>
          <w:noProof/>
        </w:rPr>
        <w:t>(Maxham &amp; Netemeyer, 2002)</w:t>
      </w:r>
      <w:r w:rsidRPr="0094770E">
        <w:t>.</w:t>
      </w:r>
    </w:p>
    <w:p w:rsidR="00DC11BE" w:rsidRPr="0094770E" w:rsidRDefault="00DC11BE" w:rsidP="00D77886">
      <w:pPr>
        <w:pStyle w:val="CorpoTexto"/>
        <w:rPr>
          <w:b/>
        </w:rPr>
      </w:pPr>
      <w:r w:rsidRPr="0094770E">
        <w:t xml:space="preserve">As respostas emocionais às falhas de produto/serviço dos consumidores são totalmente baseadas numa experiência insatisfatória e, portanto, podem ser apenas negativas, enquanto os encontros de recuperação de serviço incluem todas as ações tomadas pelo fornecedor do serviço para tentar resolver o problema que o cliente tem com a organização </w:t>
      </w:r>
      <w:r w:rsidRPr="0094770E">
        <w:rPr>
          <w:noProof/>
        </w:rPr>
        <w:t>(Zharov, Kim, Curiel, &amp; Everts, 2005)</w:t>
      </w:r>
      <w:r w:rsidRPr="0094770E">
        <w:t>.</w:t>
      </w:r>
    </w:p>
    <w:p w:rsidR="00DC11BE" w:rsidRPr="0094770E" w:rsidRDefault="00DC11BE" w:rsidP="00D77886">
      <w:pPr>
        <w:pStyle w:val="CorpoTexto"/>
        <w:rPr>
          <w:b/>
        </w:rPr>
      </w:pPr>
      <w:r w:rsidRPr="0094770E">
        <w:t xml:space="preserve">A recuperação de serviço é entendida como um procedimento com objetivo final a satisfação do cliente, e em que é tratado um episódio onde o cliente experienciou uma falha no serviço. Facultar informações ao consumidor sobre as razões que estiveram na raiz dessa falha mostra-se crucial para a sua satisfação. Pedir desculpas, oferecer compensações, criar empatia, entre outras, são algumas das técnicas utilizadas pelas empresas num processo de tratamento de uma recuperação de falha de serviço </w:t>
      </w:r>
      <w:r w:rsidRPr="0094770E">
        <w:rPr>
          <w:noProof/>
        </w:rPr>
        <w:t>(Sparks &amp; McColl-Kennedy, 2001)</w:t>
      </w:r>
      <w:r w:rsidRPr="0094770E">
        <w:t>.</w:t>
      </w:r>
    </w:p>
    <w:p w:rsidR="00DC11BE" w:rsidRPr="0094770E" w:rsidRDefault="00DC11BE" w:rsidP="00D77886">
      <w:pPr>
        <w:pStyle w:val="CorpoTexto"/>
        <w:rPr>
          <w:b/>
        </w:rPr>
      </w:pPr>
      <w:r w:rsidRPr="0094770E">
        <w:t xml:space="preserve">A empresa deve demonstrar que compreende o porque do cliente se sentir insatisfeito e como este se sente </w:t>
      </w:r>
      <w:r w:rsidRPr="0094770E">
        <w:rPr>
          <w:noProof/>
        </w:rPr>
        <w:t>(Lovelock &amp; Wirtz, 2007; Stauss, 2002)</w:t>
      </w:r>
      <w:r w:rsidRPr="0094770E">
        <w:t xml:space="preserve"> individualizando a resposta e adaptando-a à questão e desejos do consumidor </w:t>
      </w:r>
      <w:r w:rsidRPr="0094770E">
        <w:rPr>
          <w:noProof/>
        </w:rPr>
        <w:t>(Stauss, 2002)</w:t>
      </w:r>
      <w:r w:rsidRPr="0094770E">
        <w:t xml:space="preserve">. O pessoal de contacto deve conversar pacientemente com o cliente e evitar qualquer tipo de confronto ou discussão </w:t>
      </w:r>
      <w:r w:rsidRPr="0094770E">
        <w:rPr>
          <w:noProof/>
        </w:rPr>
        <w:t>(Nyer, 2000)</w:t>
      </w:r>
      <w:r w:rsidRPr="0094770E">
        <w:t>.</w:t>
      </w:r>
    </w:p>
    <w:p w:rsidR="00DC11BE" w:rsidRPr="0094770E" w:rsidRDefault="00DC11BE" w:rsidP="00D77886">
      <w:pPr>
        <w:pStyle w:val="CorpoTexto"/>
        <w:rPr>
          <w:b/>
        </w:rPr>
      </w:pPr>
      <w:r w:rsidRPr="0094770E">
        <w:t xml:space="preserve">Informar o cliente dos procedimentos que terão lugar numa situação em que a falha não seja de possível solução na hora mostra-se determinante para garantir a sua satisfação </w:t>
      </w:r>
      <w:r w:rsidRPr="0094770E">
        <w:rPr>
          <w:noProof/>
        </w:rPr>
        <w:t>(Hennig-Thurau &amp; Hansen, 2000; Johnston &amp; Mehra, 2002; Nyer, 2000</w:t>
      </w:r>
      <w:r w:rsidR="00095BC8" w:rsidRPr="0094770E">
        <w:rPr>
          <w:noProof/>
        </w:rPr>
        <w:t>)</w:t>
      </w:r>
      <w:r w:rsidR="00095BC8" w:rsidRPr="0094770E">
        <w:t xml:space="preserve"> assim</w:t>
      </w:r>
      <w:r w:rsidRPr="0094770E">
        <w:t xml:space="preserve"> como </w:t>
      </w:r>
      <w:r w:rsidR="00095BC8" w:rsidRPr="0094770E">
        <w:t>informá-lo</w:t>
      </w:r>
      <w:r w:rsidRPr="0094770E">
        <w:t xml:space="preserve"> dos eventuais progressos </w:t>
      </w:r>
      <w:r w:rsidRPr="0094770E">
        <w:rPr>
          <w:noProof/>
        </w:rPr>
        <w:t>(Johnston &amp; Mehra, 2002; Stauss, 2002)</w:t>
      </w:r>
      <w:r w:rsidRPr="0094770E">
        <w:t xml:space="preserve">. A compensação a ser dada ao cliente, em caso disso, só o satisfará se for justa e adequada </w:t>
      </w:r>
      <w:r w:rsidRPr="0094770E">
        <w:rPr>
          <w:noProof/>
        </w:rPr>
        <w:t>(Lovelock &amp; Wirtz, 2007; Nyer, 2000; Stauss, 2002)</w:t>
      </w:r>
      <w:r w:rsidRPr="0094770E">
        <w:t>.</w:t>
      </w:r>
    </w:p>
    <w:p w:rsidR="00DC11BE" w:rsidRPr="0094770E" w:rsidRDefault="00DC11BE" w:rsidP="00D77886">
      <w:pPr>
        <w:pStyle w:val="CorpoTexto"/>
        <w:rPr>
          <w:b/>
        </w:rPr>
      </w:pPr>
      <w:r w:rsidRPr="0094770E">
        <w:lastRenderedPageBreak/>
        <w:t xml:space="preserve">Quando a temática da recuperação de serviços é abordada, há componentes chave que devem ser considerados como, por exemplo, as avaliações relacionadas com a satisfação e retenção dos clientes, as fases de uma recuperação, o tipo de atividades inseridos nesta, recuperações anteriores, efetiva prestação do serviço de recuperação </w:t>
      </w:r>
      <w:r w:rsidRPr="0094770E">
        <w:rPr>
          <w:noProof/>
        </w:rPr>
        <w:t>(Miller et al., 2000)</w:t>
      </w:r>
      <w:r w:rsidRPr="0094770E">
        <w:t>.</w:t>
      </w:r>
    </w:p>
    <w:p w:rsidR="00DC11BE" w:rsidRPr="0094770E" w:rsidRDefault="00DC11BE" w:rsidP="00D77886">
      <w:pPr>
        <w:pStyle w:val="CorpoTexto"/>
        <w:rPr>
          <w:b/>
        </w:rPr>
      </w:pPr>
      <w:r w:rsidRPr="0094770E">
        <w:t xml:space="preserve">O pessoal de contacto tem um papel fundamental na grande parte do processo de recuperação de serviço, o que leva a que sejam identificados como representantes das organizações e que avaliem todo o processo através do seu desempenho </w:t>
      </w:r>
      <w:r w:rsidRPr="0094770E">
        <w:rPr>
          <w:noProof/>
        </w:rPr>
        <w:t>(Liao, 2007)</w:t>
      </w:r>
      <w:r w:rsidRPr="0094770E">
        <w:t xml:space="preserve">. A maneira como o pessoal de contacto dá resposta a uma reclamação sobre uma falha de serviço é, como frequência, também motivo de insatisfação do cliente </w:t>
      </w:r>
      <w:r w:rsidRPr="0094770E">
        <w:rPr>
          <w:noProof/>
        </w:rPr>
        <w:t>(Spreng, Harrell, &amp; Mackoy, 1995)</w:t>
      </w:r>
      <w:r w:rsidRPr="0094770E">
        <w:t>.</w:t>
      </w:r>
    </w:p>
    <w:p w:rsidR="00DC11BE" w:rsidRPr="0094770E" w:rsidRDefault="00DC11BE" w:rsidP="00D77886">
      <w:pPr>
        <w:pStyle w:val="CorpoTexto"/>
        <w:rPr>
          <w:b/>
        </w:rPr>
      </w:pPr>
      <w:r w:rsidRPr="0094770E">
        <w:t xml:space="preserve">Aperfeiçoar as estratégias e instrumentos de tratamento e resolução de reclamações para que os seus resultados sejam mais favoravelmente apercebidos fazem parte de uma favorável estratégia global de gestão de reclamações. O prestador do serviço ser e mostrar-se recetivo à reclamação do cliente é o primeiro passo a concretizar, facilitar o acesso do consumidor ao pessoal de contacto é um bom exemplo desse recetividade </w:t>
      </w:r>
      <w:r w:rsidRPr="0094770E">
        <w:rPr>
          <w:noProof/>
        </w:rPr>
        <w:t>(Battaglia &amp; Borchardt, 2010)</w:t>
      </w:r>
      <w:r w:rsidRPr="0094770E">
        <w:t>.</w:t>
      </w:r>
    </w:p>
    <w:p w:rsidR="00DC11BE" w:rsidRDefault="00DC11BE" w:rsidP="00D77886">
      <w:pPr>
        <w:pStyle w:val="CorpoTexto"/>
        <w:rPr>
          <w:b/>
        </w:rPr>
      </w:pPr>
      <w:r w:rsidRPr="0094770E">
        <w:t xml:space="preserve">Na recuperação de um serviço, a forma como o pessoal de contacto atua e comunica com o cliente pode tornar este num momento de satisfação ou de insatisfação </w:t>
      </w:r>
      <w:r w:rsidRPr="0094770E">
        <w:rPr>
          <w:noProof/>
        </w:rPr>
        <w:t>(Bitner et al., 1990)</w:t>
      </w:r>
      <w:r w:rsidRPr="0094770E">
        <w:t>.</w:t>
      </w:r>
    </w:p>
    <w:p w:rsidR="00095BC8" w:rsidRPr="0094770E" w:rsidRDefault="00095BC8" w:rsidP="004E3707">
      <w:pPr>
        <w:pStyle w:val="CTITULO"/>
        <w:rPr>
          <w:rFonts w:ascii="Garamond" w:hAnsi="Garamond"/>
          <w:b w:val="0"/>
        </w:rPr>
      </w:pPr>
    </w:p>
    <w:p w:rsidR="00DC11BE" w:rsidRPr="000D65DA" w:rsidRDefault="00DC11BE" w:rsidP="00A32A19">
      <w:pPr>
        <w:pStyle w:val="Nvel2"/>
        <w:rPr>
          <w:lang w:val="pt-PT"/>
        </w:rPr>
      </w:pPr>
      <w:bookmarkStart w:id="31" w:name="_Toc37177052"/>
      <w:bookmarkStart w:id="32" w:name="_Toc46678974"/>
      <w:r w:rsidRPr="000D65DA">
        <w:rPr>
          <w:lang w:val="pt-PT"/>
        </w:rPr>
        <w:t>Respostas do pessoal de contacto na recuperação do serviço</w:t>
      </w:r>
      <w:bookmarkEnd w:id="31"/>
      <w:bookmarkEnd w:id="32"/>
    </w:p>
    <w:p w:rsidR="00DC11BE" w:rsidRPr="0094770E" w:rsidRDefault="00DC11BE" w:rsidP="00D77886">
      <w:pPr>
        <w:pStyle w:val="CorpoTexto"/>
      </w:pPr>
      <w:r w:rsidRPr="0094770E">
        <w:t xml:space="preserve">Nos momentos que ocorrem falhas nos serviços, a importância do pessoal de contacto ganha uma atenção especial pois são os primeiros a terem contacto com os problemas e são os mais bem posicionados para determinarem que orientação o serviço deve tomar a fim de satisfazer o cliente </w:t>
      </w:r>
      <w:r w:rsidRPr="0094770E">
        <w:rPr>
          <w:noProof/>
        </w:rPr>
        <w:t>(Hart, Heskett, &amp; Sasser, 1990)</w:t>
      </w:r>
      <w:r w:rsidRPr="0094770E">
        <w:t xml:space="preserve">. O comportamento e todas as atividades executadas pelo pessoal de contacto terão impacto na satisfação do cliente </w:t>
      </w:r>
      <w:r w:rsidRPr="0094770E">
        <w:rPr>
          <w:noProof/>
        </w:rPr>
        <w:t>(Bitner et al., 1990; Buée et al., 2002)</w:t>
      </w:r>
      <w:r w:rsidRPr="0094770E">
        <w:t>.</w:t>
      </w:r>
    </w:p>
    <w:p w:rsidR="00DC11BE" w:rsidRPr="0094770E" w:rsidRDefault="00DC11BE" w:rsidP="00D77886">
      <w:pPr>
        <w:pStyle w:val="CorpoTexto"/>
        <w:rPr>
          <w:b/>
        </w:rPr>
      </w:pPr>
      <w:r w:rsidRPr="0094770E">
        <w:t xml:space="preserve">A gestão das reclamações feita pelas empresas tende a ser compreendida como um seguimento de episódios que se inicia com a verbalização da reclamação e origina todo o processo de interação </w:t>
      </w:r>
      <w:r w:rsidRPr="0094770E">
        <w:rPr>
          <w:noProof/>
        </w:rPr>
        <w:t>(McCole, 2004)</w:t>
      </w:r>
      <w:r w:rsidRPr="0094770E">
        <w:t>.</w:t>
      </w:r>
    </w:p>
    <w:p w:rsidR="00DC11BE" w:rsidRPr="0094770E" w:rsidRDefault="00DC11BE" w:rsidP="00D77886">
      <w:pPr>
        <w:pStyle w:val="CorpoTexto"/>
        <w:rPr>
          <w:b/>
        </w:rPr>
      </w:pPr>
      <w:r w:rsidRPr="0094770E">
        <w:t xml:space="preserve">O encontro de interações pessoais entre cliente e funcionário que são as respostas organizacionais têm uma duração no tempo determinada </w:t>
      </w:r>
      <w:r w:rsidRPr="0094770E">
        <w:rPr>
          <w:noProof/>
        </w:rPr>
        <w:t>(Karatepe, 2006)</w:t>
      </w:r>
      <w:r w:rsidRPr="0094770E">
        <w:t xml:space="preserve"> e, dependendo da </w:t>
      </w:r>
      <w:r w:rsidRPr="0094770E">
        <w:lastRenderedPageBreak/>
        <w:t xml:space="preserve">dimensão estratégica utilizada pela organização, influenciará o comportamento do cliente depois da reclamação </w:t>
      </w:r>
      <w:r w:rsidRPr="0094770E">
        <w:rPr>
          <w:noProof/>
        </w:rPr>
        <w:t>(Ayers &amp; Griffin, 1997).</w:t>
      </w:r>
    </w:p>
    <w:p w:rsidR="00DC11BE" w:rsidRPr="0094770E" w:rsidRDefault="00DC11BE" w:rsidP="00D77886">
      <w:pPr>
        <w:pStyle w:val="CorpoTexto"/>
        <w:rPr>
          <w:b/>
        </w:rPr>
      </w:pPr>
      <w:r w:rsidRPr="0094770E">
        <w:t xml:space="preserve">A maneira mais eficaz de solucionar as falhas nos serviços está na capacidade do pessoal de contacto em identificar e solucionar o problema </w:t>
      </w:r>
      <w:r w:rsidRPr="0094770E">
        <w:rPr>
          <w:noProof/>
        </w:rPr>
        <w:t>(Hart et al., 1990)</w:t>
      </w:r>
      <w:r w:rsidRPr="0094770E">
        <w:t xml:space="preserve">, tornando-se elementar que os funcionários tenham claro que o seu objetivo principal é de servir o cliente o melhor possível e como é imprescindível alcançar esse mesmo objetivo </w:t>
      </w:r>
      <w:r w:rsidRPr="0094770E">
        <w:rPr>
          <w:noProof/>
        </w:rPr>
        <w:t>(Mello, Neto, Fonseca, &amp; Leão, 2004)</w:t>
      </w:r>
      <w:r w:rsidRPr="0094770E">
        <w:t>.</w:t>
      </w:r>
    </w:p>
    <w:p w:rsidR="00DC11BE" w:rsidRPr="0094770E" w:rsidRDefault="00DC11BE" w:rsidP="00D77886">
      <w:pPr>
        <w:pStyle w:val="CorpoTexto"/>
        <w:rPr>
          <w:b/>
        </w:rPr>
      </w:pPr>
      <w:r w:rsidRPr="0094770E">
        <w:t xml:space="preserve">Os colaboradores não devem tratar os problemas todos de igual forma, estar agarrados a rotinas nem a regulamentos inflexíveis. Estes necessitam de receber formação que lhes mostre como tomar decisões por conta própria e que os capacite a serem mais sensíveis para com as necessidades dos consumidores para se sentirem aptos a tomarem a iniciativa, de contornar as regras e até de improvisar </w:t>
      </w:r>
      <w:r w:rsidRPr="0094770E">
        <w:rPr>
          <w:noProof/>
        </w:rPr>
        <w:t>(Hart et al., 1990)</w:t>
      </w:r>
      <w:r w:rsidRPr="0094770E">
        <w:t>.</w:t>
      </w:r>
    </w:p>
    <w:p w:rsidR="00DC11BE" w:rsidRPr="0094770E" w:rsidRDefault="00DC11BE" w:rsidP="00D77886">
      <w:pPr>
        <w:pStyle w:val="CorpoTexto"/>
        <w:rPr>
          <w:b/>
        </w:rPr>
      </w:pPr>
      <w:r w:rsidRPr="0094770E">
        <w:t xml:space="preserve">Conceder poder ao pessoal de contacto exibe, de igual forma, um papel relevante no tratamento das reclamações. Uma estratégia que permite aos colaboradores tomarem decisões autonomamente, procurarem soluções com o intuito de mitigarem a insatisfação do cliente sem que estes sintam algum tipo de constrangimento ou medo de ser alvo de algum castigo por isso </w:t>
      </w:r>
      <w:r w:rsidRPr="0094770E">
        <w:rPr>
          <w:noProof/>
        </w:rPr>
        <w:t>(Johnston &amp; Mehra, 2002)</w:t>
      </w:r>
      <w:r w:rsidRPr="0094770E">
        <w:t>.</w:t>
      </w:r>
    </w:p>
    <w:p w:rsidR="00DC11BE" w:rsidRPr="0094770E" w:rsidRDefault="00DC11BE" w:rsidP="004E3707">
      <w:pPr>
        <w:pStyle w:val="CTITULO"/>
        <w:rPr>
          <w:rFonts w:ascii="Garamond" w:hAnsi="Garamond"/>
          <w:b w:val="0"/>
        </w:rPr>
      </w:pPr>
      <w:r w:rsidRPr="0094770E">
        <w:rPr>
          <w:rFonts w:ascii="Garamond" w:hAnsi="Garamond"/>
          <w:b w:val="0"/>
        </w:rPr>
        <w:t xml:space="preserve">A resposta de uma empresa a uma reclamação de um cliente para ser considerada eficiente deve transparecer que o funcionário nutre preocupação com o cliente e que mobiliza o seu trabalho para solucionar o problema deste </w:t>
      </w:r>
      <w:r w:rsidRPr="0094770E">
        <w:rPr>
          <w:rFonts w:ascii="Garamond" w:hAnsi="Garamond"/>
          <w:b w:val="0"/>
          <w:noProof/>
        </w:rPr>
        <w:t>(Borges et al., 2010; Johnston &amp; Fern, 1999)</w:t>
      </w:r>
      <w:r w:rsidRPr="0094770E">
        <w:rPr>
          <w:rFonts w:ascii="Garamond" w:hAnsi="Garamond"/>
          <w:b w:val="0"/>
        </w:rPr>
        <w:t xml:space="preserve">. O colaborador deverá demonstrar que detém conhecimento sobre o problema e que está disposto a esclarecer ao cliente o que correu errado </w:t>
      </w:r>
      <w:r w:rsidRPr="0094770E">
        <w:rPr>
          <w:rFonts w:ascii="Garamond" w:hAnsi="Garamond"/>
          <w:b w:val="0"/>
          <w:noProof/>
        </w:rPr>
        <w:t>(Lind et al., 1990; Maxham &amp; Netemeyer, 2002; Wirtz &amp; Mattila, 2004)</w:t>
      </w:r>
      <w:r w:rsidRPr="0094770E">
        <w:rPr>
          <w:rFonts w:ascii="Garamond" w:hAnsi="Garamond"/>
          <w:b w:val="0"/>
        </w:rPr>
        <w:t xml:space="preserve"> quando assim o achar necessário, assim como oferecer compensação </w:t>
      </w:r>
      <w:r w:rsidRPr="0094770E">
        <w:rPr>
          <w:rFonts w:ascii="Garamond" w:hAnsi="Garamond"/>
          <w:b w:val="0"/>
          <w:noProof/>
        </w:rPr>
        <w:t>(Bitner et al., 1990; Maxham &amp; Netemeyer, 2002)</w:t>
      </w:r>
      <w:r w:rsidRPr="0094770E">
        <w:rPr>
          <w:rFonts w:ascii="Garamond" w:hAnsi="Garamond"/>
          <w:b w:val="0"/>
        </w:rPr>
        <w:t>.</w:t>
      </w:r>
    </w:p>
    <w:p w:rsidR="00DC11BE" w:rsidRDefault="00DC11BE" w:rsidP="004E3707">
      <w:pPr>
        <w:rPr>
          <w:rFonts w:ascii="Garamond" w:hAnsi="Garamond" w:cs="Times New Roman"/>
          <w:sz w:val="24"/>
          <w:szCs w:val="24"/>
        </w:rPr>
      </w:pPr>
      <w:r w:rsidRPr="0094770E">
        <w:rPr>
          <w:rFonts w:ascii="Garamond" w:hAnsi="Garamond" w:cs="Times New Roman"/>
          <w:sz w:val="24"/>
          <w:szCs w:val="24"/>
        </w:rPr>
        <w:t xml:space="preserve">Estudos comprovam a classificação de encontros de serviços como satisfatórios ou não satisfatórios determinada pelo comportamento do pessoal de contacto após a falha de serviço </w:t>
      </w:r>
      <w:r w:rsidRPr="0094770E">
        <w:rPr>
          <w:rFonts w:ascii="Garamond" w:hAnsi="Garamond" w:cs="Times New Roman"/>
          <w:noProof/>
          <w:sz w:val="24"/>
          <w:szCs w:val="24"/>
        </w:rPr>
        <w:t>(Bitner et al., 1990)</w:t>
      </w:r>
      <w:r w:rsidRPr="0094770E">
        <w:rPr>
          <w:rFonts w:ascii="Garamond" w:hAnsi="Garamond" w:cs="Times New Roman"/>
          <w:sz w:val="24"/>
          <w:szCs w:val="24"/>
        </w:rPr>
        <w:t xml:space="preserve">, especificando que quase metade dos que foram classificados como insatisfatórios tiveram funcionários de contacto pouco ou nada motivados em responder à falha </w:t>
      </w:r>
      <w:r w:rsidRPr="0094770E">
        <w:rPr>
          <w:rFonts w:ascii="Garamond" w:hAnsi="Garamond" w:cs="Times New Roman"/>
          <w:noProof/>
          <w:sz w:val="24"/>
          <w:szCs w:val="24"/>
        </w:rPr>
        <w:t>(Nyer, 2000)</w:t>
      </w:r>
      <w:r w:rsidRPr="0094770E">
        <w:rPr>
          <w:rFonts w:ascii="Garamond" w:hAnsi="Garamond" w:cs="Times New Roman"/>
          <w:sz w:val="24"/>
          <w:szCs w:val="24"/>
        </w:rPr>
        <w:t>.</w:t>
      </w:r>
    </w:p>
    <w:p w:rsidR="00D77886" w:rsidRPr="0094770E" w:rsidRDefault="00D77886" w:rsidP="004E3707">
      <w:pPr>
        <w:rPr>
          <w:rFonts w:ascii="Garamond" w:hAnsi="Garamond" w:cs="Times New Roman"/>
          <w:sz w:val="24"/>
          <w:szCs w:val="24"/>
        </w:rPr>
      </w:pPr>
    </w:p>
    <w:p w:rsidR="00DC11BE" w:rsidRPr="0094770E" w:rsidRDefault="00DC11BE" w:rsidP="00A32A19">
      <w:pPr>
        <w:pStyle w:val="Nvel2"/>
      </w:pPr>
      <w:bookmarkStart w:id="33" w:name="_Toc37177053"/>
      <w:bookmarkStart w:id="34" w:name="_Toc46678975"/>
      <w:r w:rsidRPr="0094770E">
        <w:lastRenderedPageBreak/>
        <w:t>Emoções</w:t>
      </w:r>
      <w:bookmarkEnd w:id="33"/>
      <w:bookmarkEnd w:id="34"/>
    </w:p>
    <w:p w:rsidR="00095BC8" w:rsidRDefault="00DC11BE" w:rsidP="00D77886">
      <w:pPr>
        <w:pStyle w:val="CorpoTexto"/>
        <w:rPr>
          <w:b/>
        </w:rPr>
      </w:pPr>
      <w:r w:rsidRPr="0094770E">
        <w:t xml:space="preserve">As emoções são reações positivas ou negativas que surgem como consequência de eventos ou circunstâncias específicas, desencadeadas por algo ou alguém e que, por isso, podem ser atribuídas a uma determinada entidade ou objeto de atitude </w:t>
      </w:r>
      <w:r w:rsidRPr="0094770E">
        <w:rPr>
          <w:noProof/>
        </w:rPr>
        <w:t>(Bagozzi, Gopinath, &amp; Nyer, 1999).</w:t>
      </w:r>
    </w:p>
    <w:p w:rsidR="00DC11BE" w:rsidRPr="0094770E" w:rsidRDefault="00DC11BE" w:rsidP="00D77886">
      <w:pPr>
        <w:pStyle w:val="CorpoTexto"/>
        <w:rPr>
          <w:b/>
        </w:rPr>
      </w:pPr>
      <w:r w:rsidRPr="0094770E">
        <w:t xml:space="preserve">Estudos caracterizam as emoções no intervalo de dois tipos, como emoções positivas e negativas </w:t>
      </w:r>
      <w:r w:rsidRPr="0094770E">
        <w:rPr>
          <w:noProof/>
        </w:rPr>
        <w:t>(Hills, James, Paterson, &amp; Smith, 1980; Oliver, 1994)</w:t>
      </w:r>
      <w:r w:rsidRPr="0094770E">
        <w:t xml:space="preserve">, outros admitem uma construção mais complexa, compreendem cinco ou mais tipos de emoções </w:t>
      </w:r>
      <w:r w:rsidRPr="0094770E">
        <w:rPr>
          <w:noProof/>
        </w:rPr>
        <w:t>(Bonnet, 1972; Liljander &amp; Strandvik, 1997)</w:t>
      </w:r>
      <w:r w:rsidRPr="0094770E">
        <w:t>.</w:t>
      </w:r>
    </w:p>
    <w:p w:rsidR="00DC11BE" w:rsidRPr="0094770E" w:rsidRDefault="00DC11BE" w:rsidP="00D77886">
      <w:pPr>
        <w:pStyle w:val="CorpoTexto"/>
        <w:rPr>
          <w:b/>
        </w:rPr>
      </w:pPr>
      <w:r w:rsidRPr="0094770E">
        <w:t xml:space="preserve">Há autores que distinguem entre emoções trazidas por si e aquelas que ocorrem devido a outras circunstâncias </w:t>
      </w:r>
      <w:r w:rsidRPr="0094770E">
        <w:rPr>
          <w:noProof/>
        </w:rPr>
        <w:t>(C. Smith &amp; Ellsworth, 1985)</w:t>
      </w:r>
      <w:r w:rsidRPr="0094770E">
        <w:t xml:space="preserve">, relacionando em peculiar as emoções negativas com dois tipos, um relacionado à situação e outro relacionado aos erros cometidos por outros </w:t>
      </w:r>
      <w:r w:rsidRPr="0094770E">
        <w:rPr>
          <w:noProof/>
        </w:rPr>
        <w:t>(Dube, Belanger, &amp; Trudeau, 1996)</w:t>
      </w:r>
      <w:r w:rsidRPr="0094770E">
        <w:t>.</w:t>
      </w:r>
    </w:p>
    <w:p w:rsidR="00DC11BE" w:rsidRPr="0094770E" w:rsidRDefault="00DC11BE" w:rsidP="00D77886">
      <w:pPr>
        <w:pStyle w:val="CorpoTexto"/>
        <w:rPr>
          <w:b/>
        </w:rPr>
      </w:pPr>
      <w:r w:rsidRPr="0094770E">
        <w:t xml:space="preserve">Até finais dos anos 80 era defendido que as organizações fossem espaços exclusivamente racionais, onde era pejorativo para o funcionamento da organização a presença da emotividade. É a partir de inícios dos anos 90 que se dá uma mudança de paradigma, começa a reconhecer-se a relação das emoções com o comportamento organizacional e a atribuir-lhe importância </w:t>
      </w:r>
      <w:r w:rsidRPr="0094770E">
        <w:rPr>
          <w:noProof/>
        </w:rPr>
        <w:t>(Ashkanasy, Hartel, &amp; Daus, 2002; Domagalski, 1999; Fineman, 1993, 1996)</w:t>
      </w:r>
      <w:r w:rsidRPr="0094770E">
        <w:t>.</w:t>
      </w:r>
    </w:p>
    <w:p w:rsidR="00DC11BE" w:rsidRPr="0094770E" w:rsidRDefault="00DC11BE" w:rsidP="00D77886">
      <w:pPr>
        <w:pStyle w:val="CorpoTexto"/>
        <w:rPr>
          <w:b/>
        </w:rPr>
      </w:pPr>
      <w:r w:rsidRPr="0094770E">
        <w:t xml:space="preserve">A abordagem racional-cognitiva onde se focou o comportamento organizacional durante vários anos reconhece que o comportamento humano não pode ser representado no seu todo racionalmente, assim como explanado apenas por modelos racionais-cognitivos. Nasce, assim, a carência de se ver estudado o lado emocional dos trabalhadores </w:t>
      </w:r>
      <w:r w:rsidRPr="0094770E">
        <w:rPr>
          <w:noProof/>
        </w:rPr>
        <w:t>(Mumby &amp; Putnam, 1992; Simon, 1976)</w:t>
      </w:r>
      <w:r w:rsidRPr="0094770E">
        <w:t>.</w:t>
      </w:r>
    </w:p>
    <w:p w:rsidR="00DC11BE" w:rsidRPr="0094770E" w:rsidRDefault="00DC11BE" w:rsidP="00D77886">
      <w:pPr>
        <w:pStyle w:val="CorpoTexto"/>
        <w:rPr>
          <w:b/>
        </w:rPr>
      </w:pPr>
      <w:r w:rsidRPr="0094770E">
        <w:t xml:space="preserve">Os estados emocionais dos indivíduos influenciam a sua produtividade e o seu comportamento, sendo recorrente ser solicitado uma maior integração das emoções em ambiente de trabalho </w:t>
      </w:r>
      <w:r w:rsidRPr="0094770E">
        <w:rPr>
          <w:noProof/>
        </w:rPr>
        <w:t>(Ashforth &amp; Humphrey, 1995; Fisher &amp; Ashkanasy, 2000)</w:t>
      </w:r>
      <w:r w:rsidRPr="0094770E">
        <w:t>.</w:t>
      </w:r>
    </w:p>
    <w:p w:rsidR="00DC11BE" w:rsidRPr="0094770E" w:rsidRDefault="00DC11BE" w:rsidP="00D77886">
      <w:pPr>
        <w:pStyle w:val="CorpoTexto"/>
        <w:rPr>
          <w:b/>
        </w:rPr>
      </w:pPr>
      <w:r w:rsidRPr="0094770E">
        <w:t xml:space="preserve">As alterações sofridas no papel das emoções em contexto organizacional e as emoções dos indivíduos tem mostrado um papel relevante nos estudos feitos sobre o comportamento organizacional, interferindo diretamente com o bem-estar no trabalho e, por conseguinte, no clima organizacional </w:t>
      </w:r>
      <w:r w:rsidRPr="0094770E">
        <w:rPr>
          <w:noProof/>
        </w:rPr>
        <w:t>(Ashkanasy et al., 2002; Domagalski, 1999; Fineman, 1993, 1996)</w:t>
      </w:r>
      <w:r w:rsidRPr="0094770E">
        <w:t>.</w:t>
      </w:r>
    </w:p>
    <w:p w:rsidR="00DC11BE" w:rsidRPr="0094770E" w:rsidRDefault="00DC11BE" w:rsidP="00D77886">
      <w:pPr>
        <w:pStyle w:val="CorpoTexto"/>
        <w:rPr>
          <w:b/>
        </w:rPr>
      </w:pPr>
      <w:r w:rsidRPr="0094770E">
        <w:lastRenderedPageBreak/>
        <w:t xml:space="preserve">A abordagem sobre as emoções com mais relevância no campo das relações de trabalho é a de </w:t>
      </w:r>
      <w:r w:rsidRPr="0094770E">
        <w:rPr>
          <w:noProof/>
        </w:rPr>
        <w:t>Hochschild (1983)</w:t>
      </w:r>
      <w:r w:rsidRPr="0094770E">
        <w:t xml:space="preserve">. </w:t>
      </w:r>
      <w:proofErr w:type="spellStart"/>
      <w:r w:rsidRPr="0094770E">
        <w:t>Hochschild</w:t>
      </w:r>
      <w:proofErr w:type="spellEnd"/>
      <w:r w:rsidRPr="0094770E">
        <w:t xml:space="preserve"> apresenta uma teoria que analisa a forma como as emoções são geridas pelos indivíduos em contexto de trabalho, defende que há necessidade de gerir as emoções em situações profissionais correspondendo-as com os propósitos da organização e, para isso, constrói um conjunto de normas e técnicas de gestão das emoções nas organizações.</w:t>
      </w:r>
    </w:p>
    <w:p w:rsidR="00DC11BE" w:rsidRPr="0094770E" w:rsidRDefault="00DC11BE" w:rsidP="00D77886">
      <w:pPr>
        <w:pStyle w:val="CorpoTexto"/>
        <w:rPr>
          <w:b/>
        </w:rPr>
      </w:pPr>
      <w:r w:rsidRPr="0094770E">
        <w:t xml:space="preserve">Mais recentemente, as investigações feitas sobre a influência das emoções no comportamento organizacional tem sido bastante detalhada, permitindo o aparecimento de modelos mais atuais e complexos nesta área </w:t>
      </w:r>
      <w:r w:rsidRPr="0094770E">
        <w:rPr>
          <w:noProof/>
        </w:rPr>
        <w:t>(Elfenbein, 2007; van Kleef, 2014)</w:t>
      </w:r>
      <w:r w:rsidRPr="0094770E">
        <w:t>.</w:t>
      </w:r>
    </w:p>
    <w:p w:rsidR="00DC11BE" w:rsidRPr="0094770E" w:rsidRDefault="00DC11BE" w:rsidP="00D77886">
      <w:pPr>
        <w:pStyle w:val="CorpoTexto"/>
        <w:rPr>
          <w:b/>
        </w:rPr>
      </w:pPr>
      <w:r w:rsidRPr="0094770E">
        <w:t xml:space="preserve">As organizações permitem e incentivam cada vez mais a presença de emotividade em contexto de trabalho, pois o modo como os clientes veem uma organização é afetado pela maneira como os trabalhadores manifestam as suas emoções </w:t>
      </w:r>
      <w:r w:rsidRPr="0094770E">
        <w:rPr>
          <w:noProof/>
        </w:rPr>
        <w:t>(Nasi, So, Combes, Daudon, &amp; Busso, 2016)</w:t>
      </w:r>
      <w:r w:rsidRPr="0094770E">
        <w:t xml:space="preserve">. </w:t>
      </w:r>
    </w:p>
    <w:p w:rsidR="00DC11BE" w:rsidRPr="0094770E" w:rsidRDefault="00DC11BE" w:rsidP="00D77886">
      <w:pPr>
        <w:pStyle w:val="CorpoTexto"/>
        <w:rPr>
          <w:b/>
        </w:rPr>
      </w:pPr>
      <w:r w:rsidRPr="0094770E">
        <w:t xml:space="preserve">A satisfação, futuras intenções de compra e a lealdade do cliente são influenciadas pelas emoções do cliente durante o atendimento </w:t>
      </w:r>
      <w:r w:rsidRPr="0094770E">
        <w:rPr>
          <w:noProof/>
        </w:rPr>
        <w:t>(Barsky, 2002; Oliver, Rust, &amp; Varki, 1997)</w:t>
      </w:r>
      <w:r w:rsidRPr="0094770E">
        <w:t xml:space="preserve"> e estas profundamente influenciadas pelo comportamento dos funcionários </w:t>
      </w:r>
      <w:r w:rsidRPr="0094770E">
        <w:rPr>
          <w:noProof/>
        </w:rPr>
        <w:t>(van Dolen, Ruyter, &amp; Lemmink, 2004)</w:t>
      </w:r>
      <w:r w:rsidRPr="0094770E">
        <w:t>.</w:t>
      </w:r>
    </w:p>
    <w:p w:rsidR="00DC11BE" w:rsidRDefault="00DC11BE" w:rsidP="00D77886">
      <w:pPr>
        <w:pStyle w:val="CorpoTexto"/>
      </w:pPr>
      <w:r w:rsidRPr="0094770E">
        <w:t xml:space="preserve">Contudo é exigido aos funcionários a expressão de emoções organizacionalmente desejadas durante transações interpessoais </w:t>
      </w:r>
      <w:r w:rsidRPr="0094770E">
        <w:rPr>
          <w:noProof/>
        </w:rPr>
        <w:t>(Morris &amp; Feldman, 1996)</w:t>
      </w:r>
      <w:r w:rsidRPr="0094770E">
        <w:t xml:space="preserve">. </w:t>
      </w:r>
    </w:p>
    <w:p w:rsidR="00E355FB" w:rsidRPr="0094770E" w:rsidRDefault="00E355FB" w:rsidP="00D77886">
      <w:pPr>
        <w:pStyle w:val="CorpoTexto"/>
        <w:rPr>
          <w:b/>
        </w:rPr>
      </w:pPr>
    </w:p>
    <w:p w:rsidR="00F870BA" w:rsidRPr="00D77886" w:rsidRDefault="00DC11BE" w:rsidP="00D77886">
      <w:pPr>
        <w:pStyle w:val="CorpoTexto"/>
        <w:rPr>
          <w:b/>
          <w:i/>
          <w:iCs/>
          <w:lang w:val="en-US"/>
        </w:rPr>
      </w:pPr>
      <w:r w:rsidRPr="00D77886">
        <w:rPr>
          <w:i/>
          <w:iCs/>
          <w:lang w:val="en-US"/>
        </w:rPr>
        <w:t xml:space="preserve">A </w:t>
      </w:r>
      <w:proofErr w:type="gramStart"/>
      <w:r w:rsidRPr="00D77886">
        <w:rPr>
          <w:i/>
          <w:iCs/>
          <w:lang w:val="en-US"/>
        </w:rPr>
        <w:t>professional acts</w:t>
      </w:r>
      <w:proofErr w:type="gramEnd"/>
      <w:r w:rsidRPr="00D77886">
        <w:rPr>
          <w:i/>
          <w:iCs/>
          <w:lang w:val="en-US"/>
        </w:rPr>
        <w:t xml:space="preserve"> as they must, not as they feel.</w:t>
      </w:r>
      <w:r w:rsidR="00F870BA" w:rsidRPr="00D77886">
        <w:rPr>
          <w:i/>
          <w:iCs/>
          <w:lang w:val="en-US"/>
        </w:rPr>
        <w:t xml:space="preserve"> </w:t>
      </w:r>
    </w:p>
    <w:p w:rsidR="007B420B" w:rsidRDefault="00F870BA" w:rsidP="00D77886">
      <w:pPr>
        <w:pStyle w:val="CorpoTexto"/>
        <w:rPr>
          <w:noProof/>
        </w:rPr>
      </w:pPr>
      <w:r>
        <w:rPr>
          <w:lang w:val="en-US"/>
        </w:rPr>
        <w:t xml:space="preserve"> </w:t>
      </w:r>
      <w:r w:rsidR="00D77886">
        <w:rPr>
          <w:lang w:val="en-US"/>
        </w:rPr>
        <w:tab/>
      </w:r>
      <w:r w:rsidR="00D77886">
        <w:rPr>
          <w:lang w:val="en-US"/>
        </w:rPr>
        <w:tab/>
      </w:r>
      <w:r>
        <w:rPr>
          <w:lang w:val="en-US"/>
        </w:rPr>
        <w:t xml:space="preserve">       </w:t>
      </w:r>
      <w:r w:rsidR="00DC11BE" w:rsidRPr="0094770E">
        <w:rPr>
          <w:noProof/>
        </w:rPr>
        <w:t>(Pugh, 2001, p. 1018)</w:t>
      </w:r>
    </w:p>
    <w:p w:rsidR="00E355FB" w:rsidRPr="0094770E" w:rsidRDefault="00E355FB" w:rsidP="00D77886">
      <w:pPr>
        <w:pStyle w:val="CorpoTexto"/>
        <w:rPr>
          <w:b/>
        </w:rPr>
      </w:pPr>
    </w:p>
    <w:p w:rsidR="00DC11BE" w:rsidRPr="0094770E" w:rsidRDefault="00DC11BE" w:rsidP="00D77886">
      <w:pPr>
        <w:pStyle w:val="CorpoTexto"/>
        <w:rPr>
          <w:b/>
        </w:rPr>
      </w:pPr>
      <w:r w:rsidRPr="0094770E">
        <w:t xml:space="preserve">No entanto, esta ideia contradiz outras investigações que indicam que como a pessoa "sente" influência a maneira como "age" em relação aos clientes </w:t>
      </w:r>
      <w:r w:rsidRPr="0094770E">
        <w:rPr>
          <w:noProof/>
        </w:rPr>
        <w:t>(Van Maanen &amp; Kunda, 1989)</w:t>
      </w:r>
      <w:r w:rsidRPr="0094770E">
        <w:t>.</w:t>
      </w:r>
    </w:p>
    <w:p w:rsidR="00DC11BE" w:rsidRPr="0094770E" w:rsidRDefault="00DC11BE" w:rsidP="00D77886">
      <w:pPr>
        <w:pStyle w:val="CorpoTexto"/>
        <w:rPr>
          <w:b/>
        </w:rPr>
      </w:pPr>
      <w:r w:rsidRPr="0094770E">
        <w:t xml:space="preserve">É proposto pela literatura que os consumidores assimilam as emoções dos funcionários através de contágio emocional, a exibição de emoções positivas pelos funcionários está positivamente relacionada ao efeito positivo dos clientes após os encontros de serviço e às suas avaliações da qualidade do serviço e que, em replicação e extensão de pesquisas </w:t>
      </w:r>
      <w:r w:rsidRPr="0094770E">
        <w:lastRenderedPageBreak/>
        <w:t xml:space="preserve">anteriores, a intimidade das transações e a expressividade emocional dos funcionários prenunciam demonstrações de emoção pelos funcionários </w:t>
      </w:r>
      <w:r w:rsidRPr="0094770E">
        <w:rPr>
          <w:noProof/>
        </w:rPr>
        <w:t>(Pugh, 2001)</w:t>
      </w:r>
      <w:r w:rsidRPr="0094770E">
        <w:t>.</w:t>
      </w:r>
    </w:p>
    <w:p w:rsidR="00DC11BE" w:rsidRPr="0094770E" w:rsidRDefault="00DC11BE" w:rsidP="00D77886">
      <w:pPr>
        <w:pStyle w:val="CorpoTexto"/>
        <w:rPr>
          <w:b/>
        </w:rPr>
      </w:pPr>
      <w:r w:rsidRPr="0094770E">
        <w:t xml:space="preserve">Neste campo, é relevante abordar o contágio emocional e, com base nas teorias de contágio emocional, existem vários artigos que estudam o processo de contágio emocional no marketing de serviços </w:t>
      </w:r>
      <w:r w:rsidRPr="0094770E">
        <w:rPr>
          <w:noProof/>
        </w:rPr>
        <w:t>(Dallimore et al., 2007; Estrella, Barkla, Romero, &amp; Pantoja, 2012; Pugh, 2001; Tsai, 2001; Wong, 2005)</w:t>
      </w:r>
      <w:r w:rsidRPr="0094770E">
        <w:t xml:space="preserve">. A maioria deles focaliza o contágio emocional positivo durante as interações entre funcionários e clientes, ou seja, exibições emocionais positivas dos funcionários do serviço são contagiosas para os níveis emocionais dos clientes </w:t>
      </w:r>
      <w:r w:rsidRPr="0094770E">
        <w:rPr>
          <w:noProof/>
        </w:rPr>
        <w:t>(Du et al., 2011)</w:t>
      </w:r>
      <w:r w:rsidRPr="0094770E">
        <w:t>.</w:t>
      </w:r>
    </w:p>
    <w:p w:rsidR="00DC11BE" w:rsidRPr="0094770E" w:rsidRDefault="00DC11BE" w:rsidP="00D77886">
      <w:pPr>
        <w:pStyle w:val="CorpoTexto"/>
        <w:rPr>
          <w:b/>
        </w:rPr>
      </w:pPr>
      <w:r w:rsidRPr="0094770E">
        <w:t xml:space="preserve">Na literatura anterior, para investigar o processo de contágio emocional primitivo no ambiente de serviço tem sido adotada uma abordagem de níveis emocionais </w:t>
      </w:r>
      <w:proofErr w:type="spellStart"/>
      <w:r w:rsidRPr="0094770E">
        <w:t>autorrelatados</w:t>
      </w:r>
      <w:proofErr w:type="spellEnd"/>
      <w:r w:rsidRPr="0094770E">
        <w:t xml:space="preserve"> </w:t>
      </w:r>
      <w:r w:rsidRPr="0094770E">
        <w:rPr>
          <w:noProof/>
        </w:rPr>
        <w:t>(Dallimore et al., 2007; Pugh, 2001; Wong, 2005)</w:t>
      </w:r>
      <w:r w:rsidRPr="0094770E">
        <w:t xml:space="preserve">, a Escala de Afeto Positivo e Afeto Negativo (escala PANAS) </w:t>
      </w:r>
      <w:r w:rsidRPr="0094770E">
        <w:rPr>
          <w:noProof/>
        </w:rPr>
        <w:t>(Watson, Clark, &amp; Tellegen, 1988)</w:t>
      </w:r>
      <w:r w:rsidRPr="0094770E">
        <w:t>.</w:t>
      </w:r>
    </w:p>
    <w:p w:rsidR="00DC11BE" w:rsidRPr="0094770E" w:rsidRDefault="00DC11BE" w:rsidP="00D77886">
      <w:pPr>
        <w:pStyle w:val="CorpoTexto"/>
        <w:rPr>
          <w:b/>
        </w:rPr>
      </w:pPr>
      <w:r w:rsidRPr="0094770E">
        <w:t xml:space="preserve">Esta escala compreende existir na afetividade </w:t>
      </w:r>
      <w:r w:rsidR="000C380C" w:rsidRPr="0094770E">
        <w:t>uma estrutura baseada</w:t>
      </w:r>
      <w:r w:rsidRPr="0094770E">
        <w:t xml:space="preserve"> em dois segmentos ou escalas de humor, positivo e negativo, representativas de dimensões diferentes. O segmento positivo é revelador de experiências agradáveis vivenciadas pelo indivíduo com o ambiente, enquanto o segmento negativo é revelador do sentimento negativo inerente ao indivíduo, descrevido por uma dimensão geral de sofrimento próprio de uma experiência desagradável </w:t>
      </w:r>
      <w:r w:rsidRPr="0094770E">
        <w:rPr>
          <w:noProof/>
        </w:rPr>
        <w:t>(Watson et al., 1988)</w:t>
      </w:r>
      <w:r w:rsidRPr="0094770E">
        <w:t>.</w:t>
      </w:r>
    </w:p>
    <w:p w:rsidR="00DC11BE" w:rsidRPr="0094770E" w:rsidRDefault="00DC11BE" w:rsidP="00D77886">
      <w:pPr>
        <w:pStyle w:val="CorpoTexto"/>
        <w:rPr>
          <w:b/>
        </w:rPr>
      </w:pPr>
      <w:r w:rsidRPr="0094770E">
        <w:t xml:space="preserve">Dos vários instrumentos disponíveis para avaliação das duas dimensões anteriores, a Positive </w:t>
      </w:r>
      <w:proofErr w:type="spellStart"/>
      <w:r w:rsidRPr="0094770E">
        <w:t>and</w:t>
      </w:r>
      <w:proofErr w:type="spellEnd"/>
      <w:r w:rsidRPr="0094770E">
        <w:t xml:space="preserve"> Negative </w:t>
      </w:r>
      <w:proofErr w:type="spellStart"/>
      <w:r w:rsidRPr="0094770E">
        <w:t>Affect</w:t>
      </w:r>
      <w:proofErr w:type="spellEnd"/>
      <w:r w:rsidRPr="0094770E">
        <w:t xml:space="preserve"> Schedule (PANAS) nasce da necessidade de existir uma medida breve, de simples aplicação e válida </w:t>
      </w:r>
      <w:r w:rsidRPr="0094770E">
        <w:rPr>
          <w:noProof/>
        </w:rPr>
        <w:t>(Galinha &amp; Ribeiro, 2005)</w:t>
      </w:r>
      <w:r w:rsidRPr="0094770E">
        <w:t>.</w:t>
      </w:r>
    </w:p>
    <w:p w:rsidR="00DC11BE" w:rsidRDefault="00DC11BE" w:rsidP="00D77886">
      <w:pPr>
        <w:pStyle w:val="CorpoTexto"/>
        <w:rPr>
          <w:b/>
        </w:rPr>
      </w:pPr>
      <w:r w:rsidRPr="0094770E">
        <w:t xml:space="preserve">Durante a prestação de um serviço, os clientes podem experienciar a demonstração de emoções positivas e/ou negativas de diferentes funcionários em diferentes momentos, sendo que o contágio emocional entre funcionário e cliente, quer positivo quer negativo, pode ocorrer sequencialmente num curto espaço de tempo entre eles. Embora poucas, há algumas pesquisas que analisam a perspetiva dos funcionários para explorar o impacto da exibição de emoções negativas por parte dos clientes nas emoções negativas dos funcionários por meio de contágio emocional negativo e a forma como este opera entre funcionários e clientes. É típico suceder este tipo de contágio em encontros onde acontece uma falha e a sua recuperação </w:t>
      </w:r>
      <w:r w:rsidRPr="0094770E">
        <w:rPr>
          <w:noProof/>
        </w:rPr>
        <w:t>(Du et al., 2011)</w:t>
      </w:r>
      <w:r w:rsidRPr="0094770E">
        <w:t>.</w:t>
      </w:r>
    </w:p>
    <w:p w:rsidR="000C380C" w:rsidRPr="0094770E" w:rsidRDefault="000C380C" w:rsidP="004E3707">
      <w:pPr>
        <w:pStyle w:val="CTITULO"/>
        <w:rPr>
          <w:rFonts w:ascii="Garamond" w:hAnsi="Garamond"/>
          <w:b w:val="0"/>
        </w:rPr>
      </w:pPr>
    </w:p>
    <w:p w:rsidR="00DC11BE" w:rsidRPr="0094770E" w:rsidRDefault="00DC11BE" w:rsidP="00A32A19">
      <w:pPr>
        <w:pStyle w:val="Nvel2"/>
      </w:pPr>
      <w:bookmarkStart w:id="35" w:name="_Toc37177054"/>
      <w:bookmarkStart w:id="36" w:name="_Toc46678976"/>
      <w:r w:rsidRPr="0094770E">
        <w:t>Síntese</w:t>
      </w:r>
      <w:bookmarkEnd w:id="35"/>
      <w:bookmarkEnd w:id="36"/>
    </w:p>
    <w:p w:rsidR="00DC11BE" w:rsidRPr="00D77886" w:rsidRDefault="00DC11BE" w:rsidP="00D77886">
      <w:pPr>
        <w:pStyle w:val="CorpoTexto"/>
      </w:pPr>
      <w:r w:rsidRPr="00D77886">
        <w:t>Os capítulos antecedentes foram dedicados à revisão de literatura do tema em estudo, com o intuito de fazer um enquadramento teórico do mesmo.</w:t>
      </w:r>
    </w:p>
    <w:p w:rsidR="00DC11BE" w:rsidRPr="00D77886" w:rsidRDefault="00DC11BE" w:rsidP="00D77886">
      <w:pPr>
        <w:pStyle w:val="CorpoTexto"/>
      </w:pPr>
      <w:r w:rsidRPr="00D77886">
        <w:t xml:space="preserve">Assim, partindo do pressuposto que o sucesso de uma empresa depende fundamentalmente da solicitação dos seus clientes, uma vez que são eles os promotores principais e os elementos mais relevantes que intervêm na forma de influenciar os negócios, ou seja, são eles o verdadeiro impulsionador de todas as atividades das empresas, as organizações e colaboradores, designadamente o pessoal de contacto expõem diferentes elementos que se consideram essenciais na produtividade e na administração dos recursos humanos de uma organização. Embora estas pessoas desempenhem um trabalho rotineiro podem exteriorizar conflitos da sua vida pessoal entre colegas de trabalho provocando atritos e dificuldades que podem afetar o desempenho do serviço. Também é comum depararem-se no seu dia-a-dia com hierarquias, que apesar de ocuparem cargos mais elevados, necessitam de resolver situações problemáticas no seio das empresas e com clientes a quem prestam um serviço, ficando neste sentido mais vulneráveis à receção de reclamações, falhas no serviço, insultos, chamadas de atenção, entre outros e perante tais situações devem saber como reagir sem afetar o cliente. </w:t>
      </w:r>
    </w:p>
    <w:p w:rsidR="00DC11BE" w:rsidRPr="00D77886" w:rsidRDefault="00DC11BE" w:rsidP="00D77886">
      <w:pPr>
        <w:pStyle w:val="CorpoTexto"/>
      </w:pPr>
      <w:r w:rsidRPr="00D77886">
        <w:t xml:space="preserve">Por conseguinte, as emoções no ambiente de trabalho apresentam-se como um desafio para as organizações porque desempenham um papel essencial em diferentes aspetos, designadamente na satisfação laboral, no funcionamento grupal, na liderança, na violência e assédio e, mais recentemente, no trabalho emocional como característica intrínseca do posto de trabalho e na sua influência na organização. As emoções são impulsos para agir, reproduções instantâneas para enfrentar situações da vida que o seu desenvolvimento apresentou. Neste sentido, a emoção caracteriza-se por um movimento ou uma conjugação de reações bioquímicas, energéticas e fisiológicas responsáveis pelo envio instantâneo de informações ao cérebro para o preparar para a ação e este por sua vez, de forma mecânica e súbita responde. A emoção mobiliza o indivíduo e gera-lhe estados mentais e comportamentos benéficos ou prejudiciais, proveitosos ou nocivos (D. </w:t>
      </w:r>
      <w:proofErr w:type="spellStart"/>
      <w:r w:rsidRPr="00D77886">
        <w:t>Goleman</w:t>
      </w:r>
      <w:proofErr w:type="spellEnd"/>
      <w:r w:rsidRPr="00D77886">
        <w:t>, 2019).</w:t>
      </w:r>
    </w:p>
    <w:p w:rsidR="00DC11BE" w:rsidRPr="00D77886" w:rsidRDefault="00DC11BE" w:rsidP="00D77886">
      <w:pPr>
        <w:pStyle w:val="CorpoTexto"/>
      </w:pPr>
      <w:r w:rsidRPr="00D77886">
        <w:t xml:space="preserve">Uma série de emoções fazem parte da existência do ser humano, não se podem nem se devem evitar porque representam a resposta natural do organismo aos acontecimentos da </w:t>
      </w:r>
      <w:r w:rsidRPr="00D77886">
        <w:lastRenderedPageBreak/>
        <w:t>vida. Por vezes precipitam o vazio, a desolação e a tristeza, no entanto são valiosas aliadas da razão, designadamente na escolha das decisões que se tomam e que podem afetar o futuro (</w:t>
      </w:r>
      <w:proofErr w:type="spellStart"/>
      <w:r w:rsidRPr="00D77886">
        <w:t>Bosch</w:t>
      </w:r>
      <w:proofErr w:type="spellEnd"/>
      <w:r w:rsidRPr="00D77886">
        <w:t>, 2009).</w:t>
      </w:r>
    </w:p>
    <w:p w:rsidR="00DC11BE" w:rsidRPr="00D77886" w:rsidRDefault="00DC11BE" w:rsidP="00D77886">
      <w:pPr>
        <w:pStyle w:val="CorpoTexto"/>
      </w:pPr>
      <w:r w:rsidRPr="00D77886">
        <w:t>Quanto mais complexo é o trabalho, mais relevante é a inteligência emocional, neste sentido os elementos ou as capacidades que determinam o potencial de habilidades práticas são o autoconhecimento das próprias emoções, das preferências, dos recursos e perceções, das quais derivam a consciência emocional, a autoavaliação explicita e a confiança em si próprio; a motivação que consiste nas tendências emocionais que orientam e facilitam a consecução dos objetivos, utilizando o potencial que cada individuo possui, constituída entre outras pelo desejo de triunfo, pelo compromisso, pela iniciativa e pelo otimismo; a empatia que está relacionada com uma postura social e consiste em captar os sentimentos, as necessidades e interesses dos outros e, neste sentido requer a predisposição para admitir as emoções, ouvir com reflexão e ser capaz de compreender pensamentos e sentimentos que não se exprimem verbalmente abrangendo componentes como compreender os demais, ajudar os outros a desenvolverem-se, a orientação para o serviço, o aproveitamento da diversidade e a consciência política, entre outros; e a habilidade para as relações, outra habilidade social utilizada para induzir nos outros as respostas desejáveis, bem como tratar de forma satisfatória os demais, uma vez que deste relacionamento depende a capacidade de cultivar relações, reconhecer conflitos e resolvê-los e encontrar o tom adequado para perceber o</w:t>
      </w:r>
      <w:r w:rsidRPr="0094770E">
        <w:t xml:space="preserve"> </w:t>
      </w:r>
      <w:r w:rsidRPr="00D77886">
        <w:t>estado de ânimo dos outros indivíduos, esta aptidão resulta da influência, da comunicação, da gestão de conflitos, da liderança, para além disso funciona como um catalisador de mudança e estabelece vínculos, amplia a colaboração e a cooperação entre indivíduos e promove aptidões de equipa, ou seja, cria sinergias grupais de forma a se alcançarem objetivos coletivos (</w:t>
      </w:r>
      <w:proofErr w:type="spellStart"/>
      <w:r w:rsidRPr="00D77886">
        <w:t>Goleman</w:t>
      </w:r>
      <w:proofErr w:type="spellEnd"/>
      <w:r w:rsidRPr="00D77886">
        <w:t xml:space="preserve">, 2018; </w:t>
      </w:r>
      <w:proofErr w:type="spellStart"/>
      <w:r w:rsidRPr="00D77886">
        <w:t>Martín</w:t>
      </w:r>
      <w:proofErr w:type="spellEnd"/>
      <w:r w:rsidRPr="00D77886">
        <w:t xml:space="preserve"> &amp; </w:t>
      </w:r>
      <w:proofErr w:type="spellStart"/>
      <w:r w:rsidRPr="00D77886">
        <w:t>Boeck</w:t>
      </w:r>
      <w:proofErr w:type="spellEnd"/>
      <w:r w:rsidRPr="00D77886">
        <w:t xml:space="preserve">, 2007).    </w:t>
      </w:r>
    </w:p>
    <w:p w:rsidR="00DC11BE" w:rsidRPr="00D77886" w:rsidRDefault="00DC11BE" w:rsidP="00D77886">
      <w:pPr>
        <w:pStyle w:val="CorpoTexto"/>
      </w:pPr>
      <w:r w:rsidRPr="00D77886">
        <w:t>Posto isso, é possível referir que, segundo a informação abordada anteriormente, o pessoal de contacto desempenha um papel vital para qualquer organização, principalmente em situações de falha de serviço, reclamações e recuperação do serviço.</w:t>
      </w:r>
    </w:p>
    <w:p w:rsidR="00DC11BE" w:rsidRPr="00D77886" w:rsidRDefault="00DC11BE" w:rsidP="00D77886">
      <w:pPr>
        <w:pStyle w:val="CorpoTexto"/>
      </w:pPr>
      <w:r w:rsidRPr="00D77886">
        <w:t xml:space="preserve">Grande parte das investigações realizadas anteriormente abordam, principalmente, o potencial em adotar comportamentos emocionais planeados, treinados, capacitados e motivados de forma a serem positivos e profissionais do pessoal de contacto da perspetiva do cliente ou das empresas. É, assim, revelando existir alguns gaps a preencher no âmbito da </w:t>
      </w:r>
      <w:r w:rsidRPr="00D77886">
        <w:lastRenderedPageBreak/>
        <w:t>literatura sobre falhas de serviço, reclamação e recuperação de serviço no que diz respeito à perspetiva do funcionário de contacto.</w:t>
      </w:r>
    </w:p>
    <w:p w:rsidR="00DC11BE" w:rsidRPr="00D77886" w:rsidRDefault="00DC11BE" w:rsidP="00D77886">
      <w:pPr>
        <w:pStyle w:val="CorpoTexto"/>
      </w:pPr>
      <w:r w:rsidRPr="00D77886">
        <w:t>De forma a colmatar a lacuna da literatura sobre as respostas emocionais do pessoal de contacto, este estudo prevê a análise da variável da motivação e satisfação, através da qual será examinado se os esforços para ter funcionários de contacto motivados e satisfeitos são eficazes para orientar as respostas emocionais dos mesmos numa situação de reclamação da perspetiva do pessoal de contacto.</w:t>
      </w:r>
    </w:p>
    <w:p w:rsidR="00DC11BE" w:rsidRPr="0094770E" w:rsidRDefault="00DC11BE" w:rsidP="00D77886">
      <w:pPr>
        <w:pStyle w:val="CorpoTexto"/>
      </w:pPr>
    </w:p>
    <w:p w:rsidR="00DC11BE" w:rsidRPr="0094770E" w:rsidRDefault="00DC11BE" w:rsidP="004E3707">
      <w:pPr>
        <w:rPr>
          <w:rFonts w:ascii="Garamond" w:hAnsi="Garamond"/>
          <w:b/>
          <w:sz w:val="24"/>
        </w:rPr>
      </w:pPr>
      <w:r w:rsidRPr="0094770E">
        <w:br w:type="page"/>
      </w:r>
    </w:p>
    <w:p w:rsidR="00DC11BE" w:rsidRPr="005C5E61" w:rsidRDefault="00DC11BE" w:rsidP="005C5E61">
      <w:pPr>
        <w:pStyle w:val="Nivel1"/>
      </w:pPr>
      <w:bookmarkStart w:id="37" w:name="_Toc37177055"/>
      <w:bookmarkStart w:id="38" w:name="_Toc46678977"/>
      <w:r w:rsidRPr="005C5E61">
        <w:lastRenderedPageBreak/>
        <w:t>Estudo empírico</w:t>
      </w:r>
      <w:bookmarkEnd w:id="37"/>
      <w:bookmarkEnd w:id="38"/>
    </w:p>
    <w:p w:rsidR="00631ECC" w:rsidRPr="00D77886" w:rsidRDefault="00DC11BE" w:rsidP="00D77886">
      <w:pPr>
        <w:pStyle w:val="CorpoTexto"/>
      </w:pPr>
      <w:r w:rsidRPr="00D77886">
        <w:t xml:space="preserve">A fase empírica corresponde </w:t>
      </w:r>
      <w:r w:rsidR="00D41349" w:rsidRPr="00D77886">
        <w:t>“</w:t>
      </w:r>
      <w:r w:rsidRPr="00D77886">
        <w:t>à colheita de dados no terreno, à sua organização e à sua análise estatística” (</w:t>
      </w:r>
      <w:proofErr w:type="spellStart"/>
      <w:r w:rsidRPr="00D77886">
        <w:t>Fortin</w:t>
      </w:r>
      <w:proofErr w:type="spellEnd"/>
      <w:r w:rsidRPr="00D77886">
        <w:t xml:space="preserve">, </w:t>
      </w:r>
      <w:proofErr w:type="spellStart"/>
      <w:r w:rsidRPr="00D77886">
        <w:t>Côté</w:t>
      </w:r>
      <w:proofErr w:type="spellEnd"/>
      <w:r w:rsidRPr="00D77886">
        <w:t xml:space="preserve">, &amp; </w:t>
      </w:r>
      <w:proofErr w:type="spellStart"/>
      <w:r w:rsidRPr="00D77886">
        <w:t>Filion</w:t>
      </w:r>
      <w:proofErr w:type="spellEnd"/>
      <w:r w:rsidRPr="00D77886">
        <w:t>, 2009, p. 56). Por conseguinte, este segmento da dissertação destina-se à apresentação do contexto do estudo, das questões de investigação, o objetivo do estudo, o modelo teórico proposto e respetivas hipóteses, a metodologia de investigação utilizada, a técnica de recolha de dados empregue, a caracterização da população e amostra do estudo, a análise e discussão dos resultados e, por fim, a análise descritiva das variáveis em estudo.</w:t>
      </w:r>
    </w:p>
    <w:p w:rsidR="00DC11BE" w:rsidRPr="00D77886" w:rsidRDefault="00631ECC" w:rsidP="00D77886">
      <w:pPr>
        <w:pStyle w:val="CorpoTexto"/>
      </w:pPr>
      <w:r w:rsidRPr="00D77886">
        <w:t xml:space="preserve">Tendo em conta o descrito, </w:t>
      </w:r>
      <w:r w:rsidR="00DC11BE" w:rsidRPr="00D77886">
        <w:t>a</w:t>
      </w:r>
      <w:r w:rsidRPr="00D77886">
        <w:t xml:space="preserve"> presente investigação</w:t>
      </w:r>
      <w:r w:rsidR="00DC11BE" w:rsidRPr="00D77886">
        <w:t xml:space="preserve"> tem como objetivo principal analisar, na perspetiva do colaborador, de que forma a motivação e </w:t>
      </w:r>
      <w:r w:rsidR="00D41349" w:rsidRPr="00D77886">
        <w:t xml:space="preserve">a </w:t>
      </w:r>
      <w:r w:rsidR="00DC11BE" w:rsidRPr="00D77886">
        <w:t>satisfação do pessoal de contacto se reflete nas suas respostas emotivas numa situação de reclamação do cliente.</w:t>
      </w:r>
    </w:p>
    <w:p w:rsidR="00DC11BE" w:rsidRPr="00D77886" w:rsidRDefault="00DC11BE" w:rsidP="00D77886">
      <w:pPr>
        <w:pStyle w:val="CorpoTexto"/>
      </w:pPr>
      <w:r w:rsidRPr="00D77886">
        <w:t>Neste sentido, serão analisados, como objetivos específicos, a motivação e satisfação do pessoal de contacto e apurar se existe correlação entre a perceção das variáveis motivacionais (poder, sucesso e afiliação) e das variáveis de satisfação (colegas de trabalho, superiores hierárquicos, realização de tarefas, salário e promoções) com as respostas emocionais dos funcionários de contacto no momento das reclamações de clientes da perspetiva do colaborador de contacto.</w:t>
      </w:r>
    </w:p>
    <w:p w:rsidR="00DC11BE" w:rsidRPr="00D77886" w:rsidRDefault="00DC11BE" w:rsidP="00D77886">
      <w:pPr>
        <w:pStyle w:val="CorpoTexto"/>
      </w:pPr>
      <w:r w:rsidRPr="00D77886">
        <w:t>Considerando a fundamentação teórica elaborada e objetivo, o modelo que será alvo de análise deste estudo empírico assentará no esquema e nas duas hipóteses apresentadas no ponto seguinte.</w:t>
      </w:r>
    </w:p>
    <w:p w:rsidR="00DC11BE" w:rsidRPr="0094770E" w:rsidRDefault="00DC11BE" w:rsidP="00D77886">
      <w:pPr>
        <w:pStyle w:val="CorpoTexto"/>
      </w:pPr>
    </w:p>
    <w:p w:rsidR="00DC11BE" w:rsidRPr="00D77886" w:rsidRDefault="00DC11BE" w:rsidP="00A32A19">
      <w:pPr>
        <w:pStyle w:val="Nvel2"/>
      </w:pPr>
      <w:bookmarkStart w:id="39" w:name="_Toc37177057"/>
      <w:bookmarkStart w:id="40" w:name="_Toc46678978"/>
      <w:proofErr w:type="spellStart"/>
      <w:r w:rsidRPr="00D77886">
        <w:t>Modelo</w:t>
      </w:r>
      <w:proofErr w:type="spellEnd"/>
      <w:r w:rsidRPr="00D77886">
        <w:t xml:space="preserve"> e </w:t>
      </w:r>
      <w:proofErr w:type="spellStart"/>
      <w:r w:rsidRPr="00D77886">
        <w:t>hipóteses</w:t>
      </w:r>
      <w:bookmarkEnd w:id="39"/>
      <w:bookmarkEnd w:id="40"/>
      <w:proofErr w:type="spellEnd"/>
    </w:p>
    <w:p w:rsidR="00DC11BE" w:rsidRPr="0094770E" w:rsidRDefault="00DC11BE" w:rsidP="00D77886">
      <w:pPr>
        <w:pStyle w:val="CorpoTexto"/>
      </w:pPr>
      <w:r w:rsidRPr="0094770E">
        <w:t>Como referido anteriormente o objetivo principal deste estudo foi analisar, na perspetiva do colaborador, de que forma a motivação e satisfação do pessoal de contacto se reflete nas suas respostas emotivas numa situação de reclamação do cliente. Por conseguinte, para responder aos objetivos propostos formularam-se as hipóteses de investigação expostas na Tabela 8.</w:t>
      </w:r>
    </w:p>
    <w:p w:rsidR="00DC11BE" w:rsidRDefault="00DC11BE" w:rsidP="00050136">
      <w:pPr>
        <w:pStyle w:val="Nvel22"/>
      </w:pPr>
    </w:p>
    <w:p w:rsidR="004E0B72" w:rsidRDefault="004E0B72" w:rsidP="00050136">
      <w:pPr>
        <w:pStyle w:val="Nvel22"/>
      </w:pPr>
    </w:p>
    <w:p w:rsidR="004E0B72" w:rsidRPr="0094770E" w:rsidRDefault="004E0B72" w:rsidP="00050136">
      <w:pPr>
        <w:pStyle w:val="Nvel22"/>
      </w:pPr>
    </w:p>
    <w:p w:rsidR="004E0B72" w:rsidRPr="004E0B72" w:rsidRDefault="00DC11BE" w:rsidP="005C5E61">
      <w:pPr>
        <w:pStyle w:val="Legenda"/>
        <w:keepNext/>
        <w:spacing w:after="120"/>
        <w:rPr>
          <w:rFonts w:ascii="Garamond" w:hAnsi="Garamond"/>
          <w:b/>
          <w:i w:val="0"/>
          <w:color w:val="auto"/>
          <w:sz w:val="20"/>
          <w:szCs w:val="20"/>
        </w:rPr>
      </w:pPr>
      <w:bookmarkStart w:id="41" w:name="_Toc46677125"/>
      <w:r w:rsidRPr="0094770E">
        <w:rPr>
          <w:rFonts w:ascii="Garamond" w:hAnsi="Garamond"/>
          <w:b/>
          <w:i w:val="0"/>
          <w:color w:val="auto"/>
          <w:sz w:val="20"/>
          <w:szCs w:val="20"/>
        </w:rPr>
        <w:lastRenderedPageBreak/>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color w:val="auto"/>
          <w:sz w:val="20"/>
          <w:szCs w:val="20"/>
        </w:rPr>
        <w:t>8</w:t>
      </w:r>
      <w:r w:rsidRPr="0094770E">
        <w:rPr>
          <w:rFonts w:ascii="Garamond" w:hAnsi="Garamond"/>
          <w:b/>
          <w:i w:val="0"/>
          <w:color w:val="auto"/>
          <w:sz w:val="20"/>
          <w:szCs w:val="20"/>
        </w:rPr>
        <w:fldChar w:fldCharType="end"/>
      </w:r>
      <w:r w:rsidRPr="004E0B72">
        <w:rPr>
          <w:rFonts w:ascii="Garamond" w:hAnsi="Garamond"/>
          <w:b/>
          <w:i w:val="0"/>
          <w:color w:val="auto"/>
          <w:sz w:val="20"/>
          <w:szCs w:val="20"/>
        </w:rPr>
        <w:t xml:space="preserve"> </w:t>
      </w:r>
      <w:r w:rsidRPr="00766663">
        <w:rPr>
          <w:rFonts w:ascii="Garamond" w:hAnsi="Garamond"/>
          <w:bCs/>
          <w:i w:val="0"/>
          <w:color w:val="auto"/>
          <w:sz w:val="20"/>
          <w:szCs w:val="20"/>
        </w:rPr>
        <w:t>- Hipóteses de investigação.</w:t>
      </w:r>
      <w:bookmarkEnd w:id="41"/>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3"/>
      </w:tblGrid>
      <w:tr w:rsidR="00DC11BE" w:rsidRPr="00182811" w:rsidTr="004E3707">
        <w:tc>
          <w:tcPr>
            <w:tcW w:w="8493" w:type="dxa"/>
            <w:tcBorders>
              <w:bottom w:val="single" w:sz="12" w:space="0" w:color="auto"/>
            </w:tcBorders>
          </w:tcPr>
          <w:p w:rsidR="00DC11BE" w:rsidRPr="00182811" w:rsidRDefault="00DC11BE" w:rsidP="00050136">
            <w:pPr>
              <w:pStyle w:val="Nvel22"/>
            </w:pPr>
            <w:r w:rsidRPr="00182811">
              <w:t>Hipóteses</w:t>
            </w:r>
          </w:p>
        </w:tc>
      </w:tr>
      <w:tr w:rsidR="00DC11BE" w:rsidRPr="00182811" w:rsidTr="004E3707">
        <w:tc>
          <w:tcPr>
            <w:tcW w:w="8493" w:type="dxa"/>
            <w:tcBorders>
              <w:top w:val="single" w:sz="12" w:space="0" w:color="auto"/>
              <w:bottom w:val="single" w:sz="4" w:space="0" w:color="auto"/>
            </w:tcBorders>
          </w:tcPr>
          <w:p w:rsidR="00DC11BE" w:rsidRPr="00182811" w:rsidRDefault="00DC11BE" w:rsidP="00050136">
            <w:pPr>
              <w:pStyle w:val="Nvel22"/>
            </w:pPr>
            <w:r w:rsidRPr="00182811">
              <w:t>H1: A motivação do pessoal de contacto influencia as suas respostas emocionais às reclamações dos clientes.</w:t>
            </w:r>
          </w:p>
        </w:tc>
      </w:tr>
      <w:tr w:rsidR="00DC11BE" w:rsidRPr="00182811" w:rsidTr="004E3707">
        <w:tc>
          <w:tcPr>
            <w:tcW w:w="8493" w:type="dxa"/>
            <w:tcBorders>
              <w:top w:val="single" w:sz="4" w:space="0" w:color="auto"/>
              <w:bottom w:val="single" w:sz="12" w:space="0" w:color="auto"/>
            </w:tcBorders>
          </w:tcPr>
          <w:p w:rsidR="00DC11BE" w:rsidRPr="00182811" w:rsidRDefault="00DC11BE" w:rsidP="00050136">
            <w:pPr>
              <w:pStyle w:val="Nvel22"/>
            </w:pPr>
            <w:r w:rsidRPr="00182811">
              <w:t>H2- A satisfação do pessoal de contacto influencia as suas respostas emocionais às reclamações dos clientes.</w:t>
            </w:r>
          </w:p>
        </w:tc>
      </w:tr>
    </w:tbl>
    <w:p w:rsidR="00DC11BE" w:rsidRPr="005C5E61" w:rsidRDefault="005C5E61" w:rsidP="00050136">
      <w:pPr>
        <w:pStyle w:val="Nvel22"/>
      </w:pPr>
      <w:r w:rsidRPr="00766663">
        <w:rPr>
          <w:b/>
        </w:rPr>
        <w:t>Fonte:</w:t>
      </w:r>
      <w:r w:rsidRPr="005C5E61">
        <w:t xml:space="preserve"> Elaboração própria.</w:t>
      </w:r>
    </w:p>
    <w:p w:rsidR="005C5E61" w:rsidRPr="0094770E" w:rsidRDefault="005C5E61" w:rsidP="00050136">
      <w:pPr>
        <w:pStyle w:val="Nvel22"/>
      </w:pPr>
    </w:p>
    <w:p w:rsidR="00DC11BE" w:rsidRPr="000C380C" w:rsidRDefault="00DC11BE" w:rsidP="00D77886">
      <w:pPr>
        <w:pStyle w:val="CorpoTexto"/>
      </w:pPr>
      <w:r w:rsidRPr="000C380C">
        <w:t>Como tem vindo a ser referido, numa organização a motivação é um dos elementos que afeta o desempenho laboral dos colaboradores. O colaborador apresenta um comportamento particular de acordo com o nível de motivação que possui. Deste modo, os colaboradores que apresentam níveis de motivação elevados expressam o seu bom desempenho através do esforço que utilizam para desenvolver as suas atividades, bem como evidenciam o seu nível de identificação em relação às metas e aos objetivos organizacionais.</w:t>
      </w:r>
    </w:p>
    <w:p w:rsidR="00DC11BE" w:rsidRPr="000C380C" w:rsidRDefault="00DC11BE" w:rsidP="00D77886">
      <w:pPr>
        <w:pStyle w:val="CorpoTexto"/>
      </w:pPr>
      <w:r w:rsidRPr="000C380C">
        <w:t xml:space="preserve">Um nível ótimo de motivação nos empregados envolve uma relação entre as expetativas do colaborador em relação ao seu trabalho e aos resultados obtidos. A satisfação laboral é um estado emocional positivo considerado como uma das dimensões mais representativas do comportamento no seio das organizações </w:t>
      </w:r>
      <w:r w:rsidRPr="000C380C">
        <w:rPr>
          <w:noProof/>
        </w:rPr>
        <w:t>(García, Sotos, Martínez, &amp; Carral, 2005)</w:t>
      </w:r>
      <w:r w:rsidRPr="000C380C">
        <w:t xml:space="preserve">. </w:t>
      </w:r>
    </w:p>
    <w:p w:rsidR="00DC11BE" w:rsidRPr="000C380C" w:rsidRDefault="00DC11BE" w:rsidP="00D77886">
      <w:pPr>
        <w:pStyle w:val="CorpoTexto"/>
      </w:pPr>
      <w:r w:rsidRPr="000C380C">
        <w:t xml:space="preserve">Neste pressuposto é importante perceber que os colaboradores estão satisfeitos nos seus locais de trabalho, bem como todos os indivíduos que constituem uma organização, uma vez que se tornam mais produtivos e geram mais lucro. Assim, existem determinados fatores que determinam a motivação e a satisfação laboral numa organização, dos quais assumem especial relevância a personalidade do colaborador, os seus valores, a influência social e a própria situação do trabalho. Estas variáveis conjugadas com sucesso trazem benefícios para a organização, criam estabilidade laboral, diminuem as rotações e melhoram as respostas emocionais face às reclamações dos clientes, afetando de forma considerável a determinação de satisfação ou insatisfação destes últimos </w:t>
      </w:r>
      <w:r w:rsidRPr="000C380C">
        <w:rPr>
          <w:noProof/>
        </w:rPr>
        <w:t>(Robbins &amp; Judge, 2004)</w:t>
      </w:r>
      <w:r w:rsidRPr="000C380C">
        <w:t xml:space="preserve">. </w:t>
      </w:r>
    </w:p>
    <w:p w:rsidR="00DC11BE" w:rsidRPr="000C380C" w:rsidRDefault="00DC11BE" w:rsidP="00D77886">
      <w:pPr>
        <w:pStyle w:val="CorpoTexto"/>
      </w:pPr>
      <w:r w:rsidRPr="000C380C">
        <w:t xml:space="preserve">Ou seja, colaboradores sujeitos a um reforço de poder, de autoestima e de autoconfiança alcançam maior controlo da própria vida, obtêm maior sucesso e maior realização pessoal, e alargam competências atribuídas. Para além disso, ao interagirem com os outros, os colaboradores evitam ao máximo situações conflituosas e competitivas, são mais </w:t>
      </w:r>
      <w:r w:rsidRPr="000C380C">
        <w:lastRenderedPageBreak/>
        <w:t xml:space="preserve">desprendidos e cooperativos e evitam falar com os seus pares de forma negativa. Deste modo sentem-se melhor com o seu trabalho e mais entusiasmados para atenderem os clientes decorrendo daí respostas mais rápidas e eficazes às solicitações dos clientes produzindo níveis mais elevados de satisfação nestes </w:t>
      </w:r>
      <w:r w:rsidRPr="000C380C">
        <w:rPr>
          <w:noProof/>
        </w:rPr>
        <w:t>(Reeve, 2009)</w:t>
      </w:r>
      <w:r w:rsidRPr="000C380C">
        <w:t xml:space="preserve">. </w:t>
      </w:r>
    </w:p>
    <w:p w:rsidR="00DC11BE" w:rsidRPr="000C380C" w:rsidRDefault="00DC11BE" w:rsidP="00D77886">
      <w:pPr>
        <w:pStyle w:val="CorpoTexto"/>
      </w:pPr>
      <w:r w:rsidRPr="000C380C">
        <w:t>Assim, pretendeu-se indagar</w:t>
      </w:r>
      <w:r w:rsidR="00555BF3" w:rsidRPr="000C380C">
        <w:t>-</w:t>
      </w:r>
      <w:r w:rsidR="0045067E" w:rsidRPr="000C380C">
        <w:t>s</w:t>
      </w:r>
      <w:r w:rsidRPr="000C380C">
        <w:t>e:</w:t>
      </w:r>
    </w:p>
    <w:p w:rsidR="00DC11BE" w:rsidRPr="000C380C" w:rsidRDefault="00DC11BE" w:rsidP="00D77886">
      <w:pPr>
        <w:pStyle w:val="CorpoTexto"/>
      </w:pPr>
      <w:r w:rsidRPr="000C380C">
        <w:rPr>
          <w:b/>
        </w:rPr>
        <w:t>Hipótese 1</w:t>
      </w:r>
      <w:r w:rsidRPr="000C380C">
        <w:t xml:space="preserve"> – A motivação do pessoal de contacto influencia as suas respostas emocionais às reclamações dos clientes. </w:t>
      </w:r>
    </w:p>
    <w:p w:rsidR="00DC11BE" w:rsidRPr="000C380C" w:rsidRDefault="00DC11BE" w:rsidP="00D77886">
      <w:pPr>
        <w:pStyle w:val="CorpoTexto"/>
      </w:pPr>
      <w:r w:rsidRPr="000C380C">
        <w:t xml:space="preserve">Posto isto, observa-se que a motivação está orientada para a satisfação das necessidades, no entanto em determinadas situações subsistem necessidades que não são atendidas, não </w:t>
      </w:r>
      <w:r w:rsidR="00F870BA" w:rsidRPr="000C380C">
        <w:t>motivando, contudo,</w:t>
      </w:r>
      <w:r w:rsidRPr="000C380C">
        <w:t xml:space="preserve"> frustração, uma vez que a satisfação de necessidades é transitória, porquanto o comportamento humano opera um processo contínuo de resolução de problemas e satisfação de necessidades.</w:t>
      </w:r>
    </w:p>
    <w:p w:rsidR="00DC11BE" w:rsidRPr="000C380C" w:rsidRDefault="00DC11BE" w:rsidP="00D77886">
      <w:pPr>
        <w:pStyle w:val="CorpoTexto"/>
      </w:pPr>
      <w:r w:rsidRPr="000C380C">
        <w:t xml:space="preserve">Desta forma, a satisfação no trabalho é essencial para qualquer tipo de trabalho, visto que nos indivíduos o bem-estar para além de ser eloquente para os mesmos, também afeta a sua produtividade e a qualidade no momento de apresentar resultados à organização. Por conseguinte, a satisfação é uma atitude ou conjunto de atitudes desenvolvidas pelo indivíduo em relação à sua situação de trabalho, pelo que esta opera como um conceito abrangente que refere as atitudes dos trabalhadores ou colaboradores perante diversos elementos que se apresentam quotidianamente em cada área da organização </w:t>
      </w:r>
      <w:r w:rsidRPr="000C380C">
        <w:rPr>
          <w:noProof/>
        </w:rPr>
        <w:t>(Su</w:t>
      </w:r>
      <w:r w:rsidRPr="000C380C">
        <w:rPr>
          <w:rFonts w:ascii="Cambria Math" w:hAnsi="Cambria Math" w:cs="Cambria Math"/>
          <w:noProof/>
        </w:rPr>
        <w:t>‐</w:t>
      </w:r>
      <w:r w:rsidRPr="000C380C">
        <w:rPr>
          <w:noProof/>
        </w:rPr>
        <w:t>Chao &amp; Ming</w:t>
      </w:r>
      <w:r w:rsidRPr="000C380C">
        <w:rPr>
          <w:rFonts w:ascii="Cambria Math" w:hAnsi="Cambria Math" w:cs="Cambria Math"/>
          <w:noProof/>
        </w:rPr>
        <w:t>‐</w:t>
      </w:r>
      <w:r w:rsidRPr="000C380C">
        <w:rPr>
          <w:noProof/>
        </w:rPr>
        <w:t>Shing, 2007)</w:t>
      </w:r>
      <w:r w:rsidRPr="000C380C">
        <w:t xml:space="preserve">. </w:t>
      </w:r>
    </w:p>
    <w:p w:rsidR="00DC11BE" w:rsidRPr="000C380C" w:rsidRDefault="00DC11BE" w:rsidP="00D77886">
      <w:pPr>
        <w:pStyle w:val="CorpoTexto"/>
      </w:pPr>
      <w:r w:rsidRPr="000C380C">
        <w:t>Por conseguinte, e de acordo com o anteriormente proferido, a satisfação laboral é o resultado de um conjunto de elementos motivacionais, emocionais, de atitudes, cognitivos e comportamentais que dizem respeito à interação num ambiente organizacional particular, tendo em conta situações e fatores relacionados com salários, supervisão, permanência do emprego, condições de trabalho, oportunidades de promoção, reconhecimento de capacidades, avaliação íntegra do trabalho, relações sociais no emprego, resolução eficiente das queixas, tratamento imparcial pelas hierarquias, entre outros</w:t>
      </w:r>
      <w:r w:rsidR="0045067E" w:rsidRPr="000C380C">
        <w:t xml:space="preserve"> </w:t>
      </w:r>
      <w:r w:rsidRPr="000C380C">
        <w:rPr>
          <w:noProof/>
        </w:rPr>
        <w:t>(Castro, Padilla, &amp; Ramírez, 2009)</w:t>
      </w:r>
      <w:r w:rsidRPr="000C380C">
        <w:t>. Deste modo, formulou-se a hipótese 2:</w:t>
      </w:r>
    </w:p>
    <w:p w:rsidR="006425F7" w:rsidRDefault="00DC11BE" w:rsidP="00CD411E">
      <w:pPr>
        <w:pStyle w:val="CorpoTexto"/>
        <w:rPr>
          <w:color w:val="000000" w:themeColor="text1"/>
        </w:rPr>
      </w:pPr>
      <w:r w:rsidRPr="00CD411E">
        <w:rPr>
          <w:b/>
          <w:color w:val="000000" w:themeColor="text1"/>
        </w:rPr>
        <w:t>Hipótese 2</w:t>
      </w:r>
      <w:r w:rsidRPr="00CD411E">
        <w:rPr>
          <w:color w:val="000000" w:themeColor="text1"/>
        </w:rPr>
        <w:t xml:space="preserve"> – A satisfação do pessoal de contacto influencia as suas respostas emocionais às reclamações dos clientes.</w:t>
      </w:r>
    </w:p>
    <w:p w:rsidR="00DC11BE" w:rsidRPr="006425F7" w:rsidRDefault="00DC11BE" w:rsidP="00CD411E">
      <w:pPr>
        <w:pStyle w:val="CorpoTexto"/>
        <w:rPr>
          <w:color w:val="000000" w:themeColor="text1"/>
        </w:rPr>
      </w:pPr>
      <w:r w:rsidRPr="000C380C">
        <w:t>O modelo que resultou da formulação das hipóteses e das relações existentes entre as motivações e a satisfação com as respostas do pessoal de contacto é exposto na figura 2.</w:t>
      </w:r>
    </w:p>
    <w:p w:rsidR="00CD411E" w:rsidRPr="000C380C" w:rsidRDefault="00CD411E" w:rsidP="00CD411E">
      <w:pPr>
        <w:pStyle w:val="CorpoTexto"/>
      </w:pPr>
    </w:p>
    <w:p w:rsidR="00CD411E" w:rsidRPr="00A451D9" w:rsidRDefault="00A451D9" w:rsidP="00A451D9">
      <w:pPr>
        <w:pStyle w:val="Legenda"/>
        <w:spacing w:after="120"/>
        <w:rPr>
          <w:rFonts w:ascii="Garamond" w:hAnsi="Garamond"/>
          <w:i w:val="0"/>
          <w:color w:val="FF0000"/>
          <w:sz w:val="20"/>
          <w:szCs w:val="20"/>
        </w:rPr>
      </w:pPr>
      <w:bookmarkStart w:id="42" w:name="_Toc46677150"/>
      <w:r w:rsidRPr="00A451D9">
        <w:rPr>
          <w:noProof/>
          <w:color w:val="000000" w:themeColor="text1"/>
        </w:rPr>
        <mc:AlternateContent>
          <mc:Choice Requires="wps">
            <w:drawing>
              <wp:anchor distT="0" distB="0" distL="114300" distR="114300" simplePos="0" relativeHeight="251666432" behindDoc="0" locked="0" layoutInCell="1" allowOverlap="1">
                <wp:simplePos x="0" y="0"/>
                <wp:positionH relativeFrom="column">
                  <wp:posOffset>9525</wp:posOffset>
                </wp:positionH>
                <wp:positionV relativeFrom="paragraph">
                  <wp:posOffset>193040</wp:posOffset>
                </wp:positionV>
                <wp:extent cx="2340000" cy="1080000"/>
                <wp:effectExtent l="0" t="0" r="9525" b="12700"/>
                <wp:wrapNone/>
                <wp:docPr id="1" name="Caixa de texto 1"/>
                <wp:cNvGraphicFramePr/>
                <a:graphic xmlns:a="http://schemas.openxmlformats.org/drawingml/2006/main">
                  <a:graphicData uri="http://schemas.microsoft.com/office/word/2010/wordprocessingShape">
                    <wps:wsp>
                      <wps:cNvSpPr txBox="1"/>
                      <wps:spPr>
                        <a:xfrm>
                          <a:off x="0" y="0"/>
                          <a:ext cx="2340000" cy="1080000"/>
                        </a:xfrm>
                        <a:prstGeom prst="rect">
                          <a:avLst/>
                        </a:prstGeom>
                        <a:solidFill>
                          <a:schemeClr val="lt1"/>
                        </a:solidFill>
                        <a:ln w="6350">
                          <a:solidFill>
                            <a:prstClr val="black"/>
                          </a:solidFill>
                        </a:ln>
                      </wps:spPr>
                      <wps:txbx>
                        <w:txbxContent>
                          <w:p w:rsidR="005905A3" w:rsidRPr="00A451D9" w:rsidRDefault="005905A3">
                            <w:pPr>
                              <w:rPr>
                                <w:rFonts w:ascii="Garamond" w:hAnsi="Garamond"/>
                                <w:sz w:val="24"/>
                                <w:szCs w:val="24"/>
                              </w:rPr>
                            </w:pPr>
                            <w:r w:rsidRPr="00A451D9">
                              <w:rPr>
                                <w:rFonts w:ascii="Garamond" w:hAnsi="Garamond"/>
                                <w:sz w:val="24"/>
                                <w:szCs w:val="24"/>
                              </w:rPr>
                              <w:t>Motivação do pessoal de contacto:</w:t>
                            </w:r>
                          </w:p>
                          <w:p w:rsidR="005905A3" w:rsidRPr="00A451D9" w:rsidRDefault="005905A3">
                            <w:pPr>
                              <w:rPr>
                                <w:rFonts w:ascii="Garamond" w:hAnsi="Garamond"/>
                                <w:sz w:val="24"/>
                                <w:szCs w:val="24"/>
                              </w:rPr>
                            </w:pPr>
                            <w:r w:rsidRPr="00A451D9">
                              <w:rPr>
                                <w:rFonts w:ascii="Garamond" w:hAnsi="Garamond"/>
                                <w:sz w:val="24"/>
                                <w:szCs w:val="24"/>
                              </w:rPr>
                              <w:t>- Poder</w:t>
                            </w:r>
                          </w:p>
                          <w:p w:rsidR="005905A3" w:rsidRPr="00A451D9" w:rsidRDefault="005905A3">
                            <w:pPr>
                              <w:rPr>
                                <w:rFonts w:ascii="Garamond" w:hAnsi="Garamond"/>
                                <w:sz w:val="24"/>
                                <w:szCs w:val="24"/>
                              </w:rPr>
                            </w:pPr>
                            <w:r w:rsidRPr="00A451D9">
                              <w:rPr>
                                <w:rFonts w:ascii="Garamond" w:hAnsi="Garamond"/>
                                <w:sz w:val="24"/>
                                <w:szCs w:val="24"/>
                              </w:rPr>
                              <w:t>- Sucesso</w:t>
                            </w:r>
                          </w:p>
                          <w:p w:rsidR="005905A3" w:rsidRPr="00A451D9" w:rsidRDefault="005905A3">
                            <w:pPr>
                              <w:rPr>
                                <w:rFonts w:ascii="Garamond" w:hAnsi="Garamond"/>
                                <w:sz w:val="24"/>
                                <w:szCs w:val="24"/>
                              </w:rPr>
                            </w:pPr>
                            <w:r w:rsidRPr="00A451D9">
                              <w:rPr>
                                <w:rFonts w:ascii="Garamond" w:hAnsi="Garamond"/>
                                <w:sz w:val="24"/>
                                <w:szCs w:val="24"/>
                              </w:rPr>
                              <w:t>- Afiliação</w:t>
                            </w:r>
                          </w:p>
                          <w:p w:rsidR="005905A3" w:rsidRDefault="005905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75pt;margin-top:15.2pt;width:184.2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" fillcolor="white [3201]" strokeweight=".5pt">
                <v:textbox>
                  <w:txbxContent>
                    <w:p w:rsidR="005905A3" w:rsidRPr="00A451D9" w:rsidRDefault="005905A3">
                      <w:pPr>
                        <w:rPr>
                          <w:rFonts w:ascii="Garamond" w:hAnsi="Garamond"/>
                          <w:sz w:val="24"/>
                          <w:szCs w:val="24"/>
                        </w:rPr>
                      </w:pPr>
                      <w:r w:rsidRPr="00A451D9">
                        <w:rPr>
                          <w:rFonts w:ascii="Garamond" w:hAnsi="Garamond"/>
                          <w:sz w:val="24"/>
                          <w:szCs w:val="24"/>
                        </w:rPr>
                        <w:t>Motivação do pessoal de contacto:</w:t>
                      </w:r>
                    </w:p>
                    <w:p w:rsidR="005905A3" w:rsidRPr="00A451D9" w:rsidRDefault="005905A3">
                      <w:pPr>
                        <w:rPr>
                          <w:rFonts w:ascii="Garamond" w:hAnsi="Garamond"/>
                          <w:sz w:val="24"/>
                          <w:szCs w:val="24"/>
                        </w:rPr>
                      </w:pPr>
                      <w:r w:rsidRPr="00A451D9">
                        <w:rPr>
                          <w:rFonts w:ascii="Garamond" w:hAnsi="Garamond"/>
                          <w:sz w:val="24"/>
                          <w:szCs w:val="24"/>
                        </w:rPr>
                        <w:t>- Poder</w:t>
                      </w:r>
                    </w:p>
                    <w:p w:rsidR="005905A3" w:rsidRPr="00A451D9" w:rsidRDefault="005905A3">
                      <w:pPr>
                        <w:rPr>
                          <w:rFonts w:ascii="Garamond" w:hAnsi="Garamond"/>
                          <w:sz w:val="24"/>
                          <w:szCs w:val="24"/>
                        </w:rPr>
                      </w:pPr>
                      <w:r w:rsidRPr="00A451D9">
                        <w:rPr>
                          <w:rFonts w:ascii="Garamond" w:hAnsi="Garamond"/>
                          <w:sz w:val="24"/>
                          <w:szCs w:val="24"/>
                        </w:rPr>
                        <w:t>- Sucesso</w:t>
                      </w:r>
                    </w:p>
                    <w:p w:rsidR="005905A3" w:rsidRPr="00A451D9" w:rsidRDefault="005905A3">
                      <w:pPr>
                        <w:rPr>
                          <w:rFonts w:ascii="Garamond" w:hAnsi="Garamond"/>
                          <w:sz w:val="24"/>
                          <w:szCs w:val="24"/>
                        </w:rPr>
                      </w:pPr>
                      <w:r w:rsidRPr="00A451D9">
                        <w:rPr>
                          <w:rFonts w:ascii="Garamond" w:hAnsi="Garamond"/>
                          <w:sz w:val="24"/>
                          <w:szCs w:val="24"/>
                        </w:rPr>
                        <w:t>- Afiliação</w:t>
                      </w:r>
                    </w:p>
                    <w:p w:rsidR="005905A3" w:rsidRDefault="005905A3"/>
                  </w:txbxContent>
                </v:textbox>
              </v:shape>
            </w:pict>
          </mc:Fallback>
        </mc:AlternateContent>
      </w:r>
      <w:r w:rsidR="00DC11BE" w:rsidRPr="00A451D9">
        <w:rPr>
          <w:rFonts w:ascii="Garamond" w:hAnsi="Garamond"/>
          <w:b/>
          <w:i w:val="0"/>
          <w:color w:val="000000" w:themeColor="text1"/>
          <w:sz w:val="20"/>
          <w:szCs w:val="20"/>
        </w:rPr>
        <w:t xml:space="preserve">Figura </w:t>
      </w:r>
      <w:r w:rsidR="00DC11BE" w:rsidRPr="00A451D9">
        <w:rPr>
          <w:rFonts w:ascii="Garamond" w:hAnsi="Garamond"/>
          <w:b/>
          <w:i w:val="0"/>
          <w:color w:val="000000" w:themeColor="text1"/>
          <w:sz w:val="20"/>
          <w:szCs w:val="20"/>
        </w:rPr>
        <w:fldChar w:fldCharType="begin"/>
      </w:r>
      <w:r w:rsidR="00DC11BE" w:rsidRPr="00A451D9">
        <w:rPr>
          <w:rFonts w:ascii="Garamond" w:hAnsi="Garamond"/>
          <w:b/>
          <w:i w:val="0"/>
          <w:color w:val="000000" w:themeColor="text1"/>
          <w:sz w:val="20"/>
          <w:szCs w:val="20"/>
        </w:rPr>
        <w:instrText xml:space="preserve"> SEQ Figura \* ARABIC </w:instrText>
      </w:r>
      <w:r w:rsidR="00DC11BE" w:rsidRPr="00A451D9">
        <w:rPr>
          <w:rFonts w:ascii="Garamond" w:hAnsi="Garamond"/>
          <w:b/>
          <w:i w:val="0"/>
          <w:color w:val="000000" w:themeColor="text1"/>
          <w:sz w:val="20"/>
          <w:szCs w:val="20"/>
        </w:rPr>
        <w:fldChar w:fldCharType="separate"/>
      </w:r>
      <w:r w:rsidR="004E0B72" w:rsidRPr="00A451D9">
        <w:rPr>
          <w:rFonts w:ascii="Garamond" w:hAnsi="Garamond"/>
          <w:b/>
          <w:i w:val="0"/>
          <w:noProof/>
          <w:color w:val="000000" w:themeColor="text1"/>
          <w:sz w:val="20"/>
          <w:szCs w:val="20"/>
        </w:rPr>
        <w:t>2</w:t>
      </w:r>
      <w:r w:rsidR="00DC11BE" w:rsidRPr="00A451D9">
        <w:rPr>
          <w:rFonts w:ascii="Garamond" w:hAnsi="Garamond"/>
          <w:b/>
          <w:i w:val="0"/>
          <w:color w:val="000000" w:themeColor="text1"/>
          <w:sz w:val="20"/>
          <w:szCs w:val="20"/>
        </w:rPr>
        <w:fldChar w:fldCharType="end"/>
      </w:r>
      <w:r w:rsidR="00DC11BE" w:rsidRPr="00A451D9">
        <w:rPr>
          <w:rFonts w:ascii="Garamond" w:hAnsi="Garamond"/>
          <w:i w:val="0"/>
          <w:color w:val="000000" w:themeColor="text1"/>
          <w:sz w:val="20"/>
          <w:szCs w:val="20"/>
        </w:rPr>
        <w:t xml:space="preserve"> - Modelo </w:t>
      </w:r>
      <w:r w:rsidR="00D41349" w:rsidRPr="00A451D9">
        <w:rPr>
          <w:rFonts w:ascii="Garamond" w:hAnsi="Garamond"/>
          <w:i w:val="0"/>
          <w:color w:val="000000" w:themeColor="text1"/>
          <w:sz w:val="20"/>
          <w:szCs w:val="20"/>
        </w:rPr>
        <w:t>de investigação</w:t>
      </w:r>
      <w:bookmarkEnd w:id="42"/>
    </w:p>
    <w:p w:rsidR="00CD411E" w:rsidRDefault="00CD411E" w:rsidP="00CD411E"/>
    <w:p w:rsidR="00CD411E" w:rsidRDefault="002F1DEC" w:rsidP="00CD411E">
      <w:r>
        <w:rPr>
          <w:noProof/>
        </w:rPr>
        <mc:AlternateContent>
          <mc:Choice Requires="wps">
            <w:drawing>
              <wp:anchor distT="0" distB="0" distL="114300" distR="114300" simplePos="0" relativeHeight="251672576" behindDoc="0" locked="0" layoutInCell="1" allowOverlap="1">
                <wp:simplePos x="0" y="0"/>
                <wp:positionH relativeFrom="column">
                  <wp:posOffset>2641674</wp:posOffset>
                </wp:positionH>
                <wp:positionV relativeFrom="paragraph">
                  <wp:posOffset>223520</wp:posOffset>
                </wp:positionV>
                <wp:extent cx="432000" cy="252000"/>
                <wp:effectExtent l="0" t="0" r="12700" b="15240"/>
                <wp:wrapNone/>
                <wp:docPr id="15" name="Caixa de texto 15"/>
                <wp:cNvGraphicFramePr/>
                <a:graphic xmlns:a="http://schemas.openxmlformats.org/drawingml/2006/main">
                  <a:graphicData uri="http://schemas.microsoft.com/office/word/2010/wordprocessingShape">
                    <wps:wsp>
                      <wps:cNvSpPr txBox="1"/>
                      <wps:spPr>
                        <a:xfrm>
                          <a:off x="0" y="0"/>
                          <a:ext cx="432000" cy="252000"/>
                        </a:xfrm>
                        <a:prstGeom prst="rect">
                          <a:avLst/>
                        </a:prstGeom>
                        <a:solidFill>
                          <a:schemeClr val="lt1"/>
                        </a:solidFill>
                        <a:ln w="6350">
                          <a:solidFill>
                            <a:prstClr val="black"/>
                          </a:solidFill>
                        </a:ln>
                      </wps:spPr>
                      <wps:txbx>
                        <w:txbxContent>
                          <w:p w:rsidR="005905A3" w:rsidRPr="002F1DEC" w:rsidRDefault="005905A3" w:rsidP="002F1DEC">
                            <w:pPr>
                              <w:jc w:val="center"/>
                              <w:rPr>
                                <w:rFonts w:ascii="Garamond" w:hAnsi="Garamond"/>
                                <w:sz w:val="24"/>
                                <w:szCs w:val="24"/>
                              </w:rPr>
                            </w:pPr>
                            <w:r w:rsidRPr="002F1DEC">
                              <w:rPr>
                                <w:rFonts w:ascii="Garamond" w:hAnsi="Garamond"/>
                                <w:sz w:val="24"/>
                                <w:szCs w:val="24"/>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15" o:spid="_x0000_s1027" type="#_x0000_t202" style="position:absolute;left:0;text-align:left;margin-left:208pt;margin-top:17.6pt;width:34pt;height:1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" fillcolor="white [3201]" strokeweight=".5pt">
                <v:textbox>
                  <w:txbxContent>
                    <w:p w:rsidR="005905A3" w:rsidRPr="002F1DEC" w:rsidRDefault="005905A3" w:rsidP="002F1DEC">
                      <w:pPr>
                        <w:jc w:val="center"/>
                        <w:rPr>
                          <w:rFonts w:ascii="Garamond" w:hAnsi="Garamond"/>
                          <w:sz w:val="24"/>
                          <w:szCs w:val="24"/>
                        </w:rPr>
                      </w:pPr>
                      <w:r w:rsidRPr="002F1DEC">
                        <w:rPr>
                          <w:rFonts w:ascii="Garamond" w:hAnsi="Garamond"/>
                          <w:sz w:val="24"/>
                          <w:szCs w:val="24"/>
                        </w:rPr>
                        <w:t>H1</w:t>
                      </w:r>
                    </w:p>
                  </w:txbxContent>
                </v:textbox>
              </v:shape>
            </w:pict>
          </mc:Fallback>
        </mc:AlternateContent>
      </w:r>
      <w:r w:rsidR="00A451D9">
        <w:rPr>
          <w:noProof/>
        </w:rPr>
        <mc:AlternateContent>
          <mc:Choice Requires="wps">
            <w:drawing>
              <wp:anchor distT="0" distB="0" distL="114300" distR="114300" simplePos="0" relativeHeight="251670528" behindDoc="0" locked="0" layoutInCell="1" allowOverlap="1">
                <wp:simplePos x="0" y="0"/>
                <wp:positionH relativeFrom="column">
                  <wp:posOffset>2344774</wp:posOffset>
                </wp:positionH>
                <wp:positionV relativeFrom="paragraph">
                  <wp:posOffset>210997</wp:posOffset>
                </wp:positionV>
                <wp:extent cx="360695" cy="510363"/>
                <wp:effectExtent l="0" t="0" r="45720" b="36195"/>
                <wp:wrapNone/>
                <wp:docPr id="8" name="Conexão Reta Unidirecional 8"/>
                <wp:cNvGraphicFramePr/>
                <a:graphic xmlns:a="http://schemas.openxmlformats.org/drawingml/2006/main">
                  <a:graphicData uri="http://schemas.microsoft.com/office/word/2010/wordprocessingShape">
                    <wps:wsp>
                      <wps:cNvCnPr/>
                      <wps:spPr>
                        <a:xfrm>
                          <a:off x="0" y="0"/>
                          <a:ext cx="360695" cy="51036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7CBB46F" id="_x0000_t32" coordsize="21600,21600" o:spt="32" o:oned="t" path="m,l21600,21600e" filled="f">
                <v:path arrowok="t" fillok="f" o:connecttype="none"/>
                <o:lock v:ext="edit" shapetype="t"/>
              </v:shapetype>
              <v:shape id="Conexão Reta Unidirecional 8" o:spid="_x0000_s1026" type="#_x0000_t32" style="position:absolute;margin-left:184.65pt;margin-top:16.6pt;width:28.4pt;height:40.2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" strokecolor="black [3213]" strokeweight=".5pt">
                <v:stroke endarrow="block" joinstyle="miter"/>
              </v:shape>
            </w:pict>
          </mc:Fallback>
        </mc:AlternateContent>
      </w:r>
    </w:p>
    <w:p w:rsidR="00CD411E" w:rsidRPr="00CD411E" w:rsidRDefault="00CD411E" w:rsidP="00CD411E"/>
    <w:p w:rsidR="00CD411E" w:rsidRDefault="00A451D9" w:rsidP="004E3707">
      <w:pPr>
        <w:rPr>
          <w:rFonts w:ascii="Garamond" w:hAnsi="Garamond"/>
          <w:b/>
          <w:color w:val="FF0000"/>
          <w:sz w:val="20"/>
          <w:szCs w:val="20"/>
        </w:rPr>
      </w:pPr>
      <w:r>
        <w:rPr>
          <w:rFonts w:ascii="Garamond" w:hAnsi="Garamond"/>
          <w:b/>
          <w:noProof/>
          <w:color w:val="FF0000"/>
          <w:sz w:val="20"/>
          <w:szCs w:val="20"/>
        </w:rPr>
        <mc:AlternateContent>
          <mc:Choice Requires="wps">
            <w:drawing>
              <wp:anchor distT="0" distB="0" distL="114300" distR="114300" simplePos="0" relativeHeight="251669504" behindDoc="0" locked="0" layoutInCell="1" allowOverlap="1">
                <wp:simplePos x="0" y="0"/>
                <wp:positionH relativeFrom="column">
                  <wp:posOffset>2705100</wp:posOffset>
                </wp:positionH>
                <wp:positionV relativeFrom="paragraph">
                  <wp:posOffset>209890</wp:posOffset>
                </wp:positionV>
                <wp:extent cx="2664000" cy="542261"/>
                <wp:effectExtent l="0" t="0" r="15875" b="17145"/>
                <wp:wrapNone/>
                <wp:docPr id="5" name="Caixa de texto 5"/>
                <wp:cNvGraphicFramePr/>
                <a:graphic xmlns:a="http://schemas.openxmlformats.org/drawingml/2006/main">
                  <a:graphicData uri="http://schemas.microsoft.com/office/word/2010/wordprocessingShape">
                    <wps:wsp>
                      <wps:cNvSpPr txBox="1"/>
                      <wps:spPr>
                        <a:xfrm>
                          <a:off x="0" y="0"/>
                          <a:ext cx="2664000" cy="542261"/>
                        </a:xfrm>
                        <a:prstGeom prst="rect">
                          <a:avLst/>
                        </a:prstGeom>
                        <a:solidFill>
                          <a:schemeClr val="lt1"/>
                        </a:solidFill>
                        <a:ln w="6350">
                          <a:solidFill>
                            <a:prstClr val="black"/>
                          </a:solidFill>
                        </a:ln>
                      </wps:spPr>
                      <wps:txbx>
                        <w:txbxContent>
                          <w:p w:rsidR="005905A3" w:rsidRPr="00A451D9" w:rsidRDefault="005905A3">
                            <w:pPr>
                              <w:rPr>
                                <w:rFonts w:ascii="Garamond" w:hAnsi="Garamond"/>
                                <w:sz w:val="24"/>
                                <w:szCs w:val="24"/>
                              </w:rPr>
                            </w:pPr>
                            <w:r w:rsidRPr="00A451D9">
                              <w:rPr>
                                <w:rFonts w:ascii="Garamond" w:hAnsi="Garamond"/>
                                <w:sz w:val="24"/>
                                <w:szCs w:val="24"/>
                              </w:rPr>
                              <w:t>Res</w:t>
                            </w:r>
                            <w:r>
                              <w:rPr>
                                <w:rFonts w:ascii="Garamond" w:hAnsi="Garamond"/>
                                <w:sz w:val="24"/>
                                <w:szCs w:val="24"/>
                              </w:rPr>
                              <w:t>postas emocionais às reclamações dos clientes.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28" type="#_x0000_t202" style="position:absolute;left:0;text-align:left;margin-left:213pt;margin-top:16.55pt;width:209.75pt;height:4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" fillcolor="white [3201]" strokeweight=".5pt">
                <v:textbox>
                  <w:txbxContent>
                    <w:p w:rsidR="005905A3" w:rsidRPr="00A451D9" w:rsidRDefault="005905A3">
                      <w:pPr>
                        <w:rPr>
                          <w:rFonts w:ascii="Garamond" w:hAnsi="Garamond"/>
                          <w:sz w:val="24"/>
                          <w:szCs w:val="24"/>
                        </w:rPr>
                      </w:pPr>
                      <w:r w:rsidRPr="00A451D9">
                        <w:rPr>
                          <w:rFonts w:ascii="Garamond" w:hAnsi="Garamond"/>
                          <w:sz w:val="24"/>
                          <w:szCs w:val="24"/>
                        </w:rPr>
                        <w:t>Res</w:t>
                      </w:r>
                      <w:r>
                        <w:rPr>
                          <w:rFonts w:ascii="Garamond" w:hAnsi="Garamond"/>
                          <w:sz w:val="24"/>
                          <w:szCs w:val="24"/>
                        </w:rPr>
                        <w:t>postas emocionais às reclamações dos clientes.</w:t>
                      </w:r>
                    </w:p>
                  </w:txbxContent>
                </v:textbox>
              </v:shape>
            </w:pict>
          </mc:Fallback>
        </mc:AlternateContent>
      </w:r>
    </w:p>
    <w:p w:rsidR="00CD411E" w:rsidRDefault="00CD411E" w:rsidP="004E3707">
      <w:pPr>
        <w:rPr>
          <w:rFonts w:ascii="Garamond" w:hAnsi="Garamond"/>
          <w:b/>
          <w:color w:val="FF0000"/>
          <w:sz w:val="20"/>
          <w:szCs w:val="20"/>
        </w:rPr>
      </w:pPr>
    </w:p>
    <w:p w:rsidR="00CD411E" w:rsidRDefault="00A451D9" w:rsidP="004E3707">
      <w:pPr>
        <w:rPr>
          <w:rFonts w:ascii="Garamond" w:hAnsi="Garamond"/>
          <w:b/>
          <w:color w:val="FF0000"/>
          <w:sz w:val="20"/>
          <w:szCs w:val="20"/>
        </w:rPr>
      </w:pPr>
      <w:r>
        <w:rPr>
          <w:noProof/>
        </w:rPr>
        <mc:AlternateContent>
          <mc:Choice Requires="wps">
            <w:drawing>
              <wp:anchor distT="0" distB="0" distL="114300" distR="114300" simplePos="0" relativeHeight="251668480" behindDoc="0" locked="0" layoutInCell="1" allowOverlap="1" wp14:anchorId="799B5B5C" wp14:editId="580CC1FF">
                <wp:simplePos x="0" y="0"/>
                <wp:positionH relativeFrom="page">
                  <wp:posOffset>1257300</wp:posOffset>
                </wp:positionH>
                <wp:positionV relativeFrom="paragraph">
                  <wp:posOffset>213360</wp:posOffset>
                </wp:positionV>
                <wp:extent cx="2340000" cy="1566000"/>
                <wp:effectExtent l="0" t="0" r="9525" b="8890"/>
                <wp:wrapNone/>
                <wp:docPr id="4" name="Caixa de texto 4"/>
                <wp:cNvGraphicFramePr/>
                <a:graphic xmlns:a="http://schemas.openxmlformats.org/drawingml/2006/main">
                  <a:graphicData uri="http://schemas.microsoft.com/office/word/2010/wordprocessingShape">
                    <wps:wsp>
                      <wps:cNvSpPr txBox="1"/>
                      <wps:spPr>
                        <a:xfrm>
                          <a:off x="0" y="0"/>
                          <a:ext cx="2340000" cy="1566000"/>
                        </a:xfrm>
                        <a:prstGeom prst="rect">
                          <a:avLst/>
                        </a:prstGeom>
                        <a:solidFill>
                          <a:schemeClr val="lt1"/>
                        </a:solidFill>
                        <a:ln w="6350">
                          <a:solidFill>
                            <a:prstClr val="black"/>
                          </a:solidFill>
                        </a:ln>
                      </wps:spPr>
                      <wps:txbx>
                        <w:txbxContent>
                          <w:p w:rsidR="005905A3" w:rsidRPr="00A451D9" w:rsidRDefault="005905A3" w:rsidP="00A451D9">
                            <w:pPr>
                              <w:rPr>
                                <w:rFonts w:ascii="Garamond" w:hAnsi="Garamond"/>
                                <w:sz w:val="24"/>
                                <w:szCs w:val="24"/>
                              </w:rPr>
                            </w:pPr>
                            <w:r w:rsidRPr="00A451D9">
                              <w:rPr>
                                <w:rFonts w:ascii="Garamond" w:hAnsi="Garamond"/>
                                <w:sz w:val="24"/>
                                <w:szCs w:val="24"/>
                              </w:rPr>
                              <w:t>Satisfação do pessoal de contacto:</w:t>
                            </w:r>
                          </w:p>
                          <w:p w:rsidR="005905A3" w:rsidRPr="00A451D9" w:rsidRDefault="005905A3" w:rsidP="00A451D9">
                            <w:pPr>
                              <w:rPr>
                                <w:rFonts w:ascii="Garamond" w:hAnsi="Garamond"/>
                                <w:sz w:val="24"/>
                                <w:szCs w:val="24"/>
                              </w:rPr>
                            </w:pPr>
                            <w:r w:rsidRPr="00A451D9">
                              <w:rPr>
                                <w:rFonts w:ascii="Garamond" w:hAnsi="Garamond"/>
                                <w:sz w:val="24"/>
                                <w:szCs w:val="24"/>
                              </w:rPr>
                              <w:t>- Colegas de trabalho</w:t>
                            </w:r>
                          </w:p>
                          <w:p w:rsidR="005905A3" w:rsidRPr="00A451D9" w:rsidRDefault="005905A3" w:rsidP="00A451D9">
                            <w:pPr>
                              <w:rPr>
                                <w:rFonts w:ascii="Garamond" w:hAnsi="Garamond"/>
                                <w:sz w:val="24"/>
                                <w:szCs w:val="24"/>
                              </w:rPr>
                            </w:pPr>
                            <w:r w:rsidRPr="00A451D9">
                              <w:rPr>
                                <w:rFonts w:ascii="Garamond" w:hAnsi="Garamond"/>
                                <w:sz w:val="24"/>
                                <w:szCs w:val="24"/>
                              </w:rPr>
                              <w:t>- Superiores hierárquicos</w:t>
                            </w:r>
                          </w:p>
                          <w:p w:rsidR="005905A3" w:rsidRPr="00A451D9" w:rsidRDefault="005905A3" w:rsidP="00A451D9">
                            <w:pPr>
                              <w:rPr>
                                <w:rFonts w:ascii="Garamond" w:hAnsi="Garamond"/>
                                <w:sz w:val="24"/>
                                <w:szCs w:val="24"/>
                              </w:rPr>
                            </w:pPr>
                            <w:r w:rsidRPr="00A451D9">
                              <w:rPr>
                                <w:rFonts w:ascii="Garamond" w:hAnsi="Garamond"/>
                                <w:sz w:val="24"/>
                                <w:szCs w:val="24"/>
                              </w:rPr>
                              <w:t>- Realização de tarefas</w:t>
                            </w:r>
                          </w:p>
                          <w:p w:rsidR="005905A3" w:rsidRPr="00A451D9" w:rsidRDefault="005905A3" w:rsidP="00A451D9">
                            <w:pPr>
                              <w:rPr>
                                <w:rFonts w:ascii="Garamond" w:hAnsi="Garamond"/>
                                <w:sz w:val="24"/>
                                <w:szCs w:val="24"/>
                              </w:rPr>
                            </w:pPr>
                            <w:r w:rsidRPr="00A451D9">
                              <w:rPr>
                                <w:rFonts w:ascii="Garamond" w:hAnsi="Garamond"/>
                                <w:sz w:val="24"/>
                                <w:szCs w:val="24"/>
                              </w:rPr>
                              <w:t>- Salários</w:t>
                            </w:r>
                          </w:p>
                          <w:p w:rsidR="005905A3" w:rsidRPr="00A451D9" w:rsidRDefault="005905A3" w:rsidP="00A451D9">
                            <w:pPr>
                              <w:rPr>
                                <w:rFonts w:ascii="Garamond" w:hAnsi="Garamond"/>
                                <w:sz w:val="24"/>
                                <w:szCs w:val="24"/>
                              </w:rPr>
                            </w:pPr>
                            <w:r w:rsidRPr="00A451D9">
                              <w:rPr>
                                <w:rFonts w:ascii="Garamond" w:hAnsi="Garamond"/>
                                <w:sz w:val="24"/>
                                <w:szCs w:val="24"/>
                              </w:rPr>
                              <w:t>- Promoções</w:t>
                            </w:r>
                          </w:p>
                          <w:p w:rsidR="005905A3" w:rsidRPr="00A451D9" w:rsidRDefault="005905A3" w:rsidP="00A451D9">
                            <w:pPr>
                              <w:rPr>
                                <w:rFonts w:ascii="Garamond" w:hAnsi="Garamond"/>
                                <w:sz w:val="24"/>
                                <w:szCs w:val="24"/>
                              </w:rPr>
                            </w:pPr>
                          </w:p>
                          <w:p w:rsidR="005905A3" w:rsidRPr="00A451D9" w:rsidRDefault="005905A3" w:rsidP="00A451D9">
                            <w:pPr>
                              <w:rPr>
                                <w:rFonts w:ascii="Garamond" w:hAnsi="Garamond"/>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B5B5C" id="Caixa de texto 4" o:spid="_x0000_s1029" type="#_x0000_t202" style="position:absolute;left:0;text-align:left;margin-left:99pt;margin-top:16.8pt;width:184.25pt;height:123.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" fillcolor="white [3201]" strokeweight=".5pt">
                <v:textbox>
                  <w:txbxContent>
                    <w:p w:rsidR="005905A3" w:rsidRPr="00A451D9" w:rsidRDefault="005905A3" w:rsidP="00A451D9">
                      <w:pPr>
                        <w:rPr>
                          <w:rFonts w:ascii="Garamond" w:hAnsi="Garamond"/>
                          <w:sz w:val="24"/>
                          <w:szCs w:val="24"/>
                        </w:rPr>
                      </w:pPr>
                      <w:r w:rsidRPr="00A451D9">
                        <w:rPr>
                          <w:rFonts w:ascii="Garamond" w:hAnsi="Garamond"/>
                          <w:sz w:val="24"/>
                          <w:szCs w:val="24"/>
                        </w:rPr>
                        <w:t>Satisfação do pessoal de contacto:</w:t>
                      </w:r>
                    </w:p>
                    <w:p w:rsidR="005905A3" w:rsidRPr="00A451D9" w:rsidRDefault="005905A3" w:rsidP="00A451D9">
                      <w:pPr>
                        <w:rPr>
                          <w:rFonts w:ascii="Garamond" w:hAnsi="Garamond"/>
                          <w:sz w:val="24"/>
                          <w:szCs w:val="24"/>
                        </w:rPr>
                      </w:pPr>
                      <w:r w:rsidRPr="00A451D9">
                        <w:rPr>
                          <w:rFonts w:ascii="Garamond" w:hAnsi="Garamond"/>
                          <w:sz w:val="24"/>
                          <w:szCs w:val="24"/>
                        </w:rPr>
                        <w:t>- Colegas de trabalho</w:t>
                      </w:r>
                    </w:p>
                    <w:p w:rsidR="005905A3" w:rsidRPr="00A451D9" w:rsidRDefault="005905A3" w:rsidP="00A451D9">
                      <w:pPr>
                        <w:rPr>
                          <w:rFonts w:ascii="Garamond" w:hAnsi="Garamond"/>
                          <w:sz w:val="24"/>
                          <w:szCs w:val="24"/>
                        </w:rPr>
                      </w:pPr>
                      <w:r w:rsidRPr="00A451D9">
                        <w:rPr>
                          <w:rFonts w:ascii="Garamond" w:hAnsi="Garamond"/>
                          <w:sz w:val="24"/>
                          <w:szCs w:val="24"/>
                        </w:rPr>
                        <w:t>- Superiores hierárquicos</w:t>
                      </w:r>
                    </w:p>
                    <w:p w:rsidR="005905A3" w:rsidRPr="00A451D9" w:rsidRDefault="005905A3" w:rsidP="00A451D9">
                      <w:pPr>
                        <w:rPr>
                          <w:rFonts w:ascii="Garamond" w:hAnsi="Garamond"/>
                          <w:sz w:val="24"/>
                          <w:szCs w:val="24"/>
                        </w:rPr>
                      </w:pPr>
                      <w:r w:rsidRPr="00A451D9">
                        <w:rPr>
                          <w:rFonts w:ascii="Garamond" w:hAnsi="Garamond"/>
                          <w:sz w:val="24"/>
                          <w:szCs w:val="24"/>
                        </w:rPr>
                        <w:t>- Realização de tarefas</w:t>
                      </w:r>
                    </w:p>
                    <w:p w:rsidR="005905A3" w:rsidRPr="00A451D9" w:rsidRDefault="005905A3" w:rsidP="00A451D9">
                      <w:pPr>
                        <w:rPr>
                          <w:rFonts w:ascii="Garamond" w:hAnsi="Garamond"/>
                          <w:sz w:val="24"/>
                          <w:szCs w:val="24"/>
                        </w:rPr>
                      </w:pPr>
                      <w:r w:rsidRPr="00A451D9">
                        <w:rPr>
                          <w:rFonts w:ascii="Garamond" w:hAnsi="Garamond"/>
                          <w:sz w:val="24"/>
                          <w:szCs w:val="24"/>
                        </w:rPr>
                        <w:t>- Salários</w:t>
                      </w:r>
                    </w:p>
                    <w:p w:rsidR="005905A3" w:rsidRPr="00A451D9" w:rsidRDefault="005905A3" w:rsidP="00A451D9">
                      <w:pPr>
                        <w:rPr>
                          <w:rFonts w:ascii="Garamond" w:hAnsi="Garamond"/>
                          <w:sz w:val="24"/>
                          <w:szCs w:val="24"/>
                        </w:rPr>
                      </w:pPr>
                      <w:r w:rsidRPr="00A451D9">
                        <w:rPr>
                          <w:rFonts w:ascii="Garamond" w:hAnsi="Garamond"/>
                          <w:sz w:val="24"/>
                          <w:szCs w:val="24"/>
                        </w:rPr>
                        <w:t>- Promoções</w:t>
                      </w:r>
                    </w:p>
                    <w:p w:rsidR="005905A3" w:rsidRPr="00A451D9" w:rsidRDefault="005905A3" w:rsidP="00A451D9">
                      <w:pPr>
                        <w:rPr>
                          <w:rFonts w:ascii="Garamond" w:hAnsi="Garamond"/>
                          <w:sz w:val="24"/>
                          <w:szCs w:val="24"/>
                        </w:rPr>
                      </w:pPr>
                    </w:p>
                    <w:p w:rsidR="005905A3" w:rsidRPr="00A451D9" w:rsidRDefault="005905A3" w:rsidP="00A451D9">
                      <w:pPr>
                        <w:rPr>
                          <w:rFonts w:ascii="Garamond" w:hAnsi="Garamond"/>
                          <w:sz w:val="24"/>
                          <w:szCs w:val="24"/>
                        </w:rPr>
                      </w:pPr>
                    </w:p>
                  </w:txbxContent>
                </v:textbox>
                <w10:wrap anchorx="page"/>
              </v:shape>
            </w:pict>
          </mc:Fallback>
        </mc:AlternateContent>
      </w:r>
    </w:p>
    <w:p w:rsidR="00CD411E" w:rsidRDefault="00A451D9" w:rsidP="004E3707">
      <w:pPr>
        <w:rPr>
          <w:rFonts w:ascii="Garamond" w:hAnsi="Garamond"/>
          <w:b/>
          <w:color w:val="FF0000"/>
          <w:sz w:val="20"/>
          <w:szCs w:val="20"/>
        </w:rPr>
      </w:pPr>
      <w:r>
        <w:rPr>
          <w:rFonts w:ascii="Garamond" w:hAnsi="Garamond"/>
          <w:b/>
          <w:noProof/>
          <w:color w:val="FF0000"/>
          <w:sz w:val="20"/>
          <w:szCs w:val="20"/>
        </w:rPr>
        <mc:AlternateContent>
          <mc:Choice Requires="wps">
            <w:drawing>
              <wp:anchor distT="0" distB="0" distL="114300" distR="114300" simplePos="0" relativeHeight="251671552" behindDoc="0" locked="0" layoutInCell="1" allowOverlap="1">
                <wp:simplePos x="0" y="0"/>
                <wp:positionH relativeFrom="column">
                  <wp:posOffset>2343962</wp:posOffset>
                </wp:positionH>
                <wp:positionV relativeFrom="paragraph">
                  <wp:posOffset>108585</wp:posOffset>
                </wp:positionV>
                <wp:extent cx="360680" cy="691722"/>
                <wp:effectExtent l="0" t="25400" r="33020" b="19685"/>
                <wp:wrapNone/>
                <wp:docPr id="14" name="Conexão Reta Unidirecional 14"/>
                <wp:cNvGraphicFramePr/>
                <a:graphic xmlns:a="http://schemas.openxmlformats.org/drawingml/2006/main">
                  <a:graphicData uri="http://schemas.microsoft.com/office/word/2010/wordprocessingShape">
                    <wps:wsp>
                      <wps:cNvCnPr/>
                      <wps:spPr>
                        <a:xfrm flipV="1">
                          <a:off x="0" y="0"/>
                          <a:ext cx="360680" cy="6917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401396" id="Conexão Reta Unidirecional 14" o:spid="_x0000_s1026" type="#_x0000_t32" style="position:absolute;margin-left:184.55pt;margin-top:8.55pt;width:28.4pt;height:54.4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" strokecolor="black [3213]" strokeweight=".5pt">
                <v:stroke endarrow="block" joinstyle="miter"/>
              </v:shape>
            </w:pict>
          </mc:Fallback>
        </mc:AlternateContent>
      </w:r>
    </w:p>
    <w:p w:rsidR="00CD411E" w:rsidRDefault="00CD411E" w:rsidP="004E3707">
      <w:pPr>
        <w:rPr>
          <w:rFonts w:ascii="Garamond" w:hAnsi="Garamond"/>
          <w:b/>
          <w:color w:val="FF0000"/>
          <w:sz w:val="20"/>
          <w:szCs w:val="20"/>
        </w:rPr>
      </w:pPr>
    </w:p>
    <w:p w:rsidR="00CD411E" w:rsidRDefault="002F1DEC" w:rsidP="004E3707">
      <w:pPr>
        <w:rPr>
          <w:rFonts w:ascii="Garamond" w:hAnsi="Garamond"/>
          <w:b/>
          <w:color w:val="FF0000"/>
          <w:sz w:val="20"/>
          <w:szCs w:val="20"/>
        </w:rPr>
      </w:pPr>
      <w:r>
        <w:rPr>
          <w:noProof/>
        </w:rPr>
        <mc:AlternateContent>
          <mc:Choice Requires="wps">
            <w:drawing>
              <wp:anchor distT="0" distB="0" distL="114300" distR="114300" simplePos="0" relativeHeight="251674624" behindDoc="0" locked="0" layoutInCell="1" allowOverlap="1" wp14:anchorId="051957EB" wp14:editId="384E74B0">
                <wp:simplePos x="0" y="0"/>
                <wp:positionH relativeFrom="column">
                  <wp:posOffset>2577878</wp:posOffset>
                </wp:positionH>
                <wp:positionV relativeFrom="paragraph">
                  <wp:posOffset>52705</wp:posOffset>
                </wp:positionV>
                <wp:extent cx="432000" cy="252000"/>
                <wp:effectExtent l="0" t="0" r="12700" b="15240"/>
                <wp:wrapNone/>
                <wp:docPr id="19" name="Caixa de texto 19"/>
                <wp:cNvGraphicFramePr/>
                <a:graphic xmlns:a="http://schemas.openxmlformats.org/drawingml/2006/main">
                  <a:graphicData uri="http://schemas.microsoft.com/office/word/2010/wordprocessingShape">
                    <wps:wsp>
                      <wps:cNvSpPr txBox="1"/>
                      <wps:spPr>
                        <a:xfrm>
                          <a:off x="0" y="0"/>
                          <a:ext cx="432000" cy="252000"/>
                        </a:xfrm>
                        <a:prstGeom prst="rect">
                          <a:avLst/>
                        </a:prstGeom>
                        <a:solidFill>
                          <a:schemeClr val="lt1"/>
                        </a:solidFill>
                        <a:ln w="6350">
                          <a:solidFill>
                            <a:prstClr val="black"/>
                          </a:solidFill>
                        </a:ln>
                      </wps:spPr>
                      <wps:txbx>
                        <w:txbxContent>
                          <w:p w:rsidR="005905A3" w:rsidRPr="002F1DEC" w:rsidRDefault="005905A3" w:rsidP="002F1DEC">
                            <w:pPr>
                              <w:jc w:val="center"/>
                              <w:rPr>
                                <w:rFonts w:ascii="Garamond" w:hAnsi="Garamond"/>
                                <w:sz w:val="24"/>
                                <w:szCs w:val="24"/>
                              </w:rPr>
                            </w:pPr>
                            <w:r w:rsidRPr="002F1DEC">
                              <w:rPr>
                                <w:rFonts w:ascii="Garamond" w:hAnsi="Garamond"/>
                                <w:sz w:val="24"/>
                                <w:szCs w:val="24"/>
                              </w:rPr>
                              <w:t>H</w:t>
                            </w:r>
                            <w:r>
                              <w:rPr>
                                <w:rFonts w:ascii="Garamond" w:hAnsi="Garamond"/>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957EB" id="Caixa de texto 19" o:spid="_x0000_s1030" type="#_x0000_t202" style="position:absolute;left:0;text-align:left;margin-left:203pt;margin-top:4.15pt;width:34pt;height:19.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" fillcolor="white [3201]" strokeweight=".5pt">
                <v:textbox>
                  <w:txbxContent>
                    <w:p w:rsidR="005905A3" w:rsidRPr="002F1DEC" w:rsidRDefault="005905A3" w:rsidP="002F1DEC">
                      <w:pPr>
                        <w:jc w:val="center"/>
                        <w:rPr>
                          <w:rFonts w:ascii="Garamond" w:hAnsi="Garamond"/>
                          <w:sz w:val="24"/>
                          <w:szCs w:val="24"/>
                        </w:rPr>
                      </w:pPr>
                      <w:r w:rsidRPr="002F1DEC">
                        <w:rPr>
                          <w:rFonts w:ascii="Garamond" w:hAnsi="Garamond"/>
                          <w:sz w:val="24"/>
                          <w:szCs w:val="24"/>
                        </w:rPr>
                        <w:t>H</w:t>
                      </w:r>
                      <w:r>
                        <w:rPr>
                          <w:rFonts w:ascii="Garamond" w:hAnsi="Garamond"/>
                          <w:sz w:val="24"/>
                          <w:szCs w:val="24"/>
                        </w:rPr>
                        <w:t>2</w:t>
                      </w:r>
                    </w:p>
                  </w:txbxContent>
                </v:textbox>
              </v:shape>
            </w:pict>
          </mc:Fallback>
        </mc:AlternateContent>
      </w:r>
    </w:p>
    <w:p w:rsidR="00CD411E" w:rsidRDefault="00CD411E" w:rsidP="004E3707">
      <w:pPr>
        <w:rPr>
          <w:rFonts w:ascii="Garamond" w:hAnsi="Garamond"/>
          <w:b/>
          <w:color w:val="FF0000"/>
          <w:sz w:val="20"/>
          <w:szCs w:val="20"/>
        </w:rPr>
      </w:pPr>
    </w:p>
    <w:p w:rsidR="00CD411E" w:rsidRDefault="00CD411E" w:rsidP="004E3707">
      <w:pPr>
        <w:rPr>
          <w:rFonts w:ascii="Garamond" w:hAnsi="Garamond"/>
          <w:b/>
          <w:color w:val="FF0000"/>
          <w:sz w:val="20"/>
          <w:szCs w:val="20"/>
        </w:rPr>
      </w:pPr>
    </w:p>
    <w:p w:rsidR="00A451D9" w:rsidRDefault="00A451D9" w:rsidP="004E3707">
      <w:pPr>
        <w:rPr>
          <w:rFonts w:ascii="Garamond" w:hAnsi="Garamond"/>
          <w:b/>
          <w:color w:val="FF0000"/>
          <w:sz w:val="20"/>
          <w:szCs w:val="20"/>
        </w:rPr>
      </w:pPr>
    </w:p>
    <w:p w:rsidR="00A451D9" w:rsidRDefault="00A451D9" w:rsidP="004E3707">
      <w:pPr>
        <w:rPr>
          <w:rFonts w:ascii="Garamond" w:hAnsi="Garamond"/>
          <w:b/>
          <w:color w:val="FF0000"/>
          <w:sz w:val="20"/>
          <w:szCs w:val="20"/>
        </w:rPr>
      </w:pPr>
    </w:p>
    <w:p w:rsidR="00DC11BE" w:rsidRPr="00A451D9" w:rsidRDefault="00DC11BE" w:rsidP="002F1DEC">
      <w:pPr>
        <w:spacing w:before="160" w:after="120" w:line="240" w:lineRule="auto"/>
        <w:rPr>
          <w:rFonts w:ascii="Garamond" w:hAnsi="Garamond"/>
          <w:color w:val="000000" w:themeColor="text1"/>
          <w:sz w:val="20"/>
          <w:szCs w:val="20"/>
        </w:rPr>
      </w:pPr>
      <w:r w:rsidRPr="00A451D9">
        <w:rPr>
          <w:rFonts w:ascii="Garamond" w:hAnsi="Garamond"/>
          <w:b/>
          <w:color w:val="000000" w:themeColor="text1"/>
          <w:sz w:val="20"/>
          <w:szCs w:val="20"/>
        </w:rPr>
        <w:t>Fonte:</w:t>
      </w:r>
      <w:r w:rsidRPr="00A451D9">
        <w:rPr>
          <w:rFonts w:ascii="Garamond" w:hAnsi="Garamond"/>
          <w:color w:val="000000" w:themeColor="text1"/>
          <w:sz w:val="20"/>
          <w:szCs w:val="20"/>
        </w:rPr>
        <w:t xml:space="preserve"> </w:t>
      </w:r>
      <w:r w:rsidR="00D41349" w:rsidRPr="00A451D9">
        <w:rPr>
          <w:rFonts w:ascii="Garamond" w:hAnsi="Garamond"/>
          <w:color w:val="000000" w:themeColor="text1"/>
          <w:sz w:val="20"/>
          <w:szCs w:val="20"/>
        </w:rPr>
        <w:t>e</w:t>
      </w:r>
      <w:r w:rsidRPr="00A451D9">
        <w:rPr>
          <w:rFonts w:ascii="Garamond" w:hAnsi="Garamond"/>
          <w:color w:val="000000" w:themeColor="text1"/>
          <w:sz w:val="20"/>
          <w:szCs w:val="20"/>
        </w:rPr>
        <w:t>laboração própria</w:t>
      </w:r>
    </w:p>
    <w:p w:rsidR="00DC11BE" w:rsidRPr="0094770E" w:rsidRDefault="00DC11BE" w:rsidP="00050136">
      <w:pPr>
        <w:pStyle w:val="Nvel22"/>
      </w:pPr>
    </w:p>
    <w:p w:rsidR="00DC11BE" w:rsidRPr="0094770E" w:rsidRDefault="00DC11BE" w:rsidP="00A32A19">
      <w:pPr>
        <w:pStyle w:val="Nvel2"/>
      </w:pPr>
      <w:bookmarkStart w:id="43" w:name="_Toc37177058"/>
      <w:bookmarkStart w:id="44" w:name="_Toc46678979"/>
      <w:r w:rsidRPr="0094770E">
        <w:t>Metodologia</w:t>
      </w:r>
      <w:bookmarkEnd w:id="43"/>
      <w:bookmarkEnd w:id="44"/>
    </w:p>
    <w:p w:rsidR="00DC11BE" w:rsidRPr="00D77886" w:rsidRDefault="00DC11BE" w:rsidP="00D77886">
      <w:pPr>
        <w:pStyle w:val="CorpoTexto"/>
      </w:pPr>
      <w:r w:rsidRPr="00D77886">
        <w:t>A abordagem desta investigação será do tipo quantitativo por se entender mais apropriado ao tipo de estudo. Esta forma particular de estudos tem por finalidade avaliar e testar variáveis através da verificação de hipóteses recorrendo a inquéritos, ou seja, tem por objeto “descrever, verificar relações entre variáveis e examinar as mudanças operadas na variável dependente após manipulação da variável independente” (</w:t>
      </w:r>
      <w:proofErr w:type="spellStart"/>
      <w:r w:rsidRPr="00D77886">
        <w:t>Fortin</w:t>
      </w:r>
      <w:proofErr w:type="spellEnd"/>
      <w:r w:rsidRPr="00D77886">
        <w:t xml:space="preserve"> </w:t>
      </w:r>
      <w:proofErr w:type="spellStart"/>
      <w:r w:rsidRPr="00D77886">
        <w:t>et</w:t>
      </w:r>
      <w:proofErr w:type="spellEnd"/>
      <w:r w:rsidRPr="00D77886">
        <w:t xml:space="preserve"> al., 2009, p. 371).</w:t>
      </w:r>
    </w:p>
    <w:p w:rsidR="00DC11BE" w:rsidRPr="00D77886" w:rsidRDefault="00DC11BE" w:rsidP="00D77886">
      <w:pPr>
        <w:pStyle w:val="CorpoTexto"/>
      </w:pPr>
      <w:r w:rsidRPr="00D77886">
        <w:t>Do mesmo modo, a pesquisa quantitativa envolve a recolha sistemática de informação numérica, habitualmente através de condições de elevado controlo, utilizando-se para tal procedimentos estatísticos. Para além disso, apresenta natureza descritiva, uma vez que descreve e relaciona características variáveis de uma população, correlaciona e analisa a relação entre variáveis, para determinar a natureza das relações (</w:t>
      </w:r>
      <w:proofErr w:type="spellStart"/>
      <w:r w:rsidRPr="00D77886">
        <w:t>Fortin</w:t>
      </w:r>
      <w:proofErr w:type="spellEnd"/>
      <w:r w:rsidRPr="00D77886">
        <w:t xml:space="preserve"> </w:t>
      </w:r>
      <w:proofErr w:type="spellStart"/>
      <w:r w:rsidRPr="00D77886">
        <w:t>et</w:t>
      </w:r>
      <w:proofErr w:type="spellEnd"/>
      <w:r w:rsidRPr="00D77886">
        <w:t xml:space="preserve"> al., 2009). </w:t>
      </w:r>
    </w:p>
    <w:p w:rsidR="00DC11BE" w:rsidRPr="00D77886" w:rsidRDefault="00DC11BE" w:rsidP="00D77886">
      <w:pPr>
        <w:pStyle w:val="CorpoTexto"/>
      </w:pPr>
      <w:r w:rsidRPr="00D77886">
        <w:t xml:space="preserve">Além dos atributos mencionados nos parágrafos anteriores é comum a presença de diferentes variáveis, cuja interligação é desconhecida, convertendo o principal objetivo na descoberta de fatores ligados a um fenómeno. Assim, neste tipo de paradigma são elaboradas questões de investigação e os dados são colhidos quantitativamente com o auxílio de escalas e </w:t>
      </w:r>
      <w:r w:rsidRPr="00D77886">
        <w:lastRenderedPageBreak/>
        <w:t>questionários. De acordo com a escolha selecionada, a amostra deve ser a maior possível e representativa da população (</w:t>
      </w:r>
      <w:proofErr w:type="spellStart"/>
      <w:r w:rsidRPr="00D77886">
        <w:t>Bullock</w:t>
      </w:r>
      <w:proofErr w:type="spellEnd"/>
      <w:r w:rsidRPr="00D77886">
        <w:t xml:space="preserve">, </w:t>
      </w:r>
      <w:proofErr w:type="spellStart"/>
      <w:r w:rsidRPr="00D77886">
        <w:t>Little</w:t>
      </w:r>
      <w:proofErr w:type="spellEnd"/>
      <w:r w:rsidRPr="00D77886">
        <w:t xml:space="preserve">, &amp; </w:t>
      </w:r>
      <w:proofErr w:type="spellStart"/>
      <w:r w:rsidRPr="00D77886">
        <w:t>Milham</w:t>
      </w:r>
      <w:proofErr w:type="spellEnd"/>
      <w:r w:rsidRPr="00D77886">
        <w:t>, 19</w:t>
      </w:r>
      <w:r w:rsidR="004A4173" w:rsidRPr="00D77886">
        <w:t>9</w:t>
      </w:r>
      <w:r w:rsidRPr="00D77886">
        <w:t>2).</w:t>
      </w:r>
    </w:p>
    <w:p w:rsidR="00DC11BE" w:rsidRPr="00D77886" w:rsidRDefault="00DC11BE" w:rsidP="00D77886">
      <w:pPr>
        <w:pStyle w:val="CorpoTexto"/>
      </w:pPr>
      <w:r w:rsidRPr="00D77886">
        <w:t xml:space="preserve">O paradigma quantitativo consiste essencialmente na submissão do objeto de estudo ao efeito de determinadas variáveis, “em condições controladas e conhecidas pelo investigador, para recolher os resultados que a variável produz no projeto” (Gil, 1999, p. 34). Por conseguinte, este paradigma toma para si “uma conceção global positivista, </w:t>
      </w:r>
      <w:r w:rsidR="00F870BA" w:rsidRPr="00D77886">
        <w:t>hipotético-dedutiva</w:t>
      </w:r>
      <w:r w:rsidRPr="00D77886">
        <w:t>, particularista, orientada para os resultados” possibilitando, através da análise estatística “sintetizar dados referentes a uma amostra de grande dimensão e generalizar esses dados a toda a população” (Carmo &amp; Ferreira, 2015, p. 178).</w:t>
      </w:r>
    </w:p>
    <w:p w:rsidR="00DC11BE" w:rsidRPr="006425F7" w:rsidRDefault="00DC11BE" w:rsidP="006425F7">
      <w:pPr>
        <w:pStyle w:val="CorpoTexto"/>
      </w:pPr>
      <w:r w:rsidRPr="0094770E">
        <w:t xml:space="preserve">   </w:t>
      </w:r>
    </w:p>
    <w:p w:rsidR="00DC11BE" w:rsidRPr="0094770E" w:rsidRDefault="00DC11BE" w:rsidP="00A32A19">
      <w:pPr>
        <w:pStyle w:val="Nvel2"/>
      </w:pPr>
      <w:bookmarkStart w:id="45" w:name="_Toc37177059"/>
      <w:bookmarkStart w:id="46" w:name="_Toc46678980"/>
      <w:proofErr w:type="spellStart"/>
      <w:r w:rsidRPr="0094770E">
        <w:t>População</w:t>
      </w:r>
      <w:proofErr w:type="spellEnd"/>
      <w:r w:rsidRPr="0094770E">
        <w:t xml:space="preserve"> </w:t>
      </w:r>
      <w:proofErr w:type="spellStart"/>
      <w:r w:rsidRPr="0094770E">
        <w:t>alvo</w:t>
      </w:r>
      <w:proofErr w:type="spellEnd"/>
      <w:r w:rsidRPr="0094770E">
        <w:t xml:space="preserve"> e </w:t>
      </w:r>
      <w:proofErr w:type="spellStart"/>
      <w:r w:rsidRPr="0094770E">
        <w:t>amostra</w:t>
      </w:r>
      <w:bookmarkEnd w:id="45"/>
      <w:bookmarkEnd w:id="46"/>
      <w:proofErr w:type="spellEnd"/>
    </w:p>
    <w:p w:rsidR="006F2570" w:rsidRPr="0094770E" w:rsidRDefault="006F2570" w:rsidP="00D77886">
      <w:pPr>
        <w:pStyle w:val="CorpoTexto"/>
        <w:rPr>
          <w:noProof/>
        </w:rPr>
      </w:pPr>
      <w:r w:rsidRPr="0094770E">
        <w:t>Uma amostra, retirada da população alvo permite-nos obter informação sobre as características desta e, consequentemente não é necessário estudar toda a população (</w:t>
      </w:r>
      <w:proofErr w:type="spellStart"/>
      <w:r w:rsidRPr="0094770E">
        <w:rPr>
          <w:noProof/>
        </w:rPr>
        <w:t>Fortin</w:t>
      </w:r>
      <w:proofErr w:type="spellEnd"/>
      <w:r w:rsidRPr="0094770E">
        <w:rPr>
          <w:noProof/>
        </w:rPr>
        <w:t xml:space="preserve"> et al., 2009).</w:t>
      </w:r>
    </w:p>
    <w:p w:rsidR="002A394C" w:rsidRPr="0094770E" w:rsidRDefault="006F2570" w:rsidP="00D77886">
      <w:pPr>
        <w:pStyle w:val="CorpoTexto"/>
      </w:pPr>
      <w:r w:rsidRPr="0094770E">
        <w:rPr>
          <w:noProof/>
        </w:rPr>
        <w:t>Assi</w:t>
      </w:r>
      <w:r w:rsidR="004A4173" w:rsidRPr="0094770E">
        <w:rPr>
          <w:noProof/>
        </w:rPr>
        <w:t>m</w:t>
      </w:r>
      <w:r w:rsidRPr="0094770E">
        <w:rPr>
          <w:noProof/>
        </w:rPr>
        <w:t>, n</w:t>
      </w:r>
      <w:r w:rsidR="00DC11BE" w:rsidRPr="0094770E">
        <w:t xml:space="preserve">este estudo, a população alvo foi definida tendo em contas as especificidades do contexto de estudo. Sendo o objetivo do estudo a influência das variáveis motivação e satisfação nas respostas emocionais do pessoal de contacto na resposta a reclamações do cliente. </w:t>
      </w:r>
      <w:r w:rsidR="004A4173" w:rsidRPr="0094770E">
        <w:t>F</w:t>
      </w:r>
      <w:r w:rsidR="00DC11BE" w:rsidRPr="0094770E">
        <w:t>oi definido como população alvo o conjunto de funcionários que trabalham ou trabalharam em funções de atendimento ao público, independentemente do sector de atividade.</w:t>
      </w:r>
    </w:p>
    <w:p w:rsidR="00DC11BE" w:rsidRPr="0094770E" w:rsidRDefault="00DC11BE" w:rsidP="00D77886">
      <w:pPr>
        <w:pStyle w:val="CorpoTexto"/>
      </w:pPr>
      <w:r w:rsidRPr="0094770E">
        <w:t xml:space="preserve">Definida a população alvo, foi utilizada uma amostragem não probabilística por conveniência. Este tipo de amostragem não proporciona a todos “os elementos da população a mesma possibilidade de ser escolhido para formar a amostra” </w:t>
      </w:r>
      <w:r w:rsidRPr="0094770E">
        <w:rPr>
          <w:noProof/>
        </w:rPr>
        <w:t>(Fortin et al., 2009, p. 321)</w:t>
      </w:r>
      <w:r w:rsidRPr="0094770E">
        <w:t xml:space="preserve"> correndo-se o risco desta não ser representativa, tornando-se menos fiável no que diz respeito à generalização de resultados, para além de ser impossível estimar o erro da amostra </w:t>
      </w:r>
      <w:r w:rsidRPr="0094770E">
        <w:rPr>
          <w:noProof/>
        </w:rPr>
        <w:t>(Fortin et al., 2009)</w:t>
      </w:r>
      <w:r w:rsidRPr="0094770E">
        <w:t xml:space="preserve">. No entanto, a amostra acidental ou de conveniência é composta por sujeitos que para além de responderem a critérios de inclusão concretos são de fácil acesso, isto é, a amostra por conveniência “permite escolher indivíduos que estão no local certo e no momento certo” </w:t>
      </w:r>
      <w:r w:rsidRPr="0094770E">
        <w:rPr>
          <w:noProof/>
        </w:rPr>
        <w:t>(Fortin et al., 2009, p. 321)</w:t>
      </w:r>
      <w:r w:rsidRPr="0094770E">
        <w:t xml:space="preserve">.   </w:t>
      </w:r>
    </w:p>
    <w:p w:rsidR="00DC11BE" w:rsidRPr="0094770E" w:rsidRDefault="00DC11BE" w:rsidP="00D77886">
      <w:pPr>
        <w:pStyle w:val="CorpoTexto"/>
      </w:pPr>
      <w:r w:rsidRPr="0094770E">
        <w:lastRenderedPageBreak/>
        <w:t xml:space="preserve">Em suma, a amostragem por conveniência é uma técnica de amostragem não probabilística e não aleatória utilizada para criar amostras de acordo com a facilidade de acesso e a disponibilidade das pessoas para fazerem parte da amostra, num intervalo de tempo estabelecido ou qualquer outra especificação prática de um elemento em particular. Nesta modalidade de amostragem o investigador escolhe os indivíduos unicamente pela sua proximidade e não considera se estes representam, ou não, uma amostra representativa de toda a população. Todavia a utilização desta técnica permite observar hábitos, opiniões e pontos de vista de forma fácil. Por conseguinte, os investigadores utilizam estas técnicas de amostragem em situações nas quais existem grandes populações a ser avaliadas e na maioria dos casos é quase impossível testar uma população completa.   </w:t>
      </w:r>
    </w:p>
    <w:p w:rsidR="00DC11BE" w:rsidRPr="0094770E" w:rsidRDefault="00DC11BE" w:rsidP="006425F7">
      <w:pPr>
        <w:pStyle w:val="CorpoTexto"/>
      </w:pPr>
    </w:p>
    <w:p w:rsidR="00DC11BE" w:rsidRPr="000D65DA" w:rsidRDefault="00DC11BE" w:rsidP="00A32A19">
      <w:pPr>
        <w:pStyle w:val="Nvel2"/>
        <w:rPr>
          <w:lang w:val="pt-PT"/>
        </w:rPr>
      </w:pPr>
      <w:bookmarkStart w:id="47" w:name="_Toc37177060"/>
      <w:bookmarkStart w:id="48" w:name="_Toc46678981"/>
      <w:r w:rsidRPr="000D65DA">
        <w:rPr>
          <w:lang w:val="pt-PT"/>
        </w:rPr>
        <w:t xml:space="preserve">Construção </w:t>
      </w:r>
      <w:r w:rsidR="003D2DC5" w:rsidRPr="000D65DA">
        <w:rPr>
          <w:lang w:val="pt-PT"/>
        </w:rPr>
        <w:t>do questionário e recolha de dados</w:t>
      </w:r>
      <w:bookmarkEnd w:id="47"/>
      <w:bookmarkEnd w:id="48"/>
    </w:p>
    <w:p w:rsidR="004A4173" w:rsidRPr="0094770E" w:rsidRDefault="004A4173" w:rsidP="00D77886">
      <w:pPr>
        <w:pStyle w:val="CorpoTexto"/>
      </w:pPr>
      <w:r w:rsidRPr="0094770E">
        <w:t>O questionário é um instrumento de investigação constituído por questões apresentadas por escrito, com a finalidade de aferir a situação social, profissional ou familiar, as opiniões, as atitudes, em relação a opções ou a questões humanas e sociais</w:t>
      </w:r>
      <w:r w:rsidRPr="0094770E">
        <w:rPr>
          <w:lang w:eastAsia="pt-PT"/>
        </w:rPr>
        <w:t xml:space="preserve"> </w:t>
      </w:r>
      <w:r w:rsidRPr="0094770E">
        <w:t>(</w:t>
      </w:r>
      <w:proofErr w:type="spellStart"/>
      <w:r w:rsidRPr="0094770E">
        <w:t>Quivy</w:t>
      </w:r>
      <w:proofErr w:type="spellEnd"/>
      <w:r w:rsidRPr="0094770E">
        <w:t xml:space="preserve"> &amp; </w:t>
      </w:r>
      <w:proofErr w:type="spellStart"/>
      <w:r w:rsidRPr="0094770E">
        <w:t>Campenhoudt</w:t>
      </w:r>
      <w:proofErr w:type="spellEnd"/>
      <w:r w:rsidRPr="0094770E">
        <w:t xml:space="preserve">, 2003). Sendo assim, é útil para aceder a dimensões internas de uma pessoa, como a informação ou conhecimento que possui, conhecer os seus valores, preferências ou ainda as suas </w:t>
      </w:r>
      <w:r w:rsidR="00954C85" w:rsidRPr="0094770E">
        <w:t>experiências passadas ou atuais</w:t>
      </w:r>
      <w:r w:rsidRPr="0094770E">
        <w:t>, logo podemos considerá</w:t>
      </w:r>
      <w:r w:rsidRPr="0094770E">
        <w:rPr>
          <w:bCs/>
        </w:rPr>
        <w:t xml:space="preserve">-lo </w:t>
      </w:r>
      <w:r w:rsidRPr="0094770E">
        <w:t xml:space="preserve">uma técnica rica e maleável para obter resultados </w:t>
      </w:r>
      <w:r w:rsidR="00954C85" w:rsidRPr="0094770E">
        <w:t>(</w:t>
      </w:r>
      <w:proofErr w:type="spellStart"/>
      <w:r w:rsidR="00954C85" w:rsidRPr="0094770E">
        <w:t>Tuckman</w:t>
      </w:r>
      <w:proofErr w:type="spellEnd"/>
      <w:r w:rsidR="00954C85" w:rsidRPr="0094770E">
        <w:t>, 2000</w:t>
      </w:r>
      <w:r w:rsidRPr="0094770E">
        <w:t xml:space="preserve">). </w:t>
      </w:r>
    </w:p>
    <w:p w:rsidR="00954C85" w:rsidRPr="0094770E" w:rsidRDefault="00954C85" w:rsidP="00D77886">
      <w:pPr>
        <w:pStyle w:val="CorpoTexto"/>
        <w:rPr>
          <w:rFonts w:cs="Garamond"/>
        </w:rPr>
      </w:pPr>
      <w:r w:rsidRPr="0094770E">
        <w:t xml:space="preserve">Tendo em conta estes aspetos, o questionário aplicado é constituído por uma lista de segmentos ou escala de humor subdividido em duas subescalas com 10 itens cada, que incluem uma lista de afetos positivos e uma lista de afetos negativos, ou seja, na prática constitui-se numa lista de 20 descritores de emoções que se utilizam para avaliar o afeto positivo e negativo. As respostas ao instrumento foram efetuadas através de uma escala de </w:t>
      </w:r>
      <w:proofErr w:type="spellStart"/>
      <w:r w:rsidRPr="0094770E">
        <w:t>Likert</w:t>
      </w:r>
      <w:proofErr w:type="spellEnd"/>
      <w:r w:rsidRPr="0094770E">
        <w:t xml:space="preserve"> de 5 pontos (1 – Muito ligeiramente ou nada, 2 – Um pouco, 3 – Moderadamente, 4 – Bastante, 5 – Extremamente). O afeto positivo é, assim avaliado por meio de 10 descritores de emoções (interessado, entusiasmado, excitado, inspirado, determinado, orgulhoso, </w:t>
      </w:r>
      <w:proofErr w:type="spellStart"/>
      <w:r w:rsidRPr="0094770E">
        <w:t>activo</w:t>
      </w:r>
      <w:proofErr w:type="spellEnd"/>
      <w:r w:rsidRPr="0094770E">
        <w:t xml:space="preserve">, encantado, caloroso e agradavelmente surpreendido), e o afeto negativo através de outros 10 descritores de emoções (perturbado, atormentado, amedrontado, assustado, nervoso, trémulo, remorsos, culpado, irritado, repulsa), resultantes em 13 descritores de emoções iguais e 16 categorias comuns, das 20 totais. Por conseguinte, este inventário PANAS II </w:t>
      </w:r>
      <w:r w:rsidRPr="0094770E">
        <w:lastRenderedPageBreak/>
        <w:t xml:space="preserve">incorpora itens que reproduzem todas as categorias da escala original americana de </w:t>
      </w:r>
      <w:r w:rsidRPr="0094770E">
        <w:rPr>
          <w:noProof/>
        </w:rPr>
        <w:t>Watson et al. (1988)</w:t>
      </w:r>
      <w:r w:rsidRPr="0094770E">
        <w:t xml:space="preserve">, no entanto reproduz mais 4 categorias suplementares (divertido, simpático, surpreendido e repulsa), respeitando, desta forma, as diferenças culturais e da língua portuguesa na manipulação das emoções </w:t>
      </w:r>
      <w:r w:rsidRPr="0094770E">
        <w:rPr>
          <w:noProof/>
        </w:rPr>
        <w:t>(Galinha &amp; Ribeiro, 2005)</w:t>
      </w:r>
      <w:r w:rsidRPr="0094770E">
        <w:t>.</w:t>
      </w:r>
    </w:p>
    <w:p w:rsidR="00954C85" w:rsidRPr="0094770E" w:rsidRDefault="00954C85" w:rsidP="00D77886">
      <w:pPr>
        <w:pStyle w:val="CorpoTexto"/>
      </w:pPr>
      <w:r w:rsidRPr="0094770E">
        <w:t>O instrumento foi aplicado para medir principalmente as mudanças no sentimento e emoção ao realizar tarefas de pesquisa, tendo o objetivo de, ao preencher o questionário, determinar como um indivíduo se sente naquele momento e mostrar a relação entre emoções positivas e negativas com estatísticas e caraterísticas da personalidade.</w:t>
      </w:r>
    </w:p>
    <w:p w:rsidR="00954C85" w:rsidRPr="0094770E" w:rsidRDefault="00954C85" w:rsidP="00D77886">
      <w:pPr>
        <w:pStyle w:val="CorpoTexto"/>
      </w:pPr>
      <w:r w:rsidRPr="0094770E">
        <w:t>Neste sentido é solicitado ao participante que, utilizando a escala indicada, que consiste num conjunto de palavras que descrevem diferentes sentimentos e emoções, indicasse em que medida sentiu cada uma no momento de resposta ou de interação com o cliente.</w:t>
      </w:r>
    </w:p>
    <w:p w:rsidR="00954C85" w:rsidRPr="0094770E" w:rsidRDefault="00954C85" w:rsidP="00D77886">
      <w:pPr>
        <w:pStyle w:val="CorpoTexto"/>
        <w:rPr>
          <w:b/>
        </w:rPr>
      </w:pPr>
      <w:r w:rsidRPr="0094770E">
        <w:rPr>
          <w:rFonts w:cs="Garamond"/>
          <w:szCs w:val="24"/>
        </w:rPr>
        <w:t>No que concerne à avaliação da variável motivação, à</w:t>
      </w:r>
      <w:r w:rsidRPr="0094770E">
        <w:t xml:space="preserve"> semelhança da teoria das necessidades criada por Abraham </w:t>
      </w:r>
      <w:proofErr w:type="spellStart"/>
      <w:r w:rsidRPr="0094770E">
        <w:t>Maslow</w:t>
      </w:r>
      <w:proofErr w:type="spellEnd"/>
      <w:r w:rsidRPr="0094770E">
        <w:t xml:space="preserve"> no início dos anos 40, em 1961 David </w:t>
      </w:r>
      <w:proofErr w:type="spellStart"/>
      <w:r w:rsidRPr="0094770E">
        <w:t>McClelland</w:t>
      </w:r>
      <w:proofErr w:type="spellEnd"/>
      <w:r w:rsidRPr="0094770E">
        <w:t xml:space="preserve"> identifica, no seu livro, “</w:t>
      </w:r>
      <w:proofErr w:type="spellStart"/>
      <w:r w:rsidRPr="0094770E">
        <w:t>The</w:t>
      </w:r>
      <w:proofErr w:type="spellEnd"/>
      <w:r w:rsidRPr="0094770E">
        <w:t xml:space="preserve"> </w:t>
      </w:r>
      <w:proofErr w:type="spellStart"/>
      <w:r w:rsidRPr="0094770E">
        <w:t>Achieving</w:t>
      </w:r>
      <w:proofErr w:type="spellEnd"/>
      <w:r w:rsidRPr="0094770E">
        <w:t xml:space="preserve"> </w:t>
      </w:r>
      <w:proofErr w:type="spellStart"/>
      <w:r w:rsidRPr="0094770E">
        <w:t>Society</w:t>
      </w:r>
      <w:proofErr w:type="spellEnd"/>
      <w:r w:rsidRPr="0094770E">
        <w:t>”, que todas as pessoas, independentemente do sexo, idade ou cultura, possuem três motivadores: a necessidade de realização, a de afiliação e a de poder, sendo um deles dominante. As caraterísticas das pessoas serão diferentes consoante o seu motivador dominante. Este último depende em grande parte da cultura e experiências de vida do indivíduo.</w:t>
      </w:r>
    </w:p>
    <w:p w:rsidR="00954C85" w:rsidRPr="0094770E" w:rsidRDefault="00954C85" w:rsidP="00D77886">
      <w:pPr>
        <w:pStyle w:val="CorpoTexto"/>
        <w:rPr>
          <w:b/>
        </w:rPr>
      </w:pPr>
      <w:proofErr w:type="spellStart"/>
      <w:r w:rsidRPr="0094770E">
        <w:t>McClelland</w:t>
      </w:r>
      <w:proofErr w:type="spellEnd"/>
      <w:r w:rsidRPr="0094770E">
        <w:t xml:space="preserve"> utilizava uma técnica projetiva, apelidada de </w:t>
      </w:r>
      <w:r w:rsidRPr="0094770E">
        <w:rPr>
          <w:i/>
        </w:rPr>
        <w:t>Picture-</w:t>
      </w:r>
      <w:proofErr w:type="spellStart"/>
      <w:r w:rsidRPr="0094770E">
        <w:rPr>
          <w:i/>
        </w:rPr>
        <w:t>Story</w:t>
      </w:r>
      <w:proofErr w:type="spellEnd"/>
      <w:r w:rsidRPr="0094770E">
        <w:rPr>
          <w:i/>
        </w:rPr>
        <w:t xml:space="preserve"> </w:t>
      </w:r>
      <w:proofErr w:type="spellStart"/>
      <w:r w:rsidRPr="0094770E">
        <w:rPr>
          <w:i/>
        </w:rPr>
        <w:t>Exercise</w:t>
      </w:r>
      <w:proofErr w:type="spellEnd"/>
      <w:r w:rsidRPr="0094770E">
        <w:t xml:space="preserve">, não sendo mais que um “teste de perceção temática” criada por </w:t>
      </w:r>
      <w:proofErr w:type="spellStart"/>
      <w:r w:rsidRPr="0094770E">
        <w:t>Murray</w:t>
      </w:r>
      <w:proofErr w:type="spellEnd"/>
      <w:r w:rsidRPr="0094770E">
        <w:t xml:space="preserve"> (1983). Deste teste constam várias imagens onde são observáveis pessoas em situações não muito claras e, a partir destas, é pedido a indivíduos que criem histórias. De maneira a ser possível a análise dos conteúdos das histórias e a sua classificação nos motivos (poder, sucesso e afiliação), foram desenvolvidos sistemas de codificação, uma vez que se calcula que nas narrativas elaboradas as pessoas manifestam os seus desejos, aspirações, os seus sonhos. As vantagens deste método no que diz respeito a questionários eram um pouco controversas </w:t>
      </w:r>
      <w:r w:rsidRPr="0094770E">
        <w:rPr>
          <w:noProof/>
        </w:rPr>
        <w:t>(Rego, Tavares, Pina e Cunha, &amp; Cardoso, 2005)</w:t>
      </w:r>
      <w:r w:rsidRPr="0094770E">
        <w:t>.</w:t>
      </w:r>
    </w:p>
    <w:p w:rsidR="00DC11BE" w:rsidRPr="0094770E" w:rsidRDefault="00954C85" w:rsidP="00D77886">
      <w:pPr>
        <w:pStyle w:val="CorpoTexto"/>
        <w:rPr>
          <w:rFonts w:cs="Garamond"/>
          <w:b/>
        </w:rPr>
      </w:pPr>
      <w:r w:rsidRPr="0094770E">
        <w:t xml:space="preserve">Após </w:t>
      </w:r>
      <w:r w:rsidR="006D2E5A" w:rsidRPr="0094770E">
        <w:rPr>
          <w:rFonts w:cs="Garamond"/>
        </w:rPr>
        <w:t xml:space="preserve">definida </w:t>
      </w:r>
      <w:r w:rsidR="00DC11BE" w:rsidRPr="0094770E">
        <w:rPr>
          <w:rFonts w:cs="Garamond"/>
        </w:rPr>
        <w:t xml:space="preserve">a população-alvo e a amostra, dá-se início à </w:t>
      </w:r>
      <w:r w:rsidR="00603397" w:rsidRPr="0094770E">
        <w:rPr>
          <w:rFonts w:cs="Garamond"/>
        </w:rPr>
        <w:t>recolha de dados.</w:t>
      </w:r>
    </w:p>
    <w:p w:rsidR="00DC11BE" w:rsidRPr="0094770E" w:rsidRDefault="00DC11BE" w:rsidP="00D77886">
      <w:pPr>
        <w:pStyle w:val="CorpoTexto"/>
        <w:rPr>
          <w:color w:val="000000"/>
        </w:rPr>
      </w:pPr>
      <w:r w:rsidRPr="0094770E">
        <w:t xml:space="preserve">Em primeiro lugar foi solicitado aos participantes que, para responderem ao questionário, recordassem uma situação em que tivesse levado o cliente a reclamar, a exprimir o seu </w:t>
      </w:r>
      <w:r w:rsidRPr="0094770E">
        <w:lastRenderedPageBreak/>
        <w:t xml:space="preserve">descontentamento </w:t>
      </w:r>
      <w:r w:rsidRPr="0094770E">
        <w:rPr>
          <w:color w:val="000000"/>
        </w:rPr>
        <w:t xml:space="preserve">de uma forma mais agressiva, relativamente a uma falha no serviço prestado. </w:t>
      </w:r>
    </w:p>
    <w:p w:rsidR="00DC11BE" w:rsidRPr="0094770E" w:rsidRDefault="00DC11BE" w:rsidP="00D77886">
      <w:pPr>
        <w:pStyle w:val="CorpoTexto"/>
      </w:pPr>
      <w:r w:rsidRPr="0094770E">
        <w:t xml:space="preserve">Para a análise das emoções dos funcionários de contacto, partiu-se do pressuposto teórico de que numa prestação de serviço podem ser experienciadas demonstrações de emoções quer positivas quer negativas </w:t>
      </w:r>
      <w:r w:rsidRPr="0094770E">
        <w:rPr>
          <w:noProof/>
        </w:rPr>
        <w:t>(Du et al., 2011)</w:t>
      </w:r>
      <w:r w:rsidRPr="0094770E">
        <w:t xml:space="preserve"> e que há contágio emocional nas interações entre cliente e funcionário </w:t>
      </w:r>
      <w:r w:rsidRPr="0094770E">
        <w:rPr>
          <w:noProof/>
        </w:rPr>
        <w:t>(Pugh, 2001)</w:t>
      </w:r>
      <w:r w:rsidRPr="0094770E">
        <w:t xml:space="preserve">, sendo este usual acontecer em encontros onde sucede uma falha e a sua recuperação </w:t>
      </w:r>
      <w:r w:rsidRPr="0094770E">
        <w:rPr>
          <w:noProof/>
        </w:rPr>
        <w:t>(Du et al., 2011)</w:t>
      </w:r>
      <w:r w:rsidRPr="0094770E">
        <w:t xml:space="preserve">. Posto isto, foi utilizada a Escala de Afeto Positivo e Afeto Negativo (escala PANAS) </w:t>
      </w:r>
      <w:r w:rsidRPr="0094770E">
        <w:rPr>
          <w:noProof/>
        </w:rPr>
        <w:t>(Watson et al., 1988)</w:t>
      </w:r>
      <w:r w:rsidRPr="0094770E">
        <w:t xml:space="preserve">, uma vez que, na literatura, tem sido a escala adotada para pesquisar o processo de contágio emocional </w:t>
      </w:r>
      <w:r w:rsidRPr="0094770E">
        <w:rPr>
          <w:noProof/>
        </w:rPr>
        <w:t>(Dallimore et al., 2007; Pugh, 2001; Wong, 2005)</w:t>
      </w:r>
      <w:r w:rsidRPr="0094770E">
        <w:t>.</w:t>
      </w:r>
    </w:p>
    <w:p w:rsidR="00DC11BE" w:rsidRPr="0094770E" w:rsidRDefault="00DC11BE" w:rsidP="00D77886">
      <w:pPr>
        <w:pStyle w:val="CorpoTexto"/>
        <w:rPr>
          <w:b/>
        </w:rPr>
      </w:pPr>
      <w:r w:rsidRPr="0094770E">
        <w:t xml:space="preserve">No decorrer do ano de 2002 é realizada, então, uma validação do método em relação aos questionários. As várias pesquisas empíricas puderam concluir que o instrumento possui propriedades psicométricas admissíveis em planos como: consistência interna, relação com o teste de perceção temática, o poder preditivo dos estilos de gestão do conflito, dos impactos dos líderes sobre os seus subordinados e do desempenho académico dos estudantes universitários </w:t>
      </w:r>
      <w:r w:rsidRPr="0094770E">
        <w:rPr>
          <w:noProof/>
        </w:rPr>
        <w:t>(Rego &amp; Carvalho, 2002)</w:t>
      </w:r>
      <w:r w:rsidRPr="0094770E">
        <w:t>.</w:t>
      </w:r>
    </w:p>
    <w:p w:rsidR="00DC11BE" w:rsidRPr="0094770E" w:rsidRDefault="00DC11BE" w:rsidP="00D77886">
      <w:pPr>
        <w:pStyle w:val="CorpoTexto"/>
        <w:rPr>
          <w:b/>
        </w:rPr>
      </w:pPr>
      <w:r w:rsidRPr="0094770E">
        <w:t xml:space="preserve">Por analogia com anteriormente referido, determinou-se a utilização do questionário sobre motivação de </w:t>
      </w:r>
      <w:r w:rsidRPr="0094770E">
        <w:rPr>
          <w:noProof/>
        </w:rPr>
        <w:t xml:space="preserve">Rego </w:t>
      </w:r>
      <w:r w:rsidR="00984FA2" w:rsidRPr="0094770E">
        <w:rPr>
          <w:noProof/>
        </w:rPr>
        <w:t>e</w:t>
      </w:r>
      <w:r w:rsidRPr="0094770E">
        <w:rPr>
          <w:noProof/>
        </w:rPr>
        <w:t xml:space="preserve"> Carvalho (2002)</w:t>
      </w:r>
      <w:r w:rsidRPr="0094770E">
        <w:t xml:space="preserve"> no presente estudo.</w:t>
      </w:r>
    </w:p>
    <w:p w:rsidR="00DC11BE" w:rsidRPr="0094770E" w:rsidRDefault="00DC11BE" w:rsidP="00D77886">
      <w:pPr>
        <w:pStyle w:val="CorpoTexto"/>
        <w:rPr>
          <w:b/>
        </w:rPr>
      </w:pPr>
      <w:r w:rsidRPr="0094770E">
        <w:t xml:space="preserve">O instrumento é constituído por 18 itens, 5 para o sucesso, 7 para a afiliação e 6 para o poder. O esquema dos três fatores fatoriais ajusta-se de forma satisfatória aos dados conforme sugere a análise fatorial confirmatória. Para além disso, os coeficientes de consistência interna relacionados com os motivos de sucesso e de afiliação ultrapassam os valores mínimos sugeridos por </w:t>
      </w:r>
      <w:proofErr w:type="spellStart"/>
      <w:r w:rsidRPr="0094770E">
        <w:t>Nunnally</w:t>
      </w:r>
      <w:proofErr w:type="spellEnd"/>
      <w:r w:rsidRPr="0094770E">
        <w:t xml:space="preserve"> 1978, no entanto, em relação ao motivo de poder isso não ocorra, </w:t>
      </w:r>
      <w:r w:rsidR="00F870BA" w:rsidRPr="0094770E">
        <w:t>situando-se, contudo,</w:t>
      </w:r>
      <w:r w:rsidRPr="0094770E">
        <w:t xml:space="preserve"> o seu score próximo do valor desejado </w:t>
      </w:r>
      <w:r w:rsidRPr="0094770E">
        <w:rPr>
          <w:noProof/>
        </w:rPr>
        <w:t>(Rego &amp; Carvalho, 2002)</w:t>
      </w:r>
      <w:r w:rsidRPr="0094770E">
        <w:t xml:space="preserve">.  </w:t>
      </w:r>
    </w:p>
    <w:p w:rsidR="00DC11BE" w:rsidRPr="0094770E" w:rsidRDefault="00DC11BE" w:rsidP="00D77886">
      <w:pPr>
        <w:pStyle w:val="CorpoTexto"/>
        <w:rPr>
          <w:b/>
        </w:rPr>
      </w:pPr>
      <w:r w:rsidRPr="0094770E">
        <w:t xml:space="preserve">Esta escala é composta por três segmentos, um para medir a motivação relativamente ao poder, outro para medir sucesso e outro a afiliação. Os segmentos foram classificados numa escala do tipo </w:t>
      </w:r>
      <w:proofErr w:type="spellStart"/>
      <w:r w:rsidRPr="0094770E">
        <w:t>Likert</w:t>
      </w:r>
      <w:proofErr w:type="spellEnd"/>
      <w:r w:rsidRPr="0094770E">
        <w:t xml:space="preserve"> de 1 a 7 em que 1 é Nunca, 2 Quase nunca, 3 Raramente, 4 Por vezes, 5 Usualmente, 6 Quase sempre e 7 Sempre. </w:t>
      </w:r>
      <w:r w:rsidR="00F870BA" w:rsidRPr="0094770E">
        <w:t>Foi então pedido</w:t>
      </w:r>
      <w:r w:rsidRPr="0094770E">
        <w:t xml:space="preserve"> aos participantes que, considerando a sua empresa, referissem em que medida as afirmações apresentadas se aplicam a si, utilizando a escala indicada.</w:t>
      </w:r>
    </w:p>
    <w:p w:rsidR="00DC11BE" w:rsidRPr="0094770E" w:rsidRDefault="00DC11BE" w:rsidP="00D77886">
      <w:pPr>
        <w:pStyle w:val="CorpoTexto"/>
        <w:rPr>
          <w:b/>
        </w:rPr>
      </w:pPr>
      <w:r w:rsidRPr="0094770E">
        <w:lastRenderedPageBreak/>
        <w:t>No que diz respeito à variável satisfação, o objetivo deste trabalho é analisar a satisfação no trabalho no desempenho do mesmo, mais especificamente em momento de reclamação.</w:t>
      </w:r>
    </w:p>
    <w:p w:rsidR="00DC11BE" w:rsidRPr="0094770E" w:rsidRDefault="00DC11BE" w:rsidP="00D77886">
      <w:pPr>
        <w:pStyle w:val="CorpoTexto"/>
        <w:rPr>
          <w:b/>
        </w:rPr>
      </w:pPr>
      <w:r w:rsidRPr="0094770E">
        <w:t>Considerando uma abordagem multidimensional da satisfação (satisfação resulta de fatores associados ao trabalho), Locke identifica, em 1976, nove dimensões.</w:t>
      </w:r>
    </w:p>
    <w:p w:rsidR="00DC11BE" w:rsidRPr="0094770E" w:rsidRDefault="00DC11BE" w:rsidP="00D77886">
      <w:pPr>
        <w:pStyle w:val="CorpoTexto"/>
      </w:pPr>
      <w:r w:rsidRPr="0094770E">
        <w:t xml:space="preserve">Dos nove fatores associados à satisfação no trabalho, em 1996 </w:t>
      </w:r>
      <w:proofErr w:type="spellStart"/>
      <w:r w:rsidRPr="0094770E">
        <w:t>Deshpande</w:t>
      </w:r>
      <w:proofErr w:type="spellEnd"/>
      <w:r w:rsidRPr="0094770E">
        <w:t xml:space="preserve"> realiza um estudo onde analisa as dimensões: salário, promoções, colegas de trabalho, superiores hierárquicos e tarefas realizadas </w:t>
      </w:r>
      <w:r w:rsidRPr="0094770E">
        <w:rPr>
          <w:noProof/>
        </w:rPr>
        <w:t>(Deshpande, 1996)</w:t>
      </w:r>
      <w:r w:rsidRPr="0094770E">
        <w:t xml:space="preserve">. O estudo examina o impacto de tipos de clima éticos nas facetas da satisfação no trabalho anteriormente referidas numa organização sem fins lucrativos </w:t>
      </w:r>
      <w:r w:rsidRPr="0094770E">
        <w:rPr>
          <w:noProof/>
        </w:rPr>
        <w:t>(Shoichet, McGovern, Wei, &amp; Irwin, 2002)</w:t>
      </w:r>
      <w:r w:rsidRPr="0094770E">
        <w:t>.</w:t>
      </w:r>
    </w:p>
    <w:p w:rsidR="00DC11BE" w:rsidRPr="00D77886" w:rsidRDefault="00DC11BE" w:rsidP="00D77886">
      <w:pPr>
        <w:pStyle w:val="CorpoTexto"/>
      </w:pPr>
      <w:r w:rsidRPr="0094770E">
        <w:t xml:space="preserve">A satisfação com remuneração, satisfação com a promoção, satisfação com os colegas de trabalho, satisfação com os supervisores e satisfação com o trabalho em si foram mensurados usando quatro itens para cada faceta. Os itens usados para medir essas facetas foram combinados para formar uma medida da satisfação geral no trabalho </w:t>
      </w:r>
      <w:r w:rsidRPr="0094770E">
        <w:rPr>
          <w:noProof/>
        </w:rPr>
        <w:t>(Shoichet et al., 2002)</w:t>
      </w:r>
      <w:r w:rsidRPr="0094770E">
        <w:t xml:space="preserve">. </w:t>
      </w:r>
      <w:r w:rsidRPr="00D77886">
        <w:t>Essa escala foi usada por vários pesquisadores em vários campos, incluindo na ética nos negócios (</w:t>
      </w:r>
      <w:proofErr w:type="spellStart"/>
      <w:r w:rsidRPr="00D77886">
        <w:t>Vitell</w:t>
      </w:r>
      <w:proofErr w:type="spellEnd"/>
      <w:r w:rsidRPr="00D77886">
        <w:t xml:space="preserve"> &amp; Davis, 1990).</w:t>
      </w:r>
    </w:p>
    <w:p w:rsidR="00DC11BE" w:rsidRPr="00D77886" w:rsidRDefault="00DC11BE" w:rsidP="00D77886">
      <w:pPr>
        <w:pStyle w:val="CorpoTexto"/>
      </w:pPr>
      <w:r w:rsidRPr="00D77886">
        <w:t xml:space="preserve">O índice descritivo de trabalho desenvolvido por P. Smith, Kendall, </w:t>
      </w:r>
      <w:r w:rsidR="00984FA2" w:rsidRPr="00D77886">
        <w:t>e</w:t>
      </w:r>
      <w:r w:rsidRPr="00D77886">
        <w:t xml:space="preserve"> </w:t>
      </w:r>
      <w:proofErr w:type="spellStart"/>
      <w:r w:rsidRPr="00D77886">
        <w:t>Hulin</w:t>
      </w:r>
      <w:proofErr w:type="spellEnd"/>
      <w:r w:rsidRPr="00D77886">
        <w:t xml:space="preserve"> (1969) foi relatado como a medida de satisfação no trabalho mais frequentemente usada (</w:t>
      </w:r>
      <w:proofErr w:type="spellStart"/>
      <w:r w:rsidRPr="00D77886">
        <w:t>Ahmad</w:t>
      </w:r>
      <w:proofErr w:type="spellEnd"/>
      <w:r w:rsidRPr="00D77886">
        <w:t xml:space="preserve">, </w:t>
      </w:r>
      <w:proofErr w:type="spellStart"/>
      <w:r w:rsidRPr="00D77886">
        <w:t>Jasimuddin</w:t>
      </w:r>
      <w:proofErr w:type="spellEnd"/>
      <w:r w:rsidRPr="00D77886">
        <w:t xml:space="preserve">, &amp; </w:t>
      </w:r>
      <w:proofErr w:type="spellStart"/>
      <w:r w:rsidRPr="00D77886">
        <w:t>Kee</w:t>
      </w:r>
      <w:proofErr w:type="spellEnd"/>
      <w:r w:rsidRPr="00D77886">
        <w:t xml:space="preserve">, 2018). Por contraposição, foi determinado o uso do questionário sugerido por </w:t>
      </w:r>
      <w:proofErr w:type="spellStart"/>
      <w:r w:rsidRPr="00D77886">
        <w:t>Deshpande</w:t>
      </w:r>
      <w:proofErr w:type="spellEnd"/>
      <w:r w:rsidRPr="00D77886">
        <w:t xml:space="preserve"> (1996) para validação da variável satisfação.</w:t>
      </w:r>
    </w:p>
    <w:p w:rsidR="00DC11BE" w:rsidRPr="00D77886" w:rsidRDefault="00DC11BE" w:rsidP="00D77886">
      <w:pPr>
        <w:pStyle w:val="CorpoTexto"/>
      </w:pPr>
      <w:r w:rsidRPr="00D77886">
        <w:t xml:space="preserve">Assim, a parte do instrumento que se debruça sobre esta temática apresenta 20 questões, 4 por cada uma das 5 dimensões, a satisfação com a remuneração, as promoções, os colegas de trabalho, os superiores hierárquicos e as tarefas por si realizadas. </w:t>
      </w:r>
    </w:p>
    <w:p w:rsidR="00DC11BE" w:rsidRDefault="00DC11BE" w:rsidP="00D77886">
      <w:pPr>
        <w:pStyle w:val="CorpoTexto"/>
      </w:pPr>
      <w:r w:rsidRPr="00D77886">
        <w:t xml:space="preserve">As respostas ao referido segmento foram efetuadas através de uma escala do tipo </w:t>
      </w:r>
      <w:proofErr w:type="spellStart"/>
      <w:r w:rsidRPr="00D77886">
        <w:t>Likert</w:t>
      </w:r>
      <w:proofErr w:type="spellEnd"/>
      <w:r w:rsidRPr="00D77886">
        <w:t xml:space="preserve"> de 7 pontos devendo 1 ser considerado ‘Nunca’, 2 ‘Quase nunca’, 3 ‘Raramente’, 4 ‘Por vezes’, 5 ‘Usualmente’, 6 ‘Quase sempre’ e 7 ‘Sempre’ para as variáveis de motivação e 1 ‘Discordo fortemente’, 2 ‘Discordo um pouco’, 3 ‘Discordo’, 4 ‘Não concordo nem discordo’, 5 ‘Concordo um pouco, 6 ‘Concordo? E 7 ‘Concordo fortemente’ para as dimensões satisfação. Solicitando-se, por conseguinte aos participantes que, tendo em conta o contexto da sua satisfação em relação ao trabalho e através das afirmações apresentadas, descrevessem o modo como se viam a eles próprios.</w:t>
      </w:r>
    </w:p>
    <w:p w:rsidR="005C5E61" w:rsidRPr="00D77886" w:rsidRDefault="005C5E61" w:rsidP="00D77886">
      <w:pPr>
        <w:pStyle w:val="CorpoTexto"/>
      </w:pPr>
    </w:p>
    <w:p w:rsidR="00DC11BE" w:rsidRPr="007E3498" w:rsidRDefault="00BF2693" w:rsidP="007E3498">
      <w:pPr>
        <w:rPr>
          <w:rFonts w:ascii="Garamond" w:hAnsi="Garamond"/>
          <w:b/>
          <w:iCs/>
          <w:sz w:val="20"/>
          <w:szCs w:val="20"/>
        </w:rPr>
      </w:pPr>
      <w:r>
        <w:rPr>
          <w:rFonts w:ascii="Garamond" w:hAnsi="Garamond"/>
          <w:b/>
          <w:i/>
          <w:sz w:val="20"/>
          <w:szCs w:val="20"/>
        </w:rPr>
        <w:br w:type="page"/>
      </w:r>
      <w:bookmarkStart w:id="49" w:name="_Toc46677126"/>
      <w:r w:rsidR="00DC11BE" w:rsidRPr="0094770E">
        <w:rPr>
          <w:rFonts w:ascii="Garamond" w:hAnsi="Garamond"/>
          <w:b/>
          <w:sz w:val="20"/>
          <w:szCs w:val="20"/>
        </w:rPr>
        <w:lastRenderedPageBreak/>
        <w:t xml:space="preserve">Tabela </w:t>
      </w:r>
      <w:r w:rsidR="00DC11BE" w:rsidRPr="0094770E">
        <w:rPr>
          <w:rFonts w:ascii="Garamond" w:hAnsi="Garamond"/>
          <w:b/>
          <w:i/>
          <w:sz w:val="20"/>
          <w:szCs w:val="20"/>
        </w:rPr>
        <w:fldChar w:fldCharType="begin"/>
      </w:r>
      <w:r w:rsidR="00DC11BE" w:rsidRPr="0094770E">
        <w:rPr>
          <w:rFonts w:ascii="Garamond" w:hAnsi="Garamond"/>
          <w:b/>
          <w:sz w:val="20"/>
          <w:szCs w:val="20"/>
        </w:rPr>
        <w:instrText xml:space="preserve"> SEQ Tabela \* ARABIC </w:instrText>
      </w:r>
      <w:r w:rsidR="00DC11BE" w:rsidRPr="0094770E">
        <w:rPr>
          <w:rFonts w:ascii="Garamond" w:hAnsi="Garamond"/>
          <w:b/>
          <w:i/>
          <w:sz w:val="20"/>
          <w:szCs w:val="20"/>
        </w:rPr>
        <w:fldChar w:fldCharType="separate"/>
      </w:r>
      <w:r w:rsidR="004E0B72">
        <w:rPr>
          <w:rFonts w:ascii="Garamond" w:hAnsi="Garamond"/>
          <w:b/>
          <w:noProof/>
          <w:sz w:val="20"/>
          <w:szCs w:val="20"/>
        </w:rPr>
        <w:t>9</w:t>
      </w:r>
      <w:r w:rsidR="00DC11BE" w:rsidRPr="0094770E">
        <w:rPr>
          <w:rFonts w:ascii="Garamond" w:hAnsi="Garamond"/>
          <w:b/>
          <w:i/>
          <w:sz w:val="20"/>
          <w:szCs w:val="20"/>
        </w:rPr>
        <w:fldChar w:fldCharType="end"/>
      </w:r>
      <w:r w:rsidR="00DC11BE" w:rsidRPr="0094770E">
        <w:rPr>
          <w:rFonts w:ascii="Garamond" w:hAnsi="Garamond"/>
          <w:sz w:val="20"/>
          <w:szCs w:val="20"/>
        </w:rPr>
        <w:t xml:space="preserve"> - Variáveis estudadas.</w:t>
      </w:r>
      <w:bookmarkEnd w:id="49"/>
    </w:p>
    <w:tbl>
      <w:tblPr>
        <w:tblStyle w:val="TabelacomGrelha"/>
        <w:tblW w:w="8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729"/>
        <w:gridCol w:w="2832"/>
      </w:tblGrid>
      <w:tr w:rsidR="00DC11BE" w:rsidRPr="00182811" w:rsidTr="004E3707">
        <w:trPr>
          <w:trHeight w:val="422"/>
        </w:trPr>
        <w:tc>
          <w:tcPr>
            <w:tcW w:w="2405" w:type="dxa"/>
            <w:tcBorders>
              <w:bottom w:val="single" w:sz="12" w:space="0" w:color="auto"/>
            </w:tcBorders>
            <w:shd w:val="clear" w:color="auto" w:fill="auto"/>
            <w:vAlign w:val="center"/>
          </w:tcPr>
          <w:p w:rsidR="00DC11BE" w:rsidRPr="00182811" w:rsidRDefault="00DC11BE" w:rsidP="004E3707">
            <w:pPr>
              <w:spacing w:line="360" w:lineRule="auto"/>
              <w:jc w:val="center"/>
              <w:rPr>
                <w:rFonts w:ascii="Garamond" w:hAnsi="Garamond" w:cs="Times New Roman"/>
                <w:b/>
                <w:sz w:val="24"/>
                <w:szCs w:val="24"/>
              </w:rPr>
            </w:pPr>
            <w:r w:rsidRPr="00182811">
              <w:rPr>
                <w:rFonts w:ascii="Garamond" w:hAnsi="Garamond" w:cs="Times New Roman"/>
                <w:b/>
                <w:sz w:val="24"/>
                <w:szCs w:val="24"/>
              </w:rPr>
              <w:t>Dimensões</w:t>
            </w:r>
          </w:p>
        </w:tc>
        <w:tc>
          <w:tcPr>
            <w:tcW w:w="3729" w:type="dxa"/>
            <w:tcBorders>
              <w:bottom w:val="single" w:sz="12" w:space="0" w:color="auto"/>
            </w:tcBorders>
            <w:shd w:val="clear" w:color="auto" w:fill="auto"/>
            <w:vAlign w:val="center"/>
          </w:tcPr>
          <w:p w:rsidR="00DC11BE" w:rsidRPr="00182811" w:rsidRDefault="00DC11BE" w:rsidP="004E3707">
            <w:pPr>
              <w:spacing w:line="360" w:lineRule="auto"/>
              <w:jc w:val="center"/>
              <w:rPr>
                <w:rFonts w:ascii="Garamond" w:hAnsi="Garamond" w:cs="Times New Roman"/>
                <w:b/>
                <w:sz w:val="24"/>
                <w:szCs w:val="24"/>
              </w:rPr>
            </w:pPr>
            <w:r w:rsidRPr="00182811">
              <w:rPr>
                <w:rFonts w:ascii="Garamond" w:hAnsi="Garamond" w:cs="Times New Roman"/>
                <w:b/>
                <w:sz w:val="24"/>
                <w:szCs w:val="24"/>
              </w:rPr>
              <w:t>Itens</w:t>
            </w:r>
          </w:p>
        </w:tc>
        <w:tc>
          <w:tcPr>
            <w:tcW w:w="2832" w:type="dxa"/>
            <w:tcBorders>
              <w:bottom w:val="single" w:sz="12" w:space="0" w:color="auto"/>
            </w:tcBorders>
            <w:shd w:val="clear" w:color="auto" w:fill="auto"/>
            <w:vAlign w:val="center"/>
          </w:tcPr>
          <w:p w:rsidR="00DC11BE" w:rsidRPr="00182811" w:rsidRDefault="00DC11BE" w:rsidP="004E3707">
            <w:pPr>
              <w:spacing w:line="360" w:lineRule="auto"/>
              <w:jc w:val="center"/>
              <w:rPr>
                <w:rFonts w:ascii="Garamond" w:hAnsi="Garamond" w:cs="Times New Roman"/>
                <w:b/>
                <w:sz w:val="24"/>
                <w:szCs w:val="24"/>
              </w:rPr>
            </w:pPr>
            <w:r w:rsidRPr="00182811">
              <w:rPr>
                <w:rFonts w:ascii="Garamond" w:hAnsi="Garamond" w:cs="Times New Roman"/>
                <w:b/>
                <w:sz w:val="24"/>
                <w:szCs w:val="24"/>
              </w:rPr>
              <w:t>Autores</w:t>
            </w:r>
          </w:p>
        </w:tc>
      </w:tr>
      <w:tr w:rsidR="00DC11BE" w:rsidRPr="00182811" w:rsidTr="004E3707">
        <w:tc>
          <w:tcPr>
            <w:tcW w:w="2405" w:type="dxa"/>
            <w:tcBorders>
              <w:top w:val="single" w:sz="12" w:space="0" w:color="auto"/>
              <w:bottom w:val="single" w:sz="4" w:space="0" w:color="auto"/>
            </w:tcBorders>
            <w:vAlign w:val="center"/>
          </w:tcPr>
          <w:p w:rsidR="00DC11BE" w:rsidRPr="00182811" w:rsidRDefault="00DC11BE" w:rsidP="004E3707">
            <w:pPr>
              <w:spacing w:line="360" w:lineRule="auto"/>
              <w:jc w:val="center"/>
              <w:rPr>
                <w:rFonts w:ascii="Garamond" w:hAnsi="Garamond" w:cs="Times New Roman"/>
                <w:b/>
                <w:sz w:val="24"/>
                <w:szCs w:val="24"/>
              </w:rPr>
            </w:pPr>
            <w:r w:rsidRPr="00182811">
              <w:rPr>
                <w:rFonts w:ascii="Garamond" w:hAnsi="Garamond" w:cs="Times New Roman"/>
                <w:b/>
                <w:sz w:val="24"/>
                <w:szCs w:val="24"/>
              </w:rPr>
              <w:t>Motivação</w:t>
            </w:r>
          </w:p>
        </w:tc>
        <w:tc>
          <w:tcPr>
            <w:tcW w:w="3729" w:type="dxa"/>
            <w:tcBorders>
              <w:top w:val="single" w:sz="12" w:space="0" w:color="auto"/>
              <w:bottom w:val="single" w:sz="4" w:space="0" w:color="auto"/>
            </w:tcBorders>
            <w:vAlign w:val="center"/>
          </w:tcPr>
          <w:p w:rsidR="00DC11BE" w:rsidRPr="00182811" w:rsidRDefault="00DC11BE" w:rsidP="004E3707">
            <w:pPr>
              <w:pStyle w:val="PargrafodaLista"/>
              <w:numPr>
                <w:ilvl w:val="0"/>
                <w:numId w:val="2"/>
              </w:numPr>
              <w:spacing w:line="360" w:lineRule="auto"/>
              <w:rPr>
                <w:rFonts w:ascii="Garamond" w:hAnsi="Garamond"/>
                <w:color w:val="000000" w:themeColor="text1"/>
                <w:sz w:val="24"/>
              </w:rPr>
            </w:pPr>
            <w:r w:rsidRPr="00182811">
              <w:rPr>
                <w:rFonts w:ascii="Garamond" w:hAnsi="Garamond"/>
                <w:color w:val="000000" w:themeColor="text1"/>
                <w:sz w:val="24"/>
              </w:rPr>
              <w:t>Poder</w:t>
            </w:r>
          </w:p>
          <w:p w:rsidR="00DC11BE" w:rsidRPr="00182811" w:rsidRDefault="00DC11BE" w:rsidP="004E3707">
            <w:pPr>
              <w:pStyle w:val="PargrafodaLista"/>
              <w:numPr>
                <w:ilvl w:val="0"/>
                <w:numId w:val="2"/>
              </w:numPr>
              <w:spacing w:line="360" w:lineRule="auto"/>
              <w:rPr>
                <w:rFonts w:ascii="Garamond" w:hAnsi="Garamond"/>
                <w:color w:val="000000" w:themeColor="text1"/>
                <w:sz w:val="24"/>
              </w:rPr>
            </w:pPr>
            <w:r w:rsidRPr="00182811">
              <w:rPr>
                <w:rFonts w:ascii="Garamond" w:hAnsi="Garamond"/>
                <w:color w:val="000000" w:themeColor="text1"/>
                <w:sz w:val="24"/>
              </w:rPr>
              <w:t>Sucesso</w:t>
            </w:r>
          </w:p>
          <w:p w:rsidR="00DC11BE" w:rsidRPr="00182811" w:rsidRDefault="00DC11BE" w:rsidP="004E3707">
            <w:pPr>
              <w:pStyle w:val="PargrafodaLista"/>
              <w:numPr>
                <w:ilvl w:val="0"/>
                <w:numId w:val="2"/>
              </w:numPr>
              <w:spacing w:line="360" w:lineRule="auto"/>
              <w:rPr>
                <w:rFonts w:ascii="Garamond" w:hAnsi="Garamond"/>
                <w:color w:val="000000" w:themeColor="text1"/>
                <w:sz w:val="24"/>
              </w:rPr>
            </w:pPr>
            <w:r w:rsidRPr="00182811">
              <w:rPr>
                <w:rFonts w:ascii="Garamond" w:hAnsi="Garamond"/>
                <w:color w:val="000000" w:themeColor="text1"/>
                <w:sz w:val="24"/>
              </w:rPr>
              <w:t>Afiliação</w:t>
            </w:r>
          </w:p>
        </w:tc>
        <w:tc>
          <w:tcPr>
            <w:tcW w:w="2832" w:type="dxa"/>
            <w:tcBorders>
              <w:top w:val="single" w:sz="12" w:space="0" w:color="auto"/>
              <w:bottom w:val="single" w:sz="4" w:space="0" w:color="auto"/>
            </w:tcBorders>
            <w:vAlign w:val="center"/>
          </w:tcPr>
          <w:p w:rsidR="00DC11BE" w:rsidRPr="00182811" w:rsidRDefault="00DC11BE" w:rsidP="004E3707">
            <w:pPr>
              <w:spacing w:line="360" w:lineRule="auto"/>
              <w:jc w:val="center"/>
              <w:rPr>
                <w:rFonts w:ascii="Garamond" w:hAnsi="Garamond"/>
                <w:color w:val="000000" w:themeColor="text1"/>
                <w:sz w:val="24"/>
              </w:rPr>
            </w:pPr>
            <w:r w:rsidRPr="00182811">
              <w:rPr>
                <w:rFonts w:ascii="Garamond" w:hAnsi="Garamond"/>
                <w:color w:val="000000" w:themeColor="text1"/>
                <w:sz w:val="24"/>
              </w:rPr>
              <w:t>Rego &amp; Carvalho (2002)</w:t>
            </w:r>
          </w:p>
        </w:tc>
      </w:tr>
      <w:tr w:rsidR="00DC11BE" w:rsidRPr="00182811" w:rsidTr="004E3707">
        <w:tc>
          <w:tcPr>
            <w:tcW w:w="2405" w:type="dxa"/>
            <w:tcBorders>
              <w:top w:val="single" w:sz="4" w:space="0" w:color="auto"/>
              <w:bottom w:val="single" w:sz="4" w:space="0" w:color="auto"/>
            </w:tcBorders>
            <w:vAlign w:val="center"/>
          </w:tcPr>
          <w:p w:rsidR="00DC11BE" w:rsidRPr="00182811" w:rsidRDefault="00DC11BE" w:rsidP="004E3707">
            <w:pPr>
              <w:spacing w:line="360" w:lineRule="auto"/>
              <w:jc w:val="center"/>
              <w:rPr>
                <w:rFonts w:ascii="Garamond" w:hAnsi="Garamond" w:cs="Times New Roman"/>
                <w:b/>
                <w:sz w:val="24"/>
                <w:szCs w:val="24"/>
              </w:rPr>
            </w:pPr>
            <w:r w:rsidRPr="00182811">
              <w:rPr>
                <w:rFonts w:ascii="Garamond" w:hAnsi="Garamond" w:cs="Times New Roman"/>
                <w:b/>
                <w:sz w:val="24"/>
                <w:szCs w:val="24"/>
              </w:rPr>
              <w:t>Satisfação</w:t>
            </w:r>
          </w:p>
        </w:tc>
        <w:tc>
          <w:tcPr>
            <w:tcW w:w="3729" w:type="dxa"/>
            <w:tcBorders>
              <w:top w:val="single" w:sz="4" w:space="0" w:color="auto"/>
              <w:bottom w:val="single" w:sz="4" w:space="0" w:color="auto"/>
            </w:tcBorders>
            <w:vAlign w:val="center"/>
          </w:tcPr>
          <w:p w:rsidR="00DC11BE" w:rsidRPr="00182811" w:rsidRDefault="00DC11BE" w:rsidP="004E3707">
            <w:pPr>
              <w:pStyle w:val="PargrafodaLista"/>
              <w:numPr>
                <w:ilvl w:val="0"/>
                <w:numId w:val="3"/>
              </w:numPr>
              <w:spacing w:line="360" w:lineRule="auto"/>
              <w:rPr>
                <w:rFonts w:ascii="Garamond" w:hAnsi="Garamond"/>
                <w:color w:val="000000" w:themeColor="text1"/>
                <w:sz w:val="24"/>
              </w:rPr>
            </w:pPr>
            <w:r w:rsidRPr="00182811">
              <w:rPr>
                <w:rFonts w:ascii="Garamond" w:hAnsi="Garamond"/>
                <w:color w:val="000000" w:themeColor="text1"/>
                <w:sz w:val="24"/>
              </w:rPr>
              <w:t>Colegas de trabalho</w:t>
            </w:r>
          </w:p>
          <w:p w:rsidR="00DC11BE" w:rsidRPr="00182811" w:rsidRDefault="00DC11BE" w:rsidP="004E3707">
            <w:pPr>
              <w:pStyle w:val="PargrafodaLista"/>
              <w:numPr>
                <w:ilvl w:val="0"/>
                <w:numId w:val="3"/>
              </w:numPr>
              <w:spacing w:line="360" w:lineRule="auto"/>
              <w:rPr>
                <w:rFonts w:ascii="Garamond" w:hAnsi="Garamond"/>
                <w:color w:val="000000" w:themeColor="text1"/>
                <w:sz w:val="24"/>
              </w:rPr>
            </w:pPr>
            <w:r w:rsidRPr="00182811">
              <w:rPr>
                <w:rFonts w:ascii="Garamond" w:hAnsi="Garamond"/>
                <w:color w:val="000000" w:themeColor="text1"/>
                <w:sz w:val="24"/>
              </w:rPr>
              <w:t>Superiores hierárquicos</w:t>
            </w:r>
          </w:p>
          <w:p w:rsidR="00DC11BE" w:rsidRPr="00182811" w:rsidRDefault="00DC11BE" w:rsidP="004E3707">
            <w:pPr>
              <w:pStyle w:val="PargrafodaLista"/>
              <w:numPr>
                <w:ilvl w:val="0"/>
                <w:numId w:val="3"/>
              </w:numPr>
              <w:spacing w:line="360" w:lineRule="auto"/>
              <w:rPr>
                <w:rFonts w:ascii="Garamond" w:hAnsi="Garamond"/>
                <w:color w:val="000000" w:themeColor="text1"/>
                <w:sz w:val="24"/>
              </w:rPr>
            </w:pPr>
            <w:r w:rsidRPr="00182811">
              <w:rPr>
                <w:rFonts w:ascii="Garamond" w:hAnsi="Garamond"/>
                <w:color w:val="000000" w:themeColor="text1"/>
                <w:sz w:val="24"/>
              </w:rPr>
              <w:t>Realização de tarefas</w:t>
            </w:r>
          </w:p>
          <w:p w:rsidR="00DC11BE" w:rsidRPr="00182811" w:rsidRDefault="00DC11BE" w:rsidP="004E3707">
            <w:pPr>
              <w:pStyle w:val="PargrafodaLista"/>
              <w:numPr>
                <w:ilvl w:val="0"/>
                <w:numId w:val="3"/>
              </w:numPr>
              <w:spacing w:line="360" w:lineRule="auto"/>
              <w:rPr>
                <w:rFonts w:ascii="Garamond" w:hAnsi="Garamond"/>
                <w:color w:val="000000" w:themeColor="text1"/>
                <w:sz w:val="24"/>
              </w:rPr>
            </w:pPr>
            <w:r w:rsidRPr="00182811">
              <w:rPr>
                <w:rFonts w:ascii="Garamond" w:hAnsi="Garamond"/>
                <w:color w:val="000000" w:themeColor="text1"/>
                <w:sz w:val="24"/>
              </w:rPr>
              <w:t>Salário</w:t>
            </w:r>
          </w:p>
          <w:p w:rsidR="00DC11BE" w:rsidRPr="00182811" w:rsidRDefault="00DC11BE" w:rsidP="004E3707">
            <w:pPr>
              <w:pStyle w:val="PargrafodaLista"/>
              <w:numPr>
                <w:ilvl w:val="0"/>
                <w:numId w:val="3"/>
              </w:numPr>
              <w:spacing w:line="360" w:lineRule="auto"/>
              <w:rPr>
                <w:rFonts w:ascii="Garamond" w:hAnsi="Garamond"/>
                <w:color w:val="000000" w:themeColor="text1"/>
                <w:sz w:val="24"/>
              </w:rPr>
            </w:pPr>
            <w:r w:rsidRPr="00182811">
              <w:rPr>
                <w:rFonts w:ascii="Garamond" w:hAnsi="Garamond"/>
                <w:color w:val="000000" w:themeColor="text1"/>
                <w:sz w:val="24"/>
              </w:rPr>
              <w:t>Promoções</w:t>
            </w:r>
          </w:p>
        </w:tc>
        <w:tc>
          <w:tcPr>
            <w:tcW w:w="2832" w:type="dxa"/>
            <w:tcBorders>
              <w:top w:val="single" w:sz="4" w:space="0" w:color="auto"/>
              <w:bottom w:val="single" w:sz="4" w:space="0" w:color="auto"/>
            </w:tcBorders>
            <w:vAlign w:val="center"/>
          </w:tcPr>
          <w:p w:rsidR="00DC11BE" w:rsidRPr="00182811" w:rsidRDefault="00DC11BE" w:rsidP="004E3707">
            <w:pPr>
              <w:spacing w:line="360" w:lineRule="auto"/>
              <w:jc w:val="center"/>
              <w:rPr>
                <w:rFonts w:ascii="Garamond" w:hAnsi="Garamond"/>
                <w:color w:val="000000" w:themeColor="text1"/>
                <w:sz w:val="24"/>
              </w:rPr>
            </w:pPr>
            <w:proofErr w:type="spellStart"/>
            <w:r w:rsidRPr="00182811">
              <w:rPr>
                <w:rFonts w:ascii="Garamond" w:hAnsi="Garamond"/>
                <w:color w:val="000000" w:themeColor="text1"/>
                <w:sz w:val="24"/>
              </w:rPr>
              <w:t>Deshpande</w:t>
            </w:r>
            <w:proofErr w:type="spellEnd"/>
            <w:r w:rsidRPr="00182811">
              <w:rPr>
                <w:rFonts w:ascii="Garamond" w:hAnsi="Garamond"/>
                <w:color w:val="000000" w:themeColor="text1"/>
                <w:sz w:val="24"/>
              </w:rPr>
              <w:t xml:space="preserve"> (1996)</w:t>
            </w:r>
          </w:p>
        </w:tc>
      </w:tr>
      <w:tr w:rsidR="00DC11BE" w:rsidRPr="00182811" w:rsidTr="004E3707">
        <w:tc>
          <w:tcPr>
            <w:tcW w:w="2405" w:type="dxa"/>
            <w:tcBorders>
              <w:top w:val="single" w:sz="4" w:space="0" w:color="auto"/>
              <w:bottom w:val="single" w:sz="12" w:space="0" w:color="auto"/>
            </w:tcBorders>
            <w:vAlign w:val="center"/>
          </w:tcPr>
          <w:p w:rsidR="00DC11BE" w:rsidRPr="00182811" w:rsidRDefault="00DC11BE" w:rsidP="004E3707">
            <w:pPr>
              <w:spacing w:line="360" w:lineRule="auto"/>
              <w:jc w:val="center"/>
              <w:rPr>
                <w:rFonts w:ascii="Garamond" w:hAnsi="Garamond" w:cs="Times New Roman"/>
                <w:b/>
                <w:sz w:val="24"/>
                <w:szCs w:val="24"/>
              </w:rPr>
            </w:pPr>
            <w:r w:rsidRPr="00182811">
              <w:rPr>
                <w:rFonts w:ascii="Garamond" w:hAnsi="Garamond" w:cs="Times New Roman"/>
                <w:b/>
                <w:sz w:val="24"/>
                <w:szCs w:val="24"/>
              </w:rPr>
              <w:t>Resposta emocional do pessoal de contacto</w:t>
            </w:r>
          </w:p>
        </w:tc>
        <w:tc>
          <w:tcPr>
            <w:tcW w:w="3729" w:type="dxa"/>
            <w:tcBorders>
              <w:top w:val="single" w:sz="4" w:space="0" w:color="auto"/>
              <w:bottom w:val="single" w:sz="12" w:space="0" w:color="auto"/>
            </w:tcBorders>
            <w:vAlign w:val="center"/>
          </w:tcPr>
          <w:p w:rsidR="00DC11BE" w:rsidRPr="00182811" w:rsidRDefault="00DC11BE" w:rsidP="004E3707">
            <w:pPr>
              <w:pStyle w:val="PargrafodaLista"/>
              <w:numPr>
                <w:ilvl w:val="0"/>
                <w:numId w:val="4"/>
              </w:numPr>
              <w:spacing w:line="360" w:lineRule="auto"/>
              <w:rPr>
                <w:rFonts w:ascii="Garamond" w:hAnsi="Garamond"/>
                <w:color w:val="000000" w:themeColor="text1"/>
                <w:sz w:val="24"/>
              </w:rPr>
            </w:pPr>
            <w:r w:rsidRPr="00182811">
              <w:rPr>
                <w:rFonts w:ascii="Garamond" w:hAnsi="Garamond"/>
                <w:color w:val="000000" w:themeColor="text1"/>
                <w:sz w:val="24"/>
              </w:rPr>
              <w:t>Emoções</w:t>
            </w:r>
          </w:p>
        </w:tc>
        <w:tc>
          <w:tcPr>
            <w:tcW w:w="2832" w:type="dxa"/>
            <w:tcBorders>
              <w:top w:val="single" w:sz="4" w:space="0" w:color="auto"/>
              <w:bottom w:val="single" w:sz="12" w:space="0" w:color="auto"/>
            </w:tcBorders>
            <w:vAlign w:val="center"/>
          </w:tcPr>
          <w:p w:rsidR="00DC11BE" w:rsidRPr="00182811" w:rsidRDefault="00DC11BE" w:rsidP="004E3707">
            <w:pPr>
              <w:keepNext/>
              <w:spacing w:line="360" w:lineRule="auto"/>
              <w:jc w:val="center"/>
              <w:rPr>
                <w:rFonts w:ascii="Garamond" w:hAnsi="Garamond"/>
                <w:color w:val="000000" w:themeColor="text1"/>
                <w:sz w:val="24"/>
              </w:rPr>
            </w:pPr>
            <w:r w:rsidRPr="00182811">
              <w:rPr>
                <w:rFonts w:ascii="Garamond" w:hAnsi="Garamond"/>
                <w:color w:val="000000" w:themeColor="text1"/>
                <w:sz w:val="24"/>
              </w:rPr>
              <w:t xml:space="preserve">Watson, </w:t>
            </w:r>
            <w:proofErr w:type="spellStart"/>
            <w:r w:rsidRPr="00182811">
              <w:rPr>
                <w:rFonts w:ascii="Garamond" w:hAnsi="Garamond"/>
                <w:color w:val="000000" w:themeColor="text1"/>
                <w:sz w:val="24"/>
              </w:rPr>
              <w:t>Clark</w:t>
            </w:r>
            <w:proofErr w:type="spellEnd"/>
            <w:r w:rsidRPr="00182811">
              <w:rPr>
                <w:rFonts w:ascii="Garamond" w:hAnsi="Garamond"/>
                <w:color w:val="000000" w:themeColor="text1"/>
                <w:sz w:val="24"/>
              </w:rPr>
              <w:t xml:space="preserve"> &amp; </w:t>
            </w:r>
            <w:proofErr w:type="spellStart"/>
            <w:r w:rsidRPr="00182811">
              <w:rPr>
                <w:rFonts w:ascii="Garamond" w:hAnsi="Garamond"/>
                <w:color w:val="000000" w:themeColor="text1"/>
                <w:sz w:val="24"/>
              </w:rPr>
              <w:t>Tellegen</w:t>
            </w:r>
            <w:proofErr w:type="spellEnd"/>
            <w:r w:rsidRPr="00182811">
              <w:rPr>
                <w:rFonts w:ascii="Garamond" w:hAnsi="Garamond"/>
                <w:color w:val="000000" w:themeColor="text1"/>
                <w:sz w:val="24"/>
              </w:rPr>
              <w:t xml:space="preserve"> (1988)</w:t>
            </w:r>
          </w:p>
        </w:tc>
      </w:tr>
    </w:tbl>
    <w:p w:rsidR="00DC11BE" w:rsidRDefault="005C5E61" w:rsidP="00050136">
      <w:pPr>
        <w:pStyle w:val="Nvel22"/>
      </w:pPr>
      <w:r w:rsidRPr="005C5E61">
        <w:rPr>
          <w:b/>
        </w:rPr>
        <w:t>Fonte:</w:t>
      </w:r>
      <w:r w:rsidRPr="005C5E61">
        <w:t xml:space="preserve"> Elaboração própria.</w:t>
      </w:r>
    </w:p>
    <w:p w:rsidR="005C5E61" w:rsidRPr="005C5E61" w:rsidRDefault="005C5E61" w:rsidP="00050136">
      <w:pPr>
        <w:pStyle w:val="Nvel22"/>
      </w:pPr>
    </w:p>
    <w:p w:rsidR="00DC11BE" w:rsidRPr="0094770E" w:rsidRDefault="00DC11BE" w:rsidP="00D77886">
      <w:pPr>
        <w:pStyle w:val="CorpoTexto"/>
      </w:pPr>
      <w:r w:rsidRPr="0094770E">
        <w:t xml:space="preserve">Após a construção do questionário realizou-se um pré-teste do mesmo, no sentido de se poderem observar as dificuldades sentidas ou possíveis anomalias existentes, antes da sua aplicação final aos inquiridos. Como refere </w:t>
      </w:r>
      <w:r w:rsidRPr="0094770E">
        <w:rPr>
          <w:noProof/>
        </w:rPr>
        <w:t>Fortin et al. (2009, p. 386)</w:t>
      </w:r>
      <w:r w:rsidRPr="0094770E">
        <w:t xml:space="preserve"> o pré-teste “(…) é a prova que consiste em verificar a eficácia e o </w:t>
      </w:r>
      <w:r w:rsidR="005C5E61" w:rsidRPr="0094770E">
        <w:t>valor do</w:t>
      </w:r>
      <w:r w:rsidRPr="0094770E">
        <w:t xml:space="preserve"> questionário junto de uma amostra reduzida (entre 10 e 20 pessoas) da população alvo. Esta etapa é sem dúvida indispensável, porque permite descobrir os defeitos do questionário e fazer as correções que se impõem”.</w:t>
      </w:r>
    </w:p>
    <w:p w:rsidR="00DC11BE" w:rsidRPr="0094770E" w:rsidRDefault="00DC11BE" w:rsidP="00D77886">
      <w:pPr>
        <w:pStyle w:val="CorpoTexto"/>
      </w:pPr>
      <w:r w:rsidRPr="0094770E">
        <w:t xml:space="preserve">O pré-teste foi levado a efeito na presença de 10 colaboradores de uma organização previamente escolhida, uma vez que, e embora este instrumento já tenha sido validado em diversos estudos, foi adaptado à realidade deste estudo. Por conseguinte, a sua realização possibilitou a validação da sua eficácia e da sua congruência, sendo possível, para além de outros elementos, verificar a validação semântica, designadamente a verificação dos termos utilizados, isto é, se as palavras e a linguagem utilizada eram de fácil compreensão e desprovidas de imprecisões, visto que foi distribuído a colaboradores do mesmo universo em estudo, e para além disso serviu para verificar a validação temporal do seu preenchimento, ponderando-se o tempo necessário à sua consecução, nomeadamente se era de dimensões desmesuradas e gerador de desinteresse. Desta forma, e visto não terem sido encontradas </w:t>
      </w:r>
      <w:r w:rsidRPr="0094770E">
        <w:lastRenderedPageBreak/>
        <w:t xml:space="preserve">anomalias significativas, procedeu-se à correção destas e colocou-se o questionário definitivo à disposição dos colaboradores numa plataforma da internet.     </w:t>
      </w:r>
    </w:p>
    <w:p w:rsidR="00DC11BE" w:rsidRPr="0094770E" w:rsidRDefault="00DC11BE" w:rsidP="00D77886">
      <w:pPr>
        <w:pStyle w:val="CorpoTexto"/>
      </w:pPr>
      <w:r w:rsidRPr="0094770E">
        <w:t xml:space="preserve">O inquérito por questionário esteve disponível </w:t>
      </w:r>
      <w:r w:rsidRPr="0094770E">
        <w:rPr>
          <w:i/>
        </w:rPr>
        <w:t>online</w:t>
      </w:r>
      <w:r w:rsidRPr="0094770E">
        <w:t xml:space="preserve"> para obtenção de respostas durante o mês de agosto de 2019. A este inquérito responderam 270 indivíduos, dos quais 62 afirmaram não exercerem ou terem exercido funções de atendimento ao público, razão pela qual os seus questionários foram desconsiderados na análise final.</w:t>
      </w:r>
    </w:p>
    <w:p w:rsidR="00DC11BE" w:rsidRPr="0094770E" w:rsidRDefault="00DC11BE" w:rsidP="00D77886">
      <w:pPr>
        <w:pStyle w:val="CorpoTexto"/>
      </w:pPr>
      <w:r w:rsidRPr="0094770E">
        <w:t xml:space="preserve">Em suma, a análise dos dados assentou numa amostra de 270 inquéritos por questionário, dos quais foram retirados 62 por não satisfazerem os itens propostos como anteriormente referido. Estes questionários foram anteriormente validados por diferentes autores, designadamente por </w:t>
      </w:r>
      <w:r w:rsidRPr="0094770E">
        <w:rPr>
          <w:noProof/>
        </w:rPr>
        <w:t xml:space="preserve">Galinha </w:t>
      </w:r>
      <w:r w:rsidR="00984FA2" w:rsidRPr="0094770E">
        <w:rPr>
          <w:noProof/>
        </w:rPr>
        <w:t>e</w:t>
      </w:r>
      <w:r w:rsidRPr="0094770E">
        <w:rPr>
          <w:noProof/>
        </w:rPr>
        <w:t xml:space="preserve"> Ribeiro (2005)</w:t>
      </w:r>
      <w:r w:rsidRPr="0094770E">
        <w:t xml:space="preserve"> na ótica do afeto positivo e negativo, por </w:t>
      </w:r>
      <w:r w:rsidRPr="0094770E">
        <w:rPr>
          <w:noProof/>
        </w:rPr>
        <w:t xml:space="preserve">Rego </w:t>
      </w:r>
      <w:r w:rsidR="00984FA2" w:rsidRPr="0094770E">
        <w:rPr>
          <w:noProof/>
        </w:rPr>
        <w:t>e</w:t>
      </w:r>
      <w:r w:rsidRPr="0094770E">
        <w:rPr>
          <w:noProof/>
        </w:rPr>
        <w:t xml:space="preserve"> Carvalho (2002)</w:t>
      </w:r>
      <w:r w:rsidRPr="0094770E">
        <w:t xml:space="preserve"> na vertente da motivação e por </w:t>
      </w:r>
      <w:r w:rsidRPr="0094770E">
        <w:rPr>
          <w:noProof/>
        </w:rPr>
        <w:t>Deshpande (1996)</w:t>
      </w:r>
      <w:r w:rsidRPr="0094770E">
        <w:t xml:space="preserve"> na perspetiva da satisfação e aplicados a todos os indivíduos que colaboraram e que constituíram a amostra em estudo. </w:t>
      </w:r>
    </w:p>
    <w:p w:rsidR="00DC11BE" w:rsidRPr="0094770E" w:rsidRDefault="00DC11BE" w:rsidP="00D77886">
      <w:pPr>
        <w:pStyle w:val="CorpoTexto"/>
      </w:pPr>
      <w:r w:rsidRPr="0094770E">
        <w:t>Para além das escalas referidas, o questionário inicia-se com 3 questões de índole sociodemográfica, incidindo em diversos elementos, designadamente nas funções desempenhadas, na sua situação profissional e na idade e termina com 4 questões, também de natureza sociodemográfica, relacionadas com o setor de atividade, o sexo, as habilitações literárias e o rendimento mensal líquido dos inquiridos.</w:t>
      </w:r>
    </w:p>
    <w:p w:rsidR="00DC11BE" w:rsidRPr="0094770E" w:rsidRDefault="00DC11BE" w:rsidP="00050136">
      <w:pPr>
        <w:pStyle w:val="Nvel22"/>
      </w:pPr>
    </w:p>
    <w:p w:rsidR="00DC11BE" w:rsidRPr="0094770E" w:rsidRDefault="00DC11BE" w:rsidP="00A32A19">
      <w:pPr>
        <w:pStyle w:val="Nvel2"/>
      </w:pPr>
      <w:bookmarkStart w:id="50" w:name="_Toc37177061"/>
      <w:bookmarkStart w:id="51" w:name="_Toc46678982"/>
      <w:r w:rsidRPr="0094770E">
        <w:t>Análise dos resultados do estudo</w:t>
      </w:r>
      <w:bookmarkEnd w:id="50"/>
      <w:bookmarkEnd w:id="51"/>
    </w:p>
    <w:p w:rsidR="00DC11BE" w:rsidRPr="0094770E" w:rsidRDefault="00DC11BE" w:rsidP="00D77886">
      <w:pPr>
        <w:pStyle w:val="CorpoTexto"/>
        <w:rPr>
          <w:b/>
        </w:rPr>
      </w:pPr>
      <w:r w:rsidRPr="0094770E">
        <w:t xml:space="preserve">Neste capítulo </w:t>
      </w:r>
      <w:r w:rsidRPr="0094770E">
        <w:tab/>
      </w:r>
      <w:r w:rsidR="006D2E5A" w:rsidRPr="0094770E">
        <w:t>são</w:t>
      </w:r>
      <w:r w:rsidRPr="0094770E">
        <w:t xml:space="preserve"> apresentados os resultados do estudo quantitativo efetuado e que permitem a análise das hipóteses de investigação. Inicialmente foi caracterizada a população da amostra, posteriormente efetuou-se uma análise de dados e, por fim, analisaram-se as hipóteses de investigação.</w:t>
      </w:r>
    </w:p>
    <w:p w:rsidR="00DC11BE" w:rsidRPr="0094770E" w:rsidRDefault="00DC11BE" w:rsidP="004E3707">
      <w:pPr>
        <w:pStyle w:val="CTITULO"/>
        <w:rPr>
          <w:rFonts w:ascii="Garamond" w:hAnsi="Garamond"/>
          <w:b w:val="0"/>
        </w:rPr>
      </w:pPr>
    </w:p>
    <w:p w:rsidR="00DC11BE" w:rsidRPr="0094770E" w:rsidRDefault="00DC11BE" w:rsidP="00A32A19">
      <w:pPr>
        <w:pStyle w:val="Nvel2"/>
      </w:pPr>
      <w:bookmarkStart w:id="52" w:name="_Toc37177062"/>
      <w:bookmarkStart w:id="53" w:name="_Toc46678983"/>
      <w:r w:rsidRPr="0094770E">
        <w:t>Caracterização da amostra</w:t>
      </w:r>
      <w:bookmarkEnd w:id="52"/>
      <w:bookmarkEnd w:id="53"/>
    </w:p>
    <w:p w:rsidR="002A394C" w:rsidRPr="0094770E" w:rsidRDefault="006F2570" w:rsidP="00D77886">
      <w:pPr>
        <w:pStyle w:val="CorpoTexto"/>
      </w:pPr>
      <w:r w:rsidRPr="0094770E">
        <w:t xml:space="preserve">A amostra deste estudo é constituída por 208 indivíduos que exercem ou exerceram funções de contacto direto com os clientes. Destes, 64,7% são do sexo feminino e 35,3% do sexo masculino situados numa faixa etária entre os 18 e os 25 anos e mais de 65 anos de idade, estando, no entanto, a sua maioria situada na faixa etária dos 26 aos 35 anos de idade. </w:t>
      </w:r>
    </w:p>
    <w:p w:rsidR="00DC11BE" w:rsidRPr="0094770E" w:rsidRDefault="00603397" w:rsidP="00D77886">
      <w:pPr>
        <w:pStyle w:val="CorpoTexto"/>
      </w:pPr>
      <w:r w:rsidRPr="0094770E">
        <w:lastRenderedPageBreak/>
        <w:t xml:space="preserve">Dos 270 </w:t>
      </w:r>
      <w:r w:rsidR="002A394C" w:rsidRPr="0094770E">
        <w:t>respondentes 208</w:t>
      </w:r>
      <w:r w:rsidR="00DC11BE" w:rsidRPr="0094770E">
        <w:t xml:space="preserve"> exercem ou exerceram funções de contacto direto com o cliente, o que representa uma percentagem de 77% do total dos inquiridos. Os restantes 62 inquiridos, por não exercerem ou não terem exercido funções de contacto direto com o cliente foram excluídos da continuação do questionário, uma vez que a sua experiência não poderia ser considerada para a análise pretendida.</w:t>
      </w:r>
    </w:p>
    <w:p w:rsidR="00BF2693" w:rsidRDefault="00BF2693" w:rsidP="00BF2693">
      <w:pPr>
        <w:rPr>
          <w:rFonts w:ascii="Garamond" w:hAnsi="Garamond"/>
          <w:b/>
          <w:i/>
          <w:color w:val="000000" w:themeColor="text1"/>
          <w:sz w:val="20"/>
          <w:szCs w:val="20"/>
        </w:rPr>
      </w:pPr>
    </w:p>
    <w:p w:rsidR="005C5E61" w:rsidRPr="00BF2693" w:rsidRDefault="005C5E61" w:rsidP="00BF2693">
      <w:pPr>
        <w:rPr>
          <w:rFonts w:ascii="Garamond" w:hAnsi="Garamond"/>
          <w:b/>
          <w:iCs/>
          <w:color w:val="000000" w:themeColor="text1"/>
          <w:sz w:val="20"/>
          <w:szCs w:val="20"/>
        </w:rPr>
      </w:pPr>
      <w:bookmarkStart w:id="54" w:name="_Toc46677151"/>
      <w:r w:rsidRPr="00BF2693">
        <w:rPr>
          <w:rFonts w:ascii="Garamond" w:hAnsi="Garamond"/>
          <w:b/>
          <w:iCs/>
          <w:color w:val="000000" w:themeColor="text1"/>
          <w:sz w:val="20"/>
          <w:szCs w:val="20"/>
        </w:rPr>
        <w:t xml:space="preserve">Figura </w:t>
      </w:r>
      <w:r w:rsidRPr="00BF2693">
        <w:rPr>
          <w:rFonts w:ascii="Garamond" w:hAnsi="Garamond"/>
          <w:b/>
          <w:iCs/>
          <w:color w:val="000000" w:themeColor="text1"/>
          <w:sz w:val="20"/>
          <w:szCs w:val="20"/>
        </w:rPr>
        <w:fldChar w:fldCharType="begin"/>
      </w:r>
      <w:r w:rsidRPr="00BF2693">
        <w:rPr>
          <w:rFonts w:ascii="Garamond" w:hAnsi="Garamond"/>
          <w:b/>
          <w:iCs/>
          <w:color w:val="000000" w:themeColor="text1"/>
          <w:sz w:val="20"/>
          <w:szCs w:val="20"/>
        </w:rPr>
        <w:instrText xml:space="preserve"> SEQ Figura \* ARABIC </w:instrText>
      </w:r>
      <w:r w:rsidRPr="00BF2693">
        <w:rPr>
          <w:rFonts w:ascii="Garamond" w:hAnsi="Garamond"/>
          <w:b/>
          <w:iCs/>
          <w:color w:val="000000" w:themeColor="text1"/>
          <w:sz w:val="20"/>
          <w:szCs w:val="20"/>
        </w:rPr>
        <w:fldChar w:fldCharType="separate"/>
      </w:r>
      <w:r w:rsidRPr="00BF2693">
        <w:rPr>
          <w:rFonts w:ascii="Garamond" w:hAnsi="Garamond"/>
          <w:b/>
          <w:iCs/>
          <w:color w:val="000000" w:themeColor="text1"/>
          <w:sz w:val="20"/>
          <w:szCs w:val="20"/>
        </w:rPr>
        <w:t>3</w:t>
      </w:r>
      <w:r w:rsidRPr="00BF2693">
        <w:rPr>
          <w:rFonts w:ascii="Garamond" w:hAnsi="Garamond"/>
          <w:b/>
          <w:iCs/>
          <w:color w:val="000000" w:themeColor="text1"/>
          <w:sz w:val="20"/>
          <w:szCs w:val="20"/>
        </w:rPr>
        <w:fldChar w:fldCharType="end"/>
      </w:r>
      <w:r w:rsidRPr="00BF2693">
        <w:rPr>
          <w:rFonts w:ascii="Garamond" w:hAnsi="Garamond"/>
          <w:b/>
          <w:iCs/>
          <w:color w:val="000000" w:themeColor="text1"/>
          <w:sz w:val="20"/>
          <w:szCs w:val="20"/>
        </w:rPr>
        <w:t xml:space="preserve"> - </w:t>
      </w:r>
      <w:r w:rsidRPr="00BF2693">
        <w:rPr>
          <w:rFonts w:ascii="Garamond" w:hAnsi="Garamond"/>
          <w:bCs/>
          <w:iCs/>
          <w:color w:val="000000" w:themeColor="text1"/>
          <w:sz w:val="20"/>
          <w:szCs w:val="20"/>
        </w:rPr>
        <w:t>Percentagem total de respostas ao inquérito referentes à questão: "Exerce/exerceu funções de contacto direto com o cliente?"</w:t>
      </w:r>
      <w:bookmarkEnd w:id="54"/>
    </w:p>
    <w:p w:rsidR="00862447" w:rsidRPr="005C5E61" w:rsidRDefault="00DC11BE" w:rsidP="009F6B04">
      <w:pPr>
        <w:pStyle w:val="CTITULO"/>
        <w:spacing w:before="120" w:after="120" w:line="240" w:lineRule="auto"/>
        <w:jc w:val="left"/>
        <w:rPr>
          <w:rFonts w:ascii="Garamond" w:hAnsi="Garamond"/>
          <w:b w:val="0"/>
        </w:rPr>
      </w:pPr>
      <w:r w:rsidRPr="0094770E">
        <w:rPr>
          <w:noProof/>
          <w:lang w:eastAsia="pt-PT"/>
        </w:rPr>
        <w:drawing>
          <wp:inline distT="0" distB="0" distL="0" distR="0">
            <wp:extent cx="5372100" cy="3225800"/>
            <wp:effectExtent l="0" t="0" r="12700" b="1270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862447" w:rsidRPr="005C5E61">
        <w:rPr>
          <w:rFonts w:ascii="Garamond" w:hAnsi="Garamond"/>
          <w:bCs/>
          <w:iCs/>
          <w:color w:val="000000" w:themeColor="text1"/>
          <w:sz w:val="20"/>
          <w:szCs w:val="20"/>
        </w:rPr>
        <w:t xml:space="preserve">Fonte: </w:t>
      </w:r>
      <w:r w:rsidR="00862447" w:rsidRPr="005C5E61">
        <w:rPr>
          <w:rFonts w:ascii="Garamond" w:hAnsi="Garamond"/>
          <w:b w:val="0"/>
          <w:iCs/>
          <w:color w:val="000000" w:themeColor="text1"/>
          <w:sz w:val="20"/>
          <w:szCs w:val="20"/>
        </w:rPr>
        <w:t>Elaboração própria.</w:t>
      </w:r>
    </w:p>
    <w:p w:rsidR="005C5E61" w:rsidRDefault="005C5E61" w:rsidP="007C204C">
      <w:pPr>
        <w:pStyle w:val="CorpoTexto"/>
      </w:pPr>
    </w:p>
    <w:p w:rsidR="00DC11BE" w:rsidRPr="0094770E" w:rsidRDefault="00DC11BE" w:rsidP="007C204C">
      <w:pPr>
        <w:pStyle w:val="CorpoTexto"/>
      </w:pPr>
      <w:r w:rsidRPr="0094770E">
        <w:t>Após a filtragem inicial referida anteriormente, e no que concerne à idade dos inquiridos, a principal faixa etária é a dos 26 a 35 anos, com 55,8%, seguida da faixa etária dos 36 a 45 anos, com 26,9%.</w:t>
      </w:r>
    </w:p>
    <w:p w:rsidR="00DC11BE" w:rsidRPr="0094770E" w:rsidRDefault="00DC11BE" w:rsidP="004E3707">
      <w:pPr>
        <w:rPr>
          <w:rFonts w:ascii="Garamond" w:hAnsi="Garamond" w:cs="Times New Roman"/>
          <w:sz w:val="24"/>
          <w:szCs w:val="24"/>
        </w:rPr>
      </w:pPr>
    </w:p>
    <w:p w:rsidR="00862447" w:rsidRPr="005C5E61" w:rsidRDefault="00DC11BE" w:rsidP="005C5E61">
      <w:pPr>
        <w:pStyle w:val="Legenda"/>
        <w:keepNext/>
        <w:spacing w:after="120"/>
        <w:rPr>
          <w:rFonts w:ascii="Garamond" w:hAnsi="Garamond"/>
          <w:i w:val="0"/>
          <w:color w:val="auto"/>
          <w:sz w:val="20"/>
          <w:szCs w:val="20"/>
        </w:rPr>
      </w:pPr>
      <w:bookmarkStart w:id="55" w:name="_Toc46677127"/>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10</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Distribuição percentual por faixa etária dos inquiridos.</w:t>
      </w:r>
      <w:bookmarkEnd w:id="55"/>
    </w:p>
    <w:tbl>
      <w:tblPr>
        <w:tblW w:w="8495" w:type="dxa"/>
        <w:jc w:val="center"/>
        <w:tblCellMar>
          <w:left w:w="70" w:type="dxa"/>
          <w:right w:w="70" w:type="dxa"/>
        </w:tblCellMar>
        <w:tblLook w:val="04A0" w:firstRow="1" w:lastRow="0" w:firstColumn="1" w:lastColumn="0" w:noHBand="0" w:noVBand="1"/>
      </w:tblPr>
      <w:tblGrid>
        <w:gridCol w:w="6214"/>
        <w:gridCol w:w="2281"/>
      </w:tblGrid>
      <w:tr w:rsidR="00DC11BE" w:rsidRPr="00182811" w:rsidTr="004E3707">
        <w:trPr>
          <w:trHeight w:val="324"/>
          <w:jc w:val="center"/>
        </w:trPr>
        <w:tc>
          <w:tcPr>
            <w:tcW w:w="6214" w:type="dxa"/>
            <w:tcBorders>
              <w:bottom w:val="single" w:sz="12" w:space="0" w:color="auto"/>
            </w:tcBorders>
            <w:shd w:val="clear" w:color="auto" w:fill="auto"/>
            <w:noWrap/>
            <w:vAlign w:val="bottom"/>
            <w:hideMark/>
          </w:tcPr>
          <w:p w:rsidR="00DC11BE" w:rsidRPr="00182811" w:rsidRDefault="00DC11BE" w:rsidP="004E3707">
            <w:pPr>
              <w:spacing w:line="240" w:lineRule="auto"/>
              <w:rPr>
                <w:rFonts w:ascii="Garamond" w:eastAsia="Times New Roman" w:hAnsi="Garamond" w:cs="Times New Roman"/>
                <w:b/>
                <w:bCs/>
                <w:color w:val="000000"/>
                <w:sz w:val="24"/>
                <w:szCs w:val="24"/>
                <w:lang w:eastAsia="pt-PT"/>
              </w:rPr>
            </w:pPr>
            <w:r w:rsidRPr="00182811">
              <w:rPr>
                <w:rFonts w:ascii="Garamond" w:eastAsia="Times New Roman" w:hAnsi="Garamond" w:cs="Times New Roman"/>
                <w:b/>
                <w:bCs/>
                <w:color w:val="000000"/>
                <w:sz w:val="24"/>
                <w:szCs w:val="24"/>
                <w:lang w:eastAsia="pt-PT"/>
              </w:rPr>
              <w:t>IDADE</w:t>
            </w:r>
          </w:p>
        </w:tc>
        <w:tc>
          <w:tcPr>
            <w:tcW w:w="2281" w:type="dxa"/>
            <w:tcBorders>
              <w:bottom w:val="single" w:sz="12" w:space="0" w:color="auto"/>
            </w:tcBorders>
            <w:shd w:val="clear" w:color="auto" w:fill="auto"/>
            <w:noWrap/>
            <w:vAlign w:val="bottom"/>
            <w:hideMark/>
          </w:tcPr>
          <w:p w:rsidR="00DC11BE" w:rsidRPr="00182811" w:rsidRDefault="00DC11BE" w:rsidP="004E3707">
            <w:pPr>
              <w:spacing w:line="240" w:lineRule="auto"/>
              <w:jc w:val="center"/>
              <w:rPr>
                <w:rFonts w:ascii="Garamond" w:eastAsia="Times New Roman" w:hAnsi="Garamond" w:cs="Times New Roman"/>
                <w:b/>
                <w:bCs/>
                <w:color w:val="000000"/>
                <w:sz w:val="24"/>
                <w:szCs w:val="24"/>
                <w:lang w:eastAsia="pt-PT"/>
              </w:rPr>
            </w:pPr>
            <w:r w:rsidRPr="00182811">
              <w:rPr>
                <w:rFonts w:ascii="Garamond" w:eastAsia="Times New Roman" w:hAnsi="Garamond" w:cs="Times New Roman"/>
                <w:b/>
                <w:bCs/>
                <w:color w:val="000000"/>
                <w:sz w:val="24"/>
                <w:szCs w:val="24"/>
                <w:lang w:eastAsia="pt-PT"/>
              </w:rPr>
              <w:t>VALOR EM %</w:t>
            </w:r>
          </w:p>
        </w:tc>
      </w:tr>
      <w:tr w:rsidR="00DC11BE" w:rsidRPr="00182811" w:rsidTr="004E3707">
        <w:trPr>
          <w:trHeight w:val="324"/>
          <w:jc w:val="center"/>
        </w:trPr>
        <w:tc>
          <w:tcPr>
            <w:tcW w:w="6214" w:type="dxa"/>
            <w:tcBorders>
              <w:top w:val="single" w:sz="12" w:space="0" w:color="auto"/>
            </w:tcBorders>
            <w:shd w:val="clear" w:color="auto" w:fill="auto"/>
            <w:noWrap/>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Menores de 18 anos</w:t>
            </w:r>
          </w:p>
        </w:tc>
        <w:tc>
          <w:tcPr>
            <w:tcW w:w="2281" w:type="dxa"/>
            <w:tcBorders>
              <w:top w:val="single" w:sz="12" w:space="0" w:color="auto"/>
            </w:tcBorders>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0,0%</w:t>
            </w:r>
          </w:p>
        </w:tc>
      </w:tr>
      <w:tr w:rsidR="00DC11BE" w:rsidRPr="00182811" w:rsidTr="004E3707">
        <w:trPr>
          <w:trHeight w:val="324"/>
          <w:jc w:val="center"/>
        </w:trPr>
        <w:tc>
          <w:tcPr>
            <w:tcW w:w="6214" w:type="dxa"/>
            <w:shd w:val="clear" w:color="auto" w:fill="auto"/>
            <w:noWrap/>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18 a 25 anos</w:t>
            </w:r>
          </w:p>
        </w:tc>
        <w:tc>
          <w:tcPr>
            <w:tcW w:w="2281"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4,8%</w:t>
            </w:r>
          </w:p>
        </w:tc>
      </w:tr>
      <w:tr w:rsidR="00DC11BE" w:rsidRPr="00182811" w:rsidTr="004E3707">
        <w:trPr>
          <w:trHeight w:val="324"/>
          <w:jc w:val="center"/>
        </w:trPr>
        <w:tc>
          <w:tcPr>
            <w:tcW w:w="6214" w:type="dxa"/>
            <w:shd w:val="clear" w:color="auto" w:fill="auto"/>
            <w:noWrap/>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26 a 35 anos</w:t>
            </w:r>
          </w:p>
        </w:tc>
        <w:tc>
          <w:tcPr>
            <w:tcW w:w="2281"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55,8%</w:t>
            </w:r>
          </w:p>
        </w:tc>
      </w:tr>
      <w:tr w:rsidR="00DC11BE" w:rsidRPr="00182811" w:rsidTr="004E3707">
        <w:trPr>
          <w:trHeight w:val="324"/>
          <w:jc w:val="center"/>
        </w:trPr>
        <w:tc>
          <w:tcPr>
            <w:tcW w:w="6214" w:type="dxa"/>
            <w:shd w:val="clear" w:color="auto" w:fill="auto"/>
            <w:noWrap/>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36 a 45 anos</w:t>
            </w:r>
          </w:p>
        </w:tc>
        <w:tc>
          <w:tcPr>
            <w:tcW w:w="2281"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26,9%</w:t>
            </w:r>
          </w:p>
        </w:tc>
      </w:tr>
      <w:tr w:rsidR="00DC11BE" w:rsidRPr="00182811" w:rsidTr="004E3707">
        <w:trPr>
          <w:trHeight w:val="324"/>
          <w:jc w:val="center"/>
        </w:trPr>
        <w:tc>
          <w:tcPr>
            <w:tcW w:w="6214" w:type="dxa"/>
            <w:shd w:val="clear" w:color="auto" w:fill="auto"/>
            <w:noWrap/>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46 a 55 anos</w:t>
            </w:r>
          </w:p>
        </w:tc>
        <w:tc>
          <w:tcPr>
            <w:tcW w:w="2281"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8,2%</w:t>
            </w:r>
          </w:p>
        </w:tc>
      </w:tr>
      <w:tr w:rsidR="00DC11BE" w:rsidRPr="00182811" w:rsidTr="004E3707">
        <w:trPr>
          <w:trHeight w:val="324"/>
          <w:jc w:val="center"/>
        </w:trPr>
        <w:tc>
          <w:tcPr>
            <w:tcW w:w="6214" w:type="dxa"/>
            <w:shd w:val="clear" w:color="auto" w:fill="auto"/>
            <w:noWrap/>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lastRenderedPageBreak/>
              <w:t>56 a 65 anos</w:t>
            </w:r>
          </w:p>
        </w:tc>
        <w:tc>
          <w:tcPr>
            <w:tcW w:w="2281"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3,4%</w:t>
            </w:r>
          </w:p>
        </w:tc>
      </w:tr>
      <w:tr w:rsidR="00DC11BE" w:rsidRPr="00182811" w:rsidTr="004E3707">
        <w:trPr>
          <w:trHeight w:val="324"/>
          <w:jc w:val="center"/>
        </w:trPr>
        <w:tc>
          <w:tcPr>
            <w:tcW w:w="6214" w:type="dxa"/>
            <w:tcBorders>
              <w:bottom w:val="single" w:sz="12" w:space="0" w:color="auto"/>
            </w:tcBorders>
            <w:shd w:val="clear" w:color="auto" w:fill="auto"/>
            <w:noWrap/>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Mais de 65 anos</w:t>
            </w:r>
          </w:p>
        </w:tc>
        <w:tc>
          <w:tcPr>
            <w:tcW w:w="2281" w:type="dxa"/>
            <w:tcBorders>
              <w:bottom w:val="single" w:sz="12" w:space="0" w:color="auto"/>
            </w:tcBorders>
            <w:shd w:val="clear" w:color="auto" w:fill="auto"/>
            <w:noWrap/>
            <w:vAlign w:val="center"/>
            <w:hideMark/>
          </w:tcPr>
          <w:p w:rsidR="00DC11BE" w:rsidRPr="00182811" w:rsidRDefault="00DC11BE" w:rsidP="004E3707">
            <w:pPr>
              <w:keepNext/>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1,0%</w:t>
            </w:r>
          </w:p>
        </w:tc>
      </w:tr>
    </w:tbl>
    <w:p w:rsidR="00DC11BE" w:rsidRDefault="005C5E61" w:rsidP="005C5E61">
      <w:pPr>
        <w:pStyle w:val="CTITULO"/>
        <w:spacing w:before="120" w:after="120" w:line="240" w:lineRule="auto"/>
        <w:jc w:val="left"/>
        <w:rPr>
          <w:rFonts w:ascii="Garamond" w:hAnsi="Garamond"/>
          <w:b w:val="0"/>
          <w:iCs/>
          <w:sz w:val="20"/>
          <w:szCs w:val="20"/>
        </w:rPr>
      </w:pPr>
      <w:r w:rsidRPr="005C5E61">
        <w:rPr>
          <w:rFonts w:ascii="Garamond" w:hAnsi="Garamond"/>
          <w:bCs/>
          <w:iCs/>
          <w:sz w:val="20"/>
          <w:szCs w:val="20"/>
        </w:rPr>
        <w:t>Fonte:</w:t>
      </w:r>
      <w:r w:rsidRPr="004E0B72">
        <w:rPr>
          <w:rFonts w:ascii="Garamond" w:hAnsi="Garamond"/>
          <w:b w:val="0"/>
          <w:i/>
          <w:sz w:val="20"/>
          <w:szCs w:val="20"/>
        </w:rPr>
        <w:t xml:space="preserve"> </w:t>
      </w:r>
      <w:r w:rsidRPr="005C5E61">
        <w:rPr>
          <w:rFonts w:ascii="Garamond" w:hAnsi="Garamond"/>
          <w:b w:val="0"/>
          <w:iCs/>
          <w:sz w:val="20"/>
          <w:szCs w:val="20"/>
        </w:rPr>
        <w:t>Elaboração própria.</w:t>
      </w:r>
    </w:p>
    <w:p w:rsidR="005C5E61" w:rsidRPr="005C5E61" w:rsidRDefault="005C5E61" w:rsidP="005C5E61">
      <w:pPr>
        <w:pStyle w:val="CTITULO"/>
        <w:spacing w:before="120" w:after="120" w:line="240" w:lineRule="auto"/>
        <w:jc w:val="left"/>
        <w:rPr>
          <w:rFonts w:ascii="Garamond" w:hAnsi="Garamond"/>
          <w:b w:val="0"/>
          <w:iCs/>
          <w:noProof/>
        </w:rPr>
      </w:pPr>
    </w:p>
    <w:p w:rsidR="00DC11BE" w:rsidRDefault="00DC11BE" w:rsidP="005D6333">
      <w:pPr>
        <w:pStyle w:val="CTITULO"/>
        <w:rPr>
          <w:rFonts w:ascii="Garamond" w:hAnsi="Garamond"/>
          <w:b w:val="0"/>
          <w:noProof/>
        </w:rPr>
      </w:pPr>
      <w:r w:rsidRPr="0094770E">
        <w:rPr>
          <w:rFonts w:ascii="Garamond" w:hAnsi="Garamond"/>
          <w:b w:val="0"/>
          <w:noProof/>
        </w:rPr>
        <w:t xml:space="preserve">Relativamente à distribuição dos inquiridos por sexo </w:t>
      </w:r>
      <w:r w:rsidR="005D6333" w:rsidRPr="0094770E">
        <w:rPr>
          <w:rFonts w:ascii="Garamond" w:hAnsi="Garamond"/>
          <w:b w:val="0"/>
          <w:noProof/>
        </w:rPr>
        <w:t>64,7% são indivíduos do sexo feminino e 35,3% são do</w:t>
      </w:r>
      <w:r w:rsidRPr="0094770E">
        <w:rPr>
          <w:rFonts w:ascii="Garamond" w:hAnsi="Garamond"/>
          <w:b w:val="0"/>
          <w:noProof/>
        </w:rPr>
        <w:t xml:space="preserve"> sexo masculino.</w:t>
      </w:r>
    </w:p>
    <w:p w:rsidR="005C5E61" w:rsidRPr="0094770E" w:rsidRDefault="005C5E61" w:rsidP="006425F7">
      <w:pPr>
        <w:pStyle w:val="CorpoTexto"/>
        <w:rPr>
          <w:noProof/>
        </w:rPr>
      </w:pPr>
    </w:p>
    <w:p w:rsidR="005C5E61" w:rsidRPr="00CE365D" w:rsidRDefault="005C5E61" w:rsidP="005C5E61">
      <w:pPr>
        <w:pStyle w:val="Legenda"/>
        <w:spacing w:after="120"/>
        <w:rPr>
          <w:rFonts w:ascii="Garamond" w:hAnsi="Garamond"/>
          <w:bCs/>
          <w:i w:val="0"/>
          <w:color w:val="000000" w:themeColor="text1"/>
          <w:sz w:val="20"/>
          <w:szCs w:val="20"/>
        </w:rPr>
      </w:pPr>
      <w:bookmarkStart w:id="56" w:name="_Toc46677152"/>
      <w:r w:rsidRPr="00CE365D">
        <w:rPr>
          <w:rFonts w:ascii="Garamond" w:hAnsi="Garamond"/>
          <w:b/>
          <w:i w:val="0"/>
          <w:color w:val="000000" w:themeColor="text1"/>
          <w:sz w:val="20"/>
          <w:szCs w:val="20"/>
        </w:rPr>
        <w:t xml:space="preserve">Figura </w:t>
      </w:r>
      <w:r w:rsidRPr="00CE365D">
        <w:rPr>
          <w:rFonts w:ascii="Garamond" w:hAnsi="Garamond"/>
          <w:b/>
          <w:i w:val="0"/>
          <w:color w:val="000000" w:themeColor="text1"/>
          <w:sz w:val="20"/>
          <w:szCs w:val="20"/>
        </w:rPr>
        <w:fldChar w:fldCharType="begin"/>
      </w:r>
      <w:r w:rsidRPr="00CE365D">
        <w:rPr>
          <w:rFonts w:ascii="Garamond" w:hAnsi="Garamond"/>
          <w:b/>
          <w:i w:val="0"/>
          <w:color w:val="000000" w:themeColor="text1"/>
          <w:sz w:val="20"/>
          <w:szCs w:val="20"/>
        </w:rPr>
        <w:instrText xml:space="preserve"> SEQ Figura \* ARABIC </w:instrText>
      </w:r>
      <w:r w:rsidRPr="00CE365D">
        <w:rPr>
          <w:rFonts w:ascii="Garamond" w:hAnsi="Garamond"/>
          <w:b/>
          <w:i w:val="0"/>
          <w:color w:val="000000" w:themeColor="text1"/>
          <w:sz w:val="20"/>
          <w:szCs w:val="20"/>
        </w:rPr>
        <w:fldChar w:fldCharType="separate"/>
      </w:r>
      <w:r w:rsidRPr="00CE365D">
        <w:rPr>
          <w:rFonts w:ascii="Garamond" w:hAnsi="Garamond"/>
          <w:b/>
          <w:i w:val="0"/>
          <w:color w:val="000000" w:themeColor="text1"/>
          <w:sz w:val="20"/>
          <w:szCs w:val="20"/>
        </w:rPr>
        <w:t>4</w:t>
      </w:r>
      <w:r w:rsidRPr="00CE365D">
        <w:rPr>
          <w:rFonts w:ascii="Garamond" w:hAnsi="Garamond"/>
          <w:b/>
          <w:i w:val="0"/>
          <w:color w:val="000000" w:themeColor="text1"/>
          <w:sz w:val="20"/>
          <w:szCs w:val="20"/>
        </w:rPr>
        <w:fldChar w:fldCharType="end"/>
      </w:r>
      <w:r w:rsidRPr="00CE365D">
        <w:rPr>
          <w:rFonts w:ascii="Garamond" w:hAnsi="Garamond"/>
          <w:b/>
          <w:i w:val="0"/>
          <w:color w:val="000000" w:themeColor="text1"/>
          <w:sz w:val="20"/>
          <w:szCs w:val="20"/>
        </w:rPr>
        <w:t xml:space="preserve"> - </w:t>
      </w:r>
      <w:r w:rsidRPr="00CE365D">
        <w:rPr>
          <w:rFonts w:ascii="Garamond" w:hAnsi="Garamond"/>
          <w:bCs/>
          <w:i w:val="0"/>
          <w:color w:val="000000" w:themeColor="text1"/>
          <w:sz w:val="20"/>
          <w:szCs w:val="20"/>
        </w:rPr>
        <w:t>Distribuição percentual por sexo dos inquiridos</w:t>
      </w:r>
      <w:bookmarkEnd w:id="56"/>
    </w:p>
    <w:p w:rsidR="00862447" w:rsidRPr="005C5E61" w:rsidRDefault="00DC11BE" w:rsidP="009F6B04">
      <w:pPr>
        <w:pStyle w:val="CTITULO"/>
        <w:spacing w:before="120" w:after="120" w:line="240" w:lineRule="auto"/>
        <w:jc w:val="left"/>
        <w:rPr>
          <w:rFonts w:ascii="Garamond" w:hAnsi="Garamond"/>
          <w:b w:val="0"/>
          <w:noProof/>
        </w:rPr>
      </w:pPr>
      <w:r w:rsidRPr="0094770E">
        <w:rPr>
          <w:rFonts w:ascii="Garamond" w:hAnsi="Garamond"/>
          <w:noProof/>
          <w:lang w:eastAsia="pt-PT"/>
        </w:rPr>
        <w:drawing>
          <wp:inline distT="0" distB="0" distL="0" distR="0" wp14:anchorId="032DF3AD">
            <wp:extent cx="5327015" cy="1480820"/>
            <wp:effectExtent l="0" t="0" r="6985" b="17780"/>
            <wp:docPr id="31"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862447" w:rsidRPr="005C5E61">
        <w:rPr>
          <w:rFonts w:ascii="Garamond" w:hAnsi="Garamond"/>
          <w:bCs/>
          <w:iCs/>
          <w:color w:val="000000" w:themeColor="text1"/>
          <w:sz w:val="20"/>
          <w:szCs w:val="20"/>
        </w:rPr>
        <w:t xml:space="preserve">Fonte: </w:t>
      </w:r>
      <w:r w:rsidR="00862447" w:rsidRPr="005C5E61">
        <w:rPr>
          <w:rFonts w:ascii="Garamond" w:hAnsi="Garamond"/>
          <w:b w:val="0"/>
          <w:iCs/>
          <w:color w:val="000000" w:themeColor="text1"/>
          <w:sz w:val="20"/>
          <w:szCs w:val="20"/>
        </w:rPr>
        <w:t>Elaboração própria.</w:t>
      </w:r>
    </w:p>
    <w:p w:rsidR="00862447" w:rsidRPr="0094770E" w:rsidRDefault="00862447" w:rsidP="004E3707">
      <w:pPr>
        <w:pStyle w:val="CTITULO"/>
        <w:jc w:val="left"/>
        <w:rPr>
          <w:rFonts w:ascii="Garamond" w:hAnsi="Garamond"/>
          <w:b w:val="0"/>
          <w:noProof/>
        </w:rPr>
      </w:pPr>
    </w:p>
    <w:p w:rsidR="00DC11BE" w:rsidRDefault="00DC11BE" w:rsidP="00D77886">
      <w:pPr>
        <w:pStyle w:val="CorpoTexto"/>
      </w:pPr>
      <w:r w:rsidRPr="0094770E">
        <w:t>No que respeita à situação profissional dos inquiridos, a grande maioria dos inquiridos é trabalhador por conta de outrem, conforme pode ser verificado no gráfico infra.</w:t>
      </w:r>
    </w:p>
    <w:p w:rsidR="005C5E61" w:rsidRPr="006425F7" w:rsidRDefault="005C5E61" w:rsidP="006425F7">
      <w:pPr>
        <w:pStyle w:val="CorpoTexto"/>
      </w:pPr>
    </w:p>
    <w:p w:rsidR="005C5E61" w:rsidRPr="005C5E61" w:rsidRDefault="005C5E61" w:rsidP="005C5E61">
      <w:pPr>
        <w:pStyle w:val="Legenda"/>
        <w:spacing w:after="120"/>
        <w:rPr>
          <w:rFonts w:ascii="Garamond" w:hAnsi="Garamond"/>
          <w:bCs/>
          <w:i w:val="0"/>
          <w:color w:val="000000" w:themeColor="text1"/>
          <w:sz w:val="20"/>
          <w:szCs w:val="20"/>
        </w:rPr>
      </w:pPr>
      <w:bookmarkStart w:id="57" w:name="_Toc46677153"/>
      <w:r w:rsidRPr="00CE365D">
        <w:rPr>
          <w:rFonts w:ascii="Garamond" w:hAnsi="Garamond"/>
          <w:b/>
          <w:i w:val="0"/>
          <w:color w:val="000000" w:themeColor="text1"/>
          <w:sz w:val="20"/>
          <w:szCs w:val="20"/>
        </w:rPr>
        <w:t xml:space="preserve">Figura </w:t>
      </w:r>
      <w:r w:rsidRPr="00CE365D">
        <w:rPr>
          <w:rFonts w:ascii="Garamond" w:hAnsi="Garamond"/>
          <w:b/>
          <w:i w:val="0"/>
          <w:color w:val="000000" w:themeColor="text1"/>
          <w:sz w:val="20"/>
          <w:szCs w:val="20"/>
        </w:rPr>
        <w:fldChar w:fldCharType="begin"/>
      </w:r>
      <w:r w:rsidRPr="00CE365D">
        <w:rPr>
          <w:rFonts w:ascii="Garamond" w:hAnsi="Garamond"/>
          <w:b/>
          <w:i w:val="0"/>
          <w:color w:val="000000" w:themeColor="text1"/>
          <w:sz w:val="20"/>
          <w:szCs w:val="20"/>
        </w:rPr>
        <w:instrText xml:space="preserve"> SEQ Figura \* ARABIC </w:instrText>
      </w:r>
      <w:r w:rsidRPr="00CE365D">
        <w:rPr>
          <w:rFonts w:ascii="Garamond" w:hAnsi="Garamond"/>
          <w:b/>
          <w:i w:val="0"/>
          <w:color w:val="000000" w:themeColor="text1"/>
          <w:sz w:val="20"/>
          <w:szCs w:val="20"/>
        </w:rPr>
        <w:fldChar w:fldCharType="separate"/>
      </w:r>
      <w:r w:rsidRPr="00CE365D">
        <w:rPr>
          <w:rFonts w:ascii="Garamond" w:hAnsi="Garamond"/>
          <w:b/>
          <w:i w:val="0"/>
          <w:color w:val="000000" w:themeColor="text1"/>
          <w:sz w:val="20"/>
          <w:szCs w:val="20"/>
        </w:rPr>
        <w:t>5</w:t>
      </w:r>
      <w:r w:rsidRPr="00CE365D">
        <w:rPr>
          <w:rFonts w:ascii="Garamond" w:hAnsi="Garamond"/>
          <w:b/>
          <w:i w:val="0"/>
          <w:color w:val="000000" w:themeColor="text1"/>
          <w:sz w:val="20"/>
          <w:szCs w:val="20"/>
        </w:rPr>
        <w:fldChar w:fldCharType="end"/>
      </w:r>
      <w:r w:rsidRPr="00CE365D">
        <w:rPr>
          <w:rFonts w:ascii="Garamond" w:hAnsi="Garamond"/>
          <w:b/>
          <w:i w:val="0"/>
          <w:color w:val="000000" w:themeColor="text1"/>
          <w:sz w:val="20"/>
          <w:szCs w:val="20"/>
        </w:rPr>
        <w:t xml:space="preserve"> </w:t>
      </w:r>
      <w:r w:rsidRPr="00CE365D">
        <w:rPr>
          <w:rFonts w:ascii="Garamond" w:hAnsi="Garamond"/>
          <w:bCs/>
          <w:i w:val="0"/>
          <w:color w:val="000000" w:themeColor="text1"/>
          <w:sz w:val="20"/>
          <w:szCs w:val="20"/>
        </w:rPr>
        <w:t>- Distribuição percentual por situação profissional dos inquiridos</w:t>
      </w:r>
      <w:bookmarkEnd w:id="57"/>
    </w:p>
    <w:p w:rsidR="00862447" w:rsidRPr="00516CF9" w:rsidRDefault="00DC11BE" w:rsidP="009F6B04">
      <w:pPr>
        <w:pStyle w:val="CorpoTexto"/>
        <w:spacing w:before="120" w:line="240" w:lineRule="auto"/>
        <w:jc w:val="left"/>
        <w:rPr>
          <w:b/>
          <w:i/>
          <w:color w:val="000000" w:themeColor="text1"/>
          <w:sz w:val="20"/>
          <w:szCs w:val="20"/>
        </w:rPr>
      </w:pPr>
      <w:r w:rsidRPr="00516CF9">
        <w:rPr>
          <w:noProof/>
        </w:rPr>
        <w:drawing>
          <wp:inline distT="0" distB="0" distL="0" distR="0" wp14:anchorId="6AAD0039">
            <wp:extent cx="5392800" cy="2566800"/>
            <wp:effectExtent l="0" t="0" r="17780" b="1143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62447" w:rsidRPr="00516CF9">
        <w:rPr>
          <w:b/>
          <w:iCs/>
          <w:color w:val="000000" w:themeColor="text1"/>
          <w:sz w:val="20"/>
          <w:szCs w:val="20"/>
        </w:rPr>
        <w:t xml:space="preserve">Fonte: </w:t>
      </w:r>
      <w:r w:rsidR="00862447" w:rsidRPr="00516CF9">
        <w:rPr>
          <w:bCs/>
          <w:iCs/>
          <w:color w:val="000000" w:themeColor="text1"/>
          <w:sz w:val="20"/>
          <w:szCs w:val="20"/>
        </w:rPr>
        <w:t>Elaboração própria.</w:t>
      </w:r>
    </w:p>
    <w:p w:rsidR="00862447" w:rsidRDefault="00862447" w:rsidP="004E3707">
      <w:pPr>
        <w:pStyle w:val="CTITULO"/>
        <w:rPr>
          <w:rFonts w:ascii="Garamond" w:hAnsi="Garamond"/>
          <w:b w:val="0"/>
        </w:rPr>
      </w:pPr>
    </w:p>
    <w:p w:rsidR="00BF2693" w:rsidRDefault="00DC11BE" w:rsidP="00BF2693">
      <w:pPr>
        <w:pStyle w:val="CorpoTexto"/>
      </w:pPr>
      <w:r w:rsidRPr="0094770E">
        <w:lastRenderedPageBreak/>
        <w:t>Ainda em referência ao sector de atividade onde os inquiridos trabalham, predominam os setores do comércio, serviços financeiros e seguros e ainda saúde.</w:t>
      </w:r>
    </w:p>
    <w:p w:rsidR="00BF2693" w:rsidRPr="006425F7" w:rsidRDefault="00BF2693" w:rsidP="006425F7">
      <w:pPr>
        <w:pStyle w:val="CorpoTexto"/>
      </w:pPr>
    </w:p>
    <w:p w:rsidR="000A617E" w:rsidRPr="00CE365D" w:rsidRDefault="000A617E" w:rsidP="00BF2693">
      <w:pPr>
        <w:pStyle w:val="Legenda"/>
        <w:spacing w:after="120"/>
        <w:rPr>
          <w:rFonts w:ascii="Garamond" w:hAnsi="Garamond"/>
          <w:b/>
          <w:i w:val="0"/>
          <w:color w:val="000000" w:themeColor="text1"/>
          <w:sz w:val="20"/>
          <w:szCs w:val="20"/>
        </w:rPr>
      </w:pPr>
      <w:bookmarkStart w:id="58" w:name="_Toc46677154"/>
      <w:r w:rsidRPr="00CE365D">
        <w:rPr>
          <w:rFonts w:ascii="Garamond" w:hAnsi="Garamond"/>
          <w:b/>
          <w:i w:val="0"/>
          <w:color w:val="000000" w:themeColor="text1"/>
          <w:sz w:val="20"/>
          <w:szCs w:val="20"/>
        </w:rPr>
        <w:t xml:space="preserve">Figura </w:t>
      </w:r>
      <w:r w:rsidRPr="00CE365D">
        <w:rPr>
          <w:rFonts w:ascii="Garamond" w:hAnsi="Garamond"/>
          <w:b/>
          <w:i w:val="0"/>
          <w:color w:val="000000" w:themeColor="text1"/>
          <w:sz w:val="20"/>
          <w:szCs w:val="20"/>
        </w:rPr>
        <w:fldChar w:fldCharType="begin"/>
      </w:r>
      <w:r w:rsidRPr="00CE365D">
        <w:rPr>
          <w:rFonts w:ascii="Garamond" w:hAnsi="Garamond"/>
          <w:b/>
          <w:i w:val="0"/>
          <w:color w:val="000000" w:themeColor="text1"/>
          <w:sz w:val="20"/>
          <w:szCs w:val="20"/>
        </w:rPr>
        <w:instrText xml:space="preserve"> SEQ Figura \* ARABIC </w:instrText>
      </w:r>
      <w:r w:rsidRPr="00CE365D">
        <w:rPr>
          <w:rFonts w:ascii="Garamond" w:hAnsi="Garamond"/>
          <w:b/>
          <w:i w:val="0"/>
          <w:color w:val="000000" w:themeColor="text1"/>
          <w:sz w:val="20"/>
          <w:szCs w:val="20"/>
        </w:rPr>
        <w:fldChar w:fldCharType="separate"/>
      </w:r>
      <w:r w:rsidRPr="00CE365D">
        <w:rPr>
          <w:rFonts w:ascii="Garamond" w:hAnsi="Garamond"/>
          <w:b/>
          <w:i w:val="0"/>
          <w:color w:val="000000" w:themeColor="text1"/>
          <w:sz w:val="20"/>
          <w:szCs w:val="20"/>
        </w:rPr>
        <w:t>6</w:t>
      </w:r>
      <w:r w:rsidRPr="00CE365D">
        <w:rPr>
          <w:rFonts w:ascii="Garamond" w:hAnsi="Garamond"/>
          <w:b/>
          <w:i w:val="0"/>
          <w:color w:val="000000" w:themeColor="text1"/>
          <w:sz w:val="20"/>
          <w:szCs w:val="20"/>
        </w:rPr>
        <w:fldChar w:fldCharType="end"/>
      </w:r>
      <w:r w:rsidRPr="00CE365D">
        <w:rPr>
          <w:rFonts w:ascii="Garamond" w:hAnsi="Garamond"/>
          <w:b/>
          <w:i w:val="0"/>
          <w:color w:val="000000" w:themeColor="text1"/>
          <w:sz w:val="20"/>
          <w:szCs w:val="20"/>
        </w:rPr>
        <w:t xml:space="preserve"> </w:t>
      </w:r>
      <w:r w:rsidRPr="00CE365D">
        <w:rPr>
          <w:rFonts w:ascii="Garamond" w:hAnsi="Garamond"/>
          <w:bCs/>
          <w:i w:val="0"/>
          <w:color w:val="000000" w:themeColor="text1"/>
          <w:sz w:val="20"/>
          <w:szCs w:val="20"/>
        </w:rPr>
        <w:t>- Distribuição percentual por sector de atividade dos inquiridos</w:t>
      </w:r>
      <w:bookmarkEnd w:id="58"/>
    </w:p>
    <w:p w:rsidR="000A617E" w:rsidRDefault="00DC11BE" w:rsidP="000A617E">
      <w:pPr>
        <w:pStyle w:val="CTITULO"/>
        <w:spacing w:before="120" w:after="120" w:line="240" w:lineRule="auto"/>
        <w:jc w:val="left"/>
        <w:rPr>
          <w:rFonts w:ascii="Garamond" w:hAnsi="Garamond"/>
          <w:bCs/>
          <w:iCs/>
          <w:color w:val="000000" w:themeColor="text1"/>
          <w:sz w:val="20"/>
          <w:szCs w:val="20"/>
        </w:rPr>
      </w:pPr>
      <w:r w:rsidRPr="0094770E">
        <w:rPr>
          <w:rFonts w:ascii="Garamond" w:hAnsi="Garamond"/>
          <w:noProof/>
          <w:lang w:eastAsia="pt-PT"/>
        </w:rPr>
        <w:drawing>
          <wp:inline distT="0" distB="0" distL="0" distR="0" wp14:anchorId="1D9C121B">
            <wp:extent cx="5391150" cy="3213100"/>
            <wp:effectExtent l="0" t="0" r="6350" b="12700"/>
            <wp:docPr id="32"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C380C" w:rsidRDefault="00862447" w:rsidP="000A617E">
      <w:pPr>
        <w:pStyle w:val="CTITULO"/>
        <w:spacing w:before="120" w:after="120" w:line="240" w:lineRule="auto"/>
        <w:jc w:val="left"/>
        <w:rPr>
          <w:rFonts w:ascii="Garamond" w:hAnsi="Garamond"/>
          <w:b w:val="0"/>
          <w:iCs/>
          <w:color w:val="000000" w:themeColor="text1"/>
          <w:sz w:val="20"/>
          <w:szCs w:val="20"/>
        </w:rPr>
      </w:pPr>
      <w:r w:rsidRPr="000A617E">
        <w:rPr>
          <w:rFonts w:ascii="Garamond" w:hAnsi="Garamond"/>
          <w:bCs/>
          <w:iCs/>
          <w:color w:val="000000" w:themeColor="text1"/>
          <w:sz w:val="20"/>
          <w:szCs w:val="20"/>
        </w:rPr>
        <w:t xml:space="preserve">Fonte: </w:t>
      </w:r>
      <w:r w:rsidRPr="000A617E">
        <w:rPr>
          <w:rFonts w:ascii="Garamond" w:hAnsi="Garamond"/>
          <w:b w:val="0"/>
          <w:iCs/>
          <w:color w:val="000000" w:themeColor="text1"/>
          <w:sz w:val="20"/>
          <w:szCs w:val="20"/>
        </w:rPr>
        <w:t>Elaboração própria.</w:t>
      </w:r>
    </w:p>
    <w:p w:rsidR="000A617E" w:rsidRPr="000A617E" w:rsidRDefault="000A617E" w:rsidP="006425F7">
      <w:pPr>
        <w:pStyle w:val="CorpoTexto"/>
      </w:pPr>
    </w:p>
    <w:p w:rsidR="00DC11BE" w:rsidRPr="0094770E" w:rsidRDefault="00DC11BE" w:rsidP="00D77886">
      <w:pPr>
        <w:pStyle w:val="CorpoTexto"/>
      </w:pPr>
      <w:r w:rsidRPr="0094770E">
        <w:t>Em relação à variável habilitações literárias, constata-se, que os grupos de maior representação na amostra são os indivíduos com o Bacharelato/Licenciatura/Mestrado (67%) e os indivíduos com o Ensino secundário (31%), o que é consistente com os dados obtidos em relação ao rendimento, como veremos de seguida.</w:t>
      </w:r>
    </w:p>
    <w:p w:rsidR="00DC11BE" w:rsidRPr="0094770E" w:rsidRDefault="00DC11BE" w:rsidP="006425F7">
      <w:pPr>
        <w:pStyle w:val="CorpoTexto"/>
      </w:pPr>
    </w:p>
    <w:p w:rsidR="00862447" w:rsidRPr="000A617E" w:rsidRDefault="00DC11BE" w:rsidP="000A617E">
      <w:pPr>
        <w:pStyle w:val="Legenda"/>
        <w:keepNext/>
        <w:spacing w:after="120"/>
        <w:rPr>
          <w:rFonts w:ascii="Garamond" w:hAnsi="Garamond"/>
          <w:i w:val="0"/>
          <w:color w:val="auto"/>
          <w:sz w:val="20"/>
          <w:szCs w:val="20"/>
        </w:rPr>
      </w:pPr>
      <w:bookmarkStart w:id="59" w:name="_Toc46677128"/>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11</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Distribuição percentual por habilitações literárias dos inquiridos.</w:t>
      </w:r>
      <w:bookmarkEnd w:id="59"/>
    </w:p>
    <w:tbl>
      <w:tblPr>
        <w:tblW w:w="8499" w:type="dxa"/>
        <w:jc w:val="center"/>
        <w:tblCellMar>
          <w:left w:w="70" w:type="dxa"/>
          <w:right w:w="70" w:type="dxa"/>
        </w:tblCellMar>
        <w:tblLook w:val="04A0" w:firstRow="1" w:lastRow="0" w:firstColumn="1" w:lastColumn="0" w:noHBand="0" w:noVBand="1"/>
      </w:tblPr>
      <w:tblGrid>
        <w:gridCol w:w="6602"/>
        <w:gridCol w:w="1897"/>
      </w:tblGrid>
      <w:tr w:rsidR="00DC11BE" w:rsidRPr="00182811" w:rsidTr="004E3707">
        <w:trPr>
          <w:trHeight w:val="265"/>
          <w:jc w:val="center"/>
        </w:trPr>
        <w:tc>
          <w:tcPr>
            <w:tcW w:w="6602" w:type="dxa"/>
            <w:tcBorders>
              <w:bottom w:val="single" w:sz="12" w:space="0" w:color="auto"/>
            </w:tcBorders>
            <w:shd w:val="clear" w:color="auto" w:fill="auto"/>
            <w:noWrap/>
            <w:vAlign w:val="bottom"/>
            <w:hideMark/>
          </w:tcPr>
          <w:p w:rsidR="00DC11BE" w:rsidRPr="00182811" w:rsidRDefault="00DC11BE" w:rsidP="004E3707">
            <w:pPr>
              <w:spacing w:line="240" w:lineRule="auto"/>
              <w:rPr>
                <w:rFonts w:ascii="Garamond" w:eastAsia="Times New Roman" w:hAnsi="Garamond" w:cs="Times New Roman"/>
                <w:b/>
                <w:bCs/>
                <w:color w:val="000000"/>
                <w:sz w:val="24"/>
                <w:szCs w:val="24"/>
                <w:lang w:eastAsia="pt-PT"/>
              </w:rPr>
            </w:pPr>
            <w:r w:rsidRPr="00182811">
              <w:rPr>
                <w:rFonts w:ascii="Garamond" w:eastAsia="Times New Roman" w:hAnsi="Garamond" w:cs="Times New Roman"/>
                <w:b/>
                <w:bCs/>
                <w:color w:val="000000"/>
                <w:sz w:val="24"/>
                <w:szCs w:val="24"/>
                <w:lang w:eastAsia="pt-PT"/>
              </w:rPr>
              <w:t>HABILITAÇÕES LITERÁRIAS</w:t>
            </w:r>
          </w:p>
        </w:tc>
        <w:tc>
          <w:tcPr>
            <w:tcW w:w="1897" w:type="dxa"/>
            <w:tcBorders>
              <w:bottom w:val="single" w:sz="12" w:space="0" w:color="auto"/>
            </w:tcBorders>
            <w:shd w:val="clear" w:color="auto" w:fill="auto"/>
            <w:noWrap/>
            <w:vAlign w:val="bottom"/>
            <w:hideMark/>
          </w:tcPr>
          <w:p w:rsidR="00DC11BE" w:rsidRPr="00182811" w:rsidRDefault="00DC11BE" w:rsidP="004E3707">
            <w:pPr>
              <w:spacing w:line="240" w:lineRule="auto"/>
              <w:jc w:val="center"/>
              <w:rPr>
                <w:rFonts w:ascii="Garamond" w:eastAsia="Times New Roman" w:hAnsi="Garamond" w:cs="Times New Roman"/>
                <w:b/>
                <w:bCs/>
                <w:color w:val="000000"/>
                <w:sz w:val="24"/>
                <w:szCs w:val="24"/>
                <w:lang w:eastAsia="pt-PT"/>
              </w:rPr>
            </w:pPr>
            <w:proofErr w:type="gramStart"/>
            <w:r w:rsidRPr="00182811">
              <w:rPr>
                <w:rFonts w:ascii="Garamond" w:eastAsia="Times New Roman" w:hAnsi="Garamond" w:cs="Times New Roman"/>
                <w:b/>
                <w:bCs/>
                <w:color w:val="000000"/>
                <w:sz w:val="24"/>
                <w:szCs w:val="24"/>
                <w:lang w:eastAsia="pt-PT"/>
              </w:rPr>
              <w:t>VALOR  %</w:t>
            </w:r>
            <w:proofErr w:type="gramEnd"/>
          </w:p>
        </w:tc>
      </w:tr>
      <w:tr w:rsidR="00DC11BE" w:rsidRPr="00182811" w:rsidTr="004E3707">
        <w:trPr>
          <w:trHeight w:val="309"/>
          <w:jc w:val="center"/>
        </w:trPr>
        <w:tc>
          <w:tcPr>
            <w:tcW w:w="6602" w:type="dxa"/>
            <w:tcBorders>
              <w:top w:val="single" w:sz="12" w:space="0" w:color="auto"/>
            </w:tcBorders>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Ensino básico ou inferior (até ao 9º ano)</w:t>
            </w:r>
          </w:p>
        </w:tc>
        <w:tc>
          <w:tcPr>
            <w:tcW w:w="1897" w:type="dxa"/>
            <w:tcBorders>
              <w:top w:val="single" w:sz="12" w:space="0" w:color="auto"/>
            </w:tcBorders>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1,9%</w:t>
            </w:r>
          </w:p>
        </w:tc>
      </w:tr>
      <w:tr w:rsidR="00DC11BE" w:rsidRPr="00182811" w:rsidTr="004E3707">
        <w:trPr>
          <w:trHeight w:val="309"/>
          <w:jc w:val="center"/>
        </w:trPr>
        <w:tc>
          <w:tcPr>
            <w:tcW w:w="6602"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Ensino secundário (até ao 12º ano)</w:t>
            </w:r>
          </w:p>
        </w:tc>
        <w:tc>
          <w:tcPr>
            <w:tcW w:w="1897"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b/>
                <w:color w:val="000000"/>
                <w:sz w:val="24"/>
                <w:szCs w:val="24"/>
                <w:lang w:eastAsia="pt-PT"/>
              </w:rPr>
            </w:pPr>
            <w:r w:rsidRPr="00182811">
              <w:rPr>
                <w:rFonts w:ascii="Garamond" w:eastAsia="Times New Roman" w:hAnsi="Garamond" w:cs="Times New Roman"/>
                <w:b/>
                <w:color w:val="000000"/>
                <w:sz w:val="24"/>
                <w:szCs w:val="24"/>
                <w:lang w:eastAsia="pt-PT"/>
              </w:rPr>
              <w:t>30,8%</w:t>
            </w:r>
          </w:p>
        </w:tc>
      </w:tr>
      <w:tr w:rsidR="00DC11BE" w:rsidRPr="00182811" w:rsidTr="004E3707">
        <w:trPr>
          <w:trHeight w:val="309"/>
          <w:jc w:val="center"/>
        </w:trPr>
        <w:tc>
          <w:tcPr>
            <w:tcW w:w="6602"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Bacharelato/Licenciatura/Mestrado</w:t>
            </w:r>
          </w:p>
        </w:tc>
        <w:tc>
          <w:tcPr>
            <w:tcW w:w="1897"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b/>
                <w:color w:val="000000"/>
                <w:sz w:val="24"/>
                <w:szCs w:val="24"/>
                <w:lang w:eastAsia="pt-PT"/>
              </w:rPr>
            </w:pPr>
            <w:r w:rsidRPr="00182811">
              <w:rPr>
                <w:rFonts w:ascii="Garamond" w:eastAsia="Times New Roman" w:hAnsi="Garamond" w:cs="Times New Roman"/>
                <w:b/>
                <w:color w:val="000000"/>
                <w:sz w:val="24"/>
                <w:szCs w:val="24"/>
                <w:lang w:eastAsia="pt-PT"/>
              </w:rPr>
              <w:t>67,3%</w:t>
            </w:r>
          </w:p>
        </w:tc>
      </w:tr>
      <w:tr w:rsidR="00DC11BE" w:rsidRPr="00182811" w:rsidTr="004E3707">
        <w:trPr>
          <w:trHeight w:val="309"/>
          <w:jc w:val="center"/>
        </w:trPr>
        <w:tc>
          <w:tcPr>
            <w:tcW w:w="6602"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Doutoramento</w:t>
            </w:r>
          </w:p>
        </w:tc>
        <w:tc>
          <w:tcPr>
            <w:tcW w:w="1897"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0,0%</w:t>
            </w:r>
          </w:p>
        </w:tc>
      </w:tr>
      <w:tr w:rsidR="00DC11BE" w:rsidRPr="00182811" w:rsidTr="004E3707">
        <w:trPr>
          <w:trHeight w:val="324"/>
          <w:jc w:val="center"/>
        </w:trPr>
        <w:tc>
          <w:tcPr>
            <w:tcW w:w="6602" w:type="dxa"/>
            <w:tcBorders>
              <w:bottom w:val="single" w:sz="12" w:space="0" w:color="auto"/>
            </w:tcBorders>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Sem habilitações académicas</w:t>
            </w:r>
          </w:p>
        </w:tc>
        <w:tc>
          <w:tcPr>
            <w:tcW w:w="1897" w:type="dxa"/>
            <w:tcBorders>
              <w:bottom w:val="single" w:sz="12" w:space="0" w:color="auto"/>
            </w:tcBorders>
            <w:shd w:val="clear" w:color="auto" w:fill="auto"/>
            <w:noWrap/>
            <w:vAlign w:val="center"/>
            <w:hideMark/>
          </w:tcPr>
          <w:p w:rsidR="00DC11BE" w:rsidRPr="00182811" w:rsidRDefault="00DC11BE" w:rsidP="004E3707">
            <w:pPr>
              <w:keepNext/>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0,0%</w:t>
            </w:r>
          </w:p>
        </w:tc>
      </w:tr>
    </w:tbl>
    <w:p w:rsidR="000A617E" w:rsidRPr="004E0B72" w:rsidRDefault="000A617E" w:rsidP="000A617E">
      <w:pPr>
        <w:pStyle w:val="Legenda"/>
        <w:keepNext/>
        <w:spacing w:before="120" w:after="0"/>
        <w:rPr>
          <w:rFonts w:ascii="Garamond" w:hAnsi="Garamond"/>
          <w:b/>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4E3707">
      <w:pPr>
        <w:rPr>
          <w:rFonts w:ascii="Garamond" w:hAnsi="Garamond" w:cs="Times New Roman"/>
          <w:sz w:val="24"/>
          <w:szCs w:val="24"/>
        </w:rPr>
      </w:pPr>
    </w:p>
    <w:p w:rsidR="00DC11BE" w:rsidRPr="0094770E" w:rsidRDefault="00DC11BE" w:rsidP="00D77886">
      <w:pPr>
        <w:pStyle w:val="CorpoTexto"/>
      </w:pPr>
      <w:r w:rsidRPr="0094770E">
        <w:lastRenderedPageBreak/>
        <w:t>Quanto a rendimentos mensais líquidos destacam-se os valores 600€ a 1000€, com 45.2% e 1001€ a 1500€, com 28.4%. Na tabela abaixo podem verificar-se as restantes percentagens.</w:t>
      </w:r>
    </w:p>
    <w:p w:rsidR="00DC11BE" w:rsidRPr="0094770E" w:rsidRDefault="00DC11BE" w:rsidP="006425F7">
      <w:pPr>
        <w:pStyle w:val="CorpoTexto"/>
      </w:pPr>
    </w:p>
    <w:p w:rsidR="00862447" w:rsidRPr="00BF2693" w:rsidRDefault="00DC11BE" w:rsidP="00BF2693">
      <w:pPr>
        <w:rPr>
          <w:rFonts w:ascii="Garamond" w:hAnsi="Garamond"/>
          <w:b/>
          <w:iCs/>
          <w:sz w:val="20"/>
          <w:szCs w:val="20"/>
        </w:rPr>
      </w:pPr>
      <w:bookmarkStart w:id="60" w:name="_Toc46677129"/>
      <w:r w:rsidRPr="00BF2693">
        <w:rPr>
          <w:rFonts w:ascii="Garamond" w:hAnsi="Garamond"/>
          <w:b/>
          <w:iCs/>
          <w:sz w:val="20"/>
          <w:szCs w:val="20"/>
        </w:rPr>
        <w:t xml:space="preserve">Tabela </w:t>
      </w:r>
      <w:r w:rsidRPr="00BF2693">
        <w:rPr>
          <w:rFonts w:ascii="Garamond" w:hAnsi="Garamond"/>
          <w:b/>
          <w:iCs/>
          <w:sz w:val="20"/>
          <w:szCs w:val="20"/>
        </w:rPr>
        <w:fldChar w:fldCharType="begin"/>
      </w:r>
      <w:r w:rsidRPr="00BF2693">
        <w:rPr>
          <w:rFonts w:ascii="Garamond" w:hAnsi="Garamond"/>
          <w:b/>
          <w:iCs/>
          <w:sz w:val="20"/>
          <w:szCs w:val="20"/>
        </w:rPr>
        <w:instrText xml:space="preserve"> SEQ Tabela \* ARABIC </w:instrText>
      </w:r>
      <w:r w:rsidRPr="00BF2693">
        <w:rPr>
          <w:rFonts w:ascii="Garamond" w:hAnsi="Garamond"/>
          <w:b/>
          <w:iCs/>
          <w:sz w:val="20"/>
          <w:szCs w:val="20"/>
        </w:rPr>
        <w:fldChar w:fldCharType="separate"/>
      </w:r>
      <w:r w:rsidR="004E0B72" w:rsidRPr="00BF2693">
        <w:rPr>
          <w:rFonts w:ascii="Garamond" w:hAnsi="Garamond"/>
          <w:b/>
          <w:iCs/>
          <w:noProof/>
          <w:sz w:val="20"/>
          <w:szCs w:val="20"/>
        </w:rPr>
        <w:t>12</w:t>
      </w:r>
      <w:r w:rsidRPr="00BF2693">
        <w:rPr>
          <w:rFonts w:ascii="Garamond" w:hAnsi="Garamond"/>
          <w:b/>
          <w:iCs/>
          <w:sz w:val="20"/>
          <w:szCs w:val="20"/>
        </w:rPr>
        <w:fldChar w:fldCharType="end"/>
      </w:r>
      <w:r w:rsidRPr="00BF2693">
        <w:rPr>
          <w:rFonts w:ascii="Garamond" w:hAnsi="Garamond"/>
          <w:iCs/>
          <w:sz w:val="20"/>
          <w:szCs w:val="20"/>
        </w:rPr>
        <w:t xml:space="preserve"> - Distribuição percentual por segmento de rendimento dos inquiridos.</w:t>
      </w:r>
      <w:bookmarkEnd w:id="60"/>
    </w:p>
    <w:tbl>
      <w:tblPr>
        <w:tblW w:w="8484" w:type="dxa"/>
        <w:jc w:val="center"/>
        <w:tblCellMar>
          <w:left w:w="70" w:type="dxa"/>
          <w:right w:w="70" w:type="dxa"/>
        </w:tblCellMar>
        <w:tblLook w:val="04A0" w:firstRow="1" w:lastRow="0" w:firstColumn="1" w:lastColumn="0" w:noHBand="0" w:noVBand="1"/>
      </w:tblPr>
      <w:tblGrid>
        <w:gridCol w:w="6590"/>
        <w:gridCol w:w="1894"/>
      </w:tblGrid>
      <w:tr w:rsidR="00DC11BE" w:rsidRPr="00182811" w:rsidTr="004E3707">
        <w:trPr>
          <w:trHeight w:val="260"/>
          <w:jc w:val="center"/>
        </w:trPr>
        <w:tc>
          <w:tcPr>
            <w:tcW w:w="6590" w:type="dxa"/>
            <w:tcBorders>
              <w:bottom w:val="single" w:sz="12" w:space="0" w:color="auto"/>
            </w:tcBorders>
            <w:shd w:val="clear" w:color="auto" w:fill="auto"/>
            <w:noWrap/>
            <w:vAlign w:val="bottom"/>
            <w:hideMark/>
          </w:tcPr>
          <w:p w:rsidR="00DC11BE" w:rsidRPr="00182811" w:rsidRDefault="00DC11BE" w:rsidP="004E3707">
            <w:pPr>
              <w:spacing w:line="240" w:lineRule="auto"/>
              <w:rPr>
                <w:rFonts w:ascii="Garamond" w:eastAsia="Times New Roman" w:hAnsi="Garamond" w:cs="Times New Roman"/>
                <w:b/>
                <w:bCs/>
                <w:color w:val="000000"/>
                <w:sz w:val="24"/>
                <w:szCs w:val="24"/>
                <w:lang w:eastAsia="pt-PT"/>
              </w:rPr>
            </w:pPr>
            <w:r w:rsidRPr="00182811">
              <w:rPr>
                <w:rFonts w:ascii="Garamond" w:eastAsia="Times New Roman" w:hAnsi="Garamond" w:cs="Times New Roman"/>
                <w:b/>
                <w:bCs/>
                <w:color w:val="000000"/>
                <w:sz w:val="24"/>
                <w:szCs w:val="24"/>
                <w:lang w:eastAsia="pt-PT"/>
              </w:rPr>
              <w:t>RENDIMENTO MENSAL LÍQUIDO</w:t>
            </w:r>
          </w:p>
        </w:tc>
        <w:tc>
          <w:tcPr>
            <w:tcW w:w="1894" w:type="dxa"/>
            <w:tcBorders>
              <w:bottom w:val="single" w:sz="12" w:space="0" w:color="auto"/>
            </w:tcBorders>
            <w:shd w:val="clear" w:color="auto" w:fill="auto"/>
            <w:noWrap/>
            <w:vAlign w:val="bottom"/>
            <w:hideMark/>
          </w:tcPr>
          <w:p w:rsidR="00DC11BE" w:rsidRPr="00182811" w:rsidRDefault="00DC11BE" w:rsidP="004E3707">
            <w:pPr>
              <w:spacing w:line="240" w:lineRule="auto"/>
              <w:jc w:val="center"/>
              <w:rPr>
                <w:rFonts w:ascii="Garamond" w:eastAsia="Times New Roman" w:hAnsi="Garamond" w:cs="Times New Roman"/>
                <w:b/>
                <w:bCs/>
                <w:color w:val="000000"/>
                <w:sz w:val="24"/>
                <w:szCs w:val="24"/>
                <w:lang w:eastAsia="pt-PT"/>
              </w:rPr>
            </w:pPr>
            <w:proofErr w:type="gramStart"/>
            <w:r w:rsidRPr="00182811">
              <w:rPr>
                <w:rFonts w:ascii="Garamond" w:eastAsia="Times New Roman" w:hAnsi="Garamond" w:cs="Times New Roman"/>
                <w:b/>
                <w:bCs/>
                <w:color w:val="000000"/>
                <w:sz w:val="24"/>
                <w:szCs w:val="24"/>
                <w:lang w:eastAsia="pt-PT"/>
              </w:rPr>
              <w:t>VALOR  %</w:t>
            </w:r>
            <w:proofErr w:type="gramEnd"/>
          </w:p>
        </w:tc>
      </w:tr>
      <w:tr w:rsidR="00DC11BE" w:rsidRPr="00182811" w:rsidTr="004E3707">
        <w:trPr>
          <w:trHeight w:val="321"/>
          <w:jc w:val="center"/>
        </w:trPr>
        <w:tc>
          <w:tcPr>
            <w:tcW w:w="6590" w:type="dxa"/>
            <w:tcBorders>
              <w:top w:val="single" w:sz="12" w:space="0" w:color="auto"/>
            </w:tcBorders>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Sem rendimento</w:t>
            </w:r>
          </w:p>
        </w:tc>
        <w:tc>
          <w:tcPr>
            <w:tcW w:w="1894" w:type="dxa"/>
            <w:tcBorders>
              <w:top w:val="single" w:sz="12" w:space="0" w:color="auto"/>
            </w:tcBorders>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1,4%</w:t>
            </w:r>
          </w:p>
        </w:tc>
      </w:tr>
      <w:tr w:rsidR="00DC11BE" w:rsidRPr="00182811" w:rsidTr="004E3707">
        <w:trPr>
          <w:trHeight w:val="321"/>
          <w:jc w:val="center"/>
        </w:trPr>
        <w:tc>
          <w:tcPr>
            <w:tcW w:w="6590"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Menos de 600€</w:t>
            </w:r>
          </w:p>
        </w:tc>
        <w:tc>
          <w:tcPr>
            <w:tcW w:w="1894"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8,7%</w:t>
            </w:r>
          </w:p>
        </w:tc>
      </w:tr>
      <w:tr w:rsidR="00DC11BE" w:rsidRPr="00182811" w:rsidTr="004E3707">
        <w:trPr>
          <w:trHeight w:val="321"/>
          <w:jc w:val="center"/>
        </w:trPr>
        <w:tc>
          <w:tcPr>
            <w:tcW w:w="6590"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600€ a 1000€</w:t>
            </w:r>
          </w:p>
        </w:tc>
        <w:tc>
          <w:tcPr>
            <w:tcW w:w="1894"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b/>
                <w:color w:val="000000"/>
                <w:sz w:val="24"/>
                <w:szCs w:val="24"/>
                <w:lang w:eastAsia="pt-PT"/>
              </w:rPr>
            </w:pPr>
            <w:r w:rsidRPr="00182811">
              <w:rPr>
                <w:rFonts w:ascii="Garamond" w:eastAsia="Times New Roman" w:hAnsi="Garamond" w:cs="Times New Roman"/>
                <w:b/>
                <w:color w:val="000000"/>
                <w:sz w:val="24"/>
                <w:szCs w:val="24"/>
                <w:lang w:eastAsia="pt-PT"/>
              </w:rPr>
              <w:t>45,2%</w:t>
            </w:r>
          </w:p>
        </w:tc>
      </w:tr>
      <w:tr w:rsidR="00DC11BE" w:rsidRPr="00182811" w:rsidTr="004E3707">
        <w:trPr>
          <w:trHeight w:val="321"/>
          <w:jc w:val="center"/>
        </w:trPr>
        <w:tc>
          <w:tcPr>
            <w:tcW w:w="6590"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1001€ a 1500€</w:t>
            </w:r>
          </w:p>
        </w:tc>
        <w:tc>
          <w:tcPr>
            <w:tcW w:w="1894"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b/>
                <w:color w:val="000000"/>
                <w:sz w:val="24"/>
                <w:szCs w:val="24"/>
                <w:lang w:eastAsia="pt-PT"/>
              </w:rPr>
            </w:pPr>
            <w:r w:rsidRPr="00182811">
              <w:rPr>
                <w:rFonts w:ascii="Garamond" w:eastAsia="Times New Roman" w:hAnsi="Garamond" w:cs="Times New Roman"/>
                <w:b/>
                <w:color w:val="000000"/>
                <w:sz w:val="24"/>
                <w:szCs w:val="24"/>
                <w:lang w:eastAsia="pt-PT"/>
              </w:rPr>
              <w:t>28,4%</w:t>
            </w:r>
          </w:p>
        </w:tc>
      </w:tr>
      <w:tr w:rsidR="00DC11BE" w:rsidRPr="00182811" w:rsidTr="004E3707">
        <w:trPr>
          <w:trHeight w:val="321"/>
          <w:jc w:val="center"/>
        </w:trPr>
        <w:tc>
          <w:tcPr>
            <w:tcW w:w="6590"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1501€ a 2000€</w:t>
            </w:r>
          </w:p>
        </w:tc>
        <w:tc>
          <w:tcPr>
            <w:tcW w:w="1894"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8,2%</w:t>
            </w:r>
          </w:p>
        </w:tc>
      </w:tr>
      <w:tr w:rsidR="00DC11BE" w:rsidRPr="00182811" w:rsidTr="004E3707">
        <w:trPr>
          <w:trHeight w:val="321"/>
          <w:jc w:val="center"/>
        </w:trPr>
        <w:tc>
          <w:tcPr>
            <w:tcW w:w="6590"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2001€ a 2500€</w:t>
            </w:r>
          </w:p>
        </w:tc>
        <w:tc>
          <w:tcPr>
            <w:tcW w:w="1894"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3,4%</w:t>
            </w:r>
          </w:p>
        </w:tc>
      </w:tr>
      <w:tr w:rsidR="00DC11BE" w:rsidRPr="00182811" w:rsidTr="004E3707">
        <w:trPr>
          <w:trHeight w:val="321"/>
          <w:jc w:val="center"/>
        </w:trPr>
        <w:tc>
          <w:tcPr>
            <w:tcW w:w="6590" w:type="dxa"/>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2501€ a 3000€</w:t>
            </w:r>
          </w:p>
        </w:tc>
        <w:tc>
          <w:tcPr>
            <w:tcW w:w="1894" w:type="dxa"/>
            <w:shd w:val="clear" w:color="auto" w:fill="auto"/>
            <w:noWrap/>
            <w:vAlign w:val="center"/>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1,4%</w:t>
            </w:r>
          </w:p>
        </w:tc>
      </w:tr>
      <w:tr w:rsidR="00DC11BE" w:rsidRPr="00182811" w:rsidTr="004E3707">
        <w:trPr>
          <w:trHeight w:val="337"/>
          <w:jc w:val="center"/>
        </w:trPr>
        <w:tc>
          <w:tcPr>
            <w:tcW w:w="6590" w:type="dxa"/>
            <w:tcBorders>
              <w:bottom w:val="single" w:sz="12" w:space="0" w:color="auto"/>
            </w:tcBorders>
            <w:shd w:val="clear" w:color="auto" w:fill="auto"/>
            <w:noWrap/>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Mais de 3001€</w:t>
            </w:r>
          </w:p>
        </w:tc>
        <w:tc>
          <w:tcPr>
            <w:tcW w:w="1894" w:type="dxa"/>
            <w:tcBorders>
              <w:bottom w:val="single" w:sz="12" w:space="0" w:color="auto"/>
            </w:tcBorders>
            <w:shd w:val="clear" w:color="auto" w:fill="auto"/>
            <w:noWrap/>
            <w:vAlign w:val="center"/>
            <w:hideMark/>
          </w:tcPr>
          <w:p w:rsidR="00DC11BE" w:rsidRPr="00182811" w:rsidRDefault="00DC11BE" w:rsidP="004E3707">
            <w:pPr>
              <w:keepNext/>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3,4%</w:t>
            </w:r>
          </w:p>
        </w:tc>
      </w:tr>
    </w:tbl>
    <w:p w:rsidR="000A617E" w:rsidRPr="004E0B72" w:rsidRDefault="000A617E" w:rsidP="000A617E">
      <w:pPr>
        <w:pStyle w:val="Legenda"/>
        <w:keepNext/>
        <w:spacing w:before="120" w:after="120"/>
        <w:rPr>
          <w:rFonts w:ascii="Garamond" w:hAnsi="Garamond"/>
          <w:b/>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4E3707"/>
    <w:p w:rsidR="00DC11BE" w:rsidRPr="0094770E" w:rsidRDefault="00DC11BE" w:rsidP="004E3707"/>
    <w:p w:rsidR="000C380C" w:rsidRDefault="000C380C">
      <w:pPr>
        <w:rPr>
          <w:rFonts w:ascii="Garamond" w:eastAsiaTheme="majorEastAsia" w:hAnsi="Garamond" w:cs="Times New Roman"/>
          <w:b/>
          <w:sz w:val="28"/>
          <w:szCs w:val="28"/>
        </w:rPr>
      </w:pPr>
      <w:bookmarkStart w:id="61" w:name="_Toc37177063"/>
      <w:r>
        <w:br w:type="page"/>
      </w:r>
    </w:p>
    <w:p w:rsidR="00DC11BE" w:rsidRPr="0094770E" w:rsidRDefault="00DC11BE" w:rsidP="00A32A19">
      <w:pPr>
        <w:pStyle w:val="Nivel1"/>
      </w:pPr>
      <w:bookmarkStart w:id="62" w:name="_Toc46678984"/>
      <w:r w:rsidRPr="0094770E">
        <w:lastRenderedPageBreak/>
        <w:t>Análise de dados</w:t>
      </w:r>
      <w:bookmarkEnd w:id="61"/>
      <w:bookmarkEnd w:id="62"/>
    </w:p>
    <w:p w:rsidR="00DC11BE" w:rsidRPr="0094770E" w:rsidRDefault="00DC11BE" w:rsidP="00FC2E07">
      <w:pPr>
        <w:pStyle w:val="CorpoTexto"/>
      </w:pPr>
      <w:r w:rsidRPr="0094770E">
        <w:t>Para a análise de dados foi inicialmente considerada uma análise descritiva das respostas recolhidas. De seguida, procedeu-se à realização de uma análise fatorial.</w:t>
      </w:r>
    </w:p>
    <w:p w:rsidR="00DC11BE" w:rsidRPr="0094770E" w:rsidRDefault="00DC11BE" w:rsidP="006425F7">
      <w:pPr>
        <w:pStyle w:val="CorpoTexto"/>
      </w:pPr>
    </w:p>
    <w:p w:rsidR="00FC2E07" w:rsidRPr="000D65DA" w:rsidRDefault="00DC11BE" w:rsidP="00A32A19">
      <w:pPr>
        <w:pStyle w:val="Nvel2"/>
        <w:rPr>
          <w:lang w:val="pt-PT"/>
        </w:rPr>
      </w:pPr>
      <w:bookmarkStart w:id="63" w:name="_Toc37177064"/>
      <w:bookmarkStart w:id="64" w:name="_Toc46678985"/>
      <w:r w:rsidRPr="000D65DA">
        <w:rPr>
          <w:lang w:val="pt-PT"/>
        </w:rPr>
        <w:t>Estatística descritiva das variáveis em estudo</w:t>
      </w:r>
      <w:bookmarkEnd w:id="63"/>
      <w:bookmarkEnd w:id="64"/>
    </w:p>
    <w:p w:rsidR="00FC2E07" w:rsidRPr="007C204C" w:rsidRDefault="00DC11BE" w:rsidP="007C204C">
      <w:pPr>
        <w:pStyle w:val="CorpoTexto"/>
        <w:rPr>
          <w:b/>
          <w:bCs/>
        </w:rPr>
      </w:pPr>
      <w:r w:rsidRPr="007C204C">
        <w:rPr>
          <w:b/>
          <w:bCs/>
        </w:rPr>
        <w:t xml:space="preserve">Motivação </w:t>
      </w:r>
    </w:p>
    <w:p w:rsidR="00DC11BE" w:rsidRPr="007C204C" w:rsidRDefault="00DC11BE" w:rsidP="007C204C">
      <w:pPr>
        <w:pStyle w:val="CorpoTexto"/>
      </w:pPr>
      <w:r w:rsidRPr="007C204C">
        <w:t>Foram apresentadas aos inquiridos uma série de afirmações sobre as suas atitudes no seu contexto empresarial.</w:t>
      </w:r>
    </w:p>
    <w:p w:rsidR="00DC11BE" w:rsidRPr="007C204C" w:rsidRDefault="00DC11BE" w:rsidP="007C204C">
      <w:pPr>
        <w:pStyle w:val="CorpoTexto"/>
      </w:pPr>
      <w:r w:rsidRPr="007C204C">
        <w:t>Os resultados indicam que as afirmações de destaque no estudo são “Sinto satisfação quando vejo que uma pessoa que me pediu ajuda fica feliz com o meu apoio”, com 64% dos inquiridos a selecionarem a variável “sempre”, “Gosto de ter perceção se realizei um bom trabalho ou não, de maneira a poder melhora-lo”, também com 64% dos respondentes a selecionarem a variável “sempre” e “Tento aperfeiçoar resultados anteriores”, com 60% dos inquiridos a selecionarem esta variável também.</w:t>
      </w:r>
    </w:p>
    <w:p w:rsidR="00DC11BE" w:rsidRPr="007C204C" w:rsidRDefault="00DC11BE" w:rsidP="007C204C">
      <w:pPr>
        <w:pStyle w:val="CorpoTexto"/>
      </w:pPr>
      <w:r w:rsidRPr="007C204C">
        <w:t>Os inquiridos que responderam “sempre” às afirmações em destaque trabalham maioritariamente no setor do comércio e têm como habilitações literárias o Bacharelato/Licenciatura/Mestrado.</w:t>
      </w:r>
    </w:p>
    <w:p w:rsidR="00DC11BE" w:rsidRPr="007C204C" w:rsidRDefault="00DC11BE" w:rsidP="007C204C">
      <w:pPr>
        <w:pStyle w:val="CorpoTexto"/>
      </w:pPr>
      <w:r w:rsidRPr="007C204C">
        <w:t xml:space="preserve">Com uma percentagem </w:t>
      </w:r>
      <w:r w:rsidR="00AC1306" w:rsidRPr="007C204C">
        <w:t>menor,</w:t>
      </w:r>
      <w:r w:rsidRPr="007C204C">
        <w:t xml:space="preserve"> mas significativa, destacam-se as afirmações “Gosto de ser solidário(a)”, com 56% (sempre), “Esforço-me por todos os dias fazer um melhor trabalho”, com 55% (sempre) e “Gosto de ser uma pessoa amável no trabalho”, com 53% (sempre).</w:t>
      </w:r>
    </w:p>
    <w:p w:rsidR="00DC11BE" w:rsidRPr="007C204C" w:rsidRDefault="00DC11BE" w:rsidP="007C204C">
      <w:pPr>
        <w:pStyle w:val="CorpoTexto"/>
      </w:pPr>
      <w:r w:rsidRPr="007C204C">
        <w:t>As afirmações que apresentaram percentagens menos significativas foram “Tenho um desejo secreto de chamar a atenção das pessoas”, “Procuro as pessoas em quem posso exercer mais influência no momento de as selecionar para a minha equipa de trabalho” e “Benefício de convívios para influenciar os outros e para receber o seu apoio no que pretendo fazer”, ainda que nas variáveis “Por vezes” e “Usualmente” estas ainda tenham alguma expressão como se pode verificar no quadro abaixo.</w:t>
      </w:r>
    </w:p>
    <w:p w:rsidR="00DC11BE" w:rsidRDefault="00DC11BE" w:rsidP="007C204C">
      <w:pPr>
        <w:pStyle w:val="CorpoTexto"/>
        <w:rPr>
          <w:b/>
        </w:rPr>
      </w:pPr>
      <w:r w:rsidRPr="007C204C">
        <w:t>As afirmações que mais se destacaram no contexto empresarial dos inquiridos foram “Sinto satisfação quando vejo que uma pessoa que me pediu ajuda fica feliz com o meu apoio”,</w:t>
      </w:r>
      <w:r w:rsidRPr="0094770E">
        <w:rPr>
          <w:b/>
        </w:rPr>
        <w:t xml:space="preserve"> </w:t>
      </w:r>
      <w:r w:rsidRPr="007C204C">
        <w:lastRenderedPageBreak/>
        <w:t>“Gosto de ter perceção se realizei um bom trabalho ou não, de maneira a poder melhorá-lo e “Tento aperfeiçoar resultados anteriores”.</w:t>
      </w:r>
      <w:r w:rsidRPr="0094770E">
        <w:rPr>
          <w:b/>
        </w:rPr>
        <w:t xml:space="preserve"> </w:t>
      </w:r>
    </w:p>
    <w:p w:rsidR="00BF2693" w:rsidRPr="006425F7" w:rsidRDefault="00BF2693" w:rsidP="006425F7">
      <w:pPr>
        <w:pStyle w:val="CorpoTexto"/>
      </w:pPr>
    </w:p>
    <w:p w:rsidR="00862447" w:rsidRPr="000A617E" w:rsidRDefault="00862447" w:rsidP="000A617E">
      <w:pPr>
        <w:pStyle w:val="Legenda"/>
        <w:spacing w:after="120"/>
        <w:rPr>
          <w:rFonts w:ascii="Garamond" w:hAnsi="Garamond" w:cs="Times New Roman"/>
          <w:i w:val="0"/>
          <w:color w:val="auto"/>
          <w:sz w:val="20"/>
          <w:szCs w:val="20"/>
        </w:rPr>
      </w:pPr>
      <w:bookmarkStart w:id="65" w:name="_Toc46677130"/>
      <w:r w:rsidRPr="004A58D0">
        <w:rPr>
          <w:rFonts w:ascii="Garamond" w:hAnsi="Garamond"/>
          <w:b/>
          <w:i w:val="0"/>
          <w:color w:val="auto"/>
          <w:sz w:val="20"/>
          <w:szCs w:val="20"/>
        </w:rPr>
        <w:t xml:space="preserve">Tabela </w:t>
      </w:r>
      <w:r w:rsidRPr="004A58D0">
        <w:rPr>
          <w:rFonts w:ascii="Garamond" w:hAnsi="Garamond"/>
          <w:b/>
          <w:i w:val="0"/>
          <w:color w:val="auto"/>
          <w:sz w:val="20"/>
          <w:szCs w:val="20"/>
        </w:rPr>
        <w:fldChar w:fldCharType="begin"/>
      </w:r>
      <w:r w:rsidRPr="004A58D0">
        <w:rPr>
          <w:rFonts w:ascii="Garamond" w:hAnsi="Garamond"/>
          <w:b/>
          <w:i w:val="0"/>
          <w:color w:val="auto"/>
          <w:sz w:val="20"/>
          <w:szCs w:val="20"/>
        </w:rPr>
        <w:instrText xml:space="preserve"> SEQ Tabela \* ARABIC </w:instrText>
      </w:r>
      <w:r w:rsidRPr="004A58D0">
        <w:rPr>
          <w:rFonts w:ascii="Garamond" w:hAnsi="Garamond"/>
          <w:b/>
          <w:i w:val="0"/>
          <w:color w:val="auto"/>
          <w:sz w:val="20"/>
          <w:szCs w:val="20"/>
        </w:rPr>
        <w:fldChar w:fldCharType="separate"/>
      </w:r>
      <w:r>
        <w:rPr>
          <w:rFonts w:ascii="Garamond" w:hAnsi="Garamond"/>
          <w:b/>
          <w:i w:val="0"/>
          <w:noProof/>
          <w:color w:val="auto"/>
          <w:sz w:val="20"/>
          <w:szCs w:val="20"/>
        </w:rPr>
        <w:t>13</w:t>
      </w:r>
      <w:r w:rsidRPr="004A58D0">
        <w:rPr>
          <w:rFonts w:ascii="Garamond" w:hAnsi="Garamond"/>
          <w:b/>
          <w:i w:val="0"/>
          <w:color w:val="auto"/>
          <w:sz w:val="20"/>
          <w:szCs w:val="20"/>
        </w:rPr>
        <w:fldChar w:fldCharType="end"/>
      </w:r>
      <w:r w:rsidRPr="004A58D0">
        <w:rPr>
          <w:rFonts w:ascii="Garamond" w:hAnsi="Garamond"/>
          <w:i w:val="0"/>
          <w:color w:val="auto"/>
          <w:sz w:val="20"/>
          <w:szCs w:val="20"/>
        </w:rPr>
        <w:t xml:space="preserve"> - Distribuição de respostas sobres os vários itens de avaliação da </w:t>
      </w:r>
      <w:r w:rsidR="004B172D">
        <w:rPr>
          <w:rFonts w:ascii="Garamond" w:hAnsi="Garamond"/>
          <w:i w:val="0"/>
          <w:color w:val="auto"/>
          <w:sz w:val="20"/>
          <w:szCs w:val="20"/>
        </w:rPr>
        <w:t>motivação</w:t>
      </w:r>
      <w:r w:rsidRPr="004A58D0">
        <w:rPr>
          <w:rFonts w:ascii="Garamond" w:hAnsi="Garamond"/>
          <w:i w:val="0"/>
          <w:color w:val="auto"/>
          <w:sz w:val="20"/>
          <w:szCs w:val="20"/>
        </w:rPr>
        <w:t>.</w:t>
      </w:r>
      <w:bookmarkEnd w:id="65"/>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4317"/>
        <w:gridCol w:w="606"/>
        <w:gridCol w:w="606"/>
        <w:gridCol w:w="606"/>
        <w:gridCol w:w="606"/>
        <w:gridCol w:w="606"/>
        <w:gridCol w:w="606"/>
        <w:gridCol w:w="550"/>
      </w:tblGrid>
      <w:tr w:rsidR="00DC11BE" w:rsidRPr="00182811" w:rsidTr="003A4860">
        <w:tc>
          <w:tcPr>
            <w:tcW w:w="8493" w:type="dxa"/>
            <w:gridSpan w:val="8"/>
            <w:tcBorders>
              <w:bottom w:val="single" w:sz="4" w:space="0" w:color="auto"/>
            </w:tcBorders>
          </w:tcPr>
          <w:p w:rsidR="00DC11BE" w:rsidRPr="00182811" w:rsidRDefault="00DC11BE" w:rsidP="004E3707">
            <w:pPr>
              <w:rPr>
                <w:rFonts w:ascii="Garamond" w:hAnsi="Garamond"/>
                <w:b/>
                <w:sz w:val="24"/>
                <w:szCs w:val="24"/>
              </w:rPr>
            </w:pPr>
            <w:r w:rsidRPr="00182811">
              <w:rPr>
                <w:rFonts w:ascii="Garamond" w:hAnsi="Garamond"/>
                <w:b/>
                <w:sz w:val="24"/>
                <w:szCs w:val="24"/>
              </w:rPr>
              <w:t xml:space="preserve">Avaliação da </w:t>
            </w:r>
            <w:proofErr w:type="spellStart"/>
            <w:r w:rsidR="004B172D">
              <w:rPr>
                <w:rFonts w:ascii="Garamond" w:hAnsi="Garamond"/>
                <w:b/>
                <w:sz w:val="24"/>
                <w:szCs w:val="24"/>
              </w:rPr>
              <w:t>motivaçao</w:t>
            </w:r>
            <w:proofErr w:type="spellEnd"/>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w:t>
            </w:r>
            <w:r w:rsidRPr="00182811">
              <w:rPr>
                <w:rFonts w:ascii="Garamond" w:hAnsi="Garamond"/>
                <w:sz w:val="24"/>
                <w:szCs w:val="24"/>
                <w:vertAlign w:val="superscript"/>
              </w:rPr>
              <w:t>a</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w:t>
            </w:r>
            <w:r w:rsidRPr="00182811">
              <w:rPr>
                <w:rFonts w:ascii="Garamond" w:hAnsi="Garamond"/>
                <w:sz w:val="24"/>
                <w:szCs w:val="24"/>
                <w:vertAlign w:val="superscript"/>
              </w:rPr>
              <w:t>a</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w:t>
            </w:r>
            <w:r w:rsidRPr="00182811">
              <w:rPr>
                <w:rFonts w:ascii="Garamond" w:hAnsi="Garamond"/>
                <w:sz w:val="24"/>
                <w:szCs w:val="24"/>
                <w:vertAlign w:val="superscript"/>
              </w:rPr>
              <w:t>a</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4</w:t>
            </w:r>
            <w:r w:rsidRPr="00182811">
              <w:rPr>
                <w:rFonts w:ascii="Garamond" w:hAnsi="Garamond"/>
                <w:sz w:val="24"/>
                <w:szCs w:val="24"/>
                <w:vertAlign w:val="superscript"/>
              </w:rPr>
              <w:t>a</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5</w:t>
            </w:r>
            <w:r w:rsidRPr="00182811">
              <w:rPr>
                <w:rFonts w:ascii="Garamond" w:hAnsi="Garamond"/>
                <w:sz w:val="24"/>
                <w:szCs w:val="24"/>
                <w:vertAlign w:val="superscript"/>
              </w:rPr>
              <w:t>a</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w:t>
            </w:r>
            <w:r w:rsidRPr="00182811">
              <w:rPr>
                <w:rFonts w:ascii="Garamond" w:hAnsi="Garamond"/>
                <w:sz w:val="24"/>
                <w:szCs w:val="24"/>
                <w:vertAlign w:val="superscript"/>
              </w:rPr>
              <w:t>a</w:t>
            </w:r>
          </w:p>
        </w:tc>
        <w:tc>
          <w:tcPr>
            <w:tcW w:w="483" w:type="dxa"/>
            <w:tcBorders>
              <w:top w:val="single" w:sz="12" w:space="0" w:color="auto"/>
            </w:tcBorders>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7</w:t>
            </w:r>
            <w:r w:rsidRPr="00182811">
              <w:rPr>
                <w:rFonts w:ascii="Garamond" w:hAnsi="Garamond"/>
                <w:sz w:val="20"/>
                <w:szCs w:val="20"/>
                <w:vertAlign w:val="superscript"/>
              </w:rPr>
              <w:t>a</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p>
        </w:tc>
        <w:tc>
          <w:tcPr>
            <w:tcW w:w="3685" w:type="dxa"/>
            <w:gridSpan w:val="7"/>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Tenho um desejo secreto de chamar a atenção das pessoas</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41,8</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19,7</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14,4</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16,3</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3,8</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2,4</w:t>
            </w:r>
          </w:p>
        </w:tc>
        <w:tc>
          <w:tcPr>
            <w:tcW w:w="483" w:type="dxa"/>
            <w:tcBorders>
              <w:top w:val="single" w:sz="4" w:space="0" w:color="auto"/>
            </w:tcBorders>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1,4</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Sinto satisfação quando vejo que uma pessoa que me pediu ajuda fica feliz com o meu apoio</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3,8</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11,5</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16,3</w:t>
            </w:r>
          </w:p>
        </w:tc>
        <w:tc>
          <w:tcPr>
            <w:tcW w:w="483" w:type="dxa"/>
            <w:vAlign w:val="center"/>
          </w:tcPr>
          <w:p w:rsidR="00DC11BE" w:rsidRPr="00182811" w:rsidRDefault="00DC11BE" w:rsidP="004E3707">
            <w:pPr>
              <w:jc w:val="center"/>
              <w:rPr>
                <w:rFonts w:ascii="Garamond" w:hAnsi="Garamond"/>
                <w:b/>
                <w:sz w:val="20"/>
                <w:szCs w:val="20"/>
              </w:rPr>
            </w:pPr>
            <w:r w:rsidRPr="00182811">
              <w:rPr>
                <w:rFonts w:ascii="Garamond" w:hAnsi="Garamond"/>
                <w:b/>
                <w:sz w:val="20"/>
                <w:szCs w:val="20"/>
              </w:rPr>
              <w:t>63,9</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Insisto para que as minhas ideias sejam levadas avante e discuto com os outros por isso</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4,3</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10,6</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18,8</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27,4</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20,7</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15,4</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2,9</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Tento manter ligações com pessoas influentes</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4,8</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7,2</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19,2</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31,7</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15,9</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14,4</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6,7</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Procuro as pessoas em que posso exercer mais influencia no momento de as selecionar para a minha equipa de trabalho</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26,0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17,3</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19,2</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12,0</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8,7</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4,8</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Benefício de convívios para influenciar os outros e para receber o seu apoio no que pretendo fazer</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30,3</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15,4</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16,8</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8,7</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9,1</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7,2</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Gosto de melhorar as minhas competências pessoais constantemente</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7,7</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13,0</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21,2</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55,3</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Tento aperfeiçoar resultados anteriores</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6,3</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10,1</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21,6</w:t>
            </w:r>
          </w:p>
        </w:tc>
        <w:tc>
          <w:tcPr>
            <w:tcW w:w="483" w:type="dxa"/>
            <w:vAlign w:val="center"/>
          </w:tcPr>
          <w:p w:rsidR="00DC11BE" w:rsidRPr="00182811" w:rsidRDefault="00DC11BE" w:rsidP="004E3707">
            <w:pPr>
              <w:jc w:val="center"/>
              <w:rPr>
                <w:rFonts w:ascii="Garamond" w:hAnsi="Garamond"/>
                <w:b/>
                <w:sz w:val="20"/>
                <w:szCs w:val="20"/>
              </w:rPr>
            </w:pPr>
            <w:r w:rsidRPr="00182811">
              <w:rPr>
                <w:rFonts w:ascii="Garamond" w:hAnsi="Garamond"/>
                <w:b/>
                <w:sz w:val="20"/>
                <w:szCs w:val="20"/>
              </w:rPr>
              <w:t>59,6</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 xml:space="preserve">Gosto de ter perceção se realizei um bom trabalho ou não, de maneira a poder </w:t>
            </w:r>
            <w:r w:rsidR="000A617E" w:rsidRPr="00182811">
              <w:rPr>
                <w:rFonts w:ascii="Garamond" w:hAnsi="Garamond"/>
                <w:sz w:val="24"/>
                <w:szCs w:val="24"/>
              </w:rPr>
              <w:t>melhorá-lo</w:t>
            </w:r>
            <w:r w:rsidRPr="00182811">
              <w:rPr>
                <w:rFonts w:ascii="Garamond" w:hAnsi="Garamond"/>
                <w:sz w:val="24"/>
                <w:szCs w:val="24"/>
              </w:rPr>
              <w:t xml:space="preserve"> </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2,4</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9,1</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22,6</w:t>
            </w:r>
          </w:p>
        </w:tc>
        <w:tc>
          <w:tcPr>
            <w:tcW w:w="483" w:type="dxa"/>
            <w:vAlign w:val="center"/>
          </w:tcPr>
          <w:p w:rsidR="00DC11BE" w:rsidRPr="00182811" w:rsidRDefault="00DC11BE" w:rsidP="004E3707">
            <w:pPr>
              <w:jc w:val="center"/>
              <w:rPr>
                <w:rFonts w:ascii="Garamond" w:hAnsi="Garamond"/>
                <w:b/>
                <w:sz w:val="20"/>
                <w:szCs w:val="20"/>
              </w:rPr>
            </w:pPr>
            <w:r w:rsidRPr="00182811">
              <w:rPr>
                <w:rFonts w:ascii="Garamond" w:hAnsi="Garamond"/>
                <w:b/>
                <w:sz w:val="20"/>
                <w:szCs w:val="20"/>
              </w:rPr>
              <w:t>63,9</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Esforço-me por todos os dias fazer um melhor trabalho</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3,8</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9,1</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29,8</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55,3</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Tento inovar no trabalho</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6,3</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20,2</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30,3</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40,9</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Gosto de ser solidário (a)</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3,8</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10,1</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26,0</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55,8</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Gosto de ser uma pessoa amável no trabalho</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3,8</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10,1</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31,3</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52,9</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Sinto satisfação em que os meus colegas de trabalho gostem de mim</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2,4</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5,8</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10,6</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32,7</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47,1</w:t>
            </w:r>
          </w:p>
        </w:tc>
      </w:tr>
      <w:tr w:rsidR="00DC11BE" w:rsidRPr="00182811" w:rsidTr="003A4860">
        <w:tc>
          <w:tcPr>
            <w:tcW w:w="4808" w:type="dxa"/>
            <w:tcBorders>
              <w:top w:val="single" w:sz="4" w:space="0" w:color="auto"/>
              <w:bottom w:val="single" w:sz="4" w:space="0" w:color="auto"/>
            </w:tcBorders>
          </w:tcPr>
          <w:p w:rsidR="00DC11BE" w:rsidRPr="00182811" w:rsidRDefault="00DC11BE" w:rsidP="004E3707">
            <w:pPr>
              <w:rPr>
                <w:rFonts w:ascii="Garamond" w:hAnsi="Garamond"/>
                <w:sz w:val="24"/>
                <w:szCs w:val="24"/>
              </w:rPr>
            </w:pPr>
            <w:r w:rsidRPr="00182811">
              <w:rPr>
                <w:rFonts w:ascii="Garamond" w:hAnsi="Garamond"/>
                <w:sz w:val="24"/>
                <w:szCs w:val="24"/>
              </w:rPr>
              <w:t>Estou atento aos sentimentos dos meus colegas de trabalho</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w:t>
            </w:r>
          </w:p>
        </w:tc>
        <w:tc>
          <w:tcPr>
            <w:tcW w:w="549"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6,3</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16,8</w:t>
            </w:r>
          </w:p>
        </w:tc>
        <w:tc>
          <w:tcPr>
            <w:tcW w:w="476" w:type="dxa"/>
            <w:tcBorders>
              <w:top w:val="single" w:sz="4" w:space="0" w:color="auto"/>
              <w:bottom w:val="single" w:sz="4" w:space="0" w:color="auto"/>
            </w:tcBorders>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33,7</w:t>
            </w:r>
          </w:p>
        </w:tc>
        <w:tc>
          <w:tcPr>
            <w:tcW w:w="483" w:type="dxa"/>
            <w:vAlign w:val="center"/>
          </w:tcPr>
          <w:p w:rsidR="00DC11BE" w:rsidRPr="00182811" w:rsidRDefault="00DC11BE" w:rsidP="004E3707">
            <w:pPr>
              <w:jc w:val="center"/>
              <w:rPr>
                <w:rFonts w:ascii="Garamond" w:hAnsi="Garamond"/>
                <w:sz w:val="20"/>
                <w:szCs w:val="20"/>
              </w:rPr>
            </w:pPr>
            <w:r w:rsidRPr="00182811">
              <w:rPr>
                <w:rFonts w:ascii="Garamond" w:hAnsi="Garamond"/>
                <w:sz w:val="20"/>
                <w:szCs w:val="20"/>
              </w:rPr>
              <w:t>39,4</w:t>
            </w:r>
          </w:p>
        </w:tc>
      </w:tr>
      <w:tr w:rsidR="00DC11BE" w:rsidRPr="00182811" w:rsidTr="003A4860">
        <w:tc>
          <w:tcPr>
            <w:tcW w:w="8493" w:type="dxa"/>
            <w:gridSpan w:val="8"/>
            <w:tcBorders>
              <w:top w:val="single" w:sz="4" w:space="0" w:color="auto"/>
              <w:bottom w:val="single" w:sz="4" w:space="0" w:color="auto"/>
            </w:tcBorders>
          </w:tcPr>
          <w:p w:rsidR="00DC11BE" w:rsidRPr="00182811" w:rsidRDefault="00DC11BE" w:rsidP="004E3707">
            <w:pPr>
              <w:jc w:val="both"/>
              <w:rPr>
                <w:rFonts w:ascii="Garamond" w:hAnsi="Garamond"/>
                <w:sz w:val="24"/>
                <w:szCs w:val="24"/>
              </w:rPr>
            </w:pPr>
            <w:r w:rsidRPr="00182811">
              <w:rPr>
                <w:rFonts w:ascii="Garamond" w:hAnsi="Garamond"/>
                <w:sz w:val="24"/>
                <w:szCs w:val="24"/>
                <w:vertAlign w:val="superscript"/>
              </w:rPr>
              <w:t>a</w:t>
            </w:r>
            <w:r w:rsidRPr="00182811">
              <w:rPr>
                <w:rFonts w:ascii="Garamond" w:hAnsi="Garamond"/>
                <w:sz w:val="24"/>
                <w:szCs w:val="24"/>
              </w:rPr>
              <w:t xml:space="preserve"> 1 – Nunca, 2 – Quase nunca, 3 – Raramente, 4 – Por vezes, 5 – Usualmente, 6 – Quase sempre, 7 - Sempre</w:t>
            </w:r>
          </w:p>
        </w:tc>
      </w:tr>
    </w:tbl>
    <w:p w:rsidR="000A617E" w:rsidRDefault="000A617E" w:rsidP="000A617E">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4E3707">
      <w:pPr>
        <w:pStyle w:val="CTITULO"/>
        <w:tabs>
          <w:tab w:val="left" w:pos="2595"/>
        </w:tabs>
        <w:rPr>
          <w:rFonts w:ascii="Garamond" w:hAnsi="Garamond"/>
          <w:b w:val="0"/>
        </w:rPr>
      </w:pPr>
    </w:p>
    <w:p w:rsidR="00DC11BE" w:rsidRPr="007C204C" w:rsidRDefault="00DC11BE" w:rsidP="007C204C">
      <w:pPr>
        <w:pStyle w:val="CorpoTexto"/>
      </w:pPr>
      <w:r w:rsidRPr="007C204C">
        <w:lastRenderedPageBreak/>
        <w:t>No que se refere ao perfil dos inquiridos que as destacaram, são pessoas que trabalham maioritariamente no setor do comércio e têm como habilitações literárias o Bacharelato/Licenciatura/Mestrado. Têm idades compreendidas entre os 26 e 35 anos e são do sexo feminino, dados que vão de encontro também às características da amostra.</w:t>
      </w:r>
    </w:p>
    <w:p w:rsidR="00FC2E07" w:rsidRPr="006425F7" w:rsidRDefault="00FC2E07" w:rsidP="006425F7">
      <w:pPr>
        <w:pStyle w:val="CorpoTexto"/>
      </w:pPr>
    </w:p>
    <w:p w:rsidR="00DC11BE" w:rsidRPr="007C204C" w:rsidRDefault="00DC11BE" w:rsidP="007C204C">
      <w:pPr>
        <w:pStyle w:val="CorpoTexto"/>
        <w:rPr>
          <w:b/>
          <w:bCs/>
        </w:rPr>
      </w:pPr>
      <w:r w:rsidRPr="007C204C">
        <w:rPr>
          <w:b/>
          <w:bCs/>
        </w:rPr>
        <w:t>Satisfação perante o trabalho</w:t>
      </w:r>
    </w:p>
    <w:p w:rsidR="00DC11BE" w:rsidRPr="007C204C" w:rsidRDefault="00DC11BE" w:rsidP="007C204C">
      <w:pPr>
        <w:pStyle w:val="CorpoTexto"/>
      </w:pPr>
      <w:r w:rsidRPr="007C204C">
        <w:t>A satisfação perante o trabalho por parte dos inquiridos foi avaliada tendo por base um conjunto de afirmações para as quais os mesmos deveriam indicar o grau de concordância.</w:t>
      </w:r>
    </w:p>
    <w:p w:rsidR="00DC11BE" w:rsidRPr="007C204C" w:rsidRDefault="00DC11BE" w:rsidP="007C204C">
      <w:pPr>
        <w:pStyle w:val="CorpoTexto"/>
      </w:pPr>
      <w:r w:rsidRPr="007C204C">
        <w:t>Das afirmações referenciadas, destacam-se a “Gosto dos meus colegas de trabalho” (37% Concordo muito e 24% Concordo Fortemente), “Sempre que peço para me fazerem algo, sou ajudado(a)” (32% CM e 23% CF); “Estou confortável com as responsabilidades do meu trabalho” (31% CM e 31% CF), “Os meus colegas de trabalho são responsáveis” (31% CM e 14% CF) e “Sou apoiado pelos meus chefes” (27% CM e 18% CF).</w:t>
      </w:r>
    </w:p>
    <w:p w:rsidR="00DC11BE" w:rsidRPr="0094770E" w:rsidRDefault="00DC11BE" w:rsidP="007C204C">
      <w:pPr>
        <w:pStyle w:val="CorpoTexto"/>
        <w:rPr>
          <w:lang w:eastAsia="pt-PT"/>
        </w:rPr>
      </w:pPr>
      <w:r w:rsidRPr="0094770E">
        <w:rPr>
          <w:lang w:eastAsia="pt-PT"/>
        </w:rPr>
        <w:t>Um aspeto que se salienta neste âmbito é a boa relação com colegas de trabalho e chefias dos inquiridos.</w:t>
      </w:r>
    </w:p>
    <w:p w:rsidR="00DC11BE" w:rsidRDefault="00DC11BE" w:rsidP="003A4860">
      <w:pPr>
        <w:pStyle w:val="CorpoTexto"/>
        <w:rPr>
          <w:lang w:eastAsia="pt-PT"/>
        </w:rPr>
      </w:pPr>
      <w:r w:rsidRPr="0094770E">
        <w:rPr>
          <w:lang w:eastAsia="pt-PT"/>
        </w:rPr>
        <w:t>Assumem relevância as afirmações “Serei promovido (a) se realizar um bom trabalho”, “Sinto-me satisfeito com a progressão da minha carreira” e “Os meus benefícios adicionais são generosos”, quando avaliamos as variáveis “discordo muito” e “discordo fortemente”, onde, como poderemos ver no quadro abaixo, assumem valores de destaque, dando a entender que os inquiridos não se encontram tão satisfeitos nestes campos.</w:t>
      </w:r>
    </w:p>
    <w:p w:rsidR="003A4860" w:rsidRPr="006425F7" w:rsidRDefault="003A4860" w:rsidP="006425F7">
      <w:pPr>
        <w:pStyle w:val="CorpoTexto"/>
      </w:pPr>
    </w:p>
    <w:p w:rsidR="00DC11BE" w:rsidRPr="003A4860" w:rsidRDefault="004E0B72" w:rsidP="003A4860">
      <w:pPr>
        <w:pStyle w:val="Legenda"/>
        <w:keepNext/>
        <w:spacing w:after="120"/>
        <w:rPr>
          <w:rFonts w:ascii="Garamond" w:hAnsi="Garamond"/>
          <w:i w:val="0"/>
          <w:color w:val="auto"/>
          <w:sz w:val="20"/>
          <w:szCs w:val="20"/>
        </w:rPr>
      </w:pPr>
      <w:bookmarkStart w:id="66" w:name="_Toc46677131"/>
      <w:r w:rsidRPr="004A58D0">
        <w:rPr>
          <w:rFonts w:ascii="Garamond" w:hAnsi="Garamond"/>
          <w:b/>
          <w:i w:val="0"/>
          <w:color w:val="auto"/>
          <w:sz w:val="20"/>
          <w:szCs w:val="20"/>
        </w:rPr>
        <w:t xml:space="preserve">Tabela </w:t>
      </w:r>
      <w:r w:rsidRPr="004A58D0">
        <w:rPr>
          <w:rFonts w:ascii="Garamond" w:hAnsi="Garamond"/>
          <w:b/>
          <w:i w:val="0"/>
          <w:color w:val="auto"/>
          <w:sz w:val="20"/>
          <w:szCs w:val="20"/>
        </w:rPr>
        <w:fldChar w:fldCharType="begin"/>
      </w:r>
      <w:r w:rsidRPr="004A58D0">
        <w:rPr>
          <w:rFonts w:ascii="Garamond" w:hAnsi="Garamond"/>
          <w:b/>
          <w:i w:val="0"/>
          <w:color w:val="auto"/>
          <w:sz w:val="20"/>
          <w:szCs w:val="20"/>
        </w:rPr>
        <w:instrText xml:space="preserve"> SEQ Tabela \* ARABIC </w:instrText>
      </w:r>
      <w:r w:rsidRPr="004A58D0">
        <w:rPr>
          <w:rFonts w:ascii="Garamond" w:hAnsi="Garamond"/>
          <w:b/>
          <w:i w:val="0"/>
          <w:color w:val="auto"/>
          <w:sz w:val="20"/>
          <w:szCs w:val="20"/>
        </w:rPr>
        <w:fldChar w:fldCharType="separate"/>
      </w:r>
      <w:r>
        <w:rPr>
          <w:rFonts w:ascii="Garamond" w:hAnsi="Garamond"/>
          <w:b/>
          <w:i w:val="0"/>
          <w:noProof/>
          <w:color w:val="auto"/>
          <w:sz w:val="20"/>
          <w:szCs w:val="20"/>
        </w:rPr>
        <w:t>14</w:t>
      </w:r>
      <w:r w:rsidRPr="004A58D0">
        <w:rPr>
          <w:rFonts w:ascii="Garamond" w:hAnsi="Garamond"/>
          <w:b/>
          <w:i w:val="0"/>
          <w:color w:val="auto"/>
          <w:sz w:val="20"/>
          <w:szCs w:val="20"/>
        </w:rPr>
        <w:fldChar w:fldCharType="end"/>
      </w:r>
      <w:r w:rsidRPr="004A58D0">
        <w:rPr>
          <w:rFonts w:ascii="Garamond" w:hAnsi="Garamond"/>
          <w:i w:val="0"/>
          <w:color w:val="auto"/>
          <w:sz w:val="20"/>
          <w:szCs w:val="20"/>
        </w:rPr>
        <w:t xml:space="preserve"> - Distribuição de respostas sobres os vários itens de avaliação da satisfação</w:t>
      </w:r>
      <w:r>
        <w:rPr>
          <w:rFonts w:ascii="Garamond" w:hAnsi="Garamond"/>
          <w:i w:val="0"/>
          <w:color w:val="auto"/>
          <w:sz w:val="20"/>
          <w:szCs w:val="20"/>
        </w:rPr>
        <w:t xml:space="preserve"> perante o trabalho.</w:t>
      </w:r>
      <w:bookmarkEnd w:id="66"/>
    </w:p>
    <w:tbl>
      <w:tblPr>
        <w:tblStyle w:val="TabelacomGrelha"/>
        <w:tblW w:w="0" w:type="auto"/>
        <w:tblBorders>
          <w:top w:val="none" w:sz="0"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4231"/>
        <w:gridCol w:w="616"/>
        <w:gridCol w:w="606"/>
        <w:gridCol w:w="606"/>
        <w:gridCol w:w="606"/>
        <w:gridCol w:w="606"/>
        <w:gridCol w:w="616"/>
        <w:gridCol w:w="616"/>
      </w:tblGrid>
      <w:tr w:rsidR="00DC11BE" w:rsidRPr="00182811" w:rsidTr="003A4860">
        <w:tc>
          <w:tcPr>
            <w:tcW w:w="8500" w:type="dxa"/>
            <w:gridSpan w:val="8"/>
          </w:tcPr>
          <w:p w:rsidR="00DC11BE" w:rsidRPr="00182811" w:rsidRDefault="00DC11BE" w:rsidP="004E3707">
            <w:pPr>
              <w:rPr>
                <w:rFonts w:ascii="Garamond" w:hAnsi="Garamond"/>
                <w:b/>
                <w:sz w:val="24"/>
                <w:szCs w:val="24"/>
              </w:rPr>
            </w:pPr>
            <w:r w:rsidRPr="00182811">
              <w:rPr>
                <w:rFonts w:ascii="Garamond" w:hAnsi="Garamond"/>
                <w:b/>
                <w:sz w:val="24"/>
                <w:szCs w:val="24"/>
              </w:rPr>
              <w:t>Avaliação da satisfação perante o trabalho</w:t>
            </w:r>
          </w:p>
        </w:tc>
      </w:tr>
      <w:tr w:rsidR="00DC11BE" w:rsidRPr="00182811" w:rsidTr="003A4860">
        <w:tc>
          <w:tcPr>
            <w:tcW w:w="4808" w:type="dxa"/>
          </w:tcPr>
          <w:p w:rsidR="00DC11BE" w:rsidRPr="00182811" w:rsidRDefault="00DC11BE" w:rsidP="004E3707">
            <w:pPr>
              <w:rPr>
                <w:rFonts w:ascii="Garamond" w:hAnsi="Garamond"/>
                <w:sz w:val="24"/>
                <w:szCs w:val="24"/>
              </w:rPr>
            </w:pP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w:t>
            </w:r>
            <w:r w:rsidRPr="00182811">
              <w:rPr>
                <w:rFonts w:ascii="Garamond" w:hAnsi="Garamond"/>
                <w:sz w:val="24"/>
                <w:szCs w:val="24"/>
                <w:vertAlign w:val="superscript"/>
              </w:rPr>
              <w:t>a</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w:t>
            </w:r>
            <w:r w:rsidRPr="00182811">
              <w:rPr>
                <w:rFonts w:ascii="Garamond" w:hAnsi="Garamond"/>
                <w:sz w:val="24"/>
                <w:szCs w:val="24"/>
                <w:vertAlign w:val="superscript"/>
              </w:rPr>
              <w:t>a</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w:t>
            </w:r>
            <w:r w:rsidRPr="00182811">
              <w:rPr>
                <w:rFonts w:ascii="Garamond" w:hAnsi="Garamond"/>
                <w:sz w:val="24"/>
                <w:szCs w:val="24"/>
                <w:vertAlign w:val="superscript"/>
              </w:rPr>
              <w:t>a</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4</w:t>
            </w:r>
            <w:r w:rsidRPr="00182811">
              <w:rPr>
                <w:rFonts w:ascii="Garamond" w:hAnsi="Garamond"/>
                <w:sz w:val="24"/>
                <w:szCs w:val="24"/>
                <w:vertAlign w:val="superscript"/>
              </w:rPr>
              <w:t>a</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5</w:t>
            </w:r>
            <w:r w:rsidRPr="00182811">
              <w:rPr>
                <w:rFonts w:ascii="Garamond" w:hAnsi="Garamond"/>
                <w:sz w:val="24"/>
                <w:szCs w:val="24"/>
                <w:vertAlign w:val="superscript"/>
              </w:rPr>
              <w:t>a</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w:t>
            </w:r>
            <w:r w:rsidRPr="00182811">
              <w:rPr>
                <w:rFonts w:ascii="Garamond" w:hAnsi="Garamond"/>
                <w:sz w:val="24"/>
                <w:szCs w:val="24"/>
                <w:vertAlign w:val="superscript"/>
              </w:rPr>
              <w:t>a</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7</w:t>
            </w:r>
            <w:r w:rsidRPr="00182811">
              <w:rPr>
                <w:rFonts w:ascii="Garamond" w:hAnsi="Garamond"/>
                <w:sz w:val="24"/>
                <w:szCs w:val="24"/>
                <w:vertAlign w:val="superscript"/>
              </w:rPr>
              <w:t>a</w:t>
            </w:r>
          </w:p>
        </w:tc>
      </w:tr>
      <w:tr w:rsidR="00DC11BE" w:rsidRPr="00182811" w:rsidTr="003A4860">
        <w:tc>
          <w:tcPr>
            <w:tcW w:w="4808" w:type="dxa"/>
          </w:tcPr>
          <w:p w:rsidR="00DC11BE" w:rsidRPr="00182811" w:rsidRDefault="00DC11BE" w:rsidP="004E3707">
            <w:pPr>
              <w:rPr>
                <w:rFonts w:ascii="Garamond" w:hAnsi="Garamond"/>
                <w:sz w:val="24"/>
                <w:szCs w:val="24"/>
              </w:rPr>
            </w:pPr>
          </w:p>
        </w:tc>
        <w:tc>
          <w:tcPr>
            <w:tcW w:w="3692" w:type="dxa"/>
            <w:gridSpan w:val="7"/>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w:t>
            </w:r>
          </w:p>
        </w:tc>
      </w:tr>
      <w:tr w:rsidR="00DC11BE" w:rsidRPr="00182811" w:rsidTr="003A4860">
        <w:trPr>
          <w:trHeight w:val="645"/>
        </w:trPr>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Não tenho apoio suficiente dos meus colegas de trabalho</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25,0</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18,8</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9,6</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14,9</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19,2</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10,6</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Sempre que peço para me fazerem algo sou ajudado (a)</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5,3</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14,4</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24,0</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31,7</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22,6</w:t>
            </w:r>
          </w:p>
        </w:tc>
      </w:tr>
      <w:tr w:rsidR="00DC11BE" w:rsidRPr="00182811" w:rsidTr="003A4860">
        <w:trPr>
          <w:trHeight w:val="293"/>
        </w:trPr>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Gosto dos meus colegas de trabalho</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2,4</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4,8</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11,1</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20,2</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36,5</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23,6</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Os meus colegas de trabalho são responsáveis</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0,5</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7,7</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14,9</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29,8</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30,8</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14,4</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Sou apoiado (a) pelos meus chefes</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4,3</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2,4</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11,5</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17,3</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19,2</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27,4</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17,8</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Considero os meus superiores ‘5 estrelas’</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6,3</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5,8</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14,4</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13,9</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22,6</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25,0</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12,0</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lastRenderedPageBreak/>
              <w:t>A minha opinião não é valorizada pela minha chefia</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21,2</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18,3</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15,4</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16,8</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14,9</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11,5</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Não sou tratado (a) de forma justa pelos meus chefes</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26,4</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16,3</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10,6</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20,7</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13,5</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11,1</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 xml:space="preserve">Acho o meu trabalho estimulante </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3,4</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5,8</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8,2</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16,8</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26,0</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18,8</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21,2</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Estou confortável com as responsabilidades do meu trabalho</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3,8</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15,4</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16,8</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30,8</w:t>
            </w:r>
          </w:p>
        </w:tc>
        <w:tc>
          <w:tcPr>
            <w:tcW w:w="483"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31,3</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Preferia fazer outro tipo de trabalho</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27,9</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9,6</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11,1</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12,0</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12,0</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9,6</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17,8</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Não me sinto realizado (a) com o trabalho que tenho</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25,0</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13,9</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7,2</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15,4</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13,9</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10,6</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13,9</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A minha empresa paga salários melhores em relação aos concorrentes</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17,3</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11,1</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16,8</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23,1</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15,4</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9,6</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6,7</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Tendo em conta as minhas responsabilidades, acho o meu salário adequado</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15,9</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20,2</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18,3</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15,9</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14,9</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11,5</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3,4</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Acho que sou mal pago (a) para as funções que desempenho</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12,0</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13,9</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8,7</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13,9</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19,2</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15,9</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16,3</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Os meus benefícios adicionais são generosos</w:t>
            </w:r>
          </w:p>
        </w:tc>
        <w:tc>
          <w:tcPr>
            <w:tcW w:w="567"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23,6</w:t>
            </w:r>
          </w:p>
        </w:tc>
        <w:tc>
          <w:tcPr>
            <w:tcW w:w="567"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16,3</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11,1</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17,8</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13,0</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11,5</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6,7</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Não estou de acordo com os critérios utilizados na minha empresa para a promoção</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18,8</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10,1</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12,0</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20,2</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12,0</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13,9</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13,0</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Serei promovido (a) se realizar um bom trabalho</w:t>
            </w:r>
          </w:p>
        </w:tc>
        <w:tc>
          <w:tcPr>
            <w:tcW w:w="567"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26,4</w:t>
            </w:r>
          </w:p>
        </w:tc>
        <w:tc>
          <w:tcPr>
            <w:tcW w:w="567"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9,1</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15,9</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22,6</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11,5</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7,7</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6,7</w:t>
            </w:r>
          </w:p>
        </w:tc>
      </w:tr>
      <w:tr w:rsidR="00DC11BE" w:rsidRPr="00182811" w:rsidTr="003A4860">
        <w:tc>
          <w:tcPr>
            <w:tcW w:w="4808" w:type="dxa"/>
          </w:tcPr>
          <w:p w:rsidR="00DC11BE" w:rsidRPr="00182811" w:rsidRDefault="00DC11BE" w:rsidP="004E3707">
            <w:pPr>
              <w:rPr>
                <w:rFonts w:ascii="Garamond" w:hAnsi="Garamond"/>
                <w:sz w:val="24"/>
                <w:szCs w:val="24"/>
              </w:rPr>
            </w:pPr>
            <w:r w:rsidRPr="00182811">
              <w:rPr>
                <w:rFonts w:ascii="Garamond" w:hAnsi="Garamond"/>
                <w:sz w:val="24"/>
                <w:szCs w:val="24"/>
              </w:rPr>
              <w:t>Sinto-me satisfeito com a progressão da minha carreira</w:t>
            </w:r>
          </w:p>
        </w:tc>
        <w:tc>
          <w:tcPr>
            <w:tcW w:w="567"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25,0</w:t>
            </w:r>
          </w:p>
        </w:tc>
        <w:tc>
          <w:tcPr>
            <w:tcW w:w="567" w:type="dxa"/>
            <w:vAlign w:val="center"/>
          </w:tcPr>
          <w:p w:rsidR="00DC11BE" w:rsidRPr="00182811" w:rsidRDefault="00DC11BE" w:rsidP="004E3707">
            <w:pPr>
              <w:jc w:val="center"/>
              <w:rPr>
                <w:rFonts w:ascii="Garamond" w:hAnsi="Garamond"/>
                <w:b/>
                <w:sz w:val="24"/>
                <w:szCs w:val="24"/>
              </w:rPr>
            </w:pPr>
            <w:r w:rsidRPr="00182811">
              <w:rPr>
                <w:rFonts w:ascii="Garamond" w:hAnsi="Garamond"/>
                <w:b/>
                <w:sz w:val="24"/>
                <w:szCs w:val="24"/>
              </w:rPr>
              <w:t>13,5</w:t>
            </w:r>
          </w:p>
        </w:tc>
        <w:tc>
          <w:tcPr>
            <w:tcW w:w="567"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13,9</w:t>
            </w:r>
          </w:p>
        </w:tc>
        <w:tc>
          <w:tcPr>
            <w:tcW w:w="549"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19,7</w:t>
            </w:r>
          </w:p>
        </w:tc>
        <w:tc>
          <w:tcPr>
            <w:tcW w:w="476"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10,1</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11,5</w:t>
            </w:r>
          </w:p>
        </w:tc>
        <w:tc>
          <w:tcPr>
            <w:tcW w:w="483" w:type="dxa"/>
            <w:vAlign w:val="center"/>
          </w:tcPr>
          <w:p w:rsidR="00DC11BE" w:rsidRPr="00182811" w:rsidRDefault="00DC11BE" w:rsidP="004E3707">
            <w:pPr>
              <w:jc w:val="center"/>
              <w:rPr>
                <w:rFonts w:ascii="Garamond" w:hAnsi="Garamond"/>
                <w:sz w:val="24"/>
                <w:szCs w:val="24"/>
              </w:rPr>
            </w:pPr>
            <w:r w:rsidRPr="00182811">
              <w:rPr>
                <w:rFonts w:ascii="Garamond" w:hAnsi="Garamond"/>
                <w:sz w:val="24"/>
                <w:szCs w:val="24"/>
              </w:rPr>
              <w:t>6,3</w:t>
            </w:r>
          </w:p>
        </w:tc>
      </w:tr>
      <w:tr w:rsidR="00DC11BE" w:rsidRPr="00182811" w:rsidTr="003A4860">
        <w:tc>
          <w:tcPr>
            <w:tcW w:w="8500" w:type="dxa"/>
            <w:gridSpan w:val="8"/>
          </w:tcPr>
          <w:p w:rsidR="00DC11BE" w:rsidRPr="00182811" w:rsidRDefault="00DC11BE" w:rsidP="004E3707">
            <w:pPr>
              <w:jc w:val="both"/>
              <w:rPr>
                <w:rFonts w:ascii="Garamond" w:hAnsi="Garamond"/>
                <w:sz w:val="24"/>
                <w:szCs w:val="24"/>
              </w:rPr>
            </w:pPr>
            <w:r w:rsidRPr="00182811">
              <w:rPr>
                <w:rFonts w:ascii="Garamond" w:hAnsi="Garamond"/>
                <w:sz w:val="24"/>
                <w:szCs w:val="24"/>
                <w:vertAlign w:val="superscript"/>
              </w:rPr>
              <w:t>a</w:t>
            </w:r>
            <w:r w:rsidRPr="00182811">
              <w:rPr>
                <w:rFonts w:ascii="Garamond" w:hAnsi="Garamond"/>
                <w:sz w:val="24"/>
                <w:szCs w:val="24"/>
              </w:rPr>
              <w:t xml:space="preserve"> 1 – Discordo fortemente, 2 – Discordo muito, 3 – Discordo, 4 – Nem concordo, nem discordo, 5 – Concordo, 6 – Concordo muito, 7 – Concordo fortemente</w:t>
            </w:r>
          </w:p>
        </w:tc>
      </w:tr>
    </w:tbl>
    <w:p w:rsidR="00DC11BE" w:rsidRDefault="003A4860" w:rsidP="003A4860">
      <w:pPr>
        <w:spacing w:before="120" w:after="120" w:line="240" w:lineRule="auto"/>
        <w:rPr>
          <w:rFonts w:ascii="Garamond" w:hAnsi="Garamond"/>
          <w:bCs/>
          <w:iCs/>
          <w:sz w:val="20"/>
          <w:szCs w:val="20"/>
        </w:rPr>
      </w:pPr>
      <w:r w:rsidRPr="003A4860">
        <w:rPr>
          <w:rFonts w:ascii="Garamond" w:hAnsi="Garamond"/>
          <w:b/>
          <w:iCs/>
          <w:sz w:val="20"/>
          <w:szCs w:val="20"/>
        </w:rPr>
        <w:t xml:space="preserve">Fonte: </w:t>
      </w:r>
      <w:r w:rsidRPr="003A4860">
        <w:rPr>
          <w:rFonts w:ascii="Garamond" w:hAnsi="Garamond"/>
          <w:bCs/>
          <w:iCs/>
          <w:sz w:val="20"/>
          <w:szCs w:val="20"/>
        </w:rPr>
        <w:t>Elaboração própria.</w:t>
      </w:r>
    </w:p>
    <w:p w:rsidR="003A4860" w:rsidRPr="003A4860" w:rsidRDefault="003A4860" w:rsidP="006425F7">
      <w:pPr>
        <w:pStyle w:val="CorpoTexto"/>
        <w:rPr>
          <w:lang w:eastAsia="pt-PT"/>
        </w:rPr>
      </w:pPr>
    </w:p>
    <w:p w:rsidR="00DC11BE" w:rsidRPr="0094770E" w:rsidRDefault="00DC11BE" w:rsidP="007C204C">
      <w:pPr>
        <w:pStyle w:val="CorpoTexto"/>
      </w:pPr>
      <w:r w:rsidRPr="0094770E">
        <w:t>Analisando as afirmações que se destacam com um grande grau de concordância por parte dos inquiridos podemos concluir que para uma grande parte da amostra a relação com colegas e chefias é positiva e valorizada.</w:t>
      </w:r>
    </w:p>
    <w:p w:rsidR="00DC11BE" w:rsidRPr="0094770E" w:rsidRDefault="00DC11BE" w:rsidP="007C204C">
      <w:pPr>
        <w:pStyle w:val="CorpoTexto"/>
      </w:pPr>
      <w:r w:rsidRPr="0094770E">
        <w:t>Denota-se menor satisfação para questões de promoção, progressão na carreira e benefícios adicionais.</w:t>
      </w:r>
    </w:p>
    <w:p w:rsidR="00DC11BE" w:rsidRPr="0094770E" w:rsidRDefault="00DC11BE" w:rsidP="006425F7">
      <w:pPr>
        <w:pStyle w:val="CorpoTexto"/>
      </w:pPr>
    </w:p>
    <w:p w:rsidR="00DC11BE" w:rsidRPr="007C204C" w:rsidRDefault="00DC11BE" w:rsidP="007C204C">
      <w:pPr>
        <w:pStyle w:val="CorpoTexto"/>
        <w:rPr>
          <w:b/>
          <w:bCs/>
        </w:rPr>
      </w:pPr>
      <w:r w:rsidRPr="007C204C">
        <w:rPr>
          <w:b/>
          <w:bCs/>
        </w:rPr>
        <w:t>Resposta Emocional</w:t>
      </w:r>
    </w:p>
    <w:p w:rsidR="00DC11BE" w:rsidRPr="0094770E" w:rsidRDefault="00DC11BE" w:rsidP="007C204C">
      <w:pPr>
        <w:pStyle w:val="CorpoTexto"/>
      </w:pPr>
      <w:r w:rsidRPr="0094770E">
        <w:t>De seguida serão analisadas as respostas emocionais dos inquiridos perante uma situação de reclamação de forma mais agressiva por parte do cliente.</w:t>
      </w:r>
    </w:p>
    <w:p w:rsidR="00DC11BE" w:rsidRPr="0094770E" w:rsidRDefault="00DC11BE" w:rsidP="007C204C">
      <w:pPr>
        <w:pStyle w:val="CorpoTexto"/>
      </w:pPr>
      <w:r w:rsidRPr="0094770E">
        <w:lastRenderedPageBreak/>
        <w:t>Foram apresentados um conjunto de sentimentos e emoções e foi solicitado aos inquiridos que identificassem em que medida os sentiram no momento de interação com o cliente.</w:t>
      </w:r>
    </w:p>
    <w:p w:rsidR="00DC11BE" w:rsidRPr="0094770E" w:rsidRDefault="00DC11BE" w:rsidP="007C204C">
      <w:pPr>
        <w:pStyle w:val="CorpoTexto"/>
      </w:pPr>
      <w:r w:rsidRPr="0094770E">
        <w:t>Perante os resultados, podemos concluir que, no que respeita a respostas emocionais positivas se destacam as variáveis Atento (Bastante: 49% e Extremamente:23%); Simpático (Bastante:29% e Extremamente: 14%) e Forte (Bastante: 27% e Extremamente: 6%).</w:t>
      </w:r>
    </w:p>
    <w:p w:rsidR="00DC11BE" w:rsidRPr="0094770E" w:rsidRDefault="00DC11BE" w:rsidP="007C204C">
      <w:pPr>
        <w:pStyle w:val="CorpoTexto"/>
      </w:pPr>
      <w:r w:rsidRPr="0094770E">
        <w:t>Verifica-se assim, pelas variáveis destacadas, um esforço de recuperação do serviço na resposta à reclamação por parte destes inquiridos.</w:t>
      </w:r>
    </w:p>
    <w:p w:rsidR="00DC11BE" w:rsidRPr="0094770E" w:rsidRDefault="00DC11BE" w:rsidP="007C204C">
      <w:pPr>
        <w:pStyle w:val="CorpoTexto"/>
      </w:pPr>
      <w:r w:rsidRPr="0094770E">
        <w:t>Dos inquiridos que responderam de forma positiva a estas variáveis, a maioria tem o bacharelato/licenciatura/mestrado, têm entre os 26 e os 35 anos e são do sexo feminino.</w:t>
      </w:r>
    </w:p>
    <w:p w:rsidR="00DC11BE" w:rsidRDefault="00DC11BE" w:rsidP="007C204C">
      <w:pPr>
        <w:pStyle w:val="CorpoTexto"/>
      </w:pPr>
      <w:r w:rsidRPr="0094770E">
        <w:t xml:space="preserve">As variáveis que assumem menor destaque neste âmbito de respostas emocionais positiva </w:t>
      </w:r>
      <w:proofErr w:type="gramStart"/>
      <w:r w:rsidRPr="0094770E">
        <w:t>são Divertido e Satisfeito</w:t>
      </w:r>
      <w:proofErr w:type="gramEnd"/>
      <w:r w:rsidRPr="0094770E">
        <w:t>.</w:t>
      </w:r>
    </w:p>
    <w:p w:rsidR="003A4860" w:rsidRPr="006425F7" w:rsidRDefault="003A4860" w:rsidP="006425F7">
      <w:pPr>
        <w:pStyle w:val="CorpoTexto"/>
      </w:pPr>
    </w:p>
    <w:p w:rsidR="003A4860" w:rsidRPr="003A4860" w:rsidRDefault="003A4860" w:rsidP="003A4860">
      <w:pPr>
        <w:pStyle w:val="Legenda"/>
        <w:spacing w:after="120"/>
        <w:rPr>
          <w:rFonts w:ascii="Garamond" w:hAnsi="Garamond"/>
          <w:bCs/>
          <w:i w:val="0"/>
          <w:color w:val="000000" w:themeColor="text1"/>
          <w:sz w:val="20"/>
          <w:szCs w:val="20"/>
        </w:rPr>
      </w:pPr>
      <w:bookmarkStart w:id="67" w:name="_Toc46677155"/>
      <w:r w:rsidRPr="00CE365D">
        <w:rPr>
          <w:rFonts w:ascii="Garamond" w:hAnsi="Garamond"/>
          <w:b/>
          <w:i w:val="0"/>
          <w:color w:val="000000" w:themeColor="text1"/>
          <w:sz w:val="20"/>
          <w:szCs w:val="20"/>
        </w:rPr>
        <w:t xml:space="preserve">Figura </w:t>
      </w:r>
      <w:r w:rsidRPr="00CE365D">
        <w:rPr>
          <w:rFonts w:ascii="Garamond" w:hAnsi="Garamond"/>
          <w:b/>
          <w:i w:val="0"/>
          <w:color w:val="000000" w:themeColor="text1"/>
          <w:sz w:val="20"/>
          <w:szCs w:val="20"/>
        </w:rPr>
        <w:fldChar w:fldCharType="begin"/>
      </w:r>
      <w:r w:rsidRPr="00CE365D">
        <w:rPr>
          <w:rFonts w:ascii="Garamond" w:hAnsi="Garamond"/>
          <w:b/>
          <w:i w:val="0"/>
          <w:color w:val="000000" w:themeColor="text1"/>
          <w:sz w:val="20"/>
          <w:szCs w:val="20"/>
        </w:rPr>
        <w:instrText xml:space="preserve"> SEQ Figura \* ARABIC </w:instrText>
      </w:r>
      <w:r w:rsidRPr="00CE365D">
        <w:rPr>
          <w:rFonts w:ascii="Garamond" w:hAnsi="Garamond"/>
          <w:b/>
          <w:i w:val="0"/>
          <w:color w:val="000000" w:themeColor="text1"/>
          <w:sz w:val="20"/>
          <w:szCs w:val="20"/>
        </w:rPr>
        <w:fldChar w:fldCharType="separate"/>
      </w:r>
      <w:r w:rsidRPr="00CE365D">
        <w:rPr>
          <w:rFonts w:ascii="Garamond" w:hAnsi="Garamond"/>
          <w:b/>
          <w:i w:val="0"/>
          <w:color w:val="000000" w:themeColor="text1"/>
          <w:sz w:val="20"/>
          <w:szCs w:val="20"/>
        </w:rPr>
        <w:t>7</w:t>
      </w:r>
      <w:r w:rsidRPr="00CE365D">
        <w:rPr>
          <w:rFonts w:ascii="Garamond" w:hAnsi="Garamond"/>
          <w:b/>
          <w:i w:val="0"/>
          <w:color w:val="000000" w:themeColor="text1"/>
          <w:sz w:val="20"/>
          <w:szCs w:val="20"/>
        </w:rPr>
        <w:fldChar w:fldCharType="end"/>
      </w:r>
      <w:r w:rsidRPr="00CE365D">
        <w:rPr>
          <w:rFonts w:ascii="Garamond" w:hAnsi="Garamond"/>
          <w:b/>
          <w:i w:val="0"/>
          <w:color w:val="000000" w:themeColor="text1"/>
          <w:sz w:val="20"/>
          <w:szCs w:val="20"/>
        </w:rPr>
        <w:t xml:space="preserve"> </w:t>
      </w:r>
      <w:r w:rsidRPr="00CE365D">
        <w:rPr>
          <w:rFonts w:ascii="Garamond" w:hAnsi="Garamond"/>
          <w:bCs/>
          <w:i w:val="0"/>
          <w:color w:val="000000" w:themeColor="text1"/>
          <w:sz w:val="20"/>
          <w:szCs w:val="20"/>
        </w:rPr>
        <w:t>- Distribuição de respostas emocionais positivas</w:t>
      </w:r>
      <w:bookmarkEnd w:id="67"/>
    </w:p>
    <w:p w:rsidR="00DC11BE" w:rsidRPr="0094770E" w:rsidRDefault="00DC11BE" w:rsidP="003A4860">
      <w:pPr>
        <w:pStyle w:val="CTITULO"/>
        <w:keepNext/>
        <w:spacing w:line="240" w:lineRule="auto"/>
      </w:pPr>
      <w:r w:rsidRPr="0094770E">
        <w:rPr>
          <w:noProof/>
          <w:lang w:eastAsia="pt-PT"/>
        </w:rPr>
        <mc:AlternateContent>
          <mc:Choice Requires="wps">
            <w:drawing>
              <wp:anchor distT="0" distB="0" distL="114300" distR="114300" simplePos="0" relativeHeight="251665408" behindDoc="0" locked="0" layoutInCell="1" allowOverlap="1" wp14:anchorId="791E26C1" wp14:editId="14C1AFC1">
                <wp:simplePos x="0" y="0"/>
                <wp:positionH relativeFrom="column">
                  <wp:posOffset>596900</wp:posOffset>
                </wp:positionH>
                <wp:positionV relativeFrom="paragraph">
                  <wp:posOffset>1958340</wp:posOffset>
                </wp:positionV>
                <wp:extent cx="200025" cy="152400"/>
                <wp:effectExtent l="19050" t="19050" r="66675" b="38100"/>
                <wp:wrapNone/>
                <wp:docPr id="16" name="Conexão reta unidirecional 31"/>
                <wp:cNvGraphicFramePr/>
                <a:graphic xmlns:a="http://schemas.openxmlformats.org/drawingml/2006/main">
                  <a:graphicData uri="http://schemas.microsoft.com/office/word/2010/wordprocessingShape">
                    <wps:wsp>
                      <wps:cNvCnPr/>
                      <wps:spPr>
                        <a:xfrm>
                          <a:off x="0" y="0"/>
                          <a:ext cx="200025" cy="152400"/>
                        </a:xfrm>
                        <a:prstGeom prst="straightConnector1">
                          <a:avLst/>
                        </a:prstGeom>
                        <a:ln w="38100">
                          <a:solidFill>
                            <a:schemeClr val="tx1"/>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3B6AAC85" id="_x0000_t32" coordsize="21600,21600" o:spt="32" o:oned="t" path="m,l21600,21600e" filled="f">
                <v:path arrowok="t" fillok="f" o:connecttype="none"/>
                <o:lock v:ext="edit" shapetype="t"/>
              </v:shapetype>
              <v:shape id="Conexão reta unidirecional 31" o:spid="_x0000_s1026" type="#_x0000_t32" style="position:absolute;margin-left:47pt;margin-top:154.2pt;width:15.75pt;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" strokecolor="black [3213]" strokeweight="3pt">
                <v:stroke endarrow="block" joinstyle="miter"/>
              </v:shape>
            </w:pict>
          </mc:Fallback>
        </mc:AlternateContent>
      </w:r>
      <w:r w:rsidRPr="0094770E">
        <w:rPr>
          <w:noProof/>
          <w:lang w:eastAsia="pt-PT"/>
        </w:rPr>
        <w:drawing>
          <wp:inline distT="0" distB="0" distL="0" distR="0" wp14:anchorId="6580397B" wp14:editId="032A10A2">
            <wp:extent cx="5473700" cy="3022600"/>
            <wp:effectExtent l="0" t="0" r="12700" b="1270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62447" w:rsidRPr="003A4860" w:rsidRDefault="00862447" w:rsidP="003A4860">
      <w:pPr>
        <w:pStyle w:val="Legenda"/>
        <w:spacing w:before="120" w:after="120"/>
        <w:rPr>
          <w:rFonts w:ascii="Garamond" w:hAnsi="Garamond"/>
          <w:b/>
          <w:i w:val="0"/>
          <w:color w:val="000000" w:themeColor="text1"/>
          <w:sz w:val="20"/>
          <w:szCs w:val="20"/>
        </w:rPr>
      </w:pPr>
      <w:r w:rsidRPr="00CE365D">
        <w:rPr>
          <w:rFonts w:ascii="Garamond" w:hAnsi="Garamond"/>
          <w:b/>
          <w:i w:val="0"/>
          <w:color w:val="000000" w:themeColor="text1"/>
          <w:sz w:val="20"/>
          <w:szCs w:val="20"/>
        </w:rPr>
        <w:t xml:space="preserve">Fonte: </w:t>
      </w:r>
      <w:r w:rsidRPr="00CE365D">
        <w:rPr>
          <w:rFonts w:ascii="Garamond" w:hAnsi="Garamond"/>
          <w:bCs/>
          <w:i w:val="0"/>
          <w:color w:val="000000" w:themeColor="text1"/>
          <w:sz w:val="20"/>
          <w:szCs w:val="20"/>
        </w:rPr>
        <w:t>Elaboração própria.</w:t>
      </w:r>
    </w:p>
    <w:p w:rsidR="00DC11BE" w:rsidRPr="0094770E" w:rsidRDefault="00DC11BE" w:rsidP="004E3707">
      <w:pPr>
        <w:pStyle w:val="CTITULO"/>
        <w:rPr>
          <w:rFonts w:ascii="Garamond" w:hAnsi="Garamond"/>
          <w:b w:val="0"/>
        </w:rPr>
      </w:pPr>
    </w:p>
    <w:p w:rsidR="00DC11BE" w:rsidRPr="0094770E" w:rsidRDefault="00DC11BE" w:rsidP="007C204C">
      <w:pPr>
        <w:pStyle w:val="CorpoTexto"/>
      </w:pPr>
      <w:r w:rsidRPr="0094770E">
        <w:t>No que respeita a respostas emocionais negativas, destacam-se as variáveis Desanimado (Bastante: 15% e Extremamente: 4%), Surpreendido (Bastante: 15% e Extremamente: 4.8%), Zangado (Bastante: 15% e Extremamente: 6%) e Desrespeito (Bastante:5% e Extremamente 4.8%).</w:t>
      </w:r>
    </w:p>
    <w:p w:rsidR="00DC11BE" w:rsidRPr="0094770E" w:rsidRDefault="00DC11BE" w:rsidP="007C204C">
      <w:pPr>
        <w:pStyle w:val="CorpoTexto"/>
      </w:pPr>
      <w:r w:rsidRPr="0094770E">
        <w:lastRenderedPageBreak/>
        <w:t>Dos inquiridos que responderam de forma negativa a estas variáveis, a maioria tem o ensino secundário (ao contrário do que se verifica nas habilitações dos inquiridos com respostas mais positivas), têm entre os 26 e os 35 anos e são do sexo feminino, o que reflete a amostra.</w:t>
      </w:r>
    </w:p>
    <w:p w:rsidR="003A4860" w:rsidRDefault="00DC11BE" w:rsidP="007C204C">
      <w:pPr>
        <w:pStyle w:val="CorpoTexto"/>
      </w:pPr>
      <w:r w:rsidRPr="0094770E">
        <w:t xml:space="preserve">As variáveis que assumem menor destaque no âmbito de resposta emocional negativa </w:t>
      </w:r>
      <w:proofErr w:type="gramStart"/>
      <w:r w:rsidRPr="0094770E">
        <w:t>são Trémulo, Amedrontado, Culpado, Tímido, Cansado e Rejeitado</w:t>
      </w:r>
      <w:proofErr w:type="gramEnd"/>
      <w:r w:rsidRPr="0094770E">
        <w:t>.</w:t>
      </w:r>
    </w:p>
    <w:p w:rsidR="003A4860" w:rsidRPr="006425F7" w:rsidRDefault="003A4860" w:rsidP="006425F7">
      <w:pPr>
        <w:pStyle w:val="CorpoTexto"/>
      </w:pPr>
    </w:p>
    <w:p w:rsidR="00DC11BE" w:rsidRPr="003A4860" w:rsidRDefault="003A4860" w:rsidP="003A4860">
      <w:pPr>
        <w:pStyle w:val="CorpoTexto"/>
        <w:spacing w:line="240" w:lineRule="auto"/>
      </w:pPr>
      <w:r w:rsidRPr="003A4860">
        <w:rPr>
          <w:b/>
          <w:color w:val="000000" w:themeColor="text1"/>
          <w:sz w:val="20"/>
          <w:szCs w:val="20"/>
        </w:rPr>
        <w:t xml:space="preserve"> </w:t>
      </w:r>
      <w:bookmarkStart w:id="68" w:name="_Toc46677156"/>
      <w:r w:rsidRPr="003A4860">
        <w:rPr>
          <w:b/>
          <w:color w:val="000000" w:themeColor="text1"/>
          <w:sz w:val="20"/>
          <w:szCs w:val="20"/>
        </w:rPr>
        <w:t xml:space="preserve">Figura </w:t>
      </w:r>
      <w:r w:rsidRPr="003A4860">
        <w:rPr>
          <w:b/>
          <w:color w:val="000000" w:themeColor="text1"/>
          <w:sz w:val="20"/>
          <w:szCs w:val="20"/>
        </w:rPr>
        <w:fldChar w:fldCharType="begin"/>
      </w:r>
      <w:r w:rsidRPr="003A4860">
        <w:rPr>
          <w:b/>
          <w:color w:val="000000" w:themeColor="text1"/>
          <w:sz w:val="20"/>
          <w:szCs w:val="20"/>
        </w:rPr>
        <w:instrText xml:space="preserve"> SEQ Figura \* ARABIC </w:instrText>
      </w:r>
      <w:r w:rsidRPr="003A4860">
        <w:rPr>
          <w:b/>
          <w:color w:val="000000" w:themeColor="text1"/>
          <w:sz w:val="20"/>
          <w:szCs w:val="20"/>
        </w:rPr>
        <w:fldChar w:fldCharType="separate"/>
      </w:r>
      <w:r w:rsidRPr="003A4860">
        <w:rPr>
          <w:b/>
          <w:color w:val="000000" w:themeColor="text1"/>
          <w:sz w:val="20"/>
          <w:szCs w:val="20"/>
        </w:rPr>
        <w:t>8</w:t>
      </w:r>
      <w:r w:rsidRPr="003A4860">
        <w:rPr>
          <w:b/>
          <w:color w:val="000000" w:themeColor="text1"/>
          <w:sz w:val="20"/>
          <w:szCs w:val="20"/>
        </w:rPr>
        <w:fldChar w:fldCharType="end"/>
      </w:r>
      <w:r w:rsidRPr="003A4860">
        <w:rPr>
          <w:b/>
          <w:color w:val="000000" w:themeColor="text1"/>
          <w:sz w:val="20"/>
          <w:szCs w:val="20"/>
        </w:rPr>
        <w:t xml:space="preserve"> </w:t>
      </w:r>
      <w:r w:rsidRPr="003A4860">
        <w:rPr>
          <w:bCs/>
          <w:color w:val="000000" w:themeColor="text1"/>
          <w:sz w:val="20"/>
          <w:szCs w:val="20"/>
        </w:rPr>
        <w:t>- Distribuição de respostas emocionais negativas</w:t>
      </w:r>
      <w:bookmarkEnd w:id="68"/>
    </w:p>
    <w:p w:rsidR="00AC1306" w:rsidRPr="00CE365D" w:rsidRDefault="00DC11BE" w:rsidP="00636D2C">
      <w:pPr>
        <w:pStyle w:val="Legenda"/>
        <w:spacing w:after="0"/>
        <w:rPr>
          <w:rFonts w:ascii="Garamond" w:hAnsi="Garamond"/>
          <w:b/>
          <w:i w:val="0"/>
          <w:color w:val="000000" w:themeColor="text1"/>
          <w:sz w:val="20"/>
          <w:szCs w:val="20"/>
        </w:rPr>
      </w:pPr>
      <w:r w:rsidRPr="00CE365D">
        <w:rPr>
          <w:b/>
          <w:i w:val="0"/>
          <w:iCs w:val="0"/>
          <w:noProof/>
          <w:lang w:eastAsia="pt-PT"/>
        </w:rPr>
        <w:drawing>
          <wp:inline distT="0" distB="0" distL="0" distR="0" wp14:anchorId="4314FD66">
            <wp:extent cx="5295900" cy="3810000"/>
            <wp:effectExtent l="0" t="0" r="12700" b="1270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62447" w:rsidRPr="00CE365D" w:rsidRDefault="00862447" w:rsidP="00636D2C">
      <w:pPr>
        <w:pStyle w:val="Legenda"/>
        <w:spacing w:before="120" w:after="120"/>
        <w:rPr>
          <w:rFonts w:ascii="Garamond" w:hAnsi="Garamond"/>
          <w:bCs/>
          <w:i w:val="0"/>
          <w:color w:val="000000" w:themeColor="text1"/>
          <w:sz w:val="20"/>
          <w:szCs w:val="20"/>
        </w:rPr>
      </w:pPr>
      <w:r w:rsidRPr="00CE365D">
        <w:rPr>
          <w:rFonts w:ascii="Garamond" w:hAnsi="Garamond"/>
          <w:b/>
          <w:i w:val="0"/>
          <w:color w:val="000000" w:themeColor="text1"/>
          <w:sz w:val="20"/>
          <w:szCs w:val="20"/>
        </w:rPr>
        <w:t xml:space="preserve">Fonte: </w:t>
      </w:r>
      <w:r w:rsidRPr="00CE365D">
        <w:rPr>
          <w:rFonts w:ascii="Garamond" w:hAnsi="Garamond"/>
          <w:bCs/>
          <w:i w:val="0"/>
          <w:color w:val="000000" w:themeColor="text1"/>
          <w:sz w:val="20"/>
          <w:szCs w:val="20"/>
        </w:rPr>
        <w:t>Elaboração própria.</w:t>
      </w:r>
    </w:p>
    <w:p w:rsidR="00AC1306" w:rsidRPr="006425F7" w:rsidRDefault="00AC1306" w:rsidP="006425F7">
      <w:pPr>
        <w:pStyle w:val="CorpoTexto"/>
      </w:pPr>
    </w:p>
    <w:p w:rsidR="00DC11BE" w:rsidRPr="007C204C" w:rsidRDefault="00DC11BE" w:rsidP="00A32A19">
      <w:pPr>
        <w:pStyle w:val="Nvel2"/>
      </w:pPr>
      <w:bookmarkStart w:id="69" w:name="_Toc37177065"/>
      <w:bookmarkStart w:id="70" w:name="_Toc46678986"/>
      <w:proofErr w:type="spellStart"/>
      <w:r w:rsidRPr="007C204C">
        <w:t>Análise</w:t>
      </w:r>
      <w:proofErr w:type="spellEnd"/>
      <w:r w:rsidRPr="007C204C">
        <w:t xml:space="preserve"> </w:t>
      </w:r>
      <w:proofErr w:type="spellStart"/>
      <w:r w:rsidRPr="007C204C">
        <w:t>Fatorial</w:t>
      </w:r>
      <w:bookmarkEnd w:id="69"/>
      <w:bookmarkEnd w:id="70"/>
      <w:proofErr w:type="spellEnd"/>
    </w:p>
    <w:p w:rsidR="00DC11BE" w:rsidRPr="0094770E" w:rsidRDefault="00DC11BE" w:rsidP="007C204C">
      <w:pPr>
        <w:pStyle w:val="CorpoTexto"/>
        <w:rPr>
          <w:rFonts w:cs="Times New Roman"/>
        </w:rPr>
      </w:pPr>
      <w:r w:rsidRPr="0094770E">
        <w:rPr>
          <w:rFonts w:cs="Times New Roman"/>
        </w:rPr>
        <w:t xml:space="preserve">A análise fatorial é uma técnica de análise exploratória que tem por objetivo descobrir e analisar a estrutura de um conjunto de variáveis interrelacionadas de modo a construir uma escala de medida para fatores que de alguma forma controlam as variáveis originais. Assim, a análise fatorial observa configurações referidas com covariâncias, onde o erro da variância é omisso, isto é, este apenas se encontra disponível para análise da variância que as variáveis observadas partilham entre si, pelo que o seu objetivo passa essencialmente por reproduzir </w:t>
      </w:r>
      <w:r w:rsidRPr="0094770E">
        <w:rPr>
          <w:rFonts w:cs="Times New Roman"/>
        </w:rPr>
        <w:lastRenderedPageBreak/>
        <w:t xml:space="preserve">a matriz de correlações com menor número de fatores ortogonais e, deste modo, nem todas as soluções apresentadas são únicas. Por conseguinte, a análise fatorial é mais adequada para estudos teóricos que não sejam contaminados por erros de variância, como são, por exemplo, encontrar dimensões associadas aos itens de uma escala de satisfação e motivação </w:t>
      </w:r>
      <w:r w:rsidRPr="0094770E">
        <w:rPr>
          <w:rFonts w:cs="Times New Roman"/>
          <w:noProof/>
        </w:rPr>
        <w:t>(L. Martinez &amp; Ferreira, 2008)</w:t>
      </w:r>
      <w:r w:rsidRPr="0094770E">
        <w:rPr>
          <w:rFonts w:cs="Times New Roman"/>
        </w:rPr>
        <w:t xml:space="preserve">. </w:t>
      </w:r>
    </w:p>
    <w:p w:rsidR="00DC11BE" w:rsidRPr="0094770E" w:rsidRDefault="00DC11BE" w:rsidP="007C204C">
      <w:pPr>
        <w:pStyle w:val="CorpoTexto"/>
        <w:rPr>
          <w:rFonts w:cs="Times New Roman"/>
        </w:rPr>
      </w:pPr>
      <w:r w:rsidRPr="0094770E">
        <w:rPr>
          <w:rFonts w:cs="Times New Roman"/>
        </w:rPr>
        <w:t>Desta forma, para fazer a análise dos 15 itens iniciais da motivação, foi em primeiro lugar avaliada a possibilidade de execução da referida análise, tendo sido usado para o efeito o teste KMO (</w:t>
      </w:r>
      <w:proofErr w:type="spellStart"/>
      <w:r w:rsidRPr="0094770E">
        <w:rPr>
          <w:rFonts w:cs="Times New Roman"/>
        </w:rPr>
        <w:t>Keiser-Meyer-Olkin</w:t>
      </w:r>
      <w:proofErr w:type="spellEnd"/>
      <w:r w:rsidRPr="0094770E">
        <w:rPr>
          <w:rFonts w:cs="Times New Roman"/>
        </w:rPr>
        <w:t xml:space="preserve">). A medida de adequação da amostra KMO pode ser calculada para variáveis individuais e múltiplas e reproduz a razão da correlação ao quadrado para a correlação parcial ao quadrado entre variáveis. A sua estatística varia entre o valor 0 (zero) e 1 (um), sendo que 0 refere que a soma de correlações parciais é elevada em relação à soma das correlações sugerindo difusão no padrão de correlações, ou seja a análise de fatores provavelmente é desajustado e, valores próximos do 1 referem padrões de correlações relativamente compactos, pelo que a análise da fatores deve estimar valores distintos e confiáveis. Por conseguinte, </w:t>
      </w:r>
      <w:r w:rsidRPr="0094770E">
        <w:rPr>
          <w:rFonts w:cs="Times New Roman"/>
          <w:noProof/>
        </w:rPr>
        <w:t>Kaiser (1974)</w:t>
      </w:r>
      <w:r w:rsidRPr="0094770E">
        <w:rPr>
          <w:rFonts w:cs="Times New Roman"/>
        </w:rPr>
        <w:t xml:space="preserve"> sugere valores superiores a 0,5 como aceitáveis, ou seja, números inferiores devem obrigar à nova recolha de dados ou repensar as variáveis a incluir. No entanto, valores entre 0,5 e 0,7 são sofríveis, entre 0,7 e 0,8 são bons, entre 0,8 e 0,9 são ótimos e valores superiores a 0,9 são excelentes </w:t>
      </w:r>
      <w:r w:rsidRPr="0094770E">
        <w:rPr>
          <w:rFonts w:cs="Times New Roman"/>
          <w:noProof/>
        </w:rPr>
        <w:t>(Field, 2009; Hutcheson &amp; Sofroniou, 1999)</w:t>
      </w:r>
      <w:r w:rsidRPr="0094770E">
        <w:rPr>
          <w:rFonts w:cs="Times New Roman"/>
        </w:rPr>
        <w:t xml:space="preserve">.    </w:t>
      </w:r>
    </w:p>
    <w:p w:rsidR="00DC11BE" w:rsidRPr="0094770E" w:rsidRDefault="00DC11BE" w:rsidP="006425F7">
      <w:pPr>
        <w:pStyle w:val="CorpoTexto"/>
      </w:pPr>
    </w:p>
    <w:p w:rsidR="00862447" w:rsidRPr="00636D2C" w:rsidRDefault="00DC11BE" w:rsidP="00636D2C">
      <w:pPr>
        <w:pStyle w:val="Legenda"/>
        <w:keepNext/>
        <w:spacing w:after="120"/>
        <w:rPr>
          <w:rFonts w:ascii="Garamond" w:hAnsi="Garamond"/>
          <w:i w:val="0"/>
          <w:color w:val="auto"/>
          <w:sz w:val="20"/>
          <w:szCs w:val="20"/>
        </w:rPr>
      </w:pPr>
      <w:bookmarkStart w:id="71" w:name="_Toc46677132"/>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15</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Teste KMO de validade da análise fatorial.</w:t>
      </w:r>
      <w:bookmarkEnd w:id="71"/>
    </w:p>
    <w:tbl>
      <w:tblPr>
        <w:tblW w:w="0" w:type="auto"/>
        <w:jc w:val="center"/>
        <w:tblLook w:val="01E0" w:firstRow="1" w:lastRow="1" w:firstColumn="1" w:lastColumn="1" w:noHBand="0" w:noVBand="0"/>
      </w:tblPr>
      <w:tblGrid>
        <w:gridCol w:w="4235"/>
        <w:gridCol w:w="4258"/>
      </w:tblGrid>
      <w:tr w:rsidR="00DC11BE" w:rsidRPr="00182811" w:rsidTr="004E3707">
        <w:trPr>
          <w:jc w:val="center"/>
        </w:trPr>
        <w:tc>
          <w:tcPr>
            <w:tcW w:w="4235" w:type="dxa"/>
            <w:tcBorders>
              <w:bottom w:val="single" w:sz="12" w:space="0" w:color="auto"/>
            </w:tcBorders>
          </w:tcPr>
          <w:p w:rsidR="00DC11BE" w:rsidRPr="00182811" w:rsidRDefault="00DC11BE" w:rsidP="004E3707">
            <w:pPr>
              <w:spacing w:line="240" w:lineRule="auto"/>
              <w:rPr>
                <w:rFonts w:ascii="Garamond" w:hAnsi="Garamond" w:cs="Times New Roman"/>
                <w:b/>
                <w:sz w:val="24"/>
                <w:szCs w:val="24"/>
              </w:rPr>
            </w:pPr>
            <w:r w:rsidRPr="00182811">
              <w:rPr>
                <w:rFonts w:ascii="Garamond" w:hAnsi="Garamond" w:cs="Times New Roman"/>
                <w:b/>
                <w:sz w:val="24"/>
                <w:szCs w:val="24"/>
              </w:rPr>
              <w:t>KMO</w:t>
            </w:r>
          </w:p>
        </w:tc>
        <w:tc>
          <w:tcPr>
            <w:tcW w:w="4258" w:type="dxa"/>
            <w:tcBorders>
              <w:bottom w:val="single" w:sz="12" w:space="0" w:color="auto"/>
            </w:tcBorders>
          </w:tcPr>
          <w:p w:rsidR="00DC11BE" w:rsidRPr="00182811" w:rsidRDefault="00DC11BE" w:rsidP="004E3707">
            <w:pPr>
              <w:spacing w:line="240" w:lineRule="auto"/>
              <w:jc w:val="right"/>
              <w:rPr>
                <w:rFonts w:ascii="Garamond" w:hAnsi="Garamond" w:cs="Times New Roman"/>
                <w:b/>
                <w:sz w:val="24"/>
                <w:szCs w:val="24"/>
              </w:rPr>
            </w:pPr>
            <w:r w:rsidRPr="00182811">
              <w:rPr>
                <w:rFonts w:ascii="Garamond" w:hAnsi="Garamond" w:cs="Times New Roman"/>
                <w:b/>
                <w:sz w:val="24"/>
                <w:szCs w:val="24"/>
              </w:rPr>
              <w:t>Análise de componentes principais</w:t>
            </w:r>
          </w:p>
        </w:tc>
      </w:tr>
      <w:tr w:rsidR="00DC11BE" w:rsidRPr="00182811" w:rsidTr="004E3707">
        <w:trPr>
          <w:jc w:val="center"/>
        </w:trPr>
        <w:tc>
          <w:tcPr>
            <w:tcW w:w="4235" w:type="dxa"/>
            <w:tcBorders>
              <w:top w:val="single" w:sz="12" w:space="0" w:color="auto"/>
            </w:tcBorders>
          </w:tcPr>
          <w:p w:rsidR="00DC11BE" w:rsidRPr="00182811" w:rsidRDefault="00DC11BE" w:rsidP="004E3707">
            <w:pPr>
              <w:spacing w:line="240" w:lineRule="auto"/>
              <w:rPr>
                <w:rFonts w:ascii="Garamond" w:hAnsi="Garamond" w:cs="Times New Roman"/>
                <w:sz w:val="24"/>
                <w:szCs w:val="24"/>
              </w:rPr>
            </w:pPr>
            <w:r w:rsidRPr="00182811">
              <w:rPr>
                <w:rFonts w:ascii="Garamond" w:hAnsi="Garamond" w:cs="Times New Roman"/>
                <w:sz w:val="24"/>
                <w:szCs w:val="24"/>
              </w:rPr>
              <w:t>1 – 0.90</w:t>
            </w:r>
          </w:p>
        </w:tc>
        <w:tc>
          <w:tcPr>
            <w:tcW w:w="4258" w:type="dxa"/>
            <w:tcBorders>
              <w:top w:val="single" w:sz="12" w:space="0" w:color="auto"/>
            </w:tcBorders>
            <w:vAlign w:val="center"/>
          </w:tcPr>
          <w:p w:rsidR="00DC11BE" w:rsidRPr="00182811" w:rsidRDefault="00DC11BE" w:rsidP="004E3707">
            <w:pPr>
              <w:spacing w:line="240" w:lineRule="auto"/>
              <w:jc w:val="right"/>
              <w:rPr>
                <w:rFonts w:ascii="Garamond" w:hAnsi="Garamond" w:cs="Times New Roman"/>
                <w:sz w:val="24"/>
                <w:szCs w:val="24"/>
              </w:rPr>
            </w:pPr>
            <w:r w:rsidRPr="00182811">
              <w:rPr>
                <w:rFonts w:ascii="Garamond" w:hAnsi="Garamond" w:cs="Times New Roman"/>
                <w:sz w:val="24"/>
                <w:szCs w:val="24"/>
              </w:rPr>
              <w:t>Muito boa</w:t>
            </w:r>
          </w:p>
        </w:tc>
      </w:tr>
      <w:tr w:rsidR="00DC11BE" w:rsidRPr="00182811" w:rsidTr="004E3707">
        <w:trPr>
          <w:jc w:val="center"/>
        </w:trPr>
        <w:tc>
          <w:tcPr>
            <w:tcW w:w="4235" w:type="dxa"/>
          </w:tcPr>
          <w:p w:rsidR="00DC11BE" w:rsidRPr="00182811" w:rsidRDefault="00DC11BE" w:rsidP="004E3707">
            <w:pPr>
              <w:spacing w:line="240" w:lineRule="auto"/>
              <w:rPr>
                <w:rFonts w:ascii="Garamond" w:hAnsi="Garamond" w:cs="Times New Roman"/>
                <w:sz w:val="24"/>
                <w:szCs w:val="24"/>
              </w:rPr>
            </w:pPr>
            <w:r w:rsidRPr="00182811">
              <w:rPr>
                <w:rFonts w:ascii="Garamond" w:hAnsi="Garamond" w:cs="Times New Roman"/>
                <w:sz w:val="24"/>
                <w:szCs w:val="24"/>
              </w:rPr>
              <w:t>0.80 – 0.90</w:t>
            </w:r>
          </w:p>
        </w:tc>
        <w:tc>
          <w:tcPr>
            <w:tcW w:w="4258" w:type="dxa"/>
            <w:vAlign w:val="center"/>
          </w:tcPr>
          <w:p w:rsidR="00DC11BE" w:rsidRPr="00182811" w:rsidRDefault="00DC11BE" w:rsidP="004E3707">
            <w:pPr>
              <w:spacing w:line="240" w:lineRule="auto"/>
              <w:jc w:val="right"/>
              <w:rPr>
                <w:rFonts w:ascii="Garamond" w:hAnsi="Garamond" w:cs="Times New Roman"/>
                <w:sz w:val="24"/>
                <w:szCs w:val="24"/>
              </w:rPr>
            </w:pPr>
            <w:r w:rsidRPr="00182811">
              <w:rPr>
                <w:rFonts w:ascii="Garamond" w:hAnsi="Garamond" w:cs="Times New Roman"/>
                <w:sz w:val="24"/>
                <w:szCs w:val="24"/>
              </w:rPr>
              <w:t>Boa</w:t>
            </w:r>
          </w:p>
        </w:tc>
      </w:tr>
      <w:tr w:rsidR="00DC11BE" w:rsidRPr="00182811" w:rsidTr="004E3707">
        <w:trPr>
          <w:jc w:val="center"/>
        </w:trPr>
        <w:tc>
          <w:tcPr>
            <w:tcW w:w="4235" w:type="dxa"/>
          </w:tcPr>
          <w:p w:rsidR="00DC11BE" w:rsidRPr="00182811" w:rsidRDefault="00DC11BE" w:rsidP="004E3707">
            <w:pPr>
              <w:spacing w:line="240" w:lineRule="auto"/>
              <w:rPr>
                <w:rFonts w:ascii="Garamond" w:hAnsi="Garamond" w:cs="Times New Roman"/>
                <w:sz w:val="24"/>
                <w:szCs w:val="24"/>
              </w:rPr>
            </w:pPr>
            <w:r w:rsidRPr="00182811">
              <w:rPr>
                <w:rFonts w:ascii="Garamond" w:hAnsi="Garamond" w:cs="Times New Roman"/>
                <w:sz w:val="24"/>
                <w:szCs w:val="24"/>
              </w:rPr>
              <w:t>0.70 – 0.80</w:t>
            </w:r>
          </w:p>
        </w:tc>
        <w:tc>
          <w:tcPr>
            <w:tcW w:w="4258" w:type="dxa"/>
            <w:vAlign w:val="center"/>
          </w:tcPr>
          <w:p w:rsidR="00DC11BE" w:rsidRPr="00182811" w:rsidRDefault="00DC11BE" w:rsidP="004E3707">
            <w:pPr>
              <w:spacing w:line="240" w:lineRule="auto"/>
              <w:jc w:val="right"/>
              <w:rPr>
                <w:rFonts w:ascii="Garamond" w:hAnsi="Garamond" w:cs="Times New Roman"/>
                <w:sz w:val="24"/>
                <w:szCs w:val="24"/>
              </w:rPr>
            </w:pPr>
            <w:r w:rsidRPr="00182811">
              <w:rPr>
                <w:rFonts w:ascii="Garamond" w:hAnsi="Garamond" w:cs="Times New Roman"/>
                <w:sz w:val="24"/>
                <w:szCs w:val="24"/>
              </w:rPr>
              <w:t>Média</w:t>
            </w:r>
          </w:p>
        </w:tc>
      </w:tr>
      <w:tr w:rsidR="00DC11BE" w:rsidRPr="00182811" w:rsidTr="004E3707">
        <w:trPr>
          <w:jc w:val="center"/>
        </w:trPr>
        <w:tc>
          <w:tcPr>
            <w:tcW w:w="4235" w:type="dxa"/>
          </w:tcPr>
          <w:p w:rsidR="00DC11BE" w:rsidRPr="00182811" w:rsidRDefault="00DC11BE" w:rsidP="004E3707">
            <w:pPr>
              <w:spacing w:line="240" w:lineRule="auto"/>
              <w:rPr>
                <w:rFonts w:ascii="Garamond" w:hAnsi="Garamond" w:cs="Times New Roman"/>
                <w:sz w:val="24"/>
                <w:szCs w:val="24"/>
              </w:rPr>
            </w:pPr>
            <w:r w:rsidRPr="00182811">
              <w:rPr>
                <w:rFonts w:ascii="Garamond" w:hAnsi="Garamond" w:cs="Times New Roman"/>
                <w:sz w:val="24"/>
                <w:szCs w:val="24"/>
              </w:rPr>
              <w:t>0.60 – 0.70</w:t>
            </w:r>
          </w:p>
        </w:tc>
        <w:tc>
          <w:tcPr>
            <w:tcW w:w="4258" w:type="dxa"/>
            <w:vAlign w:val="center"/>
          </w:tcPr>
          <w:p w:rsidR="00DC11BE" w:rsidRPr="00182811" w:rsidRDefault="00DC11BE" w:rsidP="004E3707">
            <w:pPr>
              <w:spacing w:line="240" w:lineRule="auto"/>
              <w:jc w:val="right"/>
              <w:rPr>
                <w:rFonts w:ascii="Garamond" w:hAnsi="Garamond" w:cs="Times New Roman"/>
                <w:sz w:val="24"/>
                <w:szCs w:val="24"/>
              </w:rPr>
            </w:pPr>
            <w:r w:rsidRPr="00182811">
              <w:rPr>
                <w:rFonts w:ascii="Garamond" w:hAnsi="Garamond" w:cs="Times New Roman"/>
                <w:sz w:val="24"/>
                <w:szCs w:val="24"/>
              </w:rPr>
              <w:t>Razoável</w:t>
            </w:r>
          </w:p>
        </w:tc>
      </w:tr>
      <w:tr w:rsidR="00DC11BE" w:rsidRPr="00182811" w:rsidTr="004E3707">
        <w:trPr>
          <w:jc w:val="center"/>
        </w:trPr>
        <w:tc>
          <w:tcPr>
            <w:tcW w:w="4235" w:type="dxa"/>
          </w:tcPr>
          <w:p w:rsidR="00DC11BE" w:rsidRPr="00182811" w:rsidRDefault="00DC11BE" w:rsidP="004E3707">
            <w:pPr>
              <w:spacing w:line="240" w:lineRule="auto"/>
              <w:rPr>
                <w:rFonts w:ascii="Garamond" w:hAnsi="Garamond" w:cs="Times New Roman"/>
                <w:sz w:val="24"/>
                <w:szCs w:val="24"/>
              </w:rPr>
            </w:pPr>
            <w:r w:rsidRPr="00182811">
              <w:rPr>
                <w:rFonts w:ascii="Garamond" w:hAnsi="Garamond" w:cs="Times New Roman"/>
                <w:sz w:val="24"/>
                <w:szCs w:val="24"/>
              </w:rPr>
              <w:t>0.50 – 0.60</w:t>
            </w:r>
          </w:p>
        </w:tc>
        <w:tc>
          <w:tcPr>
            <w:tcW w:w="4258" w:type="dxa"/>
            <w:vAlign w:val="center"/>
          </w:tcPr>
          <w:p w:rsidR="00DC11BE" w:rsidRPr="00182811" w:rsidRDefault="00DC11BE" w:rsidP="004E3707">
            <w:pPr>
              <w:spacing w:line="240" w:lineRule="auto"/>
              <w:jc w:val="right"/>
              <w:rPr>
                <w:rFonts w:ascii="Garamond" w:hAnsi="Garamond" w:cs="Times New Roman"/>
                <w:sz w:val="24"/>
                <w:szCs w:val="24"/>
              </w:rPr>
            </w:pPr>
            <w:r w:rsidRPr="00182811">
              <w:rPr>
                <w:rFonts w:ascii="Garamond" w:hAnsi="Garamond" w:cs="Times New Roman"/>
                <w:sz w:val="24"/>
                <w:szCs w:val="24"/>
              </w:rPr>
              <w:t>Má</w:t>
            </w:r>
          </w:p>
        </w:tc>
      </w:tr>
      <w:tr w:rsidR="00DC11BE" w:rsidRPr="00182811" w:rsidTr="004E3707">
        <w:trPr>
          <w:jc w:val="center"/>
        </w:trPr>
        <w:tc>
          <w:tcPr>
            <w:tcW w:w="4235" w:type="dxa"/>
            <w:tcBorders>
              <w:bottom w:val="single" w:sz="12" w:space="0" w:color="auto"/>
            </w:tcBorders>
          </w:tcPr>
          <w:p w:rsidR="00DC11BE" w:rsidRPr="00182811" w:rsidRDefault="00DC11BE" w:rsidP="004E3707">
            <w:pPr>
              <w:spacing w:line="240" w:lineRule="auto"/>
              <w:rPr>
                <w:rFonts w:ascii="Garamond" w:hAnsi="Garamond" w:cs="Times New Roman"/>
                <w:sz w:val="24"/>
                <w:szCs w:val="24"/>
              </w:rPr>
            </w:pPr>
            <w:r w:rsidRPr="00182811">
              <w:rPr>
                <w:rFonts w:ascii="Garamond" w:hAnsi="Garamond" w:cs="Times New Roman"/>
                <w:sz w:val="24"/>
                <w:szCs w:val="24"/>
              </w:rPr>
              <w:t>&lt; 0.50</w:t>
            </w:r>
          </w:p>
        </w:tc>
        <w:tc>
          <w:tcPr>
            <w:tcW w:w="4258" w:type="dxa"/>
            <w:tcBorders>
              <w:bottom w:val="single" w:sz="12" w:space="0" w:color="auto"/>
            </w:tcBorders>
            <w:vAlign w:val="center"/>
          </w:tcPr>
          <w:p w:rsidR="00DC11BE" w:rsidRPr="00182811" w:rsidRDefault="00DC11BE" w:rsidP="004E3707">
            <w:pPr>
              <w:keepNext/>
              <w:spacing w:line="240" w:lineRule="auto"/>
              <w:jc w:val="right"/>
              <w:rPr>
                <w:rFonts w:ascii="Garamond" w:hAnsi="Garamond" w:cs="Times New Roman"/>
                <w:sz w:val="24"/>
                <w:szCs w:val="24"/>
              </w:rPr>
            </w:pPr>
            <w:r w:rsidRPr="00182811">
              <w:rPr>
                <w:rFonts w:ascii="Garamond" w:hAnsi="Garamond" w:cs="Times New Roman"/>
                <w:sz w:val="24"/>
                <w:szCs w:val="24"/>
              </w:rPr>
              <w:t>Inaceitável</w:t>
            </w:r>
          </w:p>
        </w:tc>
      </w:tr>
    </w:tbl>
    <w:p w:rsidR="00636D2C" w:rsidRDefault="00636D2C" w:rsidP="00636D2C">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4E3707">
      <w:pPr>
        <w:autoSpaceDE w:val="0"/>
        <w:autoSpaceDN w:val="0"/>
        <w:adjustRightInd w:val="0"/>
        <w:spacing w:line="240" w:lineRule="auto"/>
        <w:rPr>
          <w:rFonts w:ascii="Garamond" w:hAnsi="Garamond" w:cs="Times New Roman"/>
          <w:sz w:val="24"/>
          <w:szCs w:val="24"/>
        </w:rPr>
      </w:pPr>
    </w:p>
    <w:p w:rsidR="00DC11BE" w:rsidRPr="0094770E" w:rsidRDefault="00DC11BE" w:rsidP="006425F7">
      <w:pPr>
        <w:pStyle w:val="CorpoTexto"/>
      </w:pPr>
    </w:p>
    <w:p w:rsidR="00DC11BE" w:rsidRPr="0094770E" w:rsidRDefault="00DC11BE" w:rsidP="004E3707">
      <w:pPr>
        <w:autoSpaceDE w:val="0"/>
        <w:autoSpaceDN w:val="0"/>
        <w:adjustRightInd w:val="0"/>
        <w:spacing w:line="240" w:lineRule="auto"/>
        <w:rPr>
          <w:rFonts w:ascii="Garamond" w:hAnsi="Garamond" w:cs="Times New Roman"/>
          <w:sz w:val="24"/>
          <w:szCs w:val="24"/>
        </w:rPr>
      </w:pPr>
    </w:p>
    <w:p w:rsidR="006425F7" w:rsidRDefault="006425F7">
      <w:pPr>
        <w:rPr>
          <w:rFonts w:ascii="Garamond" w:hAnsi="Garamond"/>
          <w:b/>
          <w:iCs/>
          <w:sz w:val="20"/>
          <w:szCs w:val="20"/>
        </w:rPr>
      </w:pPr>
      <w:r>
        <w:rPr>
          <w:rFonts w:ascii="Garamond" w:hAnsi="Garamond"/>
          <w:b/>
          <w:i/>
          <w:sz w:val="20"/>
          <w:szCs w:val="20"/>
        </w:rPr>
        <w:br w:type="page"/>
      </w:r>
    </w:p>
    <w:p w:rsidR="00862447" w:rsidRPr="00636D2C" w:rsidRDefault="00DC11BE" w:rsidP="00636D2C">
      <w:pPr>
        <w:pStyle w:val="Legenda"/>
        <w:keepNext/>
        <w:spacing w:after="120"/>
        <w:rPr>
          <w:rFonts w:ascii="Garamond" w:hAnsi="Garamond"/>
          <w:i w:val="0"/>
          <w:color w:val="auto"/>
          <w:sz w:val="20"/>
          <w:szCs w:val="20"/>
        </w:rPr>
      </w:pPr>
      <w:bookmarkStart w:id="72" w:name="_Toc46677133"/>
      <w:r w:rsidRPr="0094770E">
        <w:rPr>
          <w:rFonts w:ascii="Garamond" w:hAnsi="Garamond"/>
          <w:b/>
          <w:i w:val="0"/>
          <w:color w:val="auto"/>
          <w:sz w:val="20"/>
          <w:szCs w:val="20"/>
        </w:rPr>
        <w:lastRenderedPageBreak/>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16</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Teste de KMO e Bartlett</w:t>
      </w:r>
      <w:r w:rsidR="004B172D">
        <w:rPr>
          <w:rFonts w:ascii="Garamond" w:hAnsi="Garamond"/>
          <w:i w:val="0"/>
          <w:color w:val="auto"/>
          <w:sz w:val="20"/>
          <w:szCs w:val="20"/>
        </w:rPr>
        <w:t xml:space="preserve"> da variável Motivação.</w:t>
      </w:r>
      <w:bookmarkEnd w:id="72"/>
    </w:p>
    <w:tbl>
      <w:tblPr>
        <w:tblW w:w="8510" w:type="dxa"/>
        <w:tblInd w:w="-5" w:type="dxa"/>
        <w:tblLayout w:type="fixed"/>
        <w:tblCellMar>
          <w:left w:w="0" w:type="dxa"/>
          <w:right w:w="0" w:type="dxa"/>
        </w:tblCellMar>
        <w:tblLook w:val="0000" w:firstRow="0" w:lastRow="0" w:firstColumn="0" w:lastColumn="0" w:noHBand="0" w:noVBand="0"/>
      </w:tblPr>
      <w:tblGrid>
        <w:gridCol w:w="2491"/>
        <w:gridCol w:w="2491"/>
        <w:gridCol w:w="3528"/>
      </w:tblGrid>
      <w:tr w:rsidR="00DC11BE" w:rsidRPr="00182811" w:rsidTr="004E3707">
        <w:trPr>
          <w:cantSplit/>
        </w:trPr>
        <w:tc>
          <w:tcPr>
            <w:tcW w:w="4982" w:type="dxa"/>
            <w:gridSpan w:val="2"/>
            <w:tcBorders>
              <w:bottom w:val="single" w:sz="12"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b/>
                <w:color w:val="000000" w:themeColor="text1"/>
                <w:sz w:val="24"/>
                <w:szCs w:val="24"/>
              </w:rPr>
            </w:pPr>
            <w:r w:rsidRPr="00182811">
              <w:rPr>
                <w:rFonts w:ascii="Garamond" w:hAnsi="Garamond" w:cs="Arial"/>
                <w:b/>
                <w:color w:val="000000" w:themeColor="text1"/>
                <w:sz w:val="24"/>
                <w:szCs w:val="24"/>
              </w:rPr>
              <w:t>Teste de KMO e Bartlett</w:t>
            </w:r>
          </w:p>
        </w:tc>
        <w:tc>
          <w:tcPr>
            <w:tcW w:w="3528" w:type="dxa"/>
            <w:tcBorders>
              <w:bottom w:val="single" w:sz="12" w:space="0" w:color="auto"/>
            </w:tcBorders>
            <w:shd w:val="clear" w:color="auto" w:fill="auto"/>
          </w:tcPr>
          <w:p w:rsidR="00DC11BE" w:rsidRPr="00182811" w:rsidRDefault="00DC11BE" w:rsidP="004E3707">
            <w:pPr>
              <w:autoSpaceDE w:val="0"/>
              <w:autoSpaceDN w:val="0"/>
              <w:adjustRightInd w:val="0"/>
              <w:spacing w:line="320" w:lineRule="atLeast"/>
              <w:ind w:left="60" w:right="60"/>
              <w:jc w:val="right"/>
              <w:rPr>
                <w:rFonts w:ascii="Garamond" w:hAnsi="Garamond" w:cs="Arial"/>
                <w:color w:val="000000" w:themeColor="text1"/>
                <w:sz w:val="24"/>
                <w:szCs w:val="24"/>
              </w:rPr>
            </w:pPr>
          </w:p>
        </w:tc>
      </w:tr>
      <w:tr w:rsidR="00DC11BE" w:rsidRPr="00182811" w:rsidTr="004E3707">
        <w:trPr>
          <w:cantSplit/>
        </w:trPr>
        <w:tc>
          <w:tcPr>
            <w:tcW w:w="4982" w:type="dxa"/>
            <w:gridSpan w:val="2"/>
            <w:tcBorders>
              <w:top w:val="single" w:sz="12" w:space="0" w:color="auto"/>
              <w:bottom w:val="single" w:sz="8"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r w:rsidRPr="00182811">
              <w:rPr>
                <w:rFonts w:ascii="Garamond" w:hAnsi="Garamond" w:cs="Arial"/>
                <w:color w:val="000000" w:themeColor="text1"/>
                <w:sz w:val="24"/>
                <w:szCs w:val="24"/>
              </w:rPr>
              <w:t>Medida Kaiser-</w:t>
            </w:r>
            <w:proofErr w:type="spellStart"/>
            <w:r w:rsidRPr="00182811">
              <w:rPr>
                <w:rFonts w:ascii="Garamond" w:hAnsi="Garamond" w:cs="Arial"/>
                <w:color w:val="000000" w:themeColor="text1"/>
                <w:sz w:val="24"/>
                <w:szCs w:val="24"/>
              </w:rPr>
              <w:t>Meyer</w:t>
            </w:r>
            <w:proofErr w:type="spellEnd"/>
            <w:r w:rsidRPr="00182811">
              <w:rPr>
                <w:rFonts w:ascii="Garamond" w:hAnsi="Garamond" w:cs="Arial"/>
                <w:color w:val="000000" w:themeColor="text1"/>
                <w:sz w:val="24"/>
                <w:szCs w:val="24"/>
              </w:rPr>
              <w:t>-</w:t>
            </w:r>
            <w:proofErr w:type="spellStart"/>
            <w:r w:rsidRPr="00182811">
              <w:rPr>
                <w:rFonts w:ascii="Garamond" w:hAnsi="Garamond" w:cs="Arial"/>
                <w:color w:val="000000" w:themeColor="text1"/>
                <w:sz w:val="24"/>
                <w:szCs w:val="24"/>
              </w:rPr>
              <w:t>Olkin</w:t>
            </w:r>
            <w:proofErr w:type="spellEnd"/>
            <w:r w:rsidRPr="00182811">
              <w:rPr>
                <w:rFonts w:ascii="Garamond" w:hAnsi="Garamond" w:cs="Arial"/>
                <w:color w:val="000000" w:themeColor="text1"/>
                <w:sz w:val="24"/>
                <w:szCs w:val="24"/>
              </w:rPr>
              <w:t xml:space="preserve"> de adequação de amostragem.</w:t>
            </w:r>
          </w:p>
        </w:tc>
        <w:tc>
          <w:tcPr>
            <w:tcW w:w="3528" w:type="dxa"/>
            <w:tcBorders>
              <w:top w:val="single" w:sz="12" w:space="0" w:color="auto"/>
              <w:bottom w:val="single" w:sz="8" w:space="0" w:color="auto"/>
            </w:tcBorders>
            <w:shd w:val="clear" w:color="auto" w:fill="auto"/>
          </w:tcPr>
          <w:p w:rsidR="00DC11BE" w:rsidRPr="00182811" w:rsidRDefault="00DC11BE" w:rsidP="004E3707">
            <w:pPr>
              <w:autoSpaceDE w:val="0"/>
              <w:autoSpaceDN w:val="0"/>
              <w:adjustRightInd w:val="0"/>
              <w:spacing w:line="320" w:lineRule="atLeast"/>
              <w:ind w:left="60" w:right="60"/>
              <w:jc w:val="right"/>
              <w:rPr>
                <w:rFonts w:ascii="Garamond" w:hAnsi="Garamond" w:cs="Arial"/>
                <w:color w:val="000000" w:themeColor="text1"/>
                <w:sz w:val="24"/>
                <w:szCs w:val="24"/>
              </w:rPr>
            </w:pPr>
            <w:r w:rsidRPr="00182811">
              <w:rPr>
                <w:rFonts w:ascii="Garamond" w:hAnsi="Garamond" w:cs="Arial"/>
                <w:color w:val="000000" w:themeColor="text1"/>
                <w:sz w:val="24"/>
                <w:szCs w:val="24"/>
              </w:rPr>
              <w:t>,879</w:t>
            </w:r>
          </w:p>
        </w:tc>
      </w:tr>
      <w:tr w:rsidR="00DC11BE" w:rsidRPr="00182811" w:rsidTr="004E3707">
        <w:trPr>
          <w:cantSplit/>
        </w:trPr>
        <w:tc>
          <w:tcPr>
            <w:tcW w:w="2491" w:type="dxa"/>
            <w:vMerge w:val="restart"/>
            <w:tcBorders>
              <w:top w:val="single" w:sz="8"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r w:rsidRPr="00182811">
              <w:rPr>
                <w:rFonts w:ascii="Garamond" w:hAnsi="Garamond" w:cs="Arial"/>
                <w:color w:val="000000" w:themeColor="text1"/>
                <w:sz w:val="24"/>
                <w:szCs w:val="24"/>
              </w:rPr>
              <w:t>Teste de esfericidade de Bartlett</w:t>
            </w:r>
          </w:p>
        </w:tc>
        <w:tc>
          <w:tcPr>
            <w:tcW w:w="2491" w:type="dxa"/>
            <w:tcBorders>
              <w:top w:val="single" w:sz="8"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proofErr w:type="spellStart"/>
            <w:r w:rsidRPr="00182811">
              <w:rPr>
                <w:rFonts w:ascii="Garamond" w:hAnsi="Garamond" w:cs="Arial"/>
                <w:color w:val="000000" w:themeColor="text1"/>
                <w:sz w:val="24"/>
                <w:szCs w:val="24"/>
              </w:rPr>
              <w:t>Aprox</w:t>
            </w:r>
            <w:proofErr w:type="spellEnd"/>
            <w:r w:rsidRPr="00182811">
              <w:rPr>
                <w:rFonts w:ascii="Garamond" w:hAnsi="Garamond" w:cs="Arial"/>
                <w:color w:val="000000" w:themeColor="text1"/>
                <w:sz w:val="24"/>
                <w:szCs w:val="24"/>
              </w:rPr>
              <w:t>. Qui-quadrado</w:t>
            </w:r>
          </w:p>
        </w:tc>
        <w:tc>
          <w:tcPr>
            <w:tcW w:w="3528" w:type="dxa"/>
            <w:tcBorders>
              <w:top w:val="single" w:sz="8" w:space="0" w:color="auto"/>
            </w:tcBorders>
            <w:shd w:val="clear" w:color="auto" w:fill="auto"/>
          </w:tcPr>
          <w:p w:rsidR="00DC11BE" w:rsidRPr="00182811" w:rsidRDefault="00DC11BE" w:rsidP="004E3707">
            <w:pPr>
              <w:autoSpaceDE w:val="0"/>
              <w:autoSpaceDN w:val="0"/>
              <w:adjustRightInd w:val="0"/>
              <w:spacing w:line="320" w:lineRule="atLeast"/>
              <w:ind w:left="60" w:right="60"/>
              <w:jc w:val="right"/>
              <w:rPr>
                <w:rFonts w:ascii="Garamond" w:hAnsi="Garamond" w:cs="Arial"/>
                <w:color w:val="000000" w:themeColor="text1"/>
                <w:sz w:val="24"/>
                <w:szCs w:val="24"/>
              </w:rPr>
            </w:pPr>
            <w:r w:rsidRPr="00182811">
              <w:rPr>
                <w:rFonts w:ascii="Garamond" w:hAnsi="Garamond" w:cs="Arial"/>
                <w:color w:val="000000" w:themeColor="text1"/>
                <w:sz w:val="24"/>
                <w:szCs w:val="24"/>
              </w:rPr>
              <w:t>1774,365</w:t>
            </w:r>
          </w:p>
        </w:tc>
      </w:tr>
      <w:tr w:rsidR="00DC11BE" w:rsidRPr="00182811" w:rsidTr="004E3707">
        <w:trPr>
          <w:cantSplit/>
        </w:trPr>
        <w:tc>
          <w:tcPr>
            <w:tcW w:w="2491" w:type="dxa"/>
            <w:vMerge/>
            <w:shd w:val="clear" w:color="auto" w:fill="auto"/>
          </w:tcPr>
          <w:p w:rsidR="00DC11BE" w:rsidRPr="00182811" w:rsidRDefault="00DC11BE" w:rsidP="004E3707">
            <w:pPr>
              <w:autoSpaceDE w:val="0"/>
              <w:autoSpaceDN w:val="0"/>
              <w:adjustRightInd w:val="0"/>
              <w:spacing w:line="240" w:lineRule="auto"/>
              <w:rPr>
                <w:rFonts w:ascii="Garamond" w:hAnsi="Garamond" w:cs="Arial"/>
                <w:color w:val="000000" w:themeColor="text1"/>
                <w:sz w:val="24"/>
                <w:szCs w:val="24"/>
              </w:rPr>
            </w:pPr>
          </w:p>
        </w:tc>
        <w:tc>
          <w:tcPr>
            <w:tcW w:w="2491" w:type="dxa"/>
            <w:shd w:val="clear" w:color="auto" w:fill="auto"/>
          </w:tcPr>
          <w:p w:rsidR="00DC11BE" w:rsidRPr="00182811" w:rsidRDefault="003C0D94" w:rsidP="004E3707">
            <w:pPr>
              <w:autoSpaceDE w:val="0"/>
              <w:autoSpaceDN w:val="0"/>
              <w:adjustRightInd w:val="0"/>
              <w:spacing w:line="320" w:lineRule="atLeast"/>
              <w:ind w:left="60" w:right="60"/>
              <w:rPr>
                <w:rFonts w:ascii="Garamond" w:hAnsi="Garamond" w:cs="Arial"/>
                <w:color w:val="000000" w:themeColor="text1"/>
                <w:sz w:val="24"/>
                <w:szCs w:val="24"/>
              </w:rPr>
            </w:pPr>
            <w:proofErr w:type="spellStart"/>
            <w:r w:rsidRPr="00182811">
              <w:rPr>
                <w:rFonts w:ascii="Garamond" w:hAnsi="Garamond" w:cs="Arial"/>
                <w:color w:val="000000" w:themeColor="text1"/>
                <w:sz w:val="24"/>
                <w:szCs w:val="24"/>
              </w:rPr>
              <w:t>G</w:t>
            </w:r>
            <w:r w:rsidR="00DC11BE" w:rsidRPr="00182811">
              <w:rPr>
                <w:rFonts w:ascii="Garamond" w:hAnsi="Garamond" w:cs="Arial"/>
                <w:color w:val="000000" w:themeColor="text1"/>
                <w:sz w:val="24"/>
                <w:szCs w:val="24"/>
              </w:rPr>
              <w:t>l</w:t>
            </w:r>
            <w:proofErr w:type="spellEnd"/>
          </w:p>
        </w:tc>
        <w:tc>
          <w:tcPr>
            <w:tcW w:w="3528" w:type="dxa"/>
            <w:shd w:val="clear" w:color="auto" w:fill="auto"/>
          </w:tcPr>
          <w:p w:rsidR="00DC11BE" w:rsidRPr="00182811" w:rsidRDefault="00DC11BE" w:rsidP="004E3707">
            <w:pPr>
              <w:autoSpaceDE w:val="0"/>
              <w:autoSpaceDN w:val="0"/>
              <w:adjustRightInd w:val="0"/>
              <w:spacing w:line="320" w:lineRule="atLeast"/>
              <w:ind w:left="60" w:right="60"/>
              <w:jc w:val="right"/>
              <w:rPr>
                <w:rFonts w:ascii="Garamond" w:hAnsi="Garamond" w:cs="Arial"/>
                <w:color w:val="000000" w:themeColor="text1"/>
                <w:sz w:val="24"/>
                <w:szCs w:val="24"/>
              </w:rPr>
            </w:pPr>
            <w:r w:rsidRPr="00182811">
              <w:rPr>
                <w:rFonts w:ascii="Garamond" w:hAnsi="Garamond" w:cs="Arial"/>
                <w:color w:val="000000" w:themeColor="text1"/>
                <w:sz w:val="24"/>
                <w:szCs w:val="24"/>
              </w:rPr>
              <w:t>105</w:t>
            </w:r>
          </w:p>
        </w:tc>
      </w:tr>
      <w:tr w:rsidR="00DC11BE" w:rsidRPr="00182811" w:rsidTr="004E3707">
        <w:trPr>
          <w:cantSplit/>
        </w:trPr>
        <w:tc>
          <w:tcPr>
            <w:tcW w:w="2491" w:type="dxa"/>
            <w:vMerge/>
            <w:tcBorders>
              <w:bottom w:val="single" w:sz="12" w:space="0" w:color="auto"/>
            </w:tcBorders>
            <w:shd w:val="clear" w:color="auto" w:fill="auto"/>
          </w:tcPr>
          <w:p w:rsidR="00DC11BE" w:rsidRPr="00182811" w:rsidRDefault="00DC11BE" w:rsidP="004E3707">
            <w:pPr>
              <w:autoSpaceDE w:val="0"/>
              <w:autoSpaceDN w:val="0"/>
              <w:adjustRightInd w:val="0"/>
              <w:spacing w:line="240" w:lineRule="auto"/>
              <w:rPr>
                <w:rFonts w:ascii="Garamond" w:hAnsi="Garamond" w:cs="Arial"/>
                <w:color w:val="000000" w:themeColor="text1"/>
                <w:sz w:val="24"/>
                <w:szCs w:val="24"/>
              </w:rPr>
            </w:pPr>
          </w:p>
        </w:tc>
        <w:tc>
          <w:tcPr>
            <w:tcW w:w="2491" w:type="dxa"/>
            <w:tcBorders>
              <w:bottom w:val="single" w:sz="12"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proofErr w:type="spellStart"/>
            <w:r w:rsidRPr="00182811">
              <w:rPr>
                <w:rFonts w:ascii="Garamond" w:hAnsi="Garamond" w:cs="Arial"/>
                <w:color w:val="000000" w:themeColor="text1"/>
                <w:sz w:val="24"/>
                <w:szCs w:val="24"/>
              </w:rPr>
              <w:t>Sig</w:t>
            </w:r>
            <w:proofErr w:type="spellEnd"/>
            <w:r w:rsidRPr="00182811">
              <w:rPr>
                <w:rFonts w:ascii="Garamond" w:hAnsi="Garamond" w:cs="Arial"/>
                <w:color w:val="000000" w:themeColor="text1"/>
                <w:sz w:val="24"/>
                <w:szCs w:val="24"/>
              </w:rPr>
              <w:t>.</w:t>
            </w:r>
          </w:p>
        </w:tc>
        <w:tc>
          <w:tcPr>
            <w:tcW w:w="3528" w:type="dxa"/>
            <w:tcBorders>
              <w:bottom w:val="single" w:sz="12" w:space="0" w:color="auto"/>
            </w:tcBorders>
            <w:shd w:val="clear" w:color="auto" w:fill="auto"/>
          </w:tcPr>
          <w:p w:rsidR="00DC11BE" w:rsidRPr="00182811" w:rsidRDefault="00DC11BE" w:rsidP="004E3707">
            <w:pPr>
              <w:keepNext/>
              <w:autoSpaceDE w:val="0"/>
              <w:autoSpaceDN w:val="0"/>
              <w:adjustRightInd w:val="0"/>
              <w:spacing w:line="320" w:lineRule="atLeast"/>
              <w:ind w:left="60" w:right="60"/>
              <w:jc w:val="right"/>
              <w:rPr>
                <w:rFonts w:ascii="Garamond" w:hAnsi="Garamond" w:cs="Arial"/>
                <w:color w:val="000000" w:themeColor="text1"/>
                <w:sz w:val="24"/>
                <w:szCs w:val="24"/>
              </w:rPr>
            </w:pPr>
            <w:r w:rsidRPr="00182811">
              <w:rPr>
                <w:rFonts w:ascii="Garamond" w:hAnsi="Garamond" w:cs="Arial"/>
                <w:color w:val="000000" w:themeColor="text1"/>
                <w:sz w:val="24"/>
                <w:szCs w:val="24"/>
              </w:rPr>
              <w:t>,000</w:t>
            </w:r>
          </w:p>
        </w:tc>
      </w:tr>
    </w:tbl>
    <w:p w:rsidR="00DC11BE" w:rsidRDefault="00636D2C" w:rsidP="00636D2C">
      <w:pPr>
        <w:spacing w:before="120" w:after="120" w:line="240" w:lineRule="auto"/>
        <w:rPr>
          <w:rFonts w:ascii="Garamond" w:hAnsi="Garamond"/>
          <w:bCs/>
          <w:iCs/>
          <w:sz w:val="20"/>
          <w:szCs w:val="20"/>
        </w:rPr>
      </w:pPr>
      <w:r w:rsidRPr="00636D2C">
        <w:rPr>
          <w:rFonts w:ascii="Garamond" w:hAnsi="Garamond"/>
          <w:b/>
          <w:iCs/>
          <w:sz w:val="20"/>
          <w:szCs w:val="20"/>
        </w:rPr>
        <w:t xml:space="preserve">Fonte: </w:t>
      </w:r>
      <w:r w:rsidRPr="00636D2C">
        <w:rPr>
          <w:rFonts w:ascii="Garamond" w:hAnsi="Garamond"/>
          <w:bCs/>
          <w:iCs/>
          <w:sz w:val="20"/>
          <w:szCs w:val="20"/>
        </w:rPr>
        <w:t>Elaboração própria.</w:t>
      </w:r>
    </w:p>
    <w:p w:rsidR="00636D2C" w:rsidRPr="00636D2C" w:rsidRDefault="00636D2C" w:rsidP="006425F7">
      <w:pPr>
        <w:pStyle w:val="CorpoTexto"/>
      </w:pPr>
    </w:p>
    <w:p w:rsidR="00DC11BE" w:rsidRPr="0094770E" w:rsidRDefault="00DC11BE" w:rsidP="007C204C">
      <w:pPr>
        <w:pStyle w:val="CorpoTexto"/>
      </w:pPr>
      <w:r w:rsidRPr="0094770E">
        <w:t>O teste KMO obteve um valor de 0.879, o que indica que a análise de componentes principais pode ser feita. Este teste varia entre 0 e 1, considerando-se possível a análise fatorial para valores superiores a 0.500.</w:t>
      </w:r>
    </w:p>
    <w:p w:rsidR="005D6333" w:rsidRPr="0094770E" w:rsidRDefault="00DC11BE" w:rsidP="00BF2693">
      <w:pPr>
        <w:pStyle w:val="CorpoTexto"/>
        <w:rPr>
          <w:rFonts w:cs="Arial"/>
        </w:rPr>
      </w:pPr>
      <w:r w:rsidRPr="0094770E">
        <w:t>Os resultados da análise fatorial podem ver-se na seguinte tabela</w:t>
      </w:r>
      <w:r w:rsidRPr="0094770E">
        <w:rPr>
          <w:rFonts w:cs="Arial"/>
        </w:rPr>
        <w:t>:</w:t>
      </w:r>
    </w:p>
    <w:p w:rsidR="00636D2C" w:rsidRDefault="00636D2C" w:rsidP="006425F7">
      <w:pPr>
        <w:pStyle w:val="CorpoTexto"/>
      </w:pPr>
    </w:p>
    <w:p w:rsidR="005D6333" w:rsidRPr="00636D2C" w:rsidRDefault="00862447" w:rsidP="00636D2C">
      <w:pPr>
        <w:pStyle w:val="Legenda"/>
        <w:spacing w:after="120"/>
        <w:rPr>
          <w:rFonts w:ascii="Garamond" w:hAnsi="Garamond" w:cs="Times New Roman"/>
          <w:i w:val="0"/>
          <w:noProof/>
          <w:color w:val="auto"/>
          <w:sz w:val="20"/>
          <w:szCs w:val="20"/>
        </w:rPr>
      </w:pPr>
      <w:bookmarkStart w:id="73" w:name="_Toc46677134"/>
      <w:r w:rsidRPr="008C2310">
        <w:rPr>
          <w:rFonts w:ascii="Garamond" w:hAnsi="Garamond"/>
          <w:b/>
          <w:i w:val="0"/>
          <w:color w:val="auto"/>
          <w:sz w:val="20"/>
          <w:szCs w:val="20"/>
        </w:rPr>
        <w:t xml:space="preserve">Tabela </w:t>
      </w:r>
      <w:r w:rsidRPr="008C2310">
        <w:rPr>
          <w:rFonts w:ascii="Garamond" w:hAnsi="Garamond"/>
          <w:b/>
          <w:i w:val="0"/>
          <w:color w:val="auto"/>
          <w:sz w:val="20"/>
          <w:szCs w:val="20"/>
        </w:rPr>
        <w:fldChar w:fldCharType="begin"/>
      </w:r>
      <w:r w:rsidRPr="008C2310">
        <w:rPr>
          <w:rFonts w:ascii="Garamond" w:hAnsi="Garamond"/>
          <w:b/>
          <w:i w:val="0"/>
          <w:color w:val="auto"/>
          <w:sz w:val="20"/>
          <w:szCs w:val="20"/>
        </w:rPr>
        <w:instrText xml:space="preserve"> SEQ Tabela \* ARABIC </w:instrText>
      </w:r>
      <w:r w:rsidRPr="008C2310">
        <w:rPr>
          <w:rFonts w:ascii="Garamond" w:hAnsi="Garamond"/>
          <w:b/>
          <w:i w:val="0"/>
          <w:color w:val="auto"/>
          <w:sz w:val="20"/>
          <w:szCs w:val="20"/>
        </w:rPr>
        <w:fldChar w:fldCharType="separate"/>
      </w:r>
      <w:r>
        <w:rPr>
          <w:rFonts w:ascii="Garamond" w:hAnsi="Garamond"/>
          <w:b/>
          <w:i w:val="0"/>
          <w:noProof/>
          <w:color w:val="auto"/>
          <w:sz w:val="20"/>
          <w:szCs w:val="20"/>
        </w:rPr>
        <w:t>17</w:t>
      </w:r>
      <w:r w:rsidRPr="008C2310">
        <w:rPr>
          <w:rFonts w:ascii="Garamond" w:hAnsi="Garamond"/>
          <w:b/>
          <w:i w:val="0"/>
          <w:color w:val="auto"/>
          <w:sz w:val="20"/>
          <w:szCs w:val="20"/>
        </w:rPr>
        <w:fldChar w:fldCharType="end"/>
      </w:r>
      <w:r w:rsidRPr="008C2310">
        <w:rPr>
          <w:rFonts w:ascii="Garamond" w:hAnsi="Garamond"/>
          <w:i w:val="0"/>
          <w:color w:val="auto"/>
          <w:sz w:val="20"/>
          <w:szCs w:val="20"/>
        </w:rPr>
        <w:t xml:space="preserve"> - </w:t>
      </w:r>
      <w:r w:rsidRPr="00E647C1">
        <w:rPr>
          <w:rFonts w:ascii="Garamond" w:hAnsi="Garamond"/>
          <w:i w:val="0"/>
          <w:color w:val="auto"/>
          <w:sz w:val="20"/>
          <w:szCs w:val="20"/>
        </w:rPr>
        <w:t>Análise fatorial</w:t>
      </w:r>
      <w:bookmarkEnd w:id="73"/>
      <w:r w:rsidRPr="00E647C1">
        <w:rPr>
          <w:rFonts w:ascii="Garamond" w:hAnsi="Garamond"/>
          <w:i w:val="0"/>
          <w:color w:val="auto"/>
          <w:sz w:val="20"/>
          <w:szCs w:val="20"/>
        </w:rPr>
        <w:t xml:space="preserve">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709"/>
        <w:gridCol w:w="850"/>
        <w:gridCol w:w="1134"/>
        <w:gridCol w:w="709"/>
        <w:gridCol w:w="850"/>
        <w:gridCol w:w="851"/>
        <w:gridCol w:w="709"/>
        <w:gridCol w:w="850"/>
        <w:gridCol w:w="990"/>
      </w:tblGrid>
      <w:tr w:rsidR="00DC11BE" w:rsidRPr="00182811" w:rsidTr="00182811">
        <w:trPr>
          <w:trHeight w:hRule="exact" w:val="284"/>
        </w:trPr>
        <w:tc>
          <w:tcPr>
            <w:tcW w:w="8503" w:type="dxa"/>
            <w:gridSpan w:val="10"/>
            <w:tcBorders>
              <w:bottom w:val="single" w:sz="12" w:space="0" w:color="auto"/>
            </w:tcBorders>
          </w:tcPr>
          <w:p w:rsidR="00DC11BE" w:rsidRPr="00182811" w:rsidRDefault="00DC11BE" w:rsidP="004E3707">
            <w:pPr>
              <w:spacing w:line="360" w:lineRule="auto"/>
              <w:jc w:val="both"/>
              <w:rPr>
                <w:rFonts w:ascii="Garamond" w:hAnsi="Garamond" w:cs="Times New Roman"/>
                <w:b/>
                <w:sz w:val="24"/>
                <w:szCs w:val="24"/>
              </w:rPr>
            </w:pPr>
            <w:r w:rsidRPr="00182811">
              <w:rPr>
                <w:rFonts w:ascii="Garamond" w:hAnsi="Garamond" w:cs="Times New Roman"/>
                <w:b/>
                <w:sz w:val="24"/>
                <w:szCs w:val="24"/>
              </w:rPr>
              <w:t>Variância total explicada</w:t>
            </w:r>
          </w:p>
        </w:tc>
      </w:tr>
      <w:tr w:rsidR="00DC11BE" w:rsidRPr="00182811" w:rsidTr="00182811">
        <w:trPr>
          <w:trHeight w:hRule="exact" w:val="284"/>
        </w:trPr>
        <w:tc>
          <w:tcPr>
            <w:tcW w:w="851" w:type="dxa"/>
            <w:vMerge w:val="restart"/>
            <w:tcBorders>
              <w:top w:val="single" w:sz="12" w:space="0" w:color="auto"/>
            </w:tcBorders>
            <w:vAlign w:val="bottom"/>
          </w:tcPr>
          <w:p w:rsidR="00DC11BE" w:rsidRPr="00182811" w:rsidRDefault="00DC11BE" w:rsidP="004E3707">
            <w:pPr>
              <w:spacing w:line="360" w:lineRule="auto"/>
              <w:jc w:val="center"/>
              <w:rPr>
                <w:rFonts w:ascii="Garamond" w:hAnsi="Garamond" w:cs="Times New Roman"/>
                <w:b/>
                <w:sz w:val="18"/>
                <w:szCs w:val="18"/>
              </w:rPr>
            </w:pPr>
            <w:proofErr w:type="spellStart"/>
            <w:r w:rsidRPr="00182811">
              <w:rPr>
                <w:rFonts w:ascii="Garamond" w:hAnsi="Garamond" w:cs="Times New Roman"/>
                <w:b/>
                <w:sz w:val="18"/>
                <w:szCs w:val="18"/>
              </w:rPr>
              <w:t>Compo</w:t>
            </w:r>
            <w:r w:rsidR="00182811">
              <w:rPr>
                <w:rFonts w:ascii="Garamond" w:hAnsi="Garamond" w:cs="Times New Roman"/>
                <w:b/>
                <w:sz w:val="18"/>
                <w:szCs w:val="18"/>
              </w:rPr>
              <w:t>-</w:t>
            </w:r>
            <w:r w:rsidRPr="00182811">
              <w:rPr>
                <w:rFonts w:ascii="Garamond" w:hAnsi="Garamond" w:cs="Times New Roman"/>
                <w:b/>
                <w:sz w:val="18"/>
                <w:szCs w:val="18"/>
              </w:rPr>
              <w:t>nente</w:t>
            </w:r>
            <w:proofErr w:type="spellEnd"/>
          </w:p>
        </w:tc>
        <w:tc>
          <w:tcPr>
            <w:tcW w:w="2693" w:type="dxa"/>
            <w:gridSpan w:val="3"/>
            <w:tcBorders>
              <w:top w:val="single" w:sz="12"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proofErr w:type="spellStart"/>
            <w:r w:rsidRPr="00182811">
              <w:rPr>
                <w:rFonts w:ascii="Garamond" w:hAnsi="Garamond" w:cs="Times New Roman"/>
                <w:b/>
                <w:sz w:val="18"/>
                <w:szCs w:val="18"/>
              </w:rPr>
              <w:t>Autovalores</w:t>
            </w:r>
            <w:proofErr w:type="spellEnd"/>
            <w:r w:rsidRPr="00182811">
              <w:rPr>
                <w:rFonts w:ascii="Garamond" w:hAnsi="Garamond" w:cs="Times New Roman"/>
                <w:b/>
                <w:sz w:val="18"/>
                <w:szCs w:val="18"/>
              </w:rPr>
              <w:t xml:space="preserve"> iniciais</w:t>
            </w:r>
          </w:p>
        </w:tc>
        <w:tc>
          <w:tcPr>
            <w:tcW w:w="2410" w:type="dxa"/>
            <w:gridSpan w:val="3"/>
            <w:tcBorders>
              <w:top w:val="single" w:sz="12"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Somas de extração de</w:t>
            </w:r>
          </w:p>
        </w:tc>
        <w:tc>
          <w:tcPr>
            <w:tcW w:w="2549" w:type="dxa"/>
            <w:gridSpan w:val="3"/>
            <w:tcBorders>
              <w:top w:val="single" w:sz="12"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Somas de rotação de</w:t>
            </w:r>
          </w:p>
        </w:tc>
      </w:tr>
      <w:tr w:rsidR="00182811" w:rsidRPr="00182811" w:rsidTr="00182811">
        <w:trPr>
          <w:trHeight w:val="558"/>
        </w:trPr>
        <w:tc>
          <w:tcPr>
            <w:tcW w:w="851" w:type="dxa"/>
            <w:vMerge/>
            <w:tcBorders>
              <w:bottom w:val="single" w:sz="4" w:space="0" w:color="auto"/>
            </w:tcBorders>
          </w:tcPr>
          <w:p w:rsidR="00DC11BE" w:rsidRPr="00182811" w:rsidRDefault="00DC11BE" w:rsidP="004E3707">
            <w:pPr>
              <w:spacing w:line="360" w:lineRule="auto"/>
              <w:jc w:val="both"/>
              <w:rPr>
                <w:rFonts w:ascii="Garamond" w:hAnsi="Garamond" w:cs="Times New Roman"/>
                <w:b/>
                <w:sz w:val="18"/>
                <w:szCs w:val="18"/>
              </w:rPr>
            </w:pPr>
          </w:p>
        </w:tc>
        <w:tc>
          <w:tcPr>
            <w:tcW w:w="709" w:type="dxa"/>
            <w:tcBorders>
              <w:top w:val="single" w:sz="4" w:space="0" w:color="auto"/>
              <w:bottom w:val="single" w:sz="4" w:space="0" w:color="auto"/>
            </w:tcBorders>
            <w:vAlign w:val="center"/>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Total</w:t>
            </w:r>
          </w:p>
        </w:tc>
        <w:tc>
          <w:tcPr>
            <w:tcW w:w="850" w:type="dxa"/>
            <w:tcBorders>
              <w:top w:val="single" w:sz="4"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variân</w:t>
            </w:r>
            <w:r w:rsidR="00182811">
              <w:rPr>
                <w:rFonts w:ascii="Garamond" w:hAnsi="Garamond" w:cs="Times New Roman"/>
                <w:b/>
                <w:sz w:val="18"/>
                <w:szCs w:val="18"/>
              </w:rPr>
              <w:t>-</w:t>
            </w:r>
            <w:r w:rsidRPr="00182811">
              <w:rPr>
                <w:rFonts w:ascii="Garamond" w:hAnsi="Garamond" w:cs="Times New Roman"/>
                <w:b/>
                <w:sz w:val="18"/>
                <w:szCs w:val="18"/>
              </w:rPr>
              <w:t>cia</w:t>
            </w:r>
            <w:proofErr w:type="spellEnd"/>
          </w:p>
        </w:tc>
        <w:tc>
          <w:tcPr>
            <w:tcW w:w="1134" w:type="dxa"/>
            <w:tcBorders>
              <w:top w:val="single" w:sz="4"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 cumulativa</w:t>
            </w:r>
          </w:p>
        </w:tc>
        <w:tc>
          <w:tcPr>
            <w:tcW w:w="709" w:type="dxa"/>
            <w:tcBorders>
              <w:top w:val="single" w:sz="4" w:space="0" w:color="auto"/>
              <w:bottom w:val="single" w:sz="4" w:space="0" w:color="auto"/>
            </w:tcBorders>
            <w:vAlign w:val="center"/>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Total</w:t>
            </w:r>
          </w:p>
        </w:tc>
        <w:tc>
          <w:tcPr>
            <w:tcW w:w="850" w:type="dxa"/>
            <w:tcBorders>
              <w:top w:val="single" w:sz="4"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variân</w:t>
            </w:r>
            <w:r w:rsidR="00182811">
              <w:rPr>
                <w:rFonts w:ascii="Garamond" w:hAnsi="Garamond" w:cs="Times New Roman"/>
                <w:b/>
                <w:sz w:val="18"/>
                <w:szCs w:val="18"/>
              </w:rPr>
              <w:t>-</w:t>
            </w:r>
            <w:r w:rsidRPr="00182811">
              <w:rPr>
                <w:rFonts w:ascii="Garamond" w:hAnsi="Garamond" w:cs="Times New Roman"/>
                <w:b/>
                <w:sz w:val="18"/>
                <w:szCs w:val="18"/>
              </w:rPr>
              <w:t>cia</w:t>
            </w:r>
            <w:proofErr w:type="spellEnd"/>
          </w:p>
        </w:tc>
        <w:tc>
          <w:tcPr>
            <w:tcW w:w="851" w:type="dxa"/>
            <w:tcBorders>
              <w:top w:val="single" w:sz="4"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cumula</w:t>
            </w:r>
            <w:r w:rsidR="00182811">
              <w:rPr>
                <w:rFonts w:ascii="Garamond" w:hAnsi="Garamond" w:cs="Times New Roman"/>
                <w:b/>
                <w:sz w:val="18"/>
                <w:szCs w:val="18"/>
              </w:rPr>
              <w:t>-</w:t>
            </w:r>
            <w:r w:rsidRPr="00182811">
              <w:rPr>
                <w:rFonts w:ascii="Garamond" w:hAnsi="Garamond" w:cs="Times New Roman"/>
                <w:b/>
                <w:sz w:val="18"/>
                <w:szCs w:val="18"/>
              </w:rPr>
              <w:t>tiva</w:t>
            </w:r>
            <w:proofErr w:type="spellEnd"/>
          </w:p>
        </w:tc>
        <w:tc>
          <w:tcPr>
            <w:tcW w:w="709" w:type="dxa"/>
            <w:tcBorders>
              <w:top w:val="single" w:sz="4" w:space="0" w:color="auto"/>
              <w:bottom w:val="single" w:sz="4" w:space="0" w:color="auto"/>
            </w:tcBorders>
            <w:vAlign w:val="center"/>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Total</w:t>
            </w:r>
          </w:p>
        </w:tc>
        <w:tc>
          <w:tcPr>
            <w:tcW w:w="850" w:type="dxa"/>
            <w:tcBorders>
              <w:top w:val="single" w:sz="4"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variân</w:t>
            </w:r>
            <w:r w:rsidR="00182811">
              <w:rPr>
                <w:rFonts w:ascii="Garamond" w:hAnsi="Garamond" w:cs="Times New Roman"/>
                <w:b/>
                <w:sz w:val="18"/>
                <w:szCs w:val="18"/>
              </w:rPr>
              <w:t>-</w:t>
            </w:r>
            <w:r w:rsidRPr="00182811">
              <w:rPr>
                <w:rFonts w:ascii="Garamond" w:hAnsi="Garamond" w:cs="Times New Roman"/>
                <w:b/>
                <w:sz w:val="18"/>
                <w:szCs w:val="18"/>
              </w:rPr>
              <w:t>cia</w:t>
            </w:r>
            <w:proofErr w:type="spellEnd"/>
          </w:p>
        </w:tc>
        <w:tc>
          <w:tcPr>
            <w:tcW w:w="990" w:type="dxa"/>
            <w:tcBorders>
              <w:top w:val="single" w:sz="4"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cumulati</w:t>
            </w:r>
            <w:r w:rsidR="00182811">
              <w:rPr>
                <w:rFonts w:ascii="Garamond" w:hAnsi="Garamond" w:cs="Times New Roman"/>
                <w:b/>
                <w:sz w:val="18"/>
                <w:szCs w:val="18"/>
              </w:rPr>
              <w:t>-</w:t>
            </w:r>
            <w:r w:rsidRPr="00182811">
              <w:rPr>
                <w:rFonts w:ascii="Garamond" w:hAnsi="Garamond" w:cs="Times New Roman"/>
                <w:b/>
                <w:sz w:val="18"/>
                <w:szCs w:val="18"/>
              </w:rPr>
              <w:t>va</w:t>
            </w:r>
            <w:proofErr w:type="spellEnd"/>
          </w:p>
        </w:tc>
      </w:tr>
      <w:tr w:rsidR="00182811" w:rsidRPr="00182811" w:rsidTr="00182811">
        <w:trPr>
          <w:trHeight w:hRule="exact" w:val="284"/>
        </w:trPr>
        <w:tc>
          <w:tcPr>
            <w:tcW w:w="851"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w:t>
            </w:r>
          </w:p>
        </w:tc>
        <w:tc>
          <w:tcPr>
            <w:tcW w:w="709"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6,371</w:t>
            </w:r>
          </w:p>
        </w:tc>
        <w:tc>
          <w:tcPr>
            <w:tcW w:w="850"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42,473</w:t>
            </w:r>
          </w:p>
        </w:tc>
        <w:tc>
          <w:tcPr>
            <w:tcW w:w="1134"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42,473</w:t>
            </w:r>
          </w:p>
        </w:tc>
        <w:tc>
          <w:tcPr>
            <w:tcW w:w="709"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6,371</w:t>
            </w:r>
          </w:p>
        </w:tc>
        <w:tc>
          <w:tcPr>
            <w:tcW w:w="850"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42,473</w:t>
            </w:r>
          </w:p>
        </w:tc>
        <w:tc>
          <w:tcPr>
            <w:tcW w:w="851"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42,473</w:t>
            </w:r>
          </w:p>
        </w:tc>
        <w:tc>
          <w:tcPr>
            <w:tcW w:w="709"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5,991</w:t>
            </w:r>
          </w:p>
        </w:tc>
        <w:tc>
          <w:tcPr>
            <w:tcW w:w="850"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39,941</w:t>
            </w:r>
          </w:p>
        </w:tc>
        <w:tc>
          <w:tcPr>
            <w:tcW w:w="990"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39,941</w:t>
            </w: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2,328</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15,520</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57,993</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2,328</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15,520</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57,993</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2,308</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15,390</w:t>
            </w:r>
          </w:p>
        </w:tc>
        <w:tc>
          <w:tcPr>
            <w:tcW w:w="99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55,331</w:t>
            </w: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0,981</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6,541</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64,533</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0,981</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6,541</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64,533</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1,380</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9,203</w:t>
            </w:r>
          </w:p>
        </w:tc>
        <w:tc>
          <w:tcPr>
            <w:tcW w:w="99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64,533</w:t>
            </w: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0,889</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5,925</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70,458</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0,722</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4,810</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75,268</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0,703</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4,684</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79,953</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7</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0,560</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3,735</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83,688</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0,503</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3,351</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87,039</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0,416</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2,771</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89,811</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10</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0,396</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2,642</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92,452</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11</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0,301</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2,007</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94,459</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12</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0,270</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1,800</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96,259</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13</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0,242</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1,616</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97,875</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14</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0,187</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1,245</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99,120</w:t>
            </w: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851"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182811">
        <w:trPr>
          <w:trHeight w:hRule="exact" w:val="284"/>
        </w:trPr>
        <w:tc>
          <w:tcPr>
            <w:tcW w:w="851"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15</w:t>
            </w:r>
          </w:p>
        </w:tc>
        <w:tc>
          <w:tcPr>
            <w:tcW w:w="709"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0,132</w:t>
            </w:r>
          </w:p>
        </w:tc>
        <w:tc>
          <w:tcPr>
            <w:tcW w:w="850"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0,880</w:t>
            </w:r>
          </w:p>
        </w:tc>
        <w:tc>
          <w:tcPr>
            <w:tcW w:w="1134"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100,00</w:t>
            </w:r>
          </w:p>
        </w:tc>
        <w:tc>
          <w:tcPr>
            <w:tcW w:w="709"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850"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851"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709"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850"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990" w:type="dxa"/>
          </w:tcPr>
          <w:p w:rsidR="00DC11BE" w:rsidRPr="00182811" w:rsidRDefault="00DC11BE" w:rsidP="004E3707">
            <w:pPr>
              <w:spacing w:line="360" w:lineRule="auto"/>
              <w:jc w:val="center"/>
              <w:rPr>
                <w:rFonts w:ascii="Garamond" w:hAnsi="Garamond" w:cs="Times New Roman"/>
                <w:sz w:val="24"/>
                <w:szCs w:val="24"/>
              </w:rPr>
            </w:pPr>
          </w:p>
        </w:tc>
      </w:tr>
      <w:tr w:rsidR="00DC11BE" w:rsidRPr="00182811" w:rsidTr="00182811">
        <w:trPr>
          <w:trHeight w:hRule="exact" w:val="284"/>
        </w:trPr>
        <w:tc>
          <w:tcPr>
            <w:tcW w:w="8503" w:type="dxa"/>
            <w:gridSpan w:val="10"/>
            <w:tcBorders>
              <w:top w:val="single" w:sz="4" w:space="0" w:color="auto"/>
              <w:bottom w:val="single" w:sz="12" w:space="0" w:color="auto"/>
            </w:tcBorders>
          </w:tcPr>
          <w:p w:rsidR="00DC11BE" w:rsidRPr="00182811" w:rsidRDefault="00DC11BE" w:rsidP="004E3707">
            <w:pPr>
              <w:spacing w:line="360" w:lineRule="auto"/>
              <w:jc w:val="both"/>
              <w:rPr>
                <w:rFonts w:ascii="Garamond" w:hAnsi="Garamond" w:cs="Times New Roman"/>
                <w:sz w:val="24"/>
                <w:szCs w:val="24"/>
              </w:rPr>
            </w:pPr>
            <w:r w:rsidRPr="00182811">
              <w:rPr>
                <w:rFonts w:ascii="Garamond" w:hAnsi="Garamond" w:cs="Times New Roman"/>
                <w:sz w:val="24"/>
                <w:szCs w:val="24"/>
              </w:rPr>
              <w:t>Método de Extração: análise de Componente Principal</w:t>
            </w:r>
          </w:p>
        </w:tc>
      </w:tr>
    </w:tbl>
    <w:p w:rsidR="00DC11BE" w:rsidRPr="00636D2C" w:rsidRDefault="00636D2C" w:rsidP="00636D2C">
      <w:pPr>
        <w:spacing w:before="120" w:after="120" w:line="240" w:lineRule="auto"/>
        <w:rPr>
          <w:rFonts w:ascii="Garamond" w:hAnsi="Garamond"/>
          <w:bCs/>
          <w:iCs/>
          <w:sz w:val="20"/>
          <w:szCs w:val="20"/>
        </w:rPr>
      </w:pPr>
      <w:r w:rsidRPr="00636D2C">
        <w:rPr>
          <w:rFonts w:ascii="Garamond" w:hAnsi="Garamond"/>
          <w:b/>
          <w:iCs/>
          <w:sz w:val="20"/>
          <w:szCs w:val="20"/>
        </w:rPr>
        <w:t xml:space="preserve">Fonte: </w:t>
      </w:r>
      <w:r w:rsidRPr="00636D2C">
        <w:rPr>
          <w:rFonts w:ascii="Garamond" w:hAnsi="Garamond"/>
          <w:bCs/>
          <w:iCs/>
          <w:sz w:val="20"/>
          <w:szCs w:val="20"/>
        </w:rPr>
        <w:t>Elaboração própria.</w:t>
      </w:r>
    </w:p>
    <w:p w:rsidR="00636D2C" w:rsidRPr="0094770E" w:rsidRDefault="00636D2C" w:rsidP="006425F7">
      <w:pPr>
        <w:pStyle w:val="CorpoTexto"/>
      </w:pPr>
    </w:p>
    <w:p w:rsidR="00DC11BE" w:rsidRPr="0094770E" w:rsidRDefault="00DC11BE" w:rsidP="007C204C">
      <w:pPr>
        <w:pStyle w:val="CorpoTexto"/>
      </w:pPr>
      <w:r w:rsidRPr="0094770E">
        <w:t>Obtiveram-se 3 componentes que explicam mais de 64% da variância dos dados iniciais.</w:t>
      </w:r>
    </w:p>
    <w:p w:rsidR="00DC11BE" w:rsidRPr="0094770E" w:rsidRDefault="00DC11BE" w:rsidP="007C204C">
      <w:pPr>
        <w:pStyle w:val="CorpoTexto"/>
      </w:pPr>
      <w:r w:rsidRPr="0094770E">
        <w:lastRenderedPageBreak/>
        <w:t>Após a rotação (</w:t>
      </w:r>
      <w:proofErr w:type="spellStart"/>
      <w:r w:rsidRPr="0094770E">
        <w:t>Rotated</w:t>
      </w:r>
      <w:proofErr w:type="spellEnd"/>
      <w:r w:rsidRPr="0094770E">
        <w:t xml:space="preserve"> </w:t>
      </w:r>
      <w:proofErr w:type="spellStart"/>
      <w:r w:rsidRPr="0094770E">
        <w:t>Component</w:t>
      </w:r>
      <w:proofErr w:type="spellEnd"/>
      <w:r w:rsidRPr="0094770E">
        <w:t xml:space="preserve"> </w:t>
      </w:r>
      <w:proofErr w:type="spellStart"/>
      <w:r w:rsidRPr="0094770E">
        <w:t>Matrix</w:t>
      </w:r>
      <w:proofErr w:type="spellEnd"/>
      <w:r w:rsidRPr="0094770E">
        <w:t>), e tendo por base que os valores acima dos 60% têm uma maior representatividade, obtemos a seguinte tabela:</w:t>
      </w:r>
    </w:p>
    <w:p w:rsidR="00DC11BE" w:rsidRPr="0094770E" w:rsidRDefault="00DC11BE" w:rsidP="006425F7">
      <w:pPr>
        <w:pStyle w:val="CorpoTexto"/>
      </w:pPr>
    </w:p>
    <w:p w:rsidR="00862447" w:rsidRPr="00636D2C" w:rsidRDefault="00DC11BE" w:rsidP="00636D2C">
      <w:pPr>
        <w:pStyle w:val="Legenda"/>
        <w:keepNext/>
        <w:spacing w:after="120"/>
        <w:rPr>
          <w:rFonts w:ascii="Garamond" w:hAnsi="Garamond"/>
          <w:i w:val="0"/>
          <w:color w:val="auto"/>
          <w:sz w:val="20"/>
          <w:szCs w:val="20"/>
        </w:rPr>
      </w:pPr>
      <w:bookmarkStart w:id="74" w:name="_Toc46677135"/>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18</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Solução Fatorial</w:t>
      </w:r>
      <w:r w:rsidR="004B172D">
        <w:rPr>
          <w:rFonts w:ascii="Garamond" w:hAnsi="Garamond"/>
          <w:i w:val="0"/>
          <w:color w:val="auto"/>
          <w:sz w:val="20"/>
          <w:szCs w:val="20"/>
        </w:rPr>
        <w:t xml:space="preserve"> da variável Motivação.</w:t>
      </w:r>
      <w:bookmarkEnd w:id="74"/>
    </w:p>
    <w:tbl>
      <w:tblPr>
        <w:tblW w:w="9220" w:type="dxa"/>
        <w:tblCellMar>
          <w:left w:w="70" w:type="dxa"/>
          <w:right w:w="70" w:type="dxa"/>
        </w:tblCellMar>
        <w:tblLook w:val="04A0" w:firstRow="1" w:lastRow="0" w:firstColumn="1" w:lastColumn="0" w:noHBand="0" w:noVBand="1"/>
      </w:tblPr>
      <w:tblGrid>
        <w:gridCol w:w="1418"/>
        <w:gridCol w:w="6422"/>
        <w:gridCol w:w="1380"/>
      </w:tblGrid>
      <w:tr w:rsidR="00DC11BE" w:rsidRPr="00182811" w:rsidTr="004E3707">
        <w:trPr>
          <w:trHeight w:val="270"/>
        </w:trPr>
        <w:tc>
          <w:tcPr>
            <w:tcW w:w="1418" w:type="dxa"/>
            <w:tcBorders>
              <w:bottom w:val="single" w:sz="12" w:space="0" w:color="auto"/>
            </w:tcBorders>
            <w:shd w:val="clear" w:color="auto" w:fill="auto"/>
            <w:noWrap/>
            <w:vAlign w:val="bottom"/>
            <w:hideMark/>
          </w:tcPr>
          <w:p w:rsidR="00DC11BE" w:rsidRPr="00182811" w:rsidRDefault="00DC11BE" w:rsidP="004E3707">
            <w:pPr>
              <w:spacing w:line="240" w:lineRule="auto"/>
              <w:jc w:val="center"/>
              <w:rPr>
                <w:rFonts w:ascii="Garamond" w:eastAsia="Times New Roman" w:hAnsi="Garamond" w:cs="Times New Roman"/>
                <w:b/>
                <w:bCs/>
                <w:color w:val="000000"/>
                <w:sz w:val="24"/>
                <w:szCs w:val="24"/>
                <w:lang w:eastAsia="pt-PT"/>
              </w:rPr>
            </w:pPr>
            <w:r w:rsidRPr="00182811">
              <w:rPr>
                <w:rFonts w:ascii="Garamond" w:eastAsia="Times New Roman" w:hAnsi="Garamond" w:cs="Times New Roman"/>
                <w:b/>
                <w:bCs/>
                <w:color w:val="000000"/>
                <w:sz w:val="24"/>
                <w:szCs w:val="24"/>
                <w:lang w:eastAsia="pt-PT"/>
              </w:rPr>
              <w:t>FATOR</w:t>
            </w:r>
          </w:p>
        </w:tc>
        <w:tc>
          <w:tcPr>
            <w:tcW w:w="6422" w:type="dxa"/>
            <w:tcBorders>
              <w:bottom w:val="single" w:sz="12" w:space="0" w:color="auto"/>
            </w:tcBorders>
            <w:shd w:val="clear" w:color="auto" w:fill="auto"/>
            <w:noWrap/>
            <w:vAlign w:val="bottom"/>
            <w:hideMark/>
          </w:tcPr>
          <w:p w:rsidR="00DC11BE" w:rsidRPr="00182811" w:rsidRDefault="00DC11BE" w:rsidP="004E3707">
            <w:pPr>
              <w:spacing w:line="240" w:lineRule="auto"/>
              <w:jc w:val="center"/>
              <w:rPr>
                <w:rFonts w:ascii="Garamond" w:eastAsia="Times New Roman" w:hAnsi="Garamond" w:cs="Times New Roman"/>
                <w:b/>
                <w:bCs/>
                <w:color w:val="000000"/>
                <w:sz w:val="24"/>
                <w:szCs w:val="24"/>
                <w:lang w:eastAsia="pt-PT"/>
              </w:rPr>
            </w:pPr>
            <w:r w:rsidRPr="00182811">
              <w:rPr>
                <w:rFonts w:ascii="Garamond" w:eastAsia="Times New Roman" w:hAnsi="Garamond" w:cs="Times New Roman"/>
                <w:b/>
                <w:bCs/>
                <w:color w:val="000000"/>
                <w:sz w:val="24"/>
                <w:szCs w:val="24"/>
                <w:lang w:eastAsia="pt-PT"/>
              </w:rPr>
              <w:t>ITEMS</w:t>
            </w:r>
          </w:p>
        </w:tc>
        <w:tc>
          <w:tcPr>
            <w:tcW w:w="1380" w:type="dxa"/>
            <w:tcBorders>
              <w:bottom w:val="single" w:sz="12" w:space="0" w:color="auto"/>
            </w:tcBorders>
            <w:shd w:val="clear" w:color="auto" w:fill="auto"/>
            <w:noWrap/>
            <w:vAlign w:val="bottom"/>
            <w:hideMark/>
          </w:tcPr>
          <w:p w:rsidR="00DC11BE" w:rsidRPr="00182811" w:rsidRDefault="00DC11BE" w:rsidP="004E3707">
            <w:pPr>
              <w:spacing w:line="240" w:lineRule="auto"/>
              <w:jc w:val="center"/>
              <w:rPr>
                <w:rFonts w:ascii="Garamond" w:eastAsia="Times New Roman" w:hAnsi="Garamond" w:cs="Times New Roman"/>
                <w:b/>
                <w:bCs/>
                <w:color w:val="000000"/>
                <w:sz w:val="24"/>
                <w:szCs w:val="24"/>
                <w:lang w:eastAsia="pt-PT"/>
              </w:rPr>
            </w:pPr>
            <w:r w:rsidRPr="00182811">
              <w:rPr>
                <w:rFonts w:ascii="Garamond" w:eastAsia="Times New Roman" w:hAnsi="Garamond" w:cs="Times New Roman"/>
                <w:b/>
                <w:bCs/>
                <w:color w:val="000000"/>
                <w:sz w:val="24"/>
                <w:szCs w:val="24"/>
                <w:lang w:eastAsia="pt-PT"/>
              </w:rPr>
              <w:t>VALOR</w:t>
            </w:r>
          </w:p>
        </w:tc>
      </w:tr>
      <w:tr w:rsidR="00DC11BE" w:rsidRPr="00182811" w:rsidTr="004E3707">
        <w:trPr>
          <w:trHeight w:val="510"/>
        </w:trPr>
        <w:tc>
          <w:tcPr>
            <w:tcW w:w="1418" w:type="dxa"/>
            <w:vMerge w:val="restart"/>
            <w:tcBorders>
              <w:top w:val="single" w:sz="12" w:space="0" w:color="auto"/>
            </w:tcBorders>
            <w:shd w:val="clear" w:color="auto" w:fill="auto"/>
            <w:noWrap/>
            <w:vAlign w:val="center"/>
            <w:hideMark/>
          </w:tcPr>
          <w:p w:rsidR="00DC11BE" w:rsidRPr="00182811" w:rsidRDefault="00DC11BE" w:rsidP="004E3707">
            <w:pPr>
              <w:spacing w:line="240" w:lineRule="auto"/>
              <w:jc w:val="center"/>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1</w:t>
            </w:r>
          </w:p>
        </w:tc>
        <w:tc>
          <w:tcPr>
            <w:tcW w:w="6422" w:type="dxa"/>
            <w:tcBorders>
              <w:top w:val="single" w:sz="12" w:space="0" w:color="auto"/>
            </w:tcBorders>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 xml:space="preserve">Gosto de ter perceção se realizei um bom trabalho ou não, de maneira a poder </w:t>
            </w:r>
            <w:r w:rsidR="00182811" w:rsidRPr="00182811">
              <w:rPr>
                <w:rFonts w:ascii="Garamond" w:eastAsia="Times New Roman" w:hAnsi="Garamond" w:cs="Times New Roman"/>
                <w:color w:val="000000"/>
                <w:sz w:val="24"/>
                <w:szCs w:val="24"/>
                <w:lang w:eastAsia="pt-PT"/>
              </w:rPr>
              <w:t>melhorá-lo</w:t>
            </w:r>
          </w:p>
        </w:tc>
        <w:tc>
          <w:tcPr>
            <w:tcW w:w="1380" w:type="dxa"/>
            <w:tcBorders>
              <w:top w:val="single" w:sz="12" w:space="0" w:color="auto"/>
            </w:tcBorders>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86,9%</w:t>
            </w:r>
          </w:p>
        </w:tc>
      </w:tr>
      <w:tr w:rsidR="00DC11BE" w:rsidRPr="00182811" w:rsidTr="004E3707">
        <w:trPr>
          <w:trHeight w:val="510"/>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Esforço-me por todos os dias fazer um melhor trabalho</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85,3%</w:t>
            </w:r>
          </w:p>
        </w:tc>
      </w:tr>
      <w:tr w:rsidR="00DC11BE" w:rsidRPr="00182811" w:rsidTr="004E3707">
        <w:trPr>
          <w:trHeight w:val="255"/>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Tento aperfeiçoar resultados anteriores</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84,2%</w:t>
            </w:r>
          </w:p>
        </w:tc>
      </w:tr>
      <w:tr w:rsidR="00DC11BE" w:rsidRPr="00182811" w:rsidTr="004E3707">
        <w:trPr>
          <w:trHeight w:val="255"/>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Gosto de ser uma pessoa amável no trabalho</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80,4%</w:t>
            </w:r>
          </w:p>
        </w:tc>
      </w:tr>
      <w:tr w:rsidR="00DC11BE" w:rsidRPr="00182811" w:rsidTr="004E3707">
        <w:trPr>
          <w:trHeight w:val="510"/>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Gosto de melhorar as minhas competências pessoais constantemente</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78,9%</w:t>
            </w:r>
          </w:p>
        </w:tc>
      </w:tr>
      <w:tr w:rsidR="00DC11BE" w:rsidRPr="00182811" w:rsidTr="004E3707">
        <w:trPr>
          <w:trHeight w:val="255"/>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Tento inovar no meu trabalho</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75,3%</w:t>
            </w:r>
          </w:p>
        </w:tc>
      </w:tr>
      <w:tr w:rsidR="00DC11BE" w:rsidRPr="00182811" w:rsidTr="004E3707">
        <w:trPr>
          <w:trHeight w:val="510"/>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Estou atento aos sentimentos dos meus colegas de trabalho</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75,3%</w:t>
            </w:r>
          </w:p>
        </w:tc>
      </w:tr>
      <w:tr w:rsidR="00DC11BE" w:rsidRPr="00182811" w:rsidTr="004E3707">
        <w:trPr>
          <w:trHeight w:val="510"/>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Sinto satisfação em que os meus colegas de trabalho gostem de mim</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71,2%</w:t>
            </w:r>
          </w:p>
        </w:tc>
      </w:tr>
      <w:tr w:rsidR="00DC11BE" w:rsidRPr="00182811" w:rsidTr="004E3707">
        <w:trPr>
          <w:trHeight w:val="255"/>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Gosto de ser solidário (a)</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69,3%</w:t>
            </w:r>
          </w:p>
        </w:tc>
      </w:tr>
      <w:tr w:rsidR="00DC11BE" w:rsidRPr="00182811" w:rsidTr="004E3707">
        <w:trPr>
          <w:trHeight w:val="525"/>
        </w:trPr>
        <w:tc>
          <w:tcPr>
            <w:tcW w:w="1418" w:type="dxa"/>
            <w:vMerge/>
            <w:tcBorders>
              <w:bottom w:val="single" w:sz="8" w:space="0" w:color="auto"/>
            </w:tcBorders>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tcBorders>
              <w:bottom w:val="single" w:sz="8" w:space="0" w:color="auto"/>
            </w:tcBorders>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Sinto satisfação quando vejo que uma pessoa que me pediu ajuda fica feliz com o meu apoio</w:t>
            </w:r>
          </w:p>
        </w:tc>
        <w:tc>
          <w:tcPr>
            <w:tcW w:w="1380" w:type="dxa"/>
            <w:tcBorders>
              <w:bottom w:val="single" w:sz="8" w:space="0" w:color="auto"/>
            </w:tcBorders>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59,5%</w:t>
            </w:r>
          </w:p>
        </w:tc>
      </w:tr>
      <w:tr w:rsidR="00DC11BE" w:rsidRPr="00182811" w:rsidTr="004E3707">
        <w:trPr>
          <w:trHeight w:val="765"/>
        </w:trPr>
        <w:tc>
          <w:tcPr>
            <w:tcW w:w="1418" w:type="dxa"/>
            <w:vMerge w:val="restart"/>
            <w:tcBorders>
              <w:top w:val="single" w:sz="8" w:space="0" w:color="auto"/>
            </w:tcBorders>
            <w:shd w:val="clear" w:color="auto" w:fill="auto"/>
            <w:noWrap/>
            <w:vAlign w:val="center"/>
            <w:hideMark/>
          </w:tcPr>
          <w:p w:rsidR="00DC11BE" w:rsidRPr="00182811" w:rsidRDefault="00DC11BE" w:rsidP="004E3707">
            <w:pPr>
              <w:spacing w:line="240" w:lineRule="auto"/>
              <w:jc w:val="center"/>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2</w:t>
            </w:r>
          </w:p>
        </w:tc>
        <w:tc>
          <w:tcPr>
            <w:tcW w:w="6422" w:type="dxa"/>
            <w:tcBorders>
              <w:top w:val="single" w:sz="8" w:space="0" w:color="auto"/>
            </w:tcBorders>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Procuro as pessoas em quem posso exercer mais influência no momento de as selecionar para a minha equipa de trabalho</w:t>
            </w:r>
          </w:p>
        </w:tc>
        <w:tc>
          <w:tcPr>
            <w:tcW w:w="1380" w:type="dxa"/>
            <w:tcBorders>
              <w:top w:val="single" w:sz="8" w:space="0" w:color="auto"/>
            </w:tcBorders>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78,5%</w:t>
            </w:r>
          </w:p>
        </w:tc>
      </w:tr>
      <w:tr w:rsidR="00DC11BE" w:rsidRPr="00182811" w:rsidTr="004E3707">
        <w:trPr>
          <w:trHeight w:val="765"/>
        </w:trPr>
        <w:tc>
          <w:tcPr>
            <w:tcW w:w="1418" w:type="dxa"/>
            <w:vMerge/>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Benefício de convívios para influenciar os outros e para receber o seu apoio no que pretendo fazer</w:t>
            </w:r>
          </w:p>
        </w:tc>
        <w:tc>
          <w:tcPr>
            <w:tcW w:w="1380" w:type="dxa"/>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73,8%</w:t>
            </w:r>
          </w:p>
        </w:tc>
      </w:tr>
      <w:tr w:rsidR="00DC11BE" w:rsidRPr="00182811" w:rsidTr="004E3707">
        <w:trPr>
          <w:trHeight w:val="270"/>
        </w:trPr>
        <w:tc>
          <w:tcPr>
            <w:tcW w:w="1418" w:type="dxa"/>
            <w:vMerge/>
            <w:tcBorders>
              <w:bottom w:val="single" w:sz="4" w:space="0" w:color="auto"/>
            </w:tcBorders>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p>
        </w:tc>
        <w:tc>
          <w:tcPr>
            <w:tcW w:w="6422" w:type="dxa"/>
            <w:tcBorders>
              <w:bottom w:val="single" w:sz="4" w:space="0" w:color="auto"/>
            </w:tcBorders>
            <w:shd w:val="clear" w:color="auto" w:fill="auto"/>
            <w:vAlign w:val="bottom"/>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Tento manter ligações com pessoas influentes</w:t>
            </w:r>
          </w:p>
        </w:tc>
        <w:tc>
          <w:tcPr>
            <w:tcW w:w="1380" w:type="dxa"/>
            <w:tcBorders>
              <w:bottom w:val="single" w:sz="4" w:space="0" w:color="auto"/>
            </w:tcBorders>
            <w:shd w:val="clear" w:color="auto" w:fill="auto"/>
            <w:noWrap/>
            <w:vAlign w:val="bottom"/>
            <w:hideMark/>
          </w:tcPr>
          <w:p w:rsidR="00DC11BE" w:rsidRPr="00182811" w:rsidRDefault="00DC11BE" w:rsidP="004E3707">
            <w:pPr>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66,0%</w:t>
            </w:r>
          </w:p>
        </w:tc>
      </w:tr>
      <w:tr w:rsidR="00DC11BE" w:rsidRPr="00182811" w:rsidTr="004E3707">
        <w:trPr>
          <w:trHeight w:val="780"/>
        </w:trPr>
        <w:tc>
          <w:tcPr>
            <w:tcW w:w="1418" w:type="dxa"/>
            <w:tcBorders>
              <w:top w:val="single" w:sz="4" w:space="0" w:color="auto"/>
              <w:bottom w:val="single" w:sz="12" w:space="0" w:color="auto"/>
            </w:tcBorders>
            <w:shd w:val="clear" w:color="auto" w:fill="auto"/>
            <w:noWrap/>
            <w:vAlign w:val="center"/>
            <w:hideMark/>
          </w:tcPr>
          <w:p w:rsidR="00DC11BE" w:rsidRPr="00182811" w:rsidRDefault="00DC11BE" w:rsidP="004E3707">
            <w:pPr>
              <w:spacing w:line="240" w:lineRule="auto"/>
              <w:jc w:val="center"/>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3</w:t>
            </w:r>
          </w:p>
        </w:tc>
        <w:tc>
          <w:tcPr>
            <w:tcW w:w="6422" w:type="dxa"/>
            <w:tcBorders>
              <w:top w:val="single" w:sz="4" w:space="0" w:color="auto"/>
              <w:bottom w:val="single" w:sz="12" w:space="0" w:color="auto"/>
            </w:tcBorders>
            <w:shd w:val="clear" w:color="auto" w:fill="auto"/>
            <w:vAlign w:val="center"/>
            <w:hideMark/>
          </w:tcPr>
          <w:p w:rsidR="00DC11BE" w:rsidRPr="00182811" w:rsidRDefault="00DC11BE" w:rsidP="004E3707">
            <w:pPr>
              <w:spacing w:line="240" w:lineRule="auto"/>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Insisto para que as minhas ideias sejam levadas avante e discuto com os outros por isso.</w:t>
            </w:r>
          </w:p>
        </w:tc>
        <w:tc>
          <w:tcPr>
            <w:tcW w:w="1380" w:type="dxa"/>
            <w:tcBorders>
              <w:top w:val="single" w:sz="4" w:space="0" w:color="auto"/>
              <w:bottom w:val="single" w:sz="12" w:space="0" w:color="auto"/>
            </w:tcBorders>
            <w:shd w:val="clear" w:color="auto" w:fill="auto"/>
            <w:noWrap/>
            <w:vAlign w:val="center"/>
            <w:hideMark/>
          </w:tcPr>
          <w:p w:rsidR="00DC11BE" w:rsidRPr="00182811" w:rsidRDefault="00DC11BE" w:rsidP="004E3707">
            <w:pPr>
              <w:keepNext/>
              <w:spacing w:line="240" w:lineRule="auto"/>
              <w:jc w:val="right"/>
              <w:rPr>
                <w:rFonts w:ascii="Garamond" w:eastAsia="Times New Roman" w:hAnsi="Garamond" w:cs="Times New Roman"/>
                <w:color w:val="000000"/>
                <w:sz w:val="24"/>
                <w:szCs w:val="24"/>
                <w:lang w:eastAsia="pt-PT"/>
              </w:rPr>
            </w:pPr>
            <w:r w:rsidRPr="00182811">
              <w:rPr>
                <w:rFonts w:ascii="Garamond" w:eastAsia="Times New Roman" w:hAnsi="Garamond" w:cs="Times New Roman"/>
                <w:color w:val="000000"/>
                <w:sz w:val="24"/>
                <w:szCs w:val="24"/>
                <w:lang w:eastAsia="pt-PT"/>
              </w:rPr>
              <w:t>55,4%</w:t>
            </w:r>
          </w:p>
        </w:tc>
      </w:tr>
    </w:tbl>
    <w:p w:rsidR="00DC11BE" w:rsidRDefault="00636D2C" w:rsidP="00636D2C">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636D2C" w:rsidRPr="00636D2C" w:rsidRDefault="00636D2C" w:rsidP="006425F7">
      <w:pPr>
        <w:pStyle w:val="CorpoTexto"/>
      </w:pPr>
    </w:p>
    <w:p w:rsidR="00DC11BE" w:rsidRPr="007C204C" w:rsidRDefault="00DC11BE" w:rsidP="007C204C">
      <w:pPr>
        <w:pStyle w:val="CorpoTexto"/>
      </w:pPr>
      <w:r w:rsidRPr="007C204C">
        <w:t xml:space="preserve">A rotação utilizada foi a </w:t>
      </w:r>
      <w:proofErr w:type="spellStart"/>
      <w:r w:rsidRPr="007C204C">
        <w:t>Varimax</w:t>
      </w:r>
      <w:proofErr w:type="spellEnd"/>
      <w:r w:rsidRPr="007C204C">
        <w:t>.</w:t>
      </w:r>
    </w:p>
    <w:p w:rsidR="00DC11BE" w:rsidRPr="007C204C" w:rsidRDefault="00DC11BE" w:rsidP="007C204C">
      <w:pPr>
        <w:pStyle w:val="CorpoTexto"/>
      </w:pPr>
      <w:r w:rsidRPr="007C204C">
        <w:t>Uma leitura atenta dos itens que se correlacionam entre si, levou-nos a designar os fatores da forma descrita na tabela 19.</w:t>
      </w:r>
    </w:p>
    <w:p w:rsidR="00DC11BE" w:rsidRPr="0094770E" w:rsidRDefault="00DC11BE" w:rsidP="006425F7">
      <w:pPr>
        <w:pStyle w:val="CorpoTexto"/>
      </w:pPr>
    </w:p>
    <w:p w:rsidR="00862447" w:rsidRPr="00636D2C" w:rsidRDefault="00DC11BE" w:rsidP="00636D2C">
      <w:pPr>
        <w:pStyle w:val="Legenda"/>
        <w:keepNext/>
        <w:spacing w:after="120"/>
        <w:rPr>
          <w:rFonts w:ascii="Garamond" w:hAnsi="Garamond"/>
          <w:i w:val="0"/>
          <w:color w:val="auto"/>
          <w:sz w:val="20"/>
          <w:szCs w:val="20"/>
        </w:rPr>
      </w:pPr>
      <w:bookmarkStart w:id="75" w:name="_Toc46677136"/>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19</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Designação dos Fatores</w:t>
      </w:r>
      <w:r w:rsidR="004B172D">
        <w:rPr>
          <w:rFonts w:ascii="Garamond" w:hAnsi="Garamond"/>
          <w:i w:val="0"/>
          <w:color w:val="auto"/>
          <w:sz w:val="20"/>
          <w:szCs w:val="20"/>
        </w:rPr>
        <w:t xml:space="preserve"> da variável Motivação.</w:t>
      </w:r>
      <w:bookmarkEnd w:id="75"/>
    </w:p>
    <w:tbl>
      <w:tblPr>
        <w:tblW w:w="0" w:type="auto"/>
        <w:tblLook w:val="01E0" w:firstRow="1" w:lastRow="1" w:firstColumn="1" w:lastColumn="1" w:noHBand="0" w:noVBand="0"/>
      </w:tblPr>
      <w:tblGrid>
        <w:gridCol w:w="4235"/>
        <w:gridCol w:w="4258"/>
      </w:tblGrid>
      <w:tr w:rsidR="00DC11BE" w:rsidRPr="00182811" w:rsidTr="004E3707">
        <w:tc>
          <w:tcPr>
            <w:tcW w:w="8493" w:type="dxa"/>
            <w:gridSpan w:val="2"/>
            <w:tcBorders>
              <w:bottom w:val="single" w:sz="12" w:space="0" w:color="auto"/>
            </w:tcBorders>
          </w:tcPr>
          <w:p w:rsidR="00DC11BE" w:rsidRPr="00182811" w:rsidRDefault="00DC11BE" w:rsidP="004E3707">
            <w:pPr>
              <w:rPr>
                <w:rFonts w:ascii="Garamond" w:eastAsia="Times New Roman" w:hAnsi="Garamond" w:cs="Times New Roman"/>
                <w:b/>
                <w:sz w:val="24"/>
                <w:szCs w:val="24"/>
                <w:lang w:eastAsia="pt-PT"/>
              </w:rPr>
            </w:pPr>
            <w:r w:rsidRPr="00182811">
              <w:rPr>
                <w:rFonts w:ascii="Garamond" w:eastAsia="Times New Roman" w:hAnsi="Garamond" w:cs="Times New Roman"/>
                <w:b/>
                <w:sz w:val="24"/>
                <w:szCs w:val="24"/>
                <w:lang w:eastAsia="pt-PT"/>
              </w:rPr>
              <w:t>Designação de Fatores</w:t>
            </w:r>
          </w:p>
        </w:tc>
      </w:tr>
      <w:tr w:rsidR="00DC11BE" w:rsidRPr="00182811" w:rsidTr="004E3707">
        <w:tc>
          <w:tcPr>
            <w:tcW w:w="4235" w:type="dxa"/>
            <w:tcBorders>
              <w:top w:val="single" w:sz="12" w:space="0" w:color="auto"/>
            </w:tcBorders>
          </w:tcPr>
          <w:p w:rsidR="00DC11BE" w:rsidRPr="00182811" w:rsidRDefault="00DC11BE" w:rsidP="004E3707">
            <w:pPr>
              <w:rPr>
                <w:rFonts w:ascii="Garamond" w:eastAsia="Times New Roman" w:hAnsi="Garamond" w:cs="Times New Roman"/>
                <w:b/>
                <w:sz w:val="24"/>
                <w:szCs w:val="24"/>
                <w:lang w:eastAsia="pt-PT"/>
              </w:rPr>
            </w:pPr>
            <w:r w:rsidRPr="00182811">
              <w:rPr>
                <w:rFonts w:ascii="Garamond" w:eastAsia="Times New Roman" w:hAnsi="Garamond" w:cs="Times New Roman"/>
                <w:b/>
                <w:sz w:val="24"/>
                <w:szCs w:val="24"/>
                <w:lang w:eastAsia="pt-PT"/>
              </w:rPr>
              <w:t>Fator 1</w:t>
            </w:r>
          </w:p>
        </w:tc>
        <w:tc>
          <w:tcPr>
            <w:tcW w:w="4258" w:type="dxa"/>
            <w:tcBorders>
              <w:top w:val="single" w:sz="12" w:space="0" w:color="auto"/>
            </w:tcBorders>
          </w:tcPr>
          <w:p w:rsidR="00DC11BE" w:rsidRPr="00182811" w:rsidRDefault="00DC11BE" w:rsidP="004E3707">
            <w:pPr>
              <w:jc w:val="right"/>
              <w:rPr>
                <w:rFonts w:ascii="Garamond" w:eastAsia="Times New Roman" w:hAnsi="Garamond" w:cs="Times New Roman"/>
                <w:sz w:val="24"/>
                <w:szCs w:val="24"/>
                <w:lang w:eastAsia="pt-PT"/>
              </w:rPr>
            </w:pPr>
            <w:r w:rsidRPr="00182811">
              <w:rPr>
                <w:rFonts w:ascii="Garamond" w:eastAsia="Times New Roman" w:hAnsi="Garamond" w:cs="Times New Roman"/>
                <w:sz w:val="24"/>
                <w:szCs w:val="24"/>
                <w:lang w:eastAsia="pt-PT"/>
              </w:rPr>
              <w:t>Afiliação e Sucesso</w:t>
            </w:r>
          </w:p>
        </w:tc>
      </w:tr>
      <w:tr w:rsidR="00DC11BE" w:rsidRPr="00182811" w:rsidTr="004E3707">
        <w:tc>
          <w:tcPr>
            <w:tcW w:w="4235" w:type="dxa"/>
          </w:tcPr>
          <w:p w:rsidR="00DC11BE" w:rsidRPr="00182811" w:rsidRDefault="00DC11BE" w:rsidP="004E3707">
            <w:pPr>
              <w:rPr>
                <w:rFonts w:ascii="Garamond" w:eastAsia="Times New Roman" w:hAnsi="Garamond" w:cs="Times New Roman"/>
                <w:b/>
                <w:sz w:val="24"/>
                <w:szCs w:val="24"/>
                <w:lang w:eastAsia="pt-PT"/>
              </w:rPr>
            </w:pPr>
            <w:r w:rsidRPr="00182811">
              <w:rPr>
                <w:rFonts w:ascii="Garamond" w:eastAsia="Times New Roman" w:hAnsi="Garamond" w:cs="Times New Roman"/>
                <w:b/>
                <w:sz w:val="24"/>
                <w:szCs w:val="24"/>
                <w:lang w:eastAsia="pt-PT"/>
              </w:rPr>
              <w:lastRenderedPageBreak/>
              <w:t xml:space="preserve">Fator 2 </w:t>
            </w:r>
          </w:p>
        </w:tc>
        <w:tc>
          <w:tcPr>
            <w:tcW w:w="4258" w:type="dxa"/>
          </w:tcPr>
          <w:p w:rsidR="00DC11BE" w:rsidRPr="00182811" w:rsidRDefault="00DC11BE" w:rsidP="004E3707">
            <w:pPr>
              <w:jc w:val="right"/>
              <w:rPr>
                <w:rFonts w:ascii="Garamond" w:eastAsia="Times New Roman" w:hAnsi="Garamond" w:cs="Times New Roman"/>
                <w:sz w:val="24"/>
                <w:szCs w:val="24"/>
                <w:lang w:eastAsia="pt-PT"/>
              </w:rPr>
            </w:pPr>
            <w:r w:rsidRPr="00182811">
              <w:rPr>
                <w:rFonts w:ascii="Garamond" w:eastAsia="Times New Roman" w:hAnsi="Garamond" w:cs="Times New Roman"/>
                <w:sz w:val="24"/>
                <w:szCs w:val="24"/>
                <w:lang w:eastAsia="pt-PT"/>
              </w:rPr>
              <w:t>Poder</w:t>
            </w:r>
          </w:p>
        </w:tc>
      </w:tr>
      <w:tr w:rsidR="00DC11BE" w:rsidRPr="00182811" w:rsidTr="004E3707">
        <w:tc>
          <w:tcPr>
            <w:tcW w:w="4235" w:type="dxa"/>
            <w:tcBorders>
              <w:bottom w:val="single" w:sz="12" w:space="0" w:color="auto"/>
            </w:tcBorders>
          </w:tcPr>
          <w:p w:rsidR="00DC11BE" w:rsidRPr="00182811" w:rsidRDefault="00DC11BE" w:rsidP="004E3707">
            <w:pPr>
              <w:rPr>
                <w:rFonts w:ascii="Garamond" w:eastAsia="Times New Roman" w:hAnsi="Garamond" w:cs="Times New Roman"/>
                <w:b/>
                <w:sz w:val="24"/>
                <w:szCs w:val="24"/>
                <w:lang w:eastAsia="pt-PT"/>
              </w:rPr>
            </w:pPr>
            <w:r w:rsidRPr="00182811">
              <w:rPr>
                <w:rFonts w:ascii="Garamond" w:eastAsia="Times New Roman" w:hAnsi="Garamond" w:cs="Times New Roman"/>
                <w:b/>
                <w:sz w:val="24"/>
                <w:szCs w:val="24"/>
                <w:lang w:eastAsia="pt-PT"/>
              </w:rPr>
              <w:t>Fator 3</w:t>
            </w:r>
          </w:p>
        </w:tc>
        <w:tc>
          <w:tcPr>
            <w:tcW w:w="4258" w:type="dxa"/>
            <w:tcBorders>
              <w:bottom w:val="single" w:sz="12" w:space="0" w:color="auto"/>
            </w:tcBorders>
          </w:tcPr>
          <w:p w:rsidR="00DC11BE" w:rsidRPr="00182811" w:rsidRDefault="00DC11BE" w:rsidP="004E3707">
            <w:pPr>
              <w:keepNext/>
              <w:jc w:val="right"/>
              <w:rPr>
                <w:rFonts w:ascii="Garamond" w:eastAsia="Times New Roman" w:hAnsi="Garamond" w:cs="Times New Roman"/>
                <w:sz w:val="24"/>
                <w:szCs w:val="24"/>
                <w:lang w:eastAsia="pt-PT"/>
              </w:rPr>
            </w:pPr>
            <w:r w:rsidRPr="00182811">
              <w:rPr>
                <w:rFonts w:ascii="Garamond" w:eastAsia="Times New Roman" w:hAnsi="Garamond" w:cs="Times New Roman"/>
                <w:sz w:val="24"/>
                <w:szCs w:val="24"/>
                <w:lang w:eastAsia="pt-PT"/>
              </w:rPr>
              <w:t>Performance</w:t>
            </w:r>
          </w:p>
        </w:tc>
      </w:tr>
    </w:tbl>
    <w:p w:rsidR="00636D2C" w:rsidRDefault="00636D2C" w:rsidP="00636D2C">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4E3707">
      <w:pPr>
        <w:autoSpaceDE w:val="0"/>
        <w:autoSpaceDN w:val="0"/>
        <w:adjustRightInd w:val="0"/>
        <w:rPr>
          <w:rFonts w:ascii="Garamond" w:hAnsi="Garamond" w:cs="Times New Roman"/>
          <w:sz w:val="24"/>
        </w:rPr>
      </w:pPr>
    </w:p>
    <w:p w:rsidR="00DC11BE" w:rsidRPr="0094770E" w:rsidRDefault="00DC11BE" w:rsidP="007C204C">
      <w:pPr>
        <w:pStyle w:val="CorpoTexto"/>
      </w:pPr>
      <w:r w:rsidRPr="0094770E">
        <w:t xml:space="preserve">Assim, estes são os fatores mais valorizados pelos inquiridos, sendo o mais relevante a </w:t>
      </w:r>
      <w:r w:rsidRPr="0094770E">
        <w:rPr>
          <w:bCs/>
        </w:rPr>
        <w:t>Afiliação e Sucesso</w:t>
      </w:r>
      <w:r w:rsidRPr="0094770E">
        <w:t xml:space="preserve"> para a motivação, como se tinha já verificado nas análises anteriores.</w:t>
      </w:r>
    </w:p>
    <w:p w:rsidR="00DC11BE" w:rsidRPr="0094770E" w:rsidRDefault="00DC11BE" w:rsidP="007C204C">
      <w:pPr>
        <w:pStyle w:val="CorpoTexto"/>
      </w:pPr>
      <w:r w:rsidRPr="0094770E">
        <w:t>Para fazer a análise dos 19 itens iniciais da satisfação, foi em primeiro lugar avaliada a possibilidade de execução da referida análise, tendo sido usado para o efeito o teste KMO (</w:t>
      </w:r>
      <w:proofErr w:type="spellStart"/>
      <w:r w:rsidRPr="0094770E">
        <w:t>Keiser-Meyer-Olkin</w:t>
      </w:r>
      <w:proofErr w:type="spellEnd"/>
      <w:r w:rsidRPr="0094770E">
        <w:t>).</w:t>
      </w:r>
    </w:p>
    <w:p w:rsidR="00DC11BE" w:rsidRPr="0094770E" w:rsidRDefault="00DC11BE" w:rsidP="006425F7">
      <w:pPr>
        <w:pStyle w:val="CorpoTexto"/>
      </w:pPr>
    </w:p>
    <w:p w:rsidR="00862447" w:rsidRPr="00636D2C" w:rsidRDefault="00DC11BE" w:rsidP="00636D2C">
      <w:pPr>
        <w:pStyle w:val="Legenda"/>
        <w:keepNext/>
        <w:spacing w:after="120"/>
        <w:rPr>
          <w:rFonts w:ascii="Garamond" w:hAnsi="Garamond"/>
          <w:i w:val="0"/>
          <w:color w:val="auto"/>
          <w:sz w:val="20"/>
          <w:szCs w:val="20"/>
        </w:rPr>
      </w:pPr>
      <w:bookmarkStart w:id="76" w:name="_Toc46677137"/>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20</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Teste de KMO e Bartlett</w:t>
      </w:r>
      <w:r w:rsidR="004B172D">
        <w:rPr>
          <w:rFonts w:ascii="Garamond" w:hAnsi="Garamond"/>
          <w:i w:val="0"/>
          <w:color w:val="auto"/>
          <w:sz w:val="20"/>
          <w:szCs w:val="20"/>
        </w:rPr>
        <w:t xml:space="preserve"> da variável Satisfação.</w:t>
      </w:r>
      <w:bookmarkEnd w:id="76"/>
    </w:p>
    <w:tbl>
      <w:tblPr>
        <w:tblW w:w="8369" w:type="dxa"/>
        <w:tblInd w:w="-5" w:type="dxa"/>
        <w:tblLayout w:type="fixed"/>
        <w:tblCellMar>
          <w:left w:w="0" w:type="dxa"/>
          <w:right w:w="0" w:type="dxa"/>
        </w:tblCellMar>
        <w:tblLook w:val="0000" w:firstRow="0" w:lastRow="0" w:firstColumn="0" w:lastColumn="0" w:noHBand="0" w:noVBand="0"/>
      </w:tblPr>
      <w:tblGrid>
        <w:gridCol w:w="2491"/>
        <w:gridCol w:w="2491"/>
        <w:gridCol w:w="3387"/>
      </w:tblGrid>
      <w:tr w:rsidR="00DC11BE" w:rsidRPr="00182811" w:rsidTr="004E3707">
        <w:trPr>
          <w:cantSplit/>
        </w:trPr>
        <w:tc>
          <w:tcPr>
            <w:tcW w:w="8369" w:type="dxa"/>
            <w:gridSpan w:val="3"/>
            <w:tcBorders>
              <w:bottom w:val="single" w:sz="12"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b/>
                <w:color w:val="010205"/>
                <w:sz w:val="24"/>
                <w:szCs w:val="24"/>
              </w:rPr>
            </w:pPr>
            <w:r w:rsidRPr="00182811">
              <w:rPr>
                <w:rFonts w:ascii="Garamond" w:hAnsi="Garamond" w:cs="Arial"/>
                <w:b/>
                <w:color w:val="010205"/>
                <w:sz w:val="24"/>
                <w:szCs w:val="24"/>
              </w:rPr>
              <w:t>Teste de KMO e Bartlett</w:t>
            </w:r>
          </w:p>
        </w:tc>
      </w:tr>
      <w:tr w:rsidR="00DC11BE" w:rsidRPr="00182811" w:rsidTr="004E3707">
        <w:trPr>
          <w:cantSplit/>
        </w:trPr>
        <w:tc>
          <w:tcPr>
            <w:tcW w:w="4982" w:type="dxa"/>
            <w:gridSpan w:val="2"/>
            <w:tcBorders>
              <w:top w:val="single" w:sz="12" w:space="0" w:color="auto"/>
              <w:bottom w:val="single" w:sz="4"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r w:rsidRPr="00182811">
              <w:rPr>
                <w:rFonts w:ascii="Garamond" w:hAnsi="Garamond" w:cs="Arial"/>
                <w:color w:val="000000" w:themeColor="text1"/>
                <w:sz w:val="24"/>
                <w:szCs w:val="24"/>
              </w:rPr>
              <w:t>Medida Kaiser-</w:t>
            </w:r>
            <w:proofErr w:type="spellStart"/>
            <w:r w:rsidRPr="00182811">
              <w:rPr>
                <w:rFonts w:ascii="Garamond" w:hAnsi="Garamond" w:cs="Arial"/>
                <w:color w:val="000000" w:themeColor="text1"/>
                <w:sz w:val="24"/>
                <w:szCs w:val="24"/>
              </w:rPr>
              <w:t>Meyer</w:t>
            </w:r>
            <w:proofErr w:type="spellEnd"/>
            <w:r w:rsidRPr="00182811">
              <w:rPr>
                <w:rFonts w:ascii="Garamond" w:hAnsi="Garamond" w:cs="Arial"/>
                <w:color w:val="000000" w:themeColor="text1"/>
                <w:sz w:val="24"/>
                <w:szCs w:val="24"/>
              </w:rPr>
              <w:t>-</w:t>
            </w:r>
            <w:proofErr w:type="spellStart"/>
            <w:r w:rsidRPr="00182811">
              <w:rPr>
                <w:rFonts w:ascii="Garamond" w:hAnsi="Garamond" w:cs="Arial"/>
                <w:color w:val="000000" w:themeColor="text1"/>
                <w:sz w:val="24"/>
                <w:szCs w:val="24"/>
              </w:rPr>
              <w:t>Olkin</w:t>
            </w:r>
            <w:proofErr w:type="spellEnd"/>
            <w:r w:rsidRPr="00182811">
              <w:rPr>
                <w:rFonts w:ascii="Garamond" w:hAnsi="Garamond" w:cs="Arial"/>
                <w:color w:val="000000" w:themeColor="text1"/>
                <w:sz w:val="24"/>
                <w:szCs w:val="24"/>
              </w:rPr>
              <w:t xml:space="preserve"> de adequação de amostragem.</w:t>
            </w:r>
          </w:p>
        </w:tc>
        <w:tc>
          <w:tcPr>
            <w:tcW w:w="3387" w:type="dxa"/>
            <w:tcBorders>
              <w:top w:val="single" w:sz="12" w:space="0" w:color="auto"/>
              <w:bottom w:val="single" w:sz="4" w:space="0" w:color="auto"/>
            </w:tcBorders>
            <w:shd w:val="clear" w:color="auto" w:fill="auto"/>
          </w:tcPr>
          <w:p w:rsidR="00DC11BE" w:rsidRPr="00182811" w:rsidRDefault="00DC11BE" w:rsidP="004E3707">
            <w:pPr>
              <w:autoSpaceDE w:val="0"/>
              <w:autoSpaceDN w:val="0"/>
              <w:adjustRightInd w:val="0"/>
              <w:spacing w:line="320" w:lineRule="atLeast"/>
              <w:ind w:left="60" w:right="60"/>
              <w:jc w:val="right"/>
              <w:rPr>
                <w:rFonts w:ascii="Garamond" w:hAnsi="Garamond" w:cs="Arial"/>
                <w:color w:val="000000" w:themeColor="text1"/>
                <w:sz w:val="24"/>
                <w:szCs w:val="24"/>
              </w:rPr>
            </w:pPr>
            <w:r w:rsidRPr="00182811">
              <w:rPr>
                <w:rFonts w:ascii="Garamond" w:hAnsi="Garamond" w:cs="Arial"/>
                <w:color w:val="000000" w:themeColor="text1"/>
                <w:sz w:val="24"/>
                <w:szCs w:val="24"/>
              </w:rPr>
              <w:t>,772</w:t>
            </w:r>
          </w:p>
        </w:tc>
      </w:tr>
      <w:tr w:rsidR="00DC11BE" w:rsidRPr="00182811" w:rsidTr="004E3707">
        <w:trPr>
          <w:cantSplit/>
        </w:trPr>
        <w:tc>
          <w:tcPr>
            <w:tcW w:w="2491" w:type="dxa"/>
            <w:vMerge w:val="restart"/>
            <w:tcBorders>
              <w:top w:val="single" w:sz="4"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r w:rsidRPr="00182811">
              <w:rPr>
                <w:rFonts w:ascii="Garamond" w:hAnsi="Garamond" w:cs="Arial"/>
                <w:color w:val="000000" w:themeColor="text1"/>
                <w:sz w:val="24"/>
                <w:szCs w:val="24"/>
              </w:rPr>
              <w:t>Teste de esfericidade de Bartlett</w:t>
            </w:r>
          </w:p>
        </w:tc>
        <w:tc>
          <w:tcPr>
            <w:tcW w:w="2491" w:type="dxa"/>
            <w:tcBorders>
              <w:top w:val="single" w:sz="4"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proofErr w:type="spellStart"/>
            <w:r w:rsidRPr="00182811">
              <w:rPr>
                <w:rFonts w:ascii="Garamond" w:hAnsi="Garamond" w:cs="Arial"/>
                <w:color w:val="000000" w:themeColor="text1"/>
                <w:sz w:val="24"/>
                <w:szCs w:val="24"/>
              </w:rPr>
              <w:t>Aprox</w:t>
            </w:r>
            <w:proofErr w:type="spellEnd"/>
            <w:r w:rsidRPr="00182811">
              <w:rPr>
                <w:rFonts w:ascii="Garamond" w:hAnsi="Garamond" w:cs="Arial"/>
                <w:color w:val="000000" w:themeColor="text1"/>
                <w:sz w:val="24"/>
                <w:szCs w:val="24"/>
              </w:rPr>
              <w:t>. Qui-quadrado</w:t>
            </w:r>
          </w:p>
        </w:tc>
        <w:tc>
          <w:tcPr>
            <w:tcW w:w="3387" w:type="dxa"/>
            <w:tcBorders>
              <w:top w:val="single" w:sz="4" w:space="0" w:color="auto"/>
            </w:tcBorders>
            <w:shd w:val="clear" w:color="auto" w:fill="auto"/>
          </w:tcPr>
          <w:p w:rsidR="00DC11BE" w:rsidRPr="00182811" w:rsidRDefault="00DC11BE" w:rsidP="004E3707">
            <w:pPr>
              <w:autoSpaceDE w:val="0"/>
              <w:autoSpaceDN w:val="0"/>
              <w:adjustRightInd w:val="0"/>
              <w:spacing w:line="320" w:lineRule="atLeast"/>
              <w:ind w:left="60" w:right="60"/>
              <w:jc w:val="right"/>
              <w:rPr>
                <w:rFonts w:ascii="Garamond" w:hAnsi="Garamond" w:cs="Arial"/>
                <w:color w:val="000000" w:themeColor="text1"/>
                <w:sz w:val="24"/>
                <w:szCs w:val="24"/>
              </w:rPr>
            </w:pPr>
            <w:r w:rsidRPr="00182811">
              <w:rPr>
                <w:rFonts w:ascii="Garamond" w:hAnsi="Garamond" w:cs="Arial"/>
                <w:color w:val="000000" w:themeColor="text1"/>
                <w:sz w:val="24"/>
                <w:szCs w:val="24"/>
              </w:rPr>
              <w:t>1660,705</w:t>
            </w:r>
          </w:p>
        </w:tc>
      </w:tr>
      <w:tr w:rsidR="00DC11BE" w:rsidRPr="00182811" w:rsidTr="004E3707">
        <w:trPr>
          <w:cantSplit/>
        </w:trPr>
        <w:tc>
          <w:tcPr>
            <w:tcW w:w="2491" w:type="dxa"/>
            <w:vMerge/>
            <w:shd w:val="clear" w:color="auto" w:fill="auto"/>
          </w:tcPr>
          <w:p w:rsidR="00DC11BE" w:rsidRPr="00182811" w:rsidRDefault="00DC11BE" w:rsidP="004E3707">
            <w:pPr>
              <w:autoSpaceDE w:val="0"/>
              <w:autoSpaceDN w:val="0"/>
              <w:adjustRightInd w:val="0"/>
              <w:spacing w:line="240" w:lineRule="auto"/>
              <w:rPr>
                <w:rFonts w:ascii="Garamond" w:hAnsi="Garamond" w:cs="Arial"/>
                <w:color w:val="000000" w:themeColor="text1"/>
                <w:sz w:val="24"/>
                <w:szCs w:val="24"/>
              </w:rPr>
            </w:pPr>
          </w:p>
        </w:tc>
        <w:tc>
          <w:tcPr>
            <w:tcW w:w="2491" w:type="dxa"/>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proofErr w:type="spellStart"/>
            <w:r w:rsidRPr="00182811">
              <w:rPr>
                <w:rFonts w:ascii="Garamond" w:hAnsi="Garamond" w:cs="Arial"/>
                <w:color w:val="000000" w:themeColor="text1"/>
                <w:sz w:val="24"/>
                <w:szCs w:val="24"/>
              </w:rPr>
              <w:t>gl</w:t>
            </w:r>
            <w:proofErr w:type="spellEnd"/>
          </w:p>
        </w:tc>
        <w:tc>
          <w:tcPr>
            <w:tcW w:w="3387" w:type="dxa"/>
            <w:shd w:val="clear" w:color="auto" w:fill="auto"/>
          </w:tcPr>
          <w:p w:rsidR="00DC11BE" w:rsidRPr="00182811" w:rsidRDefault="00DC11BE" w:rsidP="004E3707">
            <w:pPr>
              <w:autoSpaceDE w:val="0"/>
              <w:autoSpaceDN w:val="0"/>
              <w:adjustRightInd w:val="0"/>
              <w:spacing w:line="320" w:lineRule="atLeast"/>
              <w:ind w:left="60" w:right="60"/>
              <w:jc w:val="right"/>
              <w:rPr>
                <w:rFonts w:ascii="Garamond" w:hAnsi="Garamond" w:cs="Arial"/>
                <w:color w:val="000000" w:themeColor="text1"/>
                <w:sz w:val="24"/>
                <w:szCs w:val="24"/>
              </w:rPr>
            </w:pPr>
            <w:r w:rsidRPr="00182811">
              <w:rPr>
                <w:rFonts w:ascii="Garamond" w:hAnsi="Garamond" w:cs="Arial"/>
                <w:color w:val="000000" w:themeColor="text1"/>
                <w:sz w:val="24"/>
                <w:szCs w:val="24"/>
              </w:rPr>
              <w:t>190</w:t>
            </w:r>
          </w:p>
        </w:tc>
      </w:tr>
      <w:tr w:rsidR="00DC11BE" w:rsidRPr="00182811" w:rsidTr="004E3707">
        <w:trPr>
          <w:cantSplit/>
        </w:trPr>
        <w:tc>
          <w:tcPr>
            <w:tcW w:w="2491" w:type="dxa"/>
            <w:vMerge/>
            <w:tcBorders>
              <w:bottom w:val="single" w:sz="12" w:space="0" w:color="auto"/>
            </w:tcBorders>
            <w:shd w:val="clear" w:color="auto" w:fill="auto"/>
          </w:tcPr>
          <w:p w:rsidR="00DC11BE" w:rsidRPr="00182811" w:rsidRDefault="00DC11BE" w:rsidP="004E3707">
            <w:pPr>
              <w:autoSpaceDE w:val="0"/>
              <w:autoSpaceDN w:val="0"/>
              <w:adjustRightInd w:val="0"/>
              <w:spacing w:line="240" w:lineRule="auto"/>
              <w:rPr>
                <w:rFonts w:ascii="Garamond" w:hAnsi="Garamond" w:cs="Arial"/>
                <w:color w:val="000000" w:themeColor="text1"/>
                <w:sz w:val="24"/>
                <w:szCs w:val="24"/>
              </w:rPr>
            </w:pPr>
          </w:p>
        </w:tc>
        <w:tc>
          <w:tcPr>
            <w:tcW w:w="2491" w:type="dxa"/>
            <w:tcBorders>
              <w:bottom w:val="single" w:sz="12" w:space="0" w:color="auto"/>
            </w:tcBorders>
            <w:shd w:val="clear" w:color="auto" w:fill="auto"/>
          </w:tcPr>
          <w:p w:rsidR="00DC11BE" w:rsidRPr="00182811" w:rsidRDefault="00DC11BE" w:rsidP="004E3707">
            <w:pPr>
              <w:autoSpaceDE w:val="0"/>
              <w:autoSpaceDN w:val="0"/>
              <w:adjustRightInd w:val="0"/>
              <w:spacing w:line="320" w:lineRule="atLeast"/>
              <w:ind w:left="60" w:right="60"/>
              <w:rPr>
                <w:rFonts w:ascii="Garamond" w:hAnsi="Garamond" w:cs="Arial"/>
                <w:color w:val="000000" w:themeColor="text1"/>
                <w:sz w:val="24"/>
                <w:szCs w:val="24"/>
              </w:rPr>
            </w:pPr>
            <w:proofErr w:type="spellStart"/>
            <w:r w:rsidRPr="00182811">
              <w:rPr>
                <w:rFonts w:ascii="Garamond" w:hAnsi="Garamond" w:cs="Arial"/>
                <w:color w:val="000000" w:themeColor="text1"/>
                <w:sz w:val="24"/>
                <w:szCs w:val="24"/>
              </w:rPr>
              <w:t>Sig</w:t>
            </w:r>
            <w:proofErr w:type="spellEnd"/>
            <w:r w:rsidRPr="00182811">
              <w:rPr>
                <w:rFonts w:ascii="Garamond" w:hAnsi="Garamond" w:cs="Arial"/>
                <w:color w:val="000000" w:themeColor="text1"/>
                <w:sz w:val="24"/>
                <w:szCs w:val="24"/>
              </w:rPr>
              <w:t>.</w:t>
            </w:r>
          </w:p>
        </w:tc>
        <w:tc>
          <w:tcPr>
            <w:tcW w:w="3387" w:type="dxa"/>
            <w:tcBorders>
              <w:bottom w:val="single" w:sz="12" w:space="0" w:color="auto"/>
            </w:tcBorders>
            <w:shd w:val="clear" w:color="auto" w:fill="auto"/>
          </w:tcPr>
          <w:p w:rsidR="00DC11BE" w:rsidRPr="00182811" w:rsidRDefault="00DC11BE" w:rsidP="004E3707">
            <w:pPr>
              <w:keepNext/>
              <w:autoSpaceDE w:val="0"/>
              <w:autoSpaceDN w:val="0"/>
              <w:adjustRightInd w:val="0"/>
              <w:spacing w:line="320" w:lineRule="atLeast"/>
              <w:ind w:left="60" w:right="60"/>
              <w:jc w:val="right"/>
              <w:rPr>
                <w:rFonts w:ascii="Garamond" w:hAnsi="Garamond" w:cs="Arial"/>
                <w:color w:val="000000" w:themeColor="text1"/>
                <w:sz w:val="24"/>
                <w:szCs w:val="24"/>
              </w:rPr>
            </w:pPr>
            <w:r w:rsidRPr="00182811">
              <w:rPr>
                <w:rFonts w:ascii="Garamond" w:hAnsi="Garamond" w:cs="Arial"/>
                <w:color w:val="000000" w:themeColor="text1"/>
                <w:sz w:val="24"/>
                <w:szCs w:val="24"/>
              </w:rPr>
              <w:t>,000</w:t>
            </w:r>
          </w:p>
        </w:tc>
      </w:tr>
    </w:tbl>
    <w:p w:rsidR="00636D2C" w:rsidRDefault="00636D2C" w:rsidP="00636D2C">
      <w:pPr>
        <w:pStyle w:val="Legenda"/>
        <w:keepNext/>
        <w:spacing w:after="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6425F7">
      <w:pPr>
        <w:pStyle w:val="CorpoTexto"/>
      </w:pPr>
    </w:p>
    <w:p w:rsidR="00DC11BE" w:rsidRPr="0094770E" w:rsidRDefault="00DC11BE" w:rsidP="004E3707">
      <w:pPr>
        <w:rPr>
          <w:rFonts w:ascii="Garamond" w:hAnsi="Garamond" w:cs="Times New Roman"/>
          <w:sz w:val="24"/>
        </w:rPr>
      </w:pPr>
      <w:r w:rsidRPr="0094770E">
        <w:rPr>
          <w:rFonts w:ascii="Garamond" w:hAnsi="Garamond" w:cs="Times New Roman"/>
          <w:sz w:val="24"/>
        </w:rPr>
        <w:t>O teste KMO obteve um valor de 0.772, o que indica que a análise de componentes principais pode ser feita. Este teste varia entre 0 e 1, considerando-se possível a análise fatorial para valores superiores a 0.500.</w:t>
      </w:r>
    </w:p>
    <w:p w:rsidR="00DC11BE" w:rsidRDefault="00DC11BE" w:rsidP="004E3707">
      <w:pPr>
        <w:rPr>
          <w:rFonts w:ascii="Garamond" w:hAnsi="Garamond" w:cs="Arial"/>
          <w:sz w:val="24"/>
          <w:szCs w:val="24"/>
        </w:rPr>
      </w:pPr>
      <w:r w:rsidRPr="0094770E">
        <w:rPr>
          <w:rFonts w:ascii="Garamond" w:hAnsi="Garamond" w:cs="Arial"/>
          <w:sz w:val="24"/>
          <w:szCs w:val="24"/>
        </w:rPr>
        <w:t>Os resultados da análise fatorial podem ver-se na tabela 21:</w:t>
      </w:r>
    </w:p>
    <w:p w:rsidR="00182811" w:rsidRDefault="00182811" w:rsidP="006425F7">
      <w:pPr>
        <w:pStyle w:val="CorpoTexto"/>
      </w:pPr>
    </w:p>
    <w:p w:rsidR="00862447" w:rsidRPr="00182811" w:rsidRDefault="00862447" w:rsidP="00182811">
      <w:pPr>
        <w:pStyle w:val="Legenda"/>
        <w:keepNext/>
        <w:spacing w:after="120"/>
        <w:rPr>
          <w:rFonts w:ascii="Garamond" w:hAnsi="Garamond"/>
          <w:b/>
          <w:i w:val="0"/>
          <w:color w:val="auto"/>
          <w:sz w:val="20"/>
          <w:szCs w:val="20"/>
        </w:rPr>
      </w:pPr>
      <w:bookmarkStart w:id="77" w:name="_Toc46677138"/>
      <w:r w:rsidRPr="008C2310">
        <w:rPr>
          <w:rFonts w:ascii="Garamond" w:hAnsi="Garamond"/>
          <w:b/>
          <w:i w:val="0"/>
          <w:color w:val="auto"/>
          <w:sz w:val="20"/>
          <w:szCs w:val="20"/>
        </w:rPr>
        <w:t xml:space="preserve">Tabela </w:t>
      </w:r>
      <w:r w:rsidRPr="008C2310">
        <w:rPr>
          <w:rFonts w:ascii="Garamond" w:hAnsi="Garamond"/>
          <w:b/>
          <w:i w:val="0"/>
          <w:color w:val="auto"/>
          <w:sz w:val="20"/>
          <w:szCs w:val="20"/>
        </w:rPr>
        <w:fldChar w:fldCharType="begin"/>
      </w:r>
      <w:r w:rsidRPr="008C2310">
        <w:rPr>
          <w:rFonts w:ascii="Garamond" w:hAnsi="Garamond"/>
          <w:b/>
          <w:i w:val="0"/>
          <w:color w:val="auto"/>
          <w:sz w:val="20"/>
          <w:szCs w:val="20"/>
        </w:rPr>
        <w:instrText xml:space="preserve"> SEQ Tabela \* ARABIC </w:instrText>
      </w:r>
      <w:r w:rsidRPr="008C2310">
        <w:rPr>
          <w:rFonts w:ascii="Garamond" w:hAnsi="Garamond"/>
          <w:b/>
          <w:i w:val="0"/>
          <w:color w:val="auto"/>
          <w:sz w:val="20"/>
          <w:szCs w:val="20"/>
        </w:rPr>
        <w:fldChar w:fldCharType="separate"/>
      </w:r>
      <w:r>
        <w:rPr>
          <w:rFonts w:ascii="Garamond" w:hAnsi="Garamond"/>
          <w:b/>
          <w:i w:val="0"/>
          <w:noProof/>
          <w:color w:val="auto"/>
          <w:sz w:val="20"/>
          <w:szCs w:val="20"/>
        </w:rPr>
        <w:t>21</w:t>
      </w:r>
      <w:r w:rsidRPr="008C2310">
        <w:rPr>
          <w:rFonts w:ascii="Garamond" w:hAnsi="Garamond"/>
          <w:b/>
          <w:i w:val="0"/>
          <w:color w:val="auto"/>
          <w:sz w:val="20"/>
          <w:szCs w:val="20"/>
        </w:rPr>
        <w:fldChar w:fldCharType="end"/>
      </w:r>
      <w:r w:rsidRPr="008C2310">
        <w:rPr>
          <w:rFonts w:ascii="Garamond" w:hAnsi="Garamond"/>
          <w:i w:val="0"/>
          <w:color w:val="auto"/>
          <w:sz w:val="20"/>
          <w:szCs w:val="20"/>
        </w:rPr>
        <w:t xml:space="preserve"> - Análise Fatorial</w:t>
      </w:r>
      <w:r w:rsidRPr="004E0B72">
        <w:rPr>
          <w:rFonts w:ascii="Garamond" w:hAnsi="Garamond"/>
          <w:b/>
          <w:i w:val="0"/>
          <w:color w:val="auto"/>
          <w:sz w:val="20"/>
          <w:szCs w:val="20"/>
        </w:rPr>
        <w:t xml:space="preserve"> </w:t>
      </w:r>
      <w:r w:rsidR="004B172D">
        <w:rPr>
          <w:rFonts w:ascii="Garamond" w:hAnsi="Garamond"/>
          <w:i w:val="0"/>
          <w:color w:val="auto"/>
          <w:sz w:val="20"/>
          <w:szCs w:val="20"/>
        </w:rPr>
        <w:t>da variável Satisfação.</w:t>
      </w:r>
      <w:bookmarkEnd w:id="77"/>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708"/>
        <w:gridCol w:w="851"/>
        <w:gridCol w:w="1134"/>
        <w:gridCol w:w="373"/>
        <w:gridCol w:w="865"/>
        <w:gridCol w:w="888"/>
        <w:gridCol w:w="709"/>
        <w:gridCol w:w="850"/>
        <w:gridCol w:w="1132"/>
      </w:tblGrid>
      <w:tr w:rsidR="00DC11BE" w:rsidRPr="00182811" w:rsidTr="00182811">
        <w:trPr>
          <w:trHeight w:hRule="exact" w:val="284"/>
        </w:trPr>
        <w:tc>
          <w:tcPr>
            <w:tcW w:w="8503" w:type="dxa"/>
            <w:gridSpan w:val="10"/>
            <w:tcBorders>
              <w:bottom w:val="single" w:sz="12" w:space="0" w:color="auto"/>
            </w:tcBorders>
          </w:tcPr>
          <w:p w:rsidR="00DC11BE" w:rsidRPr="00182811" w:rsidRDefault="00DC11BE" w:rsidP="004E3707">
            <w:pPr>
              <w:spacing w:line="360" w:lineRule="auto"/>
              <w:jc w:val="both"/>
              <w:rPr>
                <w:rFonts w:ascii="Garamond" w:hAnsi="Garamond" w:cs="Times New Roman"/>
                <w:b/>
                <w:sz w:val="24"/>
                <w:szCs w:val="24"/>
              </w:rPr>
            </w:pPr>
            <w:r w:rsidRPr="00182811">
              <w:rPr>
                <w:rFonts w:ascii="Garamond" w:hAnsi="Garamond" w:cs="Times New Roman"/>
                <w:b/>
                <w:sz w:val="24"/>
                <w:szCs w:val="24"/>
              </w:rPr>
              <w:t>Variância total explicada</w:t>
            </w:r>
          </w:p>
        </w:tc>
      </w:tr>
      <w:tr w:rsidR="00DC11BE" w:rsidRPr="00182811" w:rsidTr="00686D8C">
        <w:trPr>
          <w:trHeight w:hRule="exact" w:val="284"/>
        </w:trPr>
        <w:tc>
          <w:tcPr>
            <w:tcW w:w="993" w:type="dxa"/>
            <w:vMerge w:val="restart"/>
            <w:tcBorders>
              <w:top w:val="single" w:sz="12" w:space="0" w:color="auto"/>
            </w:tcBorders>
            <w:vAlign w:val="bottom"/>
          </w:tcPr>
          <w:p w:rsidR="00DC11BE" w:rsidRPr="00182811" w:rsidRDefault="00DC11BE" w:rsidP="004E3707">
            <w:pPr>
              <w:spacing w:line="360" w:lineRule="auto"/>
              <w:jc w:val="center"/>
              <w:rPr>
                <w:rFonts w:ascii="Garamond" w:hAnsi="Garamond" w:cs="Times New Roman"/>
                <w:b/>
                <w:sz w:val="18"/>
                <w:szCs w:val="18"/>
              </w:rPr>
            </w:pPr>
            <w:proofErr w:type="spellStart"/>
            <w:r w:rsidRPr="00182811">
              <w:rPr>
                <w:rFonts w:ascii="Garamond" w:hAnsi="Garamond" w:cs="Times New Roman"/>
                <w:b/>
                <w:sz w:val="18"/>
                <w:szCs w:val="18"/>
              </w:rPr>
              <w:t>Compo</w:t>
            </w:r>
            <w:r w:rsidR="00182811">
              <w:rPr>
                <w:rFonts w:ascii="Garamond" w:hAnsi="Garamond" w:cs="Times New Roman"/>
                <w:b/>
                <w:sz w:val="18"/>
                <w:szCs w:val="18"/>
              </w:rPr>
              <w:t>-</w:t>
            </w:r>
            <w:r w:rsidRPr="00182811">
              <w:rPr>
                <w:rFonts w:ascii="Garamond" w:hAnsi="Garamond" w:cs="Times New Roman"/>
                <w:b/>
                <w:sz w:val="18"/>
                <w:szCs w:val="18"/>
              </w:rPr>
              <w:t>nente</w:t>
            </w:r>
            <w:proofErr w:type="spellEnd"/>
          </w:p>
        </w:tc>
        <w:tc>
          <w:tcPr>
            <w:tcW w:w="2693" w:type="dxa"/>
            <w:gridSpan w:val="3"/>
            <w:tcBorders>
              <w:top w:val="single" w:sz="12"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proofErr w:type="spellStart"/>
            <w:r w:rsidRPr="00182811">
              <w:rPr>
                <w:rFonts w:ascii="Garamond" w:hAnsi="Garamond" w:cs="Times New Roman"/>
                <w:b/>
                <w:sz w:val="18"/>
                <w:szCs w:val="18"/>
              </w:rPr>
              <w:t>Autovalores</w:t>
            </w:r>
            <w:proofErr w:type="spellEnd"/>
            <w:r w:rsidRPr="00182811">
              <w:rPr>
                <w:rFonts w:ascii="Garamond" w:hAnsi="Garamond" w:cs="Times New Roman"/>
                <w:b/>
                <w:sz w:val="18"/>
                <w:szCs w:val="18"/>
              </w:rPr>
              <w:t xml:space="preserve"> iniciais</w:t>
            </w:r>
          </w:p>
        </w:tc>
        <w:tc>
          <w:tcPr>
            <w:tcW w:w="2126" w:type="dxa"/>
            <w:gridSpan w:val="3"/>
            <w:tcBorders>
              <w:top w:val="single" w:sz="12"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Somas de extração de</w:t>
            </w:r>
          </w:p>
        </w:tc>
        <w:tc>
          <w:tcPr>
            <w:tcW w:w="2691" w:type="dxa"/>
            <w:gridSpan w:val="3"/>
            <w:tcBorders>
              <w:top w:val="single" w:sz="12" w:space="0" w:color="auto"/>
              <w:bottom w:val="single" w:sz="4" w:space="0" w:color="auto"/>
            </w:tcBorders>
          </w:tcPr>
          <w:p w:rsidR="00DC11BE" w:rsidRPr="00182811" w:rsidRDefault="00DC11BE" w:rsidP="004E3707">
            <w:pPr>
              <w:spacing w:line="360" w:lineRule="auto"/>
              <w:jc w:val="center"/>
              <w:rPr>
                <w:rFonts w:ascii="Garamond" w:hAnsi="Garamond" w:cs="Times New Roman"/>
                <w:b/>
                <w:sz w:val="18"/>
                <w:szCs w:val="18"/>
              </w:rPr>
            </w:pPr>
            <w:r w:rsidRPr="00182811">
              <w:rPr>
                <w:rFonts w:ascii="Garamond" w:hAnsi="Garamond" w:cs="Times New Roman"/>
                <w:b/>
                <w:sz w:val="18"/>
                <w:szCs w:val="18"/>
              </w:rPr>
              <w:t>Somas de rotação de</w:t>
            </w:r>
          </w:p>
        </w:tc>
      </w:tr>
      <w:tr w:rsidR="00182811" w:rsidRPr="00182811" w:rsidTr="00686D8C">
        <w:trPr>
          <w:trHeight w:val="558"/>
        </w:trPr>
        <w:tc>
          <w:tcPr>
            <w:tcW w:w="993" w:type="dxa"/>
            <w:vMerge/>
            <w:tcBorders>
              <w:bottom w:val="single" w:sz="4" w:space="0" w:color="auto"/>
            </w:tcBorders>
          </w:tcPr>
          <w:p w:rsidR="00DC11BE" w:rsidRPr="00182811" w:rsidRDefault="00DC11BE" w:rsidP="00182811">
            <w:pPr>
              <w:spacing w:line="360" w:lineRule="auto"/>
              <w:jc w:val="center"/>
              <w:rPr>
                <w:rFonts w:ascii="Garamond" w:hAnsi="Garamond" w:cs="Times New Roman"/>
                <w:b/>
                <w:sz w:val="18"/>
                <w:szCs w:val="18"/>
              </w:rPr>
            </w:pPr>
          </w:p>
        </w:tc>
        <w:tc>
          <w:tcPr>
            <w:tcW w:w="708" w:type="dxa"/>
            <w:tcBorders>
              <w:top w:val="single" w:sz="4" w:space="0" w:color="auto"/>
              <w:bottom w:val="single" w:sz="4" w:space="0" w:color="auto"/>
            </w:tcBorders>
            <w:vAlign w:val="center"/>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Total</w:t>
            </w:r>
          </w:p>
        </w:tc>
        <w:tc>
          <w:tcPr>
            <w:tcW w:w="851" w:type="dxa"/>
            <w:tcBorders>
              <w:top w:val="single" w:sz="4" w:space="0" w:color="auto"/>
              <w:bottom w:val="single" w:sz="4" w:space="0" w:color="auto"/>
            </w:tcBorders>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variân</w:t>
            </w:r>
            <w:r w:rsidR="00182811">
              <w:rPr>
                <w:rFonts w:ascii="Garamond" w:hAnsi="Garamond" w:cs="Times New Roman"/>
                <w:b/>
                <w:sz w:val="18"/>
                <w:szCs w:val="18"/>
              </w:rPr>
              <w:t>-</w:t>
            </w:r>
            <w:r w:rsidRPr="00182811">
              <w:rPr>
                <w:rFonts w:ascii="Garamond" w:hAnsi="Garamond" w:cs="Times New Roman"/>
                <w:b/>
                <w:sz w:val="18"/>
                <w:szCs w:val="18"/>
              </w:rPr>
              <w:t>cia</w:t>
            </w:r>
            <w:proofErr w:type="spellEnd"/>
          </w:p>
        </w:tc>
        <w:tc>
          <w:tcPr>
            <w:tcW w:w="1134" w:type="dxa"/>
            <w:tcBorders>
              <w:top w:val="single" w:sz="4" w:space="0" w:color="auto"/>
              <w:bottom w:val="single" w:sz="4" w:space="0" w:color="auto"/>
            </w:tcBorders>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 cumulativa</w:t>
            </w:r>
          </w:p>
        </w:tc>
        <w:tc>
          <w:tcPr>
            <w:tcW w:w="373" w:type="dxa"/>
            <w:tcBorders>
              <w:top w:val="single" w:sz="4" w:space="0" w:color="auto"/>
              <w:bottom w:val="single" w:sz="4" w:space="0" w:color="auto"/>
            </w:tcBorders>
            <w:vAlign w:val="center"/>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Total</w:t>
            </w:r>
          </w:p>
        </w:tc>
        <w:tc>
          <w:tcPr>
            <w:tcW w:w="865" w:type="dxa"/>
            <w:tcBorders>
              <w:top w:val="single" w:sz="4" w:space="0" w:color="auto"/>
              <w:bottom w:val="single" w:sz="4" w:space="0" w:color="auto"/>
            </w:tcBorders>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variân</w:t>
            </w:r>
            <w:r w:rsidR="00182811">
              <w:rPr>
                <w:rFonts w:ascii="Garamond" w:hAnsi="Garamond" w:cs="Times New Roman"/>
                <w:b/>
                <w:sz w:val="18"/>
                <w:szCs w:val="18"/>
              </w:rPr>
              <w:t>-</w:t>
            </w:r>
            <w:r w:rsidRPr="00182811">
              <w:rPr>
                <w:rFonts w:ascii="Garamond" w:hAnsi="Garamond" w:cs="Times New Roman"/>
                <w:b/>
                <w:sz w:val="18"/>
                <w:szCs w:val="18"/>
              </w:rPr>
              <w:t>cia</w:t>
            </w:r>
            <w:proofErr w:type="spellEnd"/>
          </w:p>
        </w:tc>
        <w:tc>
          <w:tcPr>
            <w:tcW w:w="888" w:type="dxa"/>
            <w:tcBorders>
              <w:top w:val="single" w:sz="4" w:space="0" w:color="auto"/>
              <w:bottom w:val="single" w:sz="4" w:space="0" w:color="auto"/>
            </w:tcBorders>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cumula</w:t>
            </w:r>
            <w:r w:rsidR="00182811">
              <w:rPr>
                <w:rFonts w:ascii="Garamond" w:hAnsi="Garamond" w:cs="Times New Roman"/>
                <w:b/>
                <w:sz w:val="18"/>
                <w:szCs w:val="18"/>
              </w:rPr>
              <w:t>-</w:t>
            </w:r>
            <w:r w:rsidRPr="00182811">
              <w:rPr>
                <w:rFonts w:ascii="Garamond" w:hAnsi="Garamond" w:cs="Times New Roman"/>
                <w:b/>
                <w:sz w:val="18"/>
                <w:szCs w:val="18"/>
              </w:rPr>
              <w:t>tiva</w:t>
            </w:r>
            <w:proofErr w:type="spellEnd"/>
          </w:p>
        </w:tc>
        <w:tc>
          <w:tcPr>
            <w:tcW w:w="709" w:type="dxa"/>
            <w:tcBorders>
              <w:top w:val="single" w:sz="4" w:space="0" w:color="auto"/>
              <w:bottom w:val="single" w:sz="4" w:space="0" w:color="auto"/>
            </w:tcBorders>
            <w:vAlign w:val="center"/>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Total</w:t>
            </w:r>
          </w:p>
        </w:tc>
        <w:tc>
          <w:tcPr>
            <w:tcW w:w="850" w:type="dxa"/>
            <w:tcBorders>
              <w:top w:val="single" w:sz="4" w:space="0" w:color="auto"/>
              <w:bottom w:val="single" w:sz="4" w:space="0" w:color="auto"/>
            </w:tcBorders>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 xml:space="preserve">% </w:t>
            </w:r>
            <w:proofErr w:type="spellStart"/>
            <w:r w:rsidRPr="00182811">
              <w:rPr>
                <w:rFonts w:ascii="Garamond" w:hAnsi="Garamond" w:cs="Times New Roman"/>
                <w:b/>
                <w:sz w:val="18"/>
                <w:szCs w:val="18"/>
              </w:rPr>
              <w:t>variân</w:t>
            </w:r>
            <w:r w:rsidR="00686D8C">
              <w:rPr>
                <w:rFonts w:ascii="Garamond" w:hAnsi="Garamond" w:cs="Times New Roman"/>
                <w:b/>
                <w:sz w:val="18"/>
                <w:szCs w:val="18"/>
              </w:rPr>
              <w:t>-</w:t>
            </w:r>
            <w:r w:rsidRPr="00182811">
              <w:rPr>
                <w:rFonts w:ascii="Garamond" w:hAnsi="Garamond" w:cs="Times New Roman"/>
                <w:b/>
                <w:sz w:val="18"/>
                <w:szCs w:val="18"/>
              </w:rPr>
              <w:t>cia</w:t>
            </w:r>
            <w:proofErr w:type="spellEnd"/>
          </w:p>
        </w:tc>
        <w:tc>
          <w:tcPr>
            <w:tcW w:w="1132" w:type="dxa"/>
            <w:tcBorders>
              <w:top w:val="single" w:sz="4" w:space="0" w:color="auto"/>
              <w:bottom w:val="single" w:sz="4" w:space="0" w:color="auto"/>
            </w:tcBorders>
          </w:tcPr>
          <w:p w:rsidR="00DC11BE" w:rsidRPr="00182811" w:rsidRDefault="00DC11BE" w:rsidP="00182811">
            <w:pPr>
              <w:spacing w:line="360" w:lineRule="auto"/>
              <w:jc w:val="center"/>
              <w:rPr>
                <w:rFonts w:ascii="Garamond" w:hAnsi="Garamond" w:cs="Times New Roman"/>
                <w:b/>
                <w:sz w:val="18"/>
                <w:szCs w:val="18"/>
              </w:rPr>
            </w:pPr>
            <w:r w:rsidRPr="00182811">
              <w:rPr>
                <w:rFonts w:ascii="Garamond" w:hAnsi="Garamond" w:cs="Times New Roman"/>
                <w:b/>
                <w:sz w:val="18"/>
                <w:szCs w:val="18"/>
              </w:rPr>
              <w:t>% cumulativa</w:t>
            </w:r>
          </w:p>
        </w:tc>
      </w:tr>
      <w:tr w:rsidR="00182811" w:rsidRPr="00182811" w:rsidTr="00686D8C">
        <w:trPr>
          <w:trHeight w:hRule="exact" w:val="284"/>
        </w:trPr>
        <w:tc>
          <w:tcPr>
            <w:tcW w:w="993"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w:t>
            </w:r>
          </w:p>
        </w:tc>
        <w:tc>
          <w:tcPr>
            <w:tcW w:w="708"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5,179</w:t>
            </w:r>
          </w:p>
        </w:tc>
        <w:tc>
          <w:tcPr>
            <w:tcW w:w="851"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27,261</w:t>
            </w:r>
          </w:p>
        </w:tc>
        <w:tc>
          <w:tcPr>
            <w:tcW w:w="1134"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27,261</w:t>
            </w:r>
          </w:p>
        </w:tc>
        <w:tc>
          <w:tcPr>
            <w:tcW w:w="373"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5,179</w:t>
            </w:r>
          </w:p>
        </w:tc>
        <w:tc>
          <w:tcPr>
            <w:tcW w:w="865"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27,261</w:t>
            </w:r>
          </w:p>
        </w:tc>
        <w:tc>
          <w:tcPr>
            <w:tcW w:w="888"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27,261</w:t>
            </w:r>
          </w:p>
        </w:tc>
        <w:tc>
          <w:tcPr>
            <w:tcW w:w="709"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3,165</w:t>
            </w:r>
          </w:p>
        </w:tc>
        <w:tc>
          <w:tcPr>
            <w:tcW w:w="850"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16,655</w:t>
            </w:r>
          </w:p>
        </w:tc>
        <w:tc>
          <w:tcPr>
            <w:tcW w:w="1132" w:type="dxa"/>
            <w:tcBorders>
              <w:top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16,655</w:t>
            </w: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2,480</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13,052</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40,313</w:t>
            </w:r>
          </w:p>
        </w:tc>
        <w:tc>
          <w:tcPr>
            <w:tcW w:w="37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2,480</w:t>
            </w:r>
          </w:p>
        </w:tc>
        <w:tc>
          <w:tcPr>
            <w:tcW w:w="865"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13,052</w:t>
            </w:r>
          </w:p>
        </w:tc>
        <w:tc>
          <w:tcPr>
            <w:tcW w:w="88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40,313</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2,825</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14,869</w:t>
            </w:r>
          </w:p>
        </w:tc>
        <w:tc>
          <w:tcPr>
            <w:tcW w:w="1132"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31,524</w:t>
            </w: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1,712</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9,011</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49,324</w:t>
            </w:r>
          </w:p>
        </w:tc>
        <w:tc>
          <w:tcPr>
            <w:tcW w:w="37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1,712</w:t>
            </w:r>
          </w:p>
        </w:tc>
        <w:tc>
          <w:tcPr>
            <w:tcW w:w="865"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9,011</w:t>
            </w:r>
          </w:p>
        </w:tc>
        <w:tc>
          <w:tcPr>
            <w:tcW w:w="88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49,324</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2,718</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14,306</w:t>
            </w:r>
          </w:p>
        </w:tc>
        <w:tc>
          <w:tcPr>
            <w:tcW w:w="1132"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45,830</w:t>
            </w: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1,588</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8,360</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57,685</w:t>
            </w:r>
          </w:p>
        </w:tc>
        <w:tc>
          <w:tcPr>
            <w:tcW w:w="37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1,588</w:t>
            </w:r>
          </w:p>
        </w:tc>
        <w:tc>
          <w:tcPr>
            <w:tcW w:w="865"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8,360</w:t>
            </w:r>
          </w:p>
        </w:tc>
        <w:tc>
          <w:tcPr>
            <w:tcW w:w="88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57,685</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1,863</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9,804</w:t>
            </w:r>
          </w:p>
        </w:tc>
        <w:tc>
          <w:tcPr>
            <w:tcW w:w="1132"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55,634</w:t>
            </w: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1,241</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6,529</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64,214</w:t>
            </w:r>
          </w:p>
        </w:tc>
        <w:tc>
          <w:tcPr>
            <w:tcW w:w="37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1,241</w:t>
            </w:r>
          </w:p>
        </w:tc>
        <w:tc>
          <w:tcPr>
            <w:tcW w:w="865"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6,529</w:t>
            </w:r>
          </w:p>
        </w:tc>
        <w:tc>
          <w:tcPr>
            <w:tcW w:w="88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64,214</w:t>
            </w:r>
          </w:p>
        </w:tc>
        <w:tc>
          <w:tcPr>
            <w:tcW w:w="709"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1,630</w:t>
            </w:r>
          </w:p>
        </w:tc>
        <w:tc>
          <w:tcPr>
            <w:tcW w:w="850"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8,579</w:t>
            </w:r>
          </w:p>
        </w:tc>
        <w:tc>
          <w:tcPr>
            <w:tcW w:w="1132"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64,214</w:t>
            </w: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6</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1,118</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5,885</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70,099</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lastRenderedPageBreak/>
              <w:t>7</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0,807</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4,249</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74,348</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0,692</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3,644</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77,992</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0,627</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3,299</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81,291</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10</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0,566</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2,981</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84,272</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11</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0,516</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2,717</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86,990</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12</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0,492</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2,587</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89,577</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13</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0,423</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2,226</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91,803</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14</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0,343</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1,804</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93,607</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15</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0,307</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1,614</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95,221</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16</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0,280</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1,473</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96,694</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17</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0,256</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1,345</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98,040</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18</w:t>
            </w:r>
          </w:p>
        </w:tc>
        <w:tc>
          <w:tcPr>
            <w:tcW w:w="708"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0,205</w:t>
            </w:r>
          </w:p>
        </w:tc>
        <w:tc>
          <w:tcPr>
            <w:tcW w:w="851"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1.077</w:t>
            </w:r>
          </w:p>
        </w:tc>
        <w:tc>
          <w:tcPr>
            <w:tcW w:w="1134" w:type="dxa"/>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99,117</w:t>
            </w:r>
          </w:p>
        </w:tc>
        <w:tc>
          <w:tcPr>
            <w:tcW w:w="373" w:type="dxa"/>
          </w:tcPr>
          <w:p w:rsidR="00DC11BE" w:rsidRPr="00182811" w:rsidRDefault="00DC11BE" w:rsidP="004E3707">
            <w:pPr>
              <w:spacing w:line="360" w:lineRule="auto"/>
              <w:jc w:val="center"/>
              <w:rPr>
                <w:rFonts w:ascii="Garamond" w:hAnsi="Garamond" w:cs="Times New Roman"/>
                <w:sz w:val="24"/>
                <w:szCs w:val="24"/>
              </w:rPr>
            </w:pPr>
          </w:p>
        </w:tc>
        <w:tc>
          <w:tcPr>
            <w:tcW w:w="865" w:type="dxa"/>
          </w:tcPr>
          <w:p w:rsidR="00DC11BE" w:rsidRPr="00182811" w:rsidRDefault="00DC11BE" w:rsidP="004E3707">
            <w:pPr>
              <w:spacing w:line="360" w:lineRule="auto"/>
              <w:jc w:val="center"/>
              <w:rPr>
                <w:rFonts w:ascii="Garamond" w:hAnsi="Garamond" w:cs="Times New Roman"/>
                <w:sz w:val="24"/>
                <w:szCs w:val="24"/>
              </w:rPr>
            </w:pPr>
          </w:p>
        </w:tc>
        <w:tc>
          <w:tcPr>
            <w:tcW w:w="888" w:type="dxa"/>
          </w:tcPr>
          <w:p w:rsidR="00DC11BE" w:rsidRPr="00182811" w:rsidRDefault="00DC11BE" w:rsidP="004E3707">
            <w:pPr>
              <w:spacing w:line="360" w:lineRule="auto"/>
              <w:jc w:val="center"/>
              <w:rPr>
                <w:rFonts w:ascii="Garamond" w:hAnsi="Garamond" w:cs="Times New Roman"/>
                <w:sz w:val="24"/>
                <w:szCs w:val="24"/>
              </w:rPr>
            </w:pPr>
          </w:p>
        </w:tc>
        <w:tc>
          <w:tcPr>
            <w:tcW w:w="709" w:type="dxa"/>
          </w:tcPr>
          <w:p w:rsidR="00DC11BE" w:rsidRPr="00182811" w:rsidRDefault="00DC11BE" w:rsidP="004E3707">
            <w:pPr>
              <w:spacing w:line="360" w:lineRule="auto"/>
              <w:jc w:val="center"/>
              <w:rPr>
                <w:rFonts w:ascii="Garamond" w:hAnsi="Garamond" w:cs="Times New Roman"/>
                <w:sz w:val="24"/>
                <w:szCs w:val="24"/>
              </w:rPr>
            </w:pPr>
          </w:p>
        </w:tc>
        <w:tc>
          <w:tcPr>
            <w:tcW w:w="850" w:type="dxa"/>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182811" w:rsidRPr="00182811" w:rsidTr="00686D8C">
        <w:trPr>
          <w:trHeight w:hRule="exact" w:val="284"/>
        </w:trPr>
        <w:tc>
          <w:tcPr>
            <w:tcW w:w="993"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19</w:t>
            </w:r>
          </w:p>
        </w:tc>
        <w:tc>
          <w:tcPr>
            <w:tcW w:w="708"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0,168</w:t>
            </w:r>
          </w:p>
        </w:tc>
        <w:tc>
          <w:tcPr>
            <w:tcW w:w="851"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0,883</w:t>
            </w:r>
          </w:p>
        </w:tc>
        <w:tc>
          <w:tcPr>
            <w:tcW w:w="1134"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r w:rsidRPr="00182811">
              <w:rPr>
                <w:rFonts w:ascii="Garamond" w:hAnsi="Garamond" w:cs="Times New Roman"/>
                <w:sz w:val="24"/>
                <w:szCs w:val="24"/>
              </w:rPr>
              <w:t>100,00</w:t>
            </w:r>
          </w:p>
        </w:tc>
        <w:tc>
          <w:tcPr>
            <w:tcW w:w="373"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865"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888"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709"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850" w:type="dxa"/>
            <w:tcBorders>
              <w:bottom w:val="single" w:sz="4" w:space="0" w:color="auto"/>
            </w:tcBorders>
          </w:tcPr>
          <w:p w:rsidR="00DC11BE" w:rsidRPr="00182811" w:rsidRDefault="00DC11BE" w:rsidP="004E3707">
            <w:pPr>
              <w:spacing w:line="360" w:lineRule="auto"/>
              <w:jc w:val="center"/>
              <w:rPr>
                <w:rFonts w:ascii="Garamond" w:hAnsi="Garamond" w:cs="Times New Roman"/>
                <w:sz w:val="24"/>
                <w:szCs w:val="24"/>
              </w:rPr>
            </w:pPr>
          </w:p>
        </w:tc>
        <w:tc>
          <w:tcPr>
            <w:tcW w:w="1132" w:type="dxa"/>
          </w:tcPr>
          <w:p w:rsidR="00DC11BE" w:rsidRPr="00182811" w:rsidRDefault="00DC11BE" w:rsidP="004E3707">
            <w:pPr>
              <w:spacing w:line="360" w:lineRule="auto"/>
              <w:jc w:val="center"/>
              <w:rPr>
                <w:rFonts w:ascii="Garamond" w:hAnsi="Garamond" w:cs="Times New Roman"/>
                <w:sz w:val="24"/>
                <w:szCs w:val="24"/>
              </w:rPr>
            </w:pPr>
          </w:p>
        </w:tc>
      </w:tr>
      <w:tr w:rsidR="00DC11BE" w:rsidRPr="00182811" w:rsidTr="00182811">
        <w:trPr>
          <w:trHeight w:hRule="exact" w:val="284"/>
        </w:trPr>
        <w:tc>
          <w:tcPr>
            <w:tcW w:w="8503" w:type="dxa"/>
            <w:gridSpan w:val="10"/>
            <w:tcBorders>
              <w:top w:val="single" w:sz="4" w:space="0" w:color="auto"/>
              <w:bottom w:val="single" w:sz="12" w:space="0" w:color="auto"/>
            </w:tcBorders>
          </w:tcPr>
          <w:p w:rsidR="00DC11BE" w:rsidRPr="00182811" w:rsidRDefault="00DC11BE" w:rsidP="004E3707">
            <w:pPr>
              <w:spacing w:line="360" w:lineRule="auto"/>
              <w:jc w:val="both"/>
              <w:rPr>
                <w:rFonts w:ascii="Garamond" w:hAnsi="Garamond" w:cs="Times New Roman"/>
                <w:sz w:val="24"/>
                <w:szCs w:val="24"/>
              </w:rPr>
            </w:pPr>
            <w:r w:rsidRPr="00182811">
              <w:rPr>
                <w:rFonts w:ascii="Garamond" w:hAnsi="Garamond" w:cs="Times New Roman"/>
                <w:sz w:val="24"/>
                <w:szCs w:val="24"/>
              </w:rPr>
              <w:t>Método de Extração: análise de Componente Principal</w:t>
            </w:r>
          </w:p>
        </w:tc>
      </w:tr>
    </w:tbl>
    <w:p w:rsidR="00DC11BE" w:rsidRPr="00182811" w:rsidRDefault="00182811" w:rsidP="00182811">
      <w:pPr>
        <w:spacing w:before="120" w:after="120" w:line="240" w:lineRule="auto"/>
        <w:rPr>
          <w:rFonts w:ascii="Garamond" w:hAnsi="Garamond"/>
          <w:bCs/>
          <w:iCs/>
          <w:sz w:val="20"/>
          <w:szCs w:val="20"/>
        </w:rPr>
      </w:pPr>
      <w:r w:rsidRPr="00182811">
        <w:rPr>
          <w:rFonts w:ascii="Garamond" w:hAnsi="Garamond"/>
          <w:b/>
          <w:iCs/>
          <w:sz w:val="20"/>
          <w:szCs w:val="20"/>
        </w:rPr>
        <w:t xml:space="preserve">Fonte: </w:t>
      </w:r>
      <w:r w:rsidRPr="00182811">
        <w:rPr>
          <w:rFonts w:ascii="Garamond" w:hAnsi="Garamond"/>
          <w:bCs/>
          <w:iCs/>
          <w:sz w:val="20"/>
          <w:szCs w:val="20"/>
        </w:rPr>
        <w:t>Elaboração própria.</w:t>
      </w:r>
    </w:p>
    <w:p w:rsidR="00182811" w:rsidRPr="00686D8C" w:rsidRDefault="00182811" w:rsidP="006425F7">
      <w:pPr>
        <w:pStyle w:val="CorpoTexto"/>
      </w:pPr>
    </w:p>
    <w:p w:rsidR="00DC11BE" w:rsidRPr="0094770E" w:rsidRDefault="00DC11BE" w:rsidP="007C204C">
      <w:pPr>
        <w:pStyle w:val="CorpoTexto"/>
      </w:pPr>
      <w:r w:rsidRPr="0094770E">
        <w:t>Obtiveram-se 5 componentes.</w:t>
      </w:r>
    </w:p>
    <w:p w:rsidR="00DC11BE" w:rsidRPr="0094770E" w:rsidRDefault="00DC11BE" w:rsidP="007C204C">
      <w:pPr>
        <w:pStyle w:val="CorpoTexto"/>
      </w:pPr>
      <w:r w:rsidRPr="0094770E">
        <w:t>Os 5 componentes obtidos explicam mais de 64% da variância dos dados iniciais.</w:t>
      </w:r>
    </w:p>
    <w:p w:rsidR="00DC11BE" w:rsidRPr="0094770E" w:rsidRDefault="00DC11BE" w:rsidP="007C204C">
      <w:pPr>
        <w:pStyle w:val="CorpoTexto"/>
      </w:pPr>
      <w:r w:rsidRPr="0094770E">
        <w:t>Após a rotação (</w:t>
      </w:r>
      <w:proofErr w:type="spellStart"/>
      <w:r w:rsidRPr="0094770E">
        <w:t>Rotated</w:t>
      </w:r>
      <w:proofErr w:type="spellEnd"/>
      <w:r w:rsidRPr="0094770E">
        <w:t xml:space="preserve"> </w:t>
      </w:r>
      <w:proofErr w:type="spellStart"/>
      <w:r w:rsidRPr="0094770E">
        <w:t>Component</w:t>
      </w:r>
      <w:proofErr w:type="spellEnd"/>
      <w:r w:rsidRPr="0094770E">
        <w:t xml:space="preserve"> </w:t>
      </w:r>
      <w:proofErr w:type="spellStart"/>
      <w:r w:rsidRPr="0094770E">
        <w:t>Matrix</w:t>
      </w:r>
      <w:proofErr w:type="spellEnd"/>
      <w:r w:rsidRPr="0094770E">
        <w:t>), e tendo por base que os valores acima dos 60% têm uma maior representatividade, obtemos os valores representados na tabela 22.</w:t>
      </w:r>
    </w:p>
    <w:p w:rsidR="005D6333" w:rsidRPr="0094770E" w:rsidRDefault="005D6333" w:rsidP="006425F7">
      <w:pPr>
        <w:pStyle w:val="CorpoTexto"/>
      </w:pPr>
    </w:p>
    <w:p w:rsidR="00862447" w:rsidRPr="00686D8C" w:rsidRDefault="00DC11BE" w:rsidP="00686D8C">
      <w:pPr>
        <w:pStyle w:val="Legenda"/>
        <w:keepNext/>
        <w:spacing w:after="120"/>
        <w:rPr>
          <w:rFonts w:ascii="Garamond" w:hAnsi="Garamond"/>
          <w:i w:val="0"/>
          <w:color w:val="auto"/>
          <w:sz w:val="20"/>
          <w:szCs w:val="20"/>
        </w:rPr>
      </w:pPr>
      <w:bookmarkStart w:id="78" w:name="_Toc46677139"/>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22</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Solução Fatorial</w:t>
      </w:r>
      <w:r w:rsidR="004B172D">
        <w:rPr>
          <w:rFonts w:ascii="Garamond" w:hAnsi="Garamond"/>
          <w:i w:val="0"/>
          <w:color w:val="auto"/>
          <w:sz w:val="20"/>
          <w:szCs w:val="20"/>
        </w:rPr>
        <w:t xml:space="preserve"> da variável Satisfação.</w:t>
      </w:r>
      <w:bookmarkEnd w:id="78"/>
    </w:p>
    <w:tbl>
      <w:tblPr>
        <w:tblW w:w="8477" w:type="dxa"/>
        <w:tblInd w:w="-10" w:type="dxa"/>
        <w:tblCellMar>
          <w:left w:w="70" w:type="dxa"/>
          <w:right w:w="70" w:type="dxa"/>
        </w:tblCellMar>
        <w:tblLook w:val="04A0" w:firstRow="1" w:lastRow="0" w:firstColumn="1" w:lastColumn="0" w:noHBand="0" w:noVBand="1"/>
      </w:tblPr>
      <w:tblGrid>
        <w:gridCol w:w="1144"/>
        <w:gridCol w:w="6251"/>
        <w:gridCol w:w="1082"/>
      </w:tblGrid>
      <w:tr w:rsidR="00DC11BE" w:rsidRPr="00686D8C" w:rsidTr="004E3707">
        <w:trPr>
          <w:trHeight w:val="267"/>
        </w:trPr>
        <w:tc>
          <w:tcPr>
            <w:tcW w:w="1144" w:type="dxa"/>
            <w:tcBorders>
              <w:bottom w:val="single" w:sz="12" w:space="0" w:color="auto"/>
            </w:tcBorders>
            <w:shd w:val="clear" w:color="auto" w:fill="auto"/>
            <w:noWrap/>
            <w:vAlign w:val="bottom"/>
            <w:hideMark/>
          </w:tcPr>
          <w:p w:rsidR="00DC11BE" w:rsidRPr="00686D8C" w:rsidRDefault="00DC11BE" w:rsidP="004E3707">
            <w:pPr>
              <w:spacing w:line="240" w:lineRule="auto"/>
              <w:jc w:val="center"/>
              <w:rPr>
                <w:rFonts w:ascii="Garamond" w:eastAsia="Times New Roman" w:hAnsi="Garamond" w:cs="Times New Roman"/>
                <w:b/>
                <w:bCs/>
                <w:color w:val="000000"/>
                <w:sz w:val="24"/>
                <w:szCs w:val="24"/>
                <w:lang w:eastAsia="pt-PT"/>
              </w:rPr>
            </w:pPr>
            <w:r w:rsidRPr="00686D8C">
              <w:rPr>
                <w:rFonts w:ascii="Garamond" w:eastAsia="Times New Roman" w:hAnsi="Garamond" w:cs="Times New Roman"/>
                <w:b/>
                <w:bCs/>
                <w:color w:val="000000"/>
                <w:sz w:val="24"/>
                <w:szCs w:val="24"/>
                <w:lang w:eastAsia="pt-PT"/>
              </w:rPr>
              <w:t>FATOR</w:t>
            </w:r>
          </w:p>
        </w:tc>
        <w:tc>
          <w:tcPr>
            <w:tcW w:w="6251" w:type="dxa"/>
            <w:tcBorders>
              <w:bottom w:val="single" w:sz="12" w:space="0" w:color="auto"/>
            </w:tcBorders>
            <w:shd w:val="clear" w:color="auto" w:fill="auto"/>
            <w:noWrap/>
            <w:vAlign w:val="bottom"/>
            <w:hideMark/>
          </w:tcPr>
          <w:p w:rsidR="00DC11BE" w:rsidRPr="00686D8C" w:rsidRDefault="00DC11BE" w:rsidP="004E3707">
            <w:pPr>
              <w:spacing w:line="240" w:lineRule="auto"/>
              <w:jc w:val="center"/>
              <w:rPr>
                <w:rFonts w:ascii="Garamond" w:eastAsia="Times New Roman" w:hAnsi="Garamond" w:cs="Times New Roman"/>
                <w:b/>
                <w:bCs/>
                <w:color w:val="000000"/>
                <w:sz w:val="24"/>
                <w:szCs w:val="24"/>
                <w:lang w:eastAsia="pt-PT"/>
              </w:rPr>
            </w:pPr>
            <w:r w:rsidRPr="00686D8C">
              <w:rPr>
                <w:rFonts w:ascii="Garamond" w:eastAsia="Times New Roman" w:hAnsi="Garamond" w:cs="Times New Roman"/>
                <w:b/>
                <w:bCs/>
                <w:color w:val="000000"/>
                <w:sz w:val="24"/>
                <w:szCs w:val="24"/>
                <w:lang w:eastAsia="pt-PT"/>
              </w:rPr>
              <w:t>ITEMS</w:t>
            </w:r>
          </w:p>
        </w:tc>
        <w:tc>
          <w:tcPr>
            <w:tcW w:w="1082" w:type="dxa"/>
            <w:tcBorders>
              <w:bottom w:val="single" w:sz="12" w:space="0" w:color="auto"/>
            </w:tcBorders>
            <w:shd w:val="clear" w:color="auto" w:fill="auto"/>
            <w:noWrap/>
            <w:vAlign w:val="bottom"/>
            <w:hideMark/>
          </w:tcPr>
          <w:p w:rsidR="00DC11BE" w:rsidRPr="00686D8C" w:rsidRDefault="00DC11BE" w:rsidP="004E3707">
            <w:pPr>
              <w:spacing w:line="240" w:lineRule="auto"/>
              <w:jc w:val="center"/>
              <w:rPr>
                <w:rFonts w:ascii="Garamond" w:eastAsia="Times New Roman" w:hAnsi="Garamond" w:cs="Times New Roman"/>
                <w:b/>
                <w:bCs/>
                <w:color w:val="000000"/>
                <w:sz w:val="24"/>
                <w:szCs w:val="24"/>
                <w:lang w:eastAsia="pt-PT"/>
              </w:rPr>
            </w:pPr>
            <w:r w:rsidRPr="00686D8C">
              <w:rPr>
                <w:rFonts w:ascii="Garamond" w:eastAsia="Times New Roman" w:hAnsi="Garamond" w:cs="Times New Roman"/>
                <w:b/>
                <w:bCs/>
                <w:color w:val="000000"/>
                <w:sz w:val="24"/>
                <w:szCs w:val="24"/>
                <w:lang w:eastAsia="pt-PT"/>
              </w:rPr>
              <w:t>VALOR</w:t>
            </w:r>
          </w:p>
        </w:tc>
      </w:tr>
      <w:tr w:rsidR="00DC11BE" w:rsidRPr="00686D8C" w:rsidTr="004E3707">
        <w:trPr>
          <w:trHeight w:val="252"/>
        </w:trPr>
        <w:tc>
          <w:tcPr>
            <w:tcW w:w="1144" w:type="dxa"/>
            <w:vMerge w:val="restart"/>
            <w:tcBorders>
              <w:top w:val="single" w:sz="12" w:space="0" w:color="auto"/>
            </w:tcBorders>
            <w:shd w:val="clear" w:color="auto" w:fill="auto"/>
            <w:noWrap/>
            <w:vAlign w:val="center"/>
            <w:hideMark/>
          </w:tcPr>
          <w:p w:rsidR="00DC11BE" w:rsidRPr="00686D8C" w:rsidRDefault="00DC11BE" w:rsidP="004E3707">
            <w:pPr>
              <w:spacing w:line="240" w:lineRule="auto"/>
              <w:jc w:val="center"/>
              <w:rPr>
                <w:rFonts w:ascii="Garamond" w:eastAsia="Times New Roman" w:hAnsi="Garamond" w:cs="Times New Roman"/>
                <w:b/>
                <w:bCs/>
                <w:color w:val="000000"/>
                <w:sz w:val="24"/>
                <w:szCs w:val="24"/>
                <w:lang w:eastAsia="pt-PT"/>
              </w:rPr>
            </w:pPr>
            <w:r w:rsidRPr="00686D8C">
              <w:rPr>
                <w:rFonts w:ascii="Garamond" w:eastAsia="Times New Roman" w:hAnsi="Garamond" w:cs="Times New Roman"/>
                <w:b/>
                <w:bCs/>
                <w:color w:val="000000"/>
                <w:sz w:val="24"/>
                <w:szCs w:val="24"/>
                <w:lang w:eastAsia="pt-PT"/>
              </w:rPr>
              <w:t>1</w:t>
            </w:r>
          </w:p>
        </w:tc>
        <w:tc>
          <w:tcPr>
            <w:tcW w:w="6251" w:type="dxa"/>
            <w:tcBorders>
              <w:top w:val="single" w:sz="12"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Acho o meu trabalho estimulante</w:t>
            </w:r>
          </w:p>
        </w:tc>
        <w:tc>
          <w:tcPr>
            <w:tcW w:w="1082" w:type="dxa"/>
            <w:tcBorders>
              <w:top w:val="single" w:sz="12"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72,5%</w:t>
            </w:r>
          </w:p>
        </w:tc>
      </w:tr>
      <w:tr w:rsidR="00DC11BE" w:rsidRPr="00686D8C" w:rsidTr="004E3707">
        <w:trPr>
          <w:trHeight w:val="252"/>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Considero os meus superiores “5 estrelas”</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69,8%</w:t>
            </w:r>
          </w:p>
        </w:tc>
      </w:tr>
      <w:tr w:rsidR="00DC11BE" w:rsidRPr="00686D8C" w:rsidTr="004E3707">
        <w:trPr>
          <w:trHeight w:val="252"/>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Sou apoiado (a) pelos meus chefes</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68,3%</w:t>
            </w:r>
          </w:p>
        </w:tc>
      </w:tr>
      <w:tr w:rsidR="00DC11BE" w:rsidRPr="00686D8C" w:rsidTr="004E3707">
        <w:trPr>
          <w:trHeight w:val="504"/>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 xml:space="preserve"> Sinto-me satisfeito com a progressão da minha carreira</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66,6%</w:t>
            </w:r>
          </w:p>
        </w:tc>
      </w:tr>
      <w:tr w:rsidR="00DC11BE" w:rsidRPr="00686D8C" w:rsidTr="004E3707">
        <w:trPr>
          <w:trHeight w:val="252"/>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Serei promovido (a) se realizar um bom trabalho</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55,5%</w:t>
            </w:r>
          </w:p>
        </w:tc>
      </w:tr>
      <w:tr w:rsidR="00DC11BE" w:rsidRPr="00686D8C" w:rsidTr="004E3707">
        <w:trPr>
          <w:trHeight w:val="252"/>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Gosto dos meus colegas de trabalho</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54,4%</w:t>
            </w:r>
          </w:p>
        </w:tc>
      </w:tr>
      <w:tr w:rsidR="00DC11BE" w:rsidRPr="00686D8C" w:rsidTr="004E3707">
        <w:trPr>
          <w:trHeight w:val="504"/>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Sempre que peço para me fazerem algo, sou ajudado (a)</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52,6%</w:t>
            </w:r>
          </w:p>
        </w:tc>
      </w:tr>
      <w:tr w:rsidR="00DC11BE" w:rsidRPr="00686D8C" w:rsidTr="004E3707">
        <w:trPr>
          <w:trHeight w:val="252"/>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Os meus colegas de trabalho são responsáveis</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50,7%</w:t>
            </w:r>
          </w:p>
        </w:tc>
      </w:tr>
      <w:tr w:rsidR="00DC11BE" w:rsidRPr="00686D8C" w:rsidTr="004E3707">
        <w:trPr>
          <w:trHeight w:val="519"/>
        </w:trPr>
        <w:tc>
          <w:tcPr>
            <w:tcW w:w="1144" w:type="dxa"/>
            <w:vMerge/>
            <w:tcBorders>
              <w:bottom w:val="single" w:sz="4" w:space="0" w:color="auto"/>
            </w:tcBorders>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tcBorders>
              <w:bottom w:val="single" w:sz="4"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Estou confortável com as responsabilidades do meu trabalho</w:t>
            </w:r>
          </w:p>
        </w:tc>
        <w:tc>
          <w:tcPr>
            <w:tcW w:w="1082" w:type="dxa"/>
            <w:tcBorders>
              <w:bottom w:val="single" w:sz="4"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50,6%</w:t>
            </w:r>
          </w:p>
        </w:tc>
      </w:tr>
      <w:tr w:rsidR="00DC11BE" w:rsidRPr="00686D8C" w:rsidTr="004E3707">
        <w:trPr>
          <w:trHeight w:val="504"/>
        </w:trPr>
        <w:tc>
          <w:tcPr>
            <w:tcW w:w="1144" w:type="dxa"/>
            <w:vMerge w:val="restart"/>
            <w:tcBorders>
              <w:top w:val="single" w:sz="4" w:space="0" w:color="auto"/>
            </w:tcBorders>
            <w:shd w:val="clear" w:color="auto" w:fill="auto"/>
            <w:noWrap/>
            <w:vAlign w:val="center"/>
            <w:hideMark/>
          </w:tcPr>
          <w:p w:rsidR="00DC11BE" w:rsidRPr="00686D8C" w:rsidRDefault="00DC11BE" w:rsidP="004E3707">
            <w:pPr>
              <w:spacing w:line="240" w:lineRule="auto"/>
              <w:jc w:val="center"/>
              <w:rPr>
                <w:rFonts w:ascii="Garamond" w:eastAsia="Times New Roman" w:hAnsi="Garamond" w:cs="Times New Roman"/>
                <w:b/>
                <w:bCs/>
                <w:color w:val="000000"/>
                <w:sz w:val="24"/>
                <w:szCs w:val="24"/>
                <w:lang w:eastAsia="pt-PT"/>
              </w:rPr>
            </w:pPr>
            <w:r w:rsidRPr="00686D8C">
              <w:rPr>
                <w:rFonts w:ascii="Garamond" w:eastAsia="Times New Roman" w:hAnsi="Garamond" w:cs="Times New Roman"/>
                <w:b/>
                <w:bCs/>
                <w:color w:val="000000"/>
                <w:sz w:val="24"/>
                <w:szCs w:val="24"/>
                <w:lang w:eastAsia="pt-PT"/>
              </w:rPr>
              <w:t>2</w:t>
            </w:r>
          </w:p>
        </w:tc>
        <w:tc>
          <w:tcPr>
            <w:tcW w:w="6251" w:type="dxa"/>
            <w:tcBorders>
              <w:top w:val="single" w:sz="4"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Não tenho o apoio suficiente dos meus colegas de trabalho</w:t>
            </w:r>
          </w:p>
        </w:tc>
        <w:tc>
          <w:tcPr>
            <w:tcW w:w="1082" w:type="dxa"/>
            <w:tcBorders>
              <w:top w:val="single" w:sz="4"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30,6%</w:t>
            </w:r>
          </w:p>
        </w:tc>
      </w:tr>
      <w:tr w:rsidR="00DC11BE" w:rsidRPr="00686D8C" w:rsidTr="004E3707">
        <w:trPr>
          <w:trHeight w:val="504"/>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Tendo em conta as minhas responsabilidades, acho o meu salário adequado</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66,6%</w:t>
            </w:r>
          </w:p>
        </w:tc>
      </w:tr>
      <w:tr w:rsidR="00DC11BE" w:rsidRPr="00686D8C" w:rsidTr="004E3707">
        <w:trPr>
          <w:trHeight w:val="519"/>
        </w:trPr>
        <w:tc>
          <w:tcPr>
            <w:tcW w:w="1144" w:type="dxa"/>
            <w:vMerge/>
            <w:tcBorders>
              <w:bottom w:val="single" w:sz="4" w:space="0" w:color="auto"/>
            </w:tcBorders>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tcBorders>
              <w:bottom w:val="single" w:sz="4"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A minha empresa paga salários melhores em relação aos concorrentes</w:t>
            </w:r>
          </w:p>
        </w:tc>
        <w:tc>
          <w:tcPr>
            <w:tcW w:w="1082" w:type="dxa"/>
            <w:tcBorders>
              <w:bottom w:val="single" w:sz="4"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61,5%</w:t>
            </w:r>
          </w:p>
        </w:tc>
      </w:tr>
      <w:tr w:rsidR="00DC11BE" w:rsidRPr="00686D8C" w:rsidTr="004E3707">
        <w:trPr>
          <w:trHeight w:val="252"/>
        </w:trPr>
        <w:tc>
          <w:tcPr>
            <w:tcW w:w="1144" w:type="dxa"/>
            <w:vMerge w:val="restart"/>
            <w:tcBorders>
              <w:top w:val="single" w:sz="4" w:space="0" w:color="auto"/>
            </w:tcBorders>
            <w:shd w:val="clear" w:color="auto" w:fill="auto"/>
            <w:noWrap/>
            <w:vAlign w:val="center"/>
            <w:hideMark/>
          </w:tcPr>
          <w:p w:rsidR="00DC11BE" w:rsidRPr="00686D8C" w:rsidRDefault="00DC11BE" w:rsidP="004E3707">
            <w:pPr>
              <w:spacing w:line="240" w:lineRule="auto"/>
              <w:jc w:val="center"/>
              <w:rPr>
                <w:rFonts w:ascii="Garamond" w:eastAsia="Times New Roman" w:hAnsi="Garamond" w:cs="Times New Roman"/>
                <w:b/>
                <w:bCs/>
                <w:color w:val="000000"/>
                <w:sz w:val="24"/>
                <w:szCs w:val="24"/>
                <w:lang w:eastAsia="pt-PT"/>
              </w:rPr>
            </w:pPr>
            <w:r w:rsidRPr="00686D8C">
              <w:rPr>
                <w:rFonts w:ascii="Garamond" w:eastAsia="Times New Roman" w:hAnsi="Garamond" w:cs="Times New Roman"/>
                <w:b/>
                <w:bCs/>
                <w:color w:val="000000"/>
                <w:sz w:val="24"/>
                <w:szCs w:val="24"/>
                <w:lang w:eastAsia="pt-PT"/>
              </w:rPr>
              <w:t>3</w:t>
            </w:r>
          </w:p>
        </w:tc>
        <w:tc>
          <w:tcPr>
            <w:tcW w:w="6251" w:type="dxa"/>
            <w:tcBorders>
              <w:top w:val="single" w:sz="4"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Os meus benefícios adicionais são generosos</w:t>
            </w:r>
          </w:p>
        </w:tc>
        <w:tc>
          <w:tcPr>
            <w:tcW w:w="1082" w:type="dxa"/>
            <w:tcBorders>
              <w:top w:val="single" w:sz="4"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47,2%</w:t>
            </w:r>
          </w:p>
        </w:tc>
      </w:tr>
      <w:tr w:rsidR="00DC11BE" w:rsidRPr="00686D8C" w:rsidTr="004E3707">
        <w:trPr>
          <w:trHeight w:val="504"/>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Não estou de acordo com os critérios utilizados na minha empresa para promoção</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65,7%</w:t>
            </w:r>
          </w:p>
        </w:tc>
      </w:tr>
      <w:tr w:rsidR="00DC11BE" w:rsidRPr="00686D8C" w:rsidTr="004E3707">
        <w:trPr>
          <w:trHeight w:val="252"/>
        </w:trPr>
        <w:tc>
          <w:tcPr>
            <w:tcW w:w="1144" w:type="dxa"/>
            <w:vMerge/>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Não sou tratado (a) de forma justa pelos meus chefes</w:t>
            </w:r>
          </w:p>
        </w:tc>
        <w:tc>
          <w:tcPr>
            <w:tcW w:w="1082" w:type="dxa"/>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50,6%</w:t>
            </w:r>
          </w:p>
        </w:tc>
      </w:tr>
      <w:tr w:rsidR="00DC11BE" w:rsidRPr="00686D8C" w:rsidTr="004E3707">
        <w:trPr>
          <w:trHeight w:val="267"/>
        </w:trPr>
        <w:tc>
          <w:tcPr>
            <w:tcW w:w="1144" w:type="dxa"/>
            <w:vMerge/>
            <w:tcBorders>
              <w:bottom w:val="single" w:sz="4" w:space="0" w:color="auto"/>
            </w:tcBorders>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tcBorders>
              <w:bottom w:val="single" w:sz="4"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A minha opinião não é valorizada pela minha chefia</w:t>
            </w:r>
          </w:p>
        </w:tc>
        <w:tc>
          <w:tcPr>
            <w:tcW w:w="1082" w:type="dxa"/>
            <w:tcBorders>
              <w:bottom w:val="single" w:sz="4"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51,0%</w:t>
            </w:r>
          </w:p>
        </w:tc>
      </w:tr>
      <w:tr w:rsidR="00DC11BE" w:rsidRPr="00686D8C" w:rsidTr="004E3707">
        <w:trPr>
          <w:trHeight w:val="252"/>
        </w:trPr>
        <w:tc>
          <w:tcPr>
            <w:tcW w:w="1144" w:type="dxa"/>
            <w:vMerge w:val="restart"/>
            <w:tcBorders>
              <w:top w:val="single" w:sz="4" w:space="0" w:color="auto"/>
            </w:tcBorders>
            <w:shd w:val="clear" w:color="auto" w:fill="auto"/>
            <w:noWrap/>
            <w:vAlign w:val="bottom"/>
            <w:hideMark/>
          </w:tcPr>
          <w:p w:rsidR="00DC11BE" w:rsidRPr="00686D8C" w:rsidRDefault="00DC11BE" w:rsidP="004E3707">
            <w:pPr>
              <w:spacing w:line="240" w:lineRule="auto"/>
              <w:jc w:val="center"/>
              <w:rPr>
                <w:rFonts w:ascii="Garamond" w:eastAsia="Times New Roman" w:hAnsi="Garamond" w:cs="Times New Roman"/>
                <w:b/>
                <w:bCs/>
                <w:color w:val="000000"/>
                <w:sz w:val="24"/>
                <w:szCs w:val="24"/>
                <w:lang w:eastAsia="pt-PT"/>
              </w:rPr>
            </w:pPr>
            <w:r w:rsidRPr="00686D8C">
              <w:rPr>
                <w:rFonts w:ascii="Garamond" w:eastAsia="Times New Roman" w:hAnsi="Garamond" w:cs="Times New Roman"/>
                <w:b/>
                <w:bCs/>
                <w:color w:val="000000"/>
                <w:sz w:val="24"/>
                <w:szCs w:val="24"/>
                <w:lang w:eastAsia="pt-PT"/>
              </w:rPr>
              <w:t>4</w:t>
            </w:r>
          </w:p>
        </w:tc>
        <w:tc>
          <w:tcPr>
            <w:tcW w:w="6251" w:type="dxa"/>
            <w:tcBorders>
              <w:top w:val="single" w:sz="4"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Não me sinto realizado (a) com o trabalho que tenho</w:t>
            </w:r>
          </w:p>
        </w:tc>
        <w:tc>
          <w:tcPr>
            <w:tcW w:w="1082" w:type="dxa"/>
            <w:tcBorders>
              <w:top w:val="single" w:sz="4"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55,6%</w:t>
            </w:r>
          </w:p>
        </w:tc>
      </w:tr>
      <w:tr w:rsidR="00DC11BE" w:rsidRPr="00686D8C" w:rsidTr="004E3707">
        <w:trPr>
          <w:trHeight w:val="252"/>
        </w:trPr>
        <w:tc>
          <w:tcPr>
            <w:tcW w:w="1144" w:type="dxa"/>
            <w:vMerge/>
            <w:tcBorders>
              <w:bottom w:val="single" w:sz="4" w:space="0" w:color="auto"/>
            </w:tcBorders>
            <w:vAlign w:val="center"/>
            <w:hideMark/>
          </w:tcPr>
          <w:p w:rsidR="00DC11BE" w:rsidRPr="00686D8C" w:rsidRDefault="00DC11BE" w:rsidP="004E3707">
            <w:pPr>
              <w:spacing w:line="240" w:lineRule="auto"/>
              <w:rPr>
                <w:rFonts w:ascii="Garamond" w:eastAsia="Times New Roman" w:hAnsi="Garamond" w:cs="Times New Roman"/>
                <w:b/>
                <w:bCs/>
                <w:color w:val="000000"/>
                <w:sz w:val="24"/>
                <w:szCs w:val="24"/>
                <w:lang w:eastAsia="pt-PT"/>
              </w:rPr>
            </w:pPr>
          </w:p>
        </w:tc>
        <w:tc>
          <w:tcPr>
            <w:tcW w:w="6251" w:type="dxa"/>
            <w:tcBorders>
              <w:bottom w:val="single" w:sz="4"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Preferia fazer outro tipo de trabalho</w:t>
            </w:r>
          </w:p>
        </w:tc>
        <w:tc>
          <w:tcPr>
            <w:tcW w:w="1082" w:type="dxa"/>
            <w:tcBorders>
              <w:bottom w:val="single" w:sz="4"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56,5%</w:t>
            </w:r>
          </w:p>
        </w:tc>
      </w:tr>
      <w:tr w:rsidR="00DC11BE" w:rsidRPr="00686D8C" w:rsidTr="004E3707">
        <w:trPr>
          <w:trHeight w:val="519"/>
        </w:trPr>
        <w:tc>
          <w:tcPr>
            <w:tcW w:w="1144" w:type="dxa"/>
            <w:tcBorders>
              <w:top w:val="single" w:sz="4" w:space="0" w:color="auto"/>
              <w:bottom w:val="single" w:sz="12" w:space="0" w:color="auto"/>
            </w:tcBorders>
            <w:shd w:val="clear" w:color="auto" w:fill="auto"/>
            <w:noWrap/>
            <w:vAlign w:val="bottom"/>
            <w:hideMark/>
          </w:tcPr>
          <w:p w:rsidR="00DC11BE" w:rsidRPr="00686D8C" w:rsidRDefault="00DC11BE" w:rsidP="004E3707">
            <w:pPr>
              <w:spacing w:line="240" w:lineRule="auto"/>
              <w:jc w:val="center"/>
              <w:rPr>
                <w:rFonts w:ascii="Garamond" w:eastAsia="Times New Roman" w:hAnsi="Garamond" w:cs="Times New Roman"/>
                <w:b/>
                <w:bCs/>
                <w:color w:val="000000"/>
                <w:sz w:val="24"/>
                <w:szCs w:val="24"/>
                <w:lang w:eastAsia="pt-PT"/>
              </w:rPr>
            </w:pPr>
            <w:r w:rsidRPr="00686D8C">
              <w:rPr>
                <w:rFonts w:ascii="Garamond" w:eastAsia="Times New Roman" w:hAnsi="Garamond" w:cs="Times New Roman"/>
                <w:b/>
                <w:bCs/>
                <w:color w:val="000000"/>
                <w:sz w:val="24"/>
                <w:szCs w:val="24"/>
                <w:lang w:eastAsia="pt-PT"/>
              </w:rPr>
              <w:t>5</w:t>
            </w:r>
          </w:p>
        </w:tc>
        <w:tc>
          <w:tcPr>
            <w:tcW w:w="6251" w:type="dxa"/>
            <w:tcBorders>
              <w:top w:val="single" w:sz="4" w:space="0" w:color="auto"/>
              <w:bottom w:val="single" w:sz="12" w:space="0" w:color="auto"/>
            </w:tcBorders>
            <w:shd w:val="clear" w:color="auto" w:fill="auto"/>
            <w:vAlign w:val="bottom"/>
            <w:hideMark/>
          </w:tcPr>
          <w:p w:rsidR="00DC11BE" w:rsidRPr="00686D8C" w:rsidRDefault="00DC11BE" w:rsidP="004E3707">
            <w:pPr>
              <w:spacing w:line="240" w:lineRule="auto"/>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Acho que sou mal pago (a)a para as funções que desempenho</w:t>
            </w:r>
          </w:p>
        </w:tc>
        <w:tc>
          <w:tcPr>
            <w:tcW w:w="1082" w:type="dxa"/>
            <w:tcBorders>
              <w:top w:val="single" w:sz="4" w:space="0" w:color="auto"/>
              <w:bottom w:val="single" w:sz="12" w:space="0" w:color="auto"/>
            </w:tcBorders>
            <w:shd w:val="clear" w:color="auto" w:fill="auto"/>
            <w:noWrap/>
            <w:vAlign w:val="bottom"/>
            <w:hideMark/>
          </w:tcPr>
          <w:p w:rsidR="00DC11BE" w:rsidRPr="00686D8C" w:rsidRDefault="00DC11BE" w:rsidP="004E3707">
            <w:pPr>
              <w:spacing w:line="240" w:lineRule="auto"/>
              <w:jc w:val="right"/>
              <w:rPr>
                <w:rFonts w:ascii="Garamond" w:eastAsia="Times New Roman" w:hAnsi="Garamond" w:cs="Times New Roman"/>
                <w:color w:val="000000"/>
                <w:sz w:val="24"/>
                <w:szCs w:val="24"/>
                <w:lang w:eastAsia="pt-PT"/>
              </w:rPr>
            </w:pPr>
            <w:r w:rsidRPr="00686D8C">
              <w:rPr>
                <w:rFonts w:ascii="Garamond" w:eastAsia="Times New Roman" w:hAnsi="Garamond" w:cs="Times New Roman"/>
                <w:color w:val="000000"/>
                <w:sz w:val="24"/>
                <w:szCs w:val="24"/>
                <w:lang w:eastAsia="pt-PT"/>
              </w:rPr>
              <w:t>61,3%</w:t>
            </w:r>
          </w:p>
        </w:tc>
      </w:tr>
    </w:tbl>
    <w:p w:rsidR="00DC11BE" w:rsidRPr="00686D8C" w:rsidRDefault="00686D8C" w:rsidP="00686D8C">
      <w:pPr>
        <w:spacing w:before="120" w:after="120" w:line="240" w:lineRule="auto"/>
        <w:rPr>
          <w:rFonts w:ascii="Garamond" w:hAnsi="Garamond" w:cs="Times New Roman"/>
          <w:b/>
          <w:iCs/>
          <w:sz w:val="24"/>
        </w:rPr>
      </w:pPr>
      <w:r w:rsidRPr="00686D8C">
        <w:rPr>
          <w:rFonts w:ascii="Garamond" w:hAnsi="Garamond"/>
          <w:b/>
          <w:iCs/>
          <w:sz w:val="20"/>
          <w:szCs w:val="20"/>
        </w:rPr>
        <w:t xml:space="preserve">Fonte: </w:t>
      </w:r>
      <w:r w:rsidRPr="00686D8C">
        <w:rPr>
          <w:rFonts w:ascii="Garamond" w:hAnsi="Garamond"/>
          <w:bCs/>
          <w:iCs/>
          <w:sz w:val="20"/>
          <w:szCs w:val="20"/>
        </w:rPr>
        <w:t>Elaboração própria.</w:t>
      </w:r>
    </w:p>
    <w:p w:rsidR="00DC11BE" w:rsidRPr="0094770E" w:rsidRDefault="00DC11BE" w:rsidP="007C204C">
      <w:pPr>
        <w:pStyle w:val="CorpoTexto"/>
      </w:pPr>
    </w:p>
    <w:p w:rsidR="00DC11BE" w:rsidRPr="0094770E" w:rsidRDefault="00DC11BE" w:rsidP="007C204C">
      <w:pPr>
        <w:pStyle w:val="CorpoTexto"/>
      </w:pPr>
      <w:r w:rsidRPr="0094770E">
        <w:t>Uma leitura atenta dos itens que se correlacionam entre si, levou-nos a designar os fatores da forma como se representam na tabela 23.</w:t>
      </w:r>
    </w:p>
    <w:p w:rsidR="00DC11BE" w:rsidRPr="0094770E" w:rsidRDefault="00DC11BE" w:rsidP="006425F7">
      <w:pPr>
        <w:pStyle w:val="CorpoTexto"/>
      </w:pPr>
    </w:p>
    <w:p w:rsidR="00862447" w:rsidRPr="00686D8C" w:rsidRDefault="00DC11BE" w:rsidP="00686D8C">
      <w:pPr>
        <w:pStyle w:val="Legenda"/>
        <w:keepNext/>
        <w:spacing w:after="120"/>
        <w:rPr>
          <w:rFonts w:ascii="Garamond" w:hAnsi="Garamond"/>
          <w:i w:val="0"/>
          <w:color w:val="auto"/>
          <w:sz w:val="20"/>
          <w:szCs w:val="20"/>
        </w:rPr>
      </w:pPr>
      <w:bookmarkStart w:id="79" w:name="_Toc46677140"/>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23</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Designação dos Fatores</w:t>
      </w:r>
      <w:r w:rsidR="004B172D">
        <w:rPr>
          <w:rFonts w:ascii="Garamond" w:hAnsi="Garamond"/>
          <w:i w:val="0"/>
          <w:color w:val="auto"/>
          <w:sz w:val="20"/>
          <w:szCs w:val="20"/>
        </w:rPr>
        <w:t xml:space="preserve"> da variável Satisfação.</w:t>
      </w:r>
      <w:bookmarkEnd w:id="79"/>
    </w:p>
    <w:tbl>
      <w:tblPr>
        <w:tblW w:w="0" w:type="auto"/>
        <w:tblLook w:val="01E0" w:firstRow="1" w:lastRow="1" w:firstColumn="1" w:lastColumn="1" w:noHBand="0" w:noVBand="0"/>
      </w:tblPr>
      <w:tblGrid>
        <w:gridCol w:w="3969"/>
        <w:gridCol w:w="4524"/>
      </w:tblGrid>
      <w:tr w:rsidR="00DC11BE" w:rsidRPr="00686D8C" w:rsidTr="004E3707">
        <w:tc>
          <w:tcPr>
            <w:tcW w:w="8493" w:type="dxa"/>
            <w:gridSpan w:val="2"/>
            <w:tcBorders>
              <w:bottom w:val="single" w:sz="12" w:space="0" w:color="auto"/>
            </w:tcBorders>
          </w:tcPr>
          <w:p w:rsidR="00DC11BE" w:rsidRPr="00686D8C" w:rsidRDefault="00DC11BE" w:rsidP="004E3707">
            <w:pPr>
              <w:rPr>
                <w:rFonts w:ascii="Garamond" w:eastAsia="Times New Roman" w:hAnsi="Garamond" w:cs="Times New Roman"/>
                <w:b/>
                <w:sz w:val="24"/>
                <w:szCs w:val="24"/>
                <w:lang w:eastAsia="pt-PT"/>
              </w:rPr>
            </w:pPr>
            <w:r w:rsidRPr="00686D8C">
              <w:rPr>
                <w:rFonts w:ascii="Garamond" w:eastAsia="Times New Roman" w:hAnsi="Garamond" w:cs="Times New Roman"/>
                <w:b/>
                <w:sz w:val="24"/>
                <w:szCs w:val="24"/>
                <w:lang w:eastAsia="pt-PT"/>
              </w:rPr>
              <w:t>Designação dos Fatores</w:t>
            </w:r>
          </w:p>
        </w:tc>
      </w:tr>
      <w:tr w:rsidR="00DC11BE" w:rsidRPr="00686D8C" w:rsidTr="00686D8C">
        <w:tc>
          <w:tcPr>
            <w:tcW w:w="3969" w:type="dxa"/>
            <w:tcBorders>
              <w:top w:val="single" w:sz="12" w:space="0" w:color="auto"/>
            </w:tcBorders>
          </w:tcPr>
          <w:p w:rsidR="00DC11BE" w:rsidRPr="00686D8C" w:rsidRDefault="00DC11BE" w:rsidP="004E3707">
            <w:pPr>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Fator 1</w:t>
            </w:r>
          </w:p>
        </w:tc>
        <w:tc>
          <w:tcPr>
            <w:tcW w:w="4524" w:type="dxa"/>
            <w:tcBorders>
              <w:top w:val="single" w:sz="12" w:space="0" w:color="auto"/>
            </w:tcBorders>
          </w:tcPr>
          <w:p w:rsidR="00DC11BE" w:rsidRPr="00686D8C" w:rsidRDefault="00DC11BE" w:rsidP="004E3707">
            <w:pPr>
              <w:jc w:val="right"/>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Superiores hierárquicos e colegas de trabalho</w:t>
            </w:r>
          </w:p>
        </w:tc>
      </w:tr>
      <w:tr w:rsidR="00DC11BE" w:rsidRPr="00686D8C" w:rsidTr="00686D8C">
        <w:tc>
          <w:tcPr>
            <w:tcW w:w="3969" w:type="dxa"/>
          </w:tcPr>
          <w:p w:rsidR="00DC11BE" w:rsidRPr="00686D8C" w:rsidRDefault="00DC11BE" w:rsidP="004E3707">
            <w:pPr>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 xml:space="preserve">Fator 2 </w:t>
            </w:r>
          </w:p>
        </w:tc>
        <w:tc>
          <w:tcPr>
            <w:tcW w:w="4524" w:type="dxa"/>
          </w:tcPr>
          <w:p w:rsidR="00DC11BE" w:rsidRPr="00686D8C" w:rsidRDefault="00DC11BE" w:rsidP="004E3707">
            <w:pPr>
              <w:jc w:val="right"/>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Salários</w:t>
            </w:r>
          </w:p>
        </w:tc>
      </w:tr>
      <w:tr w:rsidR="00DC11BE" w:rsidRPr="00686D8C" w:rsidTr="00686D8C">
        <w:tc>
          <w:tcPr>
            <w:tcW w:w="3969" w:type="dxa"/>
          </w:tcPr>
          <w:p w:rsidR="00DC11BE" w:rsidRPr="00686D8C" w:rsidRDefault="00DC11BE" w:rsidP="004E3707">
            <w:pPr>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Fator 3</w:t>
            </w:r>
          </w:p>
        </w:tc>
        <w:tc>
          <w:tcPr>
            <w:tcW w:w="4524" w:type="dxa"/>
          </w:tcPr>
          <w:p w:rsidR="00DC11BE" w:rsidRPr="00686D8C" w:rsidRDefault="00DC11BE" w:rsidP="004E3707">
            <w:pPr>
              <w:jc w:val="right"/>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Promoções</w:t>
            </w:r>
          </w:p>
        </w:tc>
      </w:tr>
      <w:tr w:rsidR="00DC11BE" w:rsidRPr="00686D8C" w:rsidTr="00686D8C">
        <w:tc>
          <w:tcPr>
            <w:tcW w:w="3969" w:type="dxa"/>
          </w:tcPr>
          <w:p w:rsidR="00DC11BE" w:rsidRPr="00686D8C" w:rsidRDefault="00DC11BE" w:rsidP="004E3707">
            <w:pPr>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Fator 4</w:t>
            </w:r>
          </w:p>
        </w:tc>
        <w:tc>
          <w:tcPr>
            <w:tcW w:w="4524" w:type="dxa"/>
          </w:tcPr>
          <w:p w:rsidR="00DC11BE" w:rsidRPr="00686D8C" w:rsidRDefault="00DC11BE" w:rsidP="004E3707">
            <w:pPr>
              <w:jc w:val="right"/>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Realização de tarefas</w:t>
            </w:r>
          </w:p>
        </w:tc>
      </w:tr>
      <w:tr w:rsidR="00DC11BE" w:rsidRPr="00686D8C" w:rsidTr="00686D8C">
        <w:tc>
          <w:tcPr>
            <w:tcW w:w="3969" w:type="dxa"/>
            <w:tcBorders>
              <w:bottom w:val="single" w:sz="12" w:space="0" w:color="auto"/>
            </w:tcBorders>
          </w:tcPr>
          <w:p w:rsidR="00DC11BE" w:rsidRPr="00686D8C" w:rsidRDefault="00DC11BE" w:rsidP="004E3707">
            <w:pPr>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Fator 5</w:t>
            </w:r>
          </w:p>
        </w:tc>
        <w:tc>
          <w:tcPr>
            <w:tcW w:w="4524" w:type="dxa"/>
            <w:tcBorders>
              <w:bottom w:val="single" w:sz="12" w:space="0" w:color="auto"/>
            </w:tcBorders>
          </w:tcPr>
          <w:p w:rsidR="00DC11BE" w:rsidRPr="00686D8C" w:rsidRDefault="00DC11BE" w:rsidP="004E3707">
            <w:pPr>
              <w:jc w:val="right"/>
              <w:rPr>
                <w:rFonts w:ascii="Garamond" w:eastAsia="Times New Roman" w:hAnsi="Garamond" w:cs="Times New Roman"/>
                <w:sz w:val="24"/>
                <w:szCs w:val="24"/>
                <w:lang w:eastAsia="pt-PT"/>
              </w:rPr>
            </w:pPr>
            <w:r w:rsidRPr="00686D8C">
              <w:rPr>
                <w:rFonts w:ascii="Garamond" w:eastAsia="Times New Roman" w:hAnsi="Garamond" w:cs="Times New Roman"/>
                <w:sz w:val="24"/>
                <w:szCs w:val="24"/>
                <w:lang w:eastAsia="pt-PT"/>
              </w:rPr>
              <w:t>Funções</w:t>
            </w:r>
          </w:p>
        </w:tc>
      </w:tr>
    </w:tbl>
    <w:p w:rsidR="00686D8C" w:rsidRDefault="00686D8C" w:rsidP="00686D8C">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6425F7">
      <w:pPr>
        <w:pStyle w:val="CorpoTexto"/>
      </w:pPr>
    </w:p>
    <w:p w:rsidR="00D06AED" w:rsidRDefault="00DC11BE" w:rsidP="00D06AED">
      <w:pPr>
        <w:pStyle w:val="CorpoTexto"/>
      </w:pPr>
      <w:r w:rsidRPr="0094770E">
        <w:t xml:space="preserve">Assim, estes são os fatores mais valorizados pelos inquiridos, sendo o mais relevante a relação com </w:t>
      </w:r>
      <w:r w:rsidRPr="0094770E">
        <w:rPr>
          <w:b/>
        </w:rPr>
        <w:t>Superiores hierárquicos e colegas de trabalho</w:t>
      </w:r>
      <w:r w:rsidRPr="0094770E">
        <w:t>, como se tinha já verificado nas análises anteriores.</w:t>
      </w:r>
      <w:bookmarkStart w:id="80" w:name="_Toc37177066"/>
    </w:p>
    <w:p w:rsidR="00D06AED" w:rsidRDefault="00D06AED" w:rsidP="00D06AED">
      <w:pPr>
        <w:pStyle w:val="CorpoTexto"/>
      </w:pPr>
    </w:p>
    <w:p w:rsidR="00DC11BE" w:rsidRPr="0094770E" w:rsidRDefault="00DC11BE" w:rsidP="00D06AED">
      <w:pPr>
        <w:pStyle w:val="Nvel2"/>
      </w:pPr>
      <w:bookmarkStart w:id="81" w:name="_Toc46678987"/>
      <w:r w:rsidRPr="0094770E">
        <w:t>Análise das hipóteses de investigação</w:t>
      </w:r>
      <w:bookmarkEnd w:id="80"/>
      <w:bookmarkEnd w:id="81"/>
    </w:p>
    <w:p w:rsidR="00DC11BE" w:rsidRPr="007C204C" w:rsidRDefault="00DC11BE" w:rsidP="007C204C">
      <w:pPr>
        <w:pStyle w:val="CorpoTexto"/>
      </w:pPr>
      <w:r w:rsidRPr="007C204C">
        <w:t>Para testar as hipóteses foram utilizados testes não-paramétricos. Estes testes ‘</w:t>
      </w:r>
      <w:proofErr w:type="spellStart"/>
      <w:r w:rsidRPr="007C204C">
        <w:t>adistribucionais</w:t>
      </w:r>
      <w:proofErr w:type="spellEnd"/>
      <w:r w:rsidRPr="007C204C">
        <w:t>’ (</w:t>
      </w:r>
      <w:proofErr w:type="spellStart"/>
      <w:r w:rsidRPr="007C204C">
        <w:t>distribution</w:t>
      </w:r>
      <w:proofErr w:type="spellEnd"/>
      <w:r w:rsidRPr="007C204C">
        <w:t xml:space="preserve">-free </w:t>
      </w:r>
      <w:proofErr w:type="spellStart"/>
      <w:r w:rsidRPr="007C204C">
        <w:t>tests</w:t>
      </w:r>
      <w:proofErr w:type="spellEnd"/>
      <w:r w:rsidRPr="007C204C">
        <w:t xml:space="preserve">) não impõem que a distribuição da variável seja normal ou conhecida. Embora menos robustos que os testes paramétricos, uma vez que estes, por exemplo, possuem uma probabilidade menor de rejeitar de forma apropriada a hipótese nula (H0), os testes não-paramétricos em amostras de reduzida dimensão, nos quais as variáveis em estudo não validam os pressupostos dos métodos paramétricos, são mais </w:t>
      </w:r>
      <w:r w:rsidRPr="007C204C">
        <w:lastRenderedPageBreak/>
        <w:t>sólidos (</w:t>
      </w:r>
      <w:proofErr w:type="spellStart"/>
      <w:r w:rsidRPr="007C204C">
        <w:t>Marôco</w:t>
      </w:r>
      <w:proofErr w:type="spellEnd"/>
      <w:r w:rsidRPr="007C204C">
        <w:t>, 2010). Assim, de acordo com o mesmo autor, os testes não-paramétricos são normalmente tidos em conta, relativamente aos testes paramétricos, quando “as condições de aplicação destes, nomeadamente a normalidade da variável sob estudo e a homogeneidade de variâncias entre os grupos, não se verificam (</w:t>
      </w:r>
      <w:proofErr w:type="spellStart"/>
      <w:r w:rsidRPr="007C204C">
        <w:t>Marôco</w:t>
      </w:r>
      <w:proofErr w:type="spellEnd"/>
      <w:r w:rsidRPr="007C204C">
        <w:t xml:space="preserve">, 2010, p. 315)     </w:t>
      </w:r>
    </w:p>
    <w:p w:rsidR="00DC11BE" w:rsidRPr="0094770E" w:rsidRDefault="00DC11BE" w:rsidP="006425F7">
      <w:pPr>
        <w:pStyle w:val="CorpoTexto"/>
      </w:pPr>
    </w:p>
    <w:p w:rsidR="00DC11BE" w:rsidRPr="007C204C" w:rsidRDefault="00DC11BE" w:rsidP="007C204C">
      <w:pPr>
        <w:pStyle w:val="CorpoTexto"/>
        <w:rPr>
          <w:b/>
          <w:bCs/>
        </w:rPr>
      </w:pPr>
      <w:r w:rsidRPr="007C204C">
        <w:rPr>
          <w:b/>
          <w:bCs/>
        </w:rPr>
        <w:t>Análise da hipótese H1- A motivação do pessoal de contacto influencia as suas respostas emocionais às reclamações dos clientes.</w:t>
      </w:r>
    </w:p>
    <w:p w:rsidR="00DC11BE" w:rsidRPr="0094770E" w:rsidRDefault="00DC11BE" w:rsidP="007C204C">
      <w:pPr>
        <w:pStyle w:val="CorpoTexto"/>
      </w:pPr>
      <w:r w:rsidRPr="0094770E">
        <w:t xml:space="preserve">O teste </w:t>
      </w:r>
      <w:proofErr w:type="spellStart"/>
      <w:r w:rsidRPr="0094770E">
        <w:rPr>
          <w:bCs/>
        </w:rPr>
        <w:t>Kruskal-Wallis</w:t>
      </w:r>
      <w:proofErr w:type="spellEnd"/>
      <w:r w:rsidRPr="0094770E">
        <w:rPr>
          <w:b/>
        </w:rPr>
        <w:t xml:space="preserve"> </w:t>
      </w:r>
      <w:r w:rsidRPr="0094770E">
        <w:t xml:space="preserve">pode ser utilizado para testar se duas ou mais amostras provêm da mesma população ou de populações diferentes. Este teste não paramétrico compara diversas condições quando diferentes indivíduos participam em cada condição e os dados que daí resultam não são normalmente distribuídos ou não satisfazem a hipótese da ANOVA independente de um fator </w:t>
      </w:r>
      <w:r w:rsidRPr="0094770E">
        <w:rPr>
          <w:noProof/>
        </w:rPr>
        <w:t>(Field, 2009)</w:t>
      </w:r>
      <w:r w:rsidRPr="0094770E">
        <w:t xml:space="preserve">. Ou seja, considera-se o teste adequado para examinar em simultâneo as distribuições de duas ou mais variáveis “pelo menos ordinais em duas ou mais amostras independentes”, para além disso, este teste pode ser utilizado como opção alternativa não-paramétrica à ANOVA </w:t>
      </w:r>
      <w:proofErr w:type="spellStart"/>
      <w:r w:rsidRPr="0094770E">
        <w:rPr>
          <w:i/>
        </w:rPr>
        <w:t>one-way</w:t>
      </w:r>
      <w:proofErr w:type="spellEnd"/>
      <w:r w:rsidRPr="0094770E">
        <w:t xml:space="preserve">. Assim, o teste </w:t>
      </w:r>
      <w:proofErr w:type="spellStart"/>
      <w:r w:rsidRPr="0094770E">
        <w:t>Kruskal-Wallis</w:t>
      </w:r>
      <w:proofErr w:type="spellEnd"/>
      <w:r w:rsidRPr="0094770E">
        <w:t xml:space="preserve"> “pode ser usado para testar se duas ou mais amostras provém de uma mesma população ou se de populações diferentes ou se, de igual modo, as amostras provêm de populações com a mesma distribuição” </w:t>
      </w:r>
      <w:r w:rsidRPr="0094770E">
        <w:rPr>
          <w:noProof/>
        </w:rPr>
        <w:t>(Marôco, 2010, p. 331)</w:t>
      </w:r>
      <w:r w:rsidRPr="0094770E">
        <w:t xml:space="preserve">.     </w:t>
      </w:r>
    </w:p>
    <w:p w:rsidR="00DC11BE" w:rsidRPr="0094770E" w:rsidRDefault="00DC11BE" w:rsidP="006425F7">
      <w:pPr>
        <w:pStyle w:val="CorpoTexto"/>
      </w:pPr>
    </w:p>
    <w:p w:rsidR="00862447" w:rsidRPr="00686D8C" w:rsidRDefault="00DC11BE" w:rsidP="00686D8C">
      <w:pPr>
        <w:pStyle w:val="Legenda"/>
        <w:keepNext/>
        <w:spacing w:after="120"/>
        <w:rPr>
          <w:rFonts w:ascii="Garamond" w:hAnsi="Garamond"/>
          <w:i w:val="0"/>
          <w:color w:val="auto"/>
          <w:sz w:val="20"/>
          <w:szCs w:val="20"/>
        </w:rPr>
      </w:pPr>
      <w:bookmarkStart w:id="82" w:name="_Toc46677141"/>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24</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Teste </w:t>
      </w:r>
      <w:proofErr w:type="spellStart"/>
      <w:r w:rsidRPr="0094770E">
        <w:rPr>
          <w:rFonts w:ascii="Garamond" w:hAnsi="Garamond"/>
          <w:i w:val="0"/>
          <w:color w:val="auto"/>
          <w:sz w:val="20"/>
          <w:szCs w:val="20"/>
        </w:rPr>
        <w:t>Kruskal-Wallis</w:t>
      </w:r>
      <w:proofErr w:type="spellEnd"/>
      <w:r w:rsidR="004B172D">
        <w:rPr>
          <w:rFonts w:ascii="Garamond" w:hAnsi="Garamond"/>
          <w:i w:val="0"/>
          <w:color w:val="auto"/>
          <w:sz w:val="20"/>
          <w:szCs w:val="20"/>
        </w:rPr>
        <w:t>, Hipótese H1</w:t>
      </w:r>
      <w:bookmarkEnd w:id="82"/>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1266"/>
        <w:gridCol w:w="2124"/>
      </w:tblGrid>
      <w:tr w:rsidR="00DC11BE" w:rsidRPr="00686D8C" w:rsidTr="004E3707">
        <w:trPr>
          <w:trHeight w:hRule="exact" w:val="284"/>
        </w:trPr>
        <w:tc>
          <w:tcPr>
            <w:tcW w:w="8493" w:type="dxa"/>
            <w:gridSpan w:val="4"/>
            <w:tcBorders>
              <w:bottom w:val="single" w:sz="12" w:space="0" w:color="auto"/>
            </w:tcBorders>
          </w:tcPr>
          <w:p w:rsidR="00DC11BE" w:rsidRPr="00686D8C" w:rsidRDefault="00DC11BE" w:rsidP="004E3707">
            <w:pPr>
              <w:rPr>
                <w:rFonts w:ascii="Garamond" w:hAnsi="Garamond"/>
                <w:b/>
                <w:sz w:val="24"/>
                <w:szCs w:val="24"/>
              </w:rPr>
            </w:pPr>
            <w:r w:rsidRPr="00686D8C">
              <w:rPr>
                <w:rFonts w:ascii="Garamond" w:hAnsi="Garamond"/>
                <w:b/>
                <w:sz w:val="24"/>
                <w:szCs w:val="24"/>
              </w:rPr>
              <w:t xml:space="preserve">Teste </w:t>
            </w:r>
            <w:proofErr w:type="spellStart"/>
            <w:r w:rsidRPr="00686D8C">
              <w:rPr>
                <w:rFonts w:ascii="Garamond" w:hAnsi="Garamond"/>
                <w:b/>
                <w:sz w:val="24"/>
                <w:szCs w:val="24"/>
              </w:rPr>
              <w:t>Kruskal-Wallis</w:t>
            </w:r>
            <w:proofErr w:type="spellEnd"/>
          </w:p>
        </w:tc>
      </w:tr>
      <w:tr w:rsidR="00DC11BE" w:rsidRPr="00686D8C" w:rsidTr="004E3707">
        <w:trPr>
          <w:trHeight w:hRule="exact" w:val="284"/>
        </w:trPr>
        <w:tc>
          <w:tcPr>
            <w:tcW w:w="8493" w:type="dxa"/>
            <w:gridSpan w:val="4"/>
            <w:tcBorders>
              <w:top w:val="single" w:sz="12" w:space="0" w:color="auto"/>
            </w:tcBorders>
          </w:tcPr>
          <w:p w:rsidR="00DC11BE" w:rsidRPr="00686D8C" w:rsidRDefault="00DC11BE" w:rsidP="004E3707">
            <w:pPr>
              <w:jc w:val="center"/>
              <w:rPr>
                <w:rFonts w:ascii="Garamond" w:hAnsi="Garamond"/>
                <w:b/>
                <w:sz w:val="24"/>
                <w:szCs w:val="24"/>
              </w:rPr>
            </w:pPr>
            <w:r w:rsidRPr="00686D8C">
              <w:rPr>
                <w:rFonts w:ascii="Garamond" w:hAnsi="Garamond"/>
                <w:b/>
                <w:sz w:val="24"/>
                <w:szCs w:val="24"/>
              </w:rPr>
              <w:t>RANKS</w:t>
            </w:r>
          </w:p>
        </w:tc>
      </w:tr>
      <w:tr w:rsidR="00DC11BE" w:rsidRPr="00686D8C" w:rsidTr="004E3707">
        <w:trPr>
          <w:trHeight w:hRule="exact" w:val="284"/>
        </w:trPr>
        <w:tc>
          <w:tcPr>
            <w:tcW w:w="2268" w:type="dxa"/>
            <w:tcBorders>
              <w:top w:val="single" w:sz="4" w:space="0" w:color="auto"/>
            </w:tcBorders>
          </w:tcPr>
          <w:p w:rsidR="00DC11BE" w:rsidRPr="00686D8C" w:rsidRDefault="00DC11BE" w:rsidP="004E3707">
            <w:pPr>
              <w:rPr>
                <w:rFonts w:ascii="Garamond" w:hAnsi="Garamond"/>
                <w:sz w:val="24"/>
                <w:szCs w:val="24"/>
              </w:rPr>
            </w:pPr>
          </w:p>
        </w:tc>
        <w:tc>
          <w:tcPr>
            <w:tcW w:w="2835" w:type="dxa"/>
            <w:tcBorders>
              <w:top w:val="single" w:sz="4" w:space="0" w:color="auto"/>
              <w:bottom w:val="single" w:sz="4" w:space="0" w:color="auto"/>
            </w:tcBorders>
          </w:tcPr>
          <w:p w:rsidR="00DC11BE" w:rsidRPr="00686D8C" w:rsidRDefault="00DC11BE" w:rsidP="004E3707">
            <w:pPr>
              <w:jc w:val="center"/>
              <w:rPr>
                <w:rFonts w:ascii="Garamond" w:hAnsi="Garamond"/>
                <w:b/>
                <w:sz w:val="24"/>
                <w:szCs w:val="24"/>
              </w:rPr>
            </w:pPr>
            <w:r w:rsidRPr="00686D8C">
              <w:rPr>
                <w:rFonts w:ascii="Garamond" w:hAnsi="Garamond"/>
                <w:b/>
                <w:sz w:val="24"/>
                <w:szCs w:val="24"/>
              </w:rPr>
              <w:t>Emoções positivas (categorizado)</w:t>
            </w:r>
          </w:p>
        </w:tc>
        <w:tc>
          <w:tcPr>
            <w:tcW w:w="1266" w:type="dxa"/>
            <w:tcBorders>
              <w:top w:val="single" w:sz="4" w:space="0" w:color="auto"/>
              <w:bottom w:val="single" w:sz="4" w:space="0" w:color="auto"/>
            </w:tcBorders>
          </w:tcPr>
          <w:p w:rsidR="00DC11BE" w:rsidRPr="00686D8C" w:rsidRDefault="00DC11BE" w:rsidP="004E3707">
            <w:pPr>
              <w:jc w:val="center"/>
              <w:rPr>
                <w:rFonts w:ascii="Garamond" w:hAnsi="Garamond"/>
                <w:b/>
                <w:sz w:val="24"/>
                <w:szCs w:val="24"/>
              </w:rPr>
            </w:pPr>
            <w:r w:rsidRPr="00686D8C">
              <w:rPr>
                <w:rFonts w:ascii="Garamond" w:hAnsi="Garamond"/>
                <w:b/>
                <w:sz w:val="24"/>
                <w:szCs w:val="24"/>
              </w:rPr>
              <w:t>N</w:t>
            </w:r>
          </w:p>
        </w:tc>
        <w:tc>
          <w:tcPr>
            <w:tcW w:w="2124" w:type="dxa"/>
            <w:tcBorders>
              <w:top w:val="single" w:sz="4" w:space="0" w:color="auto"/>
              <w:bottom w:val="single" w:sz="4" w:space="0" w:color="auto"/>
            </w:tcBorders>
          </w:tcPr>
          <w:p w:rsidR="00DC11BE" w:rsidRPr="00686D8C" w:rsidRDefault="00DC11BE" w:rsidP="004E3707">
            <w:pPr>
              <w:jc w:val="center"/>
              <w:rPr>
                <w:rFonts w:ascii="Garamond" w:hAnsi="Garamond"/>
                <w:b/>
                <w:sz w:val="24"/>
                <w:szCs w:val="24"/>
              </w:rPr>
            </w:pPr>
            <w:r w:rsidRPr="00686D8C">
              <w:rPr>
                <w:rFonts w:ascii="Garamond" w:hAnsi="Garamond"/>
                <w:b/>
                <w:sz w:val="24"/>
                <w:szCs w:val="24"/>
              </w:rPr>
              <w:t>Posto Médio</w:t>
            </w:r>
          </w:p>
        </w:tc>
      </w:tr>
      <w:tr w:rsidR="00DC11BE" w:rsidRPr="00686D8C" w:rsidTr="004E3707">
        <w:trPr>
          <w:trHeight w:hRule="exact" w:val="284"/>
        </w:trPr>
        <w:tc>
          <w:tcPr>
            <w:tcW w:w="2268" w:type="dxa"/>
            <w:vMerge w:val="restart"/>
            <w:vAlign w:val="center"/>
          </w:tcPr>
          <w:p w:rsidR="00DC11BE" w:rsidRPr="00686D8C" w:rsidRDefault="00DC11BE" w:rsidP="004E3707">
            <w:pPr>
              <w:rPr>
                <w:rFonts w:ascii="Garamond" w:hAnsi="Garamond"/>
                <w:b/>
                <w:sz w:val="24"/>
                <w:szCs w:val="24"/>
              </w:rPr>
            </w:pPr>
            <w:r w:rsidRPr="00686D8C">
              <w:rPr>
                <w:rFonts w:ascii="Garamond" w:hAnsi="Garamond"/>
                <w:b/>
                <w:sz w:val="24"/>
                <w:szCs w:val="24"/>
              </w:rPr>
              <w:t>Motivação (categorizado)</w:t>
            </w:r>
          </w:p>
        </w:tc>
        <w:tc>
          <w:tcPr>
            <w:tcW w:w="2835" w:type="dxa"/>
            <w:tcBorders>
              <w:top w:val="single" w:sz="4" w:space="0" w:color="auto"/>
            </w:tcBorders>
          </w:tcPr>
          <w:p w:rsidR="00DC11BE" w:rsidRPr="00686D8C" w:rsidRDefault="00DC11BE" w:rsidP="004E3707">
            <w:pPr>
              <w:rPr>
                <w:rFonts w:ascii="Garamond" w:hAnsi="Garamond"/>
                <w:sz w:val="24"/>
                <w:szCs w:val="24"/>
              </w:rPr>
            </w:pPr>
            <w:r w:rsidRPr="00686D8C">
              <w:rPr>
                <w:rFonts w:ascii="Garamond" w:hAnsi="Garamond"/>
                <w:sz w:val="24"/>
                <w:szCs w:val="24"/>
              </w:rPr>
              <w:t>Pouco</w:t>
            </w:r>
          </w:p>
        </w:tc>
        <w:tc>
          <w:tcPr>
            <w:tcW w:w="1266" w:type="dxa"/>
            <w:tcBorders>
              <w:top w:val="single" w:sz="4" w:space="0" w:color="auto"/>
            </w:tcBorders>
          </w:tcPr>
          <w:p w:rsidR="00DC11BE" w:rsidRPr="00686D8C" w:rsidRDefault="00DC11BE" w:rsidP="004E3707">
            <w:pPr>
              <w:jc w:val="center"/>
              <w:rPr>
                <w:rFonts w:ascii="Garamond" w:hAnsi="Garamond"/>
                <w:sz w:val="24"/>
                <w:szCs w:val="24"/>
              </w:rPr>
            </w:pPr>
            <w:r w:rsidRPr="00686D8C">
              <w:rPr>
                <w:rFonts w:ascii="Garamond" w:hAnsi="Garamond"/>
                <w:sz w:val="24"/>
                <w:szCs w:val="24"/>
              </w:rPr>
              <w:t>77</w:t>
            </w:r>
          </w:p>
        </w:tc>
        <w:tc>
          <w:tcPr>
            <w:tcW w:w="2124" w:type="dxa"/>
            <w:tcBorders>
              <w:top w:val="single" w:sz="4" w:space="0" w:color="auto"/>
            </w:tcBorders>
          </w:tcPr>
          <w:p w:rsidR="00DC11BE" w:rsidRPr="00686D8C" w:rsidRDefault="00DC11BE" w:rsidP="004E3707">
            <w:pPr>
              <w:jc w:val="center"/>
              <w:rPr>
                <w:rFonts w:ascii="Garamond" w:hAnsi="Garamond"/>
                <w:sz w:val="24"/>
                <w:szCs w:val="24"/>
              </w:rPr>
            </w:pPr>
            <w:r w:rsidRPr="00686D8C">
              <w:rPr>
                <w:rFonts w:ascii="Garamond" w:hAnsi="Garamond"/>
                <w:sz w:val="24"/>
                <w:szCs w:val="24"/>
              </w:rPr>
              <w:t>97,32</w:t>
            </w:r>
          </w:p>
        </w:tc>
      </w:tr>
      <w:tr w:rsidR="00DC11BE" w:rsidRPr="00686D8C" w:rsidTr="004E3707">
        <w:trPr>
          <w:trHeight w:hRule="exact" w:val="284"/>
        </w:trPr>
        <w:tc>
          <w:tcPr>
            <w:tcW w:w="2268" w:type="dxa"/>
            <w:vMerge/>
          </w:tcPr>
          <w:p w:rsidR="00DC11BE" w:rsidRPr="00686D8C" w:rsidRDefault="00DC11BE" w:rsidP="004E3707">
            <w:pPr>
              <w:rPr>
                <w:rFonts w:ascii="Garamond" w:hAnsi="Garamond"/>
                <w:sz w:val="24"/>
                <w:szCs w:val="24"/>
              </w:rPr>
            </w:pPr>
          </w:p>
        </w:tc>
        <w:tc>
          <w:tcPr>
            <w:tcW w:w="2835" w:type="dxa"/>
          </w:tcPr>
          <w:p w:rsidR="00DC11BE" w:rsidRPr="00686D8C" w:rsidRDefault="00DC11BE" w:rsidP="004E3707">
            <w:pPr>
              <w:rPr>
                <w:rFonts w:ascii="Garamond" w:hAnsi="Garamond"/>
                <w:sz w:val="24"/>
                <w:szCs w:val="24"/>
              </w:rPr>
            </w:pPr>
            <w:r w:rsidRPr="00686D8C">
              <w:rPr>
                <w:rFonts w:ascii="Garamond" w:hAnsi="Garamond"/>
                <w:sz w:val="24"/>
                <w:szCs w:val="24"/>
              </w:rPr>
              <w:t>Moderadamente</w:t>
            </w:r>
          </w:p>
        </w:tc>
        <w:tc>
          <w:tcPr>
            <w:tcW w:w="1266" w:type="dxa"/>
          </w:tcPr>
          <w:p w:rsidR="00DC11BE" w:rsidRPr="00686D8C" w:rsidRDefault="00DC11BE" w:rsidP="004E3707">
            <w:pPr>
              <w:jc w:val="center"/>
              <w:rPr>
                <w:rFonts w:ascii="Garamond" w:hAnsi="Garamond"/>
                <w:sz w:val="24"/>
                <w:szCs w:val="24"/>
              </w:rPr>
            </w:pPr>
            <w:r w:rsidRPr="00686D8C">
              <w:rPr>
                <w:rFonts w:ascii="Garamond" w:hAnsi="Garamond"/>
                <w:sz w:val="24"/>
                <w:szCs w:val="24"/>
              </w:rPr>
              <w:t>116</w:t>
            </w:r>
          </w:p>
        </w:tc>
        <w:tc>
          <w:tcPr>
            <w:tcW w:w="2124" w:type="dxa"/>
          </w:tcPr>
          <w:p w:rsidR="00DC11BE" w:rsidRPr="00686D8C" w:rsidRDefault="00DC11BE" w:rsidP="004E3707">
            <w:pPr>
              <w:jc w:val="center"/>
              <w:rPr>
                <w:rFonts w:ascii="Garamond" w:hAnsi="Garamond"/>
                <w:sz w:val="24"/>
                <w:szCs w:val="24"/>
              </w:rPr>
            </w:pPr>
            <w:r w:rsidRPr="00686D8C">
              <w:rPr>
                <w:rFonts w:ascii="Garamond" w:hAnsi="Garamond"/>
                <w:sz w:val="24"/>
                <w:szCs w:val="24"/>
              </w:rPr>
              <w:t>109,5</w:t>
            </w:r>
          </w:p>
        </w:tc>
      </w:tr>
      <w:tr w:rsidR="00DC11BE" w:rsidRPr="00686D8C" w:rsidTr="004E3707">
        <w:trPr>
          <w:trHeight w:hRule="exact" w:val="284"/>
        </w:trPr>
        <w:tc>
          <w:tcPr>
            <w:tcW w:w="2268" w:type="dxa"/>
            <w:vMerge/>
          </w:tcPr>
          <w:p w:rsidR="00DC11BE" w:rsidRPr="00686D8C" w:rsidRDefault="00DC11BE" w:rsidP="004E3707">
            <w:pPr>
              <w:rPr>
                <w:rFonts w:ascii="Garamond" w:hAnsi="Garamond"/>
                <w:sz w:val="24"/>
                <w:szCs w:val="24"/>
              </w:rPr>
            </w:pPr>
          </w:p>
        </w:tc>
        <w:tc>
          <w:tcPr>
            <w:tcW w:w="2835" w:type="dxa"/>
          </w:tcPr>
          <w:p w:rsidR="00DC11BE" w:rsidRPr="00686D8C" w:rsidRDefault="00DC11BE" w:rsidP="004E3707">
            <w:pPr>
              <w:rPr>
                <w:rFonts w:ascii="Garamond" w:hAnsi="Garamond"/>
                <w:sz w:val="24"/>
                <w:szCs w:val="24"/>
              </w:rPr>
            </w:pPr>
            <w:r w:rsidRPr="00686D8C">
              <w:rPr>
                <w:rFonts w:ascii="Garamond" w:hAnsi="Garamond"/>
                <w:sz w:val="24"/>
                <w:szCs w:val="24"/>
              </w:rPr>
              <w:t>Muito</w:t>
            </w:r>
          </w:p>
        </w:tc>
        <w:tc>
          <w:tcPr>
            <w:tcW w:w="1266" w:type="dxa"/>
          </w:tcPr>
          <w:p w:rsidR="00DC11BE" w:rsidRPr="00686D8C" w:rsidRDefault="00DC11BE" w:rsidP="004E3707">
            <w:pPr>
              <w:jc w:val="center"/>
              <w:rPr>
                <w:rFonts w:ascii="Garamond" w:hAnsi="Garamond"/>
                <w:sz w:val="24"/>
                <w:szCs w:val="24"/>
              </w:rPr>
            </w:pPr>
            <w:r w:rsidRPr="00686D8C">
              <w:rPr>
                <w:rFonts w:ascii="Garamond" w:hAnsi="Garamond"/>
                <w:sz w:val="24"/>
                <w:szCs w:val="24"/>
              </w:rPr>
              <w:t>15</w:t>
            </w:r>
          </w:p>
        </w:tc>
        <w:tc>
          <w:tcPr>
            <w:tcW w:w="2124" w:type="dxa"/>
          </w:tcPr>
          <w:p w:rsidR="00DC11BE" w:rsidRPr="00686D8C" w:rsidRDefault="00DC11BE" w:rsidP="004E3707">
            <w:pPr>
              <w:jc w:val="center"/>
              <w:rPr>
                <w:rFonts w:ascii="Garamond" w:hAnsi="Garamond"/>
                <w:sz w:val="24"/>
                <w:szCs w:val="24"/>
              </w:rPr>
            </w:pPr>
            <w:r w:rsidRPr="00686D8C">
              <w:rPr>
                <w:rFonts w:ascii="Garamond" w:hAnsi="Garamond"/>
                <w:sz w:val="24"/>
                <w:szCs w:val="24"/>
              </w:rPr>
              <w:t>102,7</w:t>
            </w:r>
          </w:p>
        </w:tc>
      </w:tr>
      <w:tr w:rsidR="00DC11BE" w:rsidRPr="00686D8C" w:rsidTr="004E3707">
        <w:trPr>
          <w:trHeight w:hRule="exact" w:val="284"/>
        </w:trPr>
        <w:tc>
          <w:tcPr>
            <w:tcW w:w="2268" w:type="dxa"/>
            <w:tcBorders>
              <w:top w:val="single" w:sz="4" w:space="0" w:color="auto"/>
              <w:bottom w:val="single" w:sz="12" w:space="0" w:color="auto"/>
            </w:tcBorders>
          </w:tcPr>
          <w:p w:rsidR="00DC11BE" w:rsidRPr="00686D8C" w:rsidRDefault="00DC11BE" w:rsidP="004E3707">
            <w:pPr>
              <w:rPr>
                <w:rFonts w:ascii="Garamond" w:hAnsi="Garamond"/>
                <w:sz w:val="24"/>
                <w:szCs w:val="24"/>
              </w:rPr>
            </w:pPr>
            <w:r w:rsidRPr="00686D8C">
              <w:rPr>
                <w:rFonts w:ascii="Garamond" w:hAnsi="Garamond"/>
                <w:sz w:val="24"/>
                <w:szCs w:val="24"/>
              </w:rPr>
              <w:t>Total</w:t>
            </w:r>
          </w:p>
        </w:tc>
        <w:tc>
          <w:tcPr>
            <w:tcW w:w="2835" w:type="dxa"/>
            <w:tcBorders>
              <w:top w:val="single" w:sz="4" w:space="0" w:color="auto"/>
              <w:bottom w:val="single" w:sz="12" w:space="0" w:color="auto"/>
            </w:tcBorders>
          </w:tcPr>
          <w:p w:rsidR="00DC11BE" w:rsidRPr="00686D8C" w:rsidRDefault="00DC11BE" w:rsidP="004E3707">
            <w:pPr>
              <w:jc w:val="center"/>
              <w:rPr>
                <w:rFonts w:ascii="Garamond" w:hAnsi="Garamond"/>
                <w:sz w:val="24"/>
                <w:szCs w:val="24"/>
              </w:rPr>
            </w:pPr>
          </w:p>
        </w:tc>
        <w:tc>
          <w:tcPr>
            <w:tcW w:w="1266" w:type="dxa"/>
            <w:tcBorders>
              <w:top w:val="single" w:sz="4" w:space="0" w:color="auto"/>
              <w:bottom w:val="single" w:sz="12" w:space="0" w:color="auto"/>
            </w:tcBorders>
          </w:tcPr>
          <w:p w:rsidR="00DC11BE" w:rsidRPr="00686D8C" w:rsidRDefault="00DC11BE" w:rsidP="004E3707">
            <w:pPr>
              <w:jc w:val="center"/>
              <w:rPr>
                <w:rFonts w:ascii="Garamond" w:hAnsi="Garamond"/>
                <w:sz w:val="24"/>
                <w:szCs w:val="24"/>
              </w:rPr>
            </w:pPr>
            <w:r w:rsidRPr="00686D8C">
              <w:rPr>
                <w:rFonts w:ascii="Garamond" w:hAnsi="Garamond"/>
                <w:sz w:val="24"/>
                <w:szCs w:val="24"/>
              </w:rPr>
              <w:t>208</w:t>
            </w:r>
          </w:p>
        </w:tc>
        <w:tc>
          <w:tcPr>
            <w:tcW w:w="2124" w:type="dxa"/>
            <w:tcBorders>
              <w:top w:val="single" w:sz="4" w:space="0" w:color="auto"/>
              <w:bottom w:val="single" w:sz="12" w:space="0" w:color="auto"/>
            </w:tcBorders>
          </w:tcPr>
          <w:p w:rsidR="00DC11BE" w:rsidRPr="00686D8C" w:rsidRDefault="00DC11BE" w:rsidP="004E3707">
            <w:pPr>
              <w:jc w:val="right"/>
              <w:rPr>
                <w:rFonts w:ascii="Garamond" w:hAnsi="Garamond"/>
                <w:sz w:val="24"/>
                <w:szCs w:val="24"/>
              </w:rPr>
            </w:pPr>
          </w:p>
        </w:tc>
      </w:tr>
    </w:tbl>
    <w:p w:rsidR="00686D8C" w:rsidRDefault="00686D8C" w:rsidP="00686D8C">
      <w:pPr>
        <w:pStyle w:val="Legenda"/>
        <w:keepNext/>
        <w:spacing w:after="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D06AED">
      <w:pPr>
        <w:pStyle w:val="CorpoTexto"/>
      </w:pPr>
    </w:p>
    <w:p w:rsidR="00862447" w:rsidRPr="00686D8C" w:rsidRDefault="00DC11BE" w:rsidP="00686D8C">
      <w:pPr>
        <w:pStyle w:val="Legenda"/>
        <w:keepNext/>
        <w:spacing w:after="120"/>
        <w:rPr>
          <w:rFonts w:ascii="Garamond" w:hAnsi="Garamond"/>
          <w:i w:val="0"/>
          <w:color w:val="auto"/>
          <w:sz w:val="20"/>
          <w:szCs w:val="20"/>
        </w:rPr>
      </w:pPr>
      <w:bookmarkStart w:id="83" w:name="_Toc46677142"/>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25</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Estatísticas de teste </w:t>
      </w:r>
      <w:proofErr w:type="spellStart"/>
      <w:proofErr w:type="gramStart"/>
      <w:r w:rsidRPr="0094770E">
        <w:rPr>
          <w:rFonts w:ascii="Garamond" w:hAnsi="Garamond"/>
          <w:i w:val="0"/>
          <w:color w:val="auto"/>
          <w:sz w:val="20"/>
          <w:szCs w:val="20"/>
        </w:rPr>
        <w:t>a,b</w:t>
      </w:r>
      <w:proofErr w:type="spellEnd"/>
      <w:proofErr w:type="gramEnd"/>
      <w:r w:rsidR="004B172D">
        <w:rPr>
          <w:rFonts w:ascii="Garamond" w:hAnsi="Garamond"/>
          <w:i w:val="0"/>
          <w:color w:val="auto"/>
          <w:sz w:val="20"/>
          <w:szCs w:val="20"/>
        </w:rPr>
        <w:t>, Hipótese H1</w:t>
      </w:r>
      <w:bookmarkEnd w:id="83"/>
    </w:p>
    <w:tbl>
      <w:tblPr>
        <w:tblW w:w="8500" w:type="dxa"/>
        <w:tblLayout w:type="fixed"/>
        <w:tblCellMar>
          <w:left w:w="0" w:type="dxa"/>
          <w:right w:w="0" w:type="dxa"/>
        </w:tblCellMar>
        <w:tblLook w:val="0000" w:firstRow="0" w:lastRow="0" w:firstColumn="0" w:lastColumn="0" w:noHBand="0" w:noVBand="0"/>
      </w:tblPr>
      <w:tblGrid>
        <w:gridCol w:w="2691"/>
        <w:gridCol w:w="5809"/>
      </w:tblGrid>
      <w:tr w:rsidR="00DC11BE" w:rsidRPr="00686D8C" w:rsidTr="004E3707">
        <w:trPr>
          <w:cantSplit/>
          <w:trHeight w:val="258"/>
        </w:trPr>
        <w:tc>
          <w:tcPr>
            <w:tcW w:w="8500" w:type="dxa"/>
            <w:gridSpan w:val="2"/>
            <w:tcBorders>
              <w:bottom w:val="single" w:sz="12" w:space="0" w:color="auto"/>
            </w:tcBorders>
            <w:shd w:val="clear" w:color="auto" w:fill="FFFFFF"/>
            <w:vAlign w:val="bottom"/>
          </w:tcPr>
          <w:p w:rsidR="00DC11BE" w:rsidRPr="00686D8C" w:rsidRDefault="00DC11BE" w:rsidP="004E3707">
            <w:pPr>
              <w:autoSpaceDE w:val="0"/>
              <w:autoSpaceDN w:val="0"/>
              <w:adjustRightInd w:val="0"/>
              <w:spacing w:line="320" w:lineRule="atLeast"/>
              <w:ind w:left="60" w:right="60"/>
              <w:rPr>
                <w:rFonts w:ascii="Garamond" w:eastAsia="Calibri" w:hAnsi="Garamond" w:cs="Arial"/>
                <w:b/>
                <w:sz w:val="24"/>
                <w:szCs w:val="24"/>
              </w:rPr>
            </w:pPr>
            <w:r w:rsidRPr="00686D8C">
              <w:rPr>
                <w:rFonts w:ascii="Garamond" w:eastAsia="Calibri" w:hAnsi="Garamond" w:cs="Arial"/>
                <w:b/>
                <w:sz w:val="24"/>
                <w:szCs w:val="24"/>
              </w:rPr>
              <w:t>Estatística de teste a, b</w:t>
            </w:r>
          </w:p>
        </w:tc>
      </w:tr>
      <w:tr w:rsidR="00DC11BE" w:rsidRPr="00686D8C" w:rsidTr="004E3707">
        <w:trPr>
          <w:cantSplit/>
          <w:trHeight w:val="333"/>
        </w:trPr>
        <w:tc>
          <w:tcPr>
            <w:tcW w:w="2691" w:type="dxa"/>
            <w:tcBorders>
              <w:top w:val="single" w:sz="12" w:space="0" w:color="auto"/>
            </w:tcBorders>
            <w:shd w:val="clear" w:color="auto" w:fill="FFFFFF"/>
            <w:vAlign w:val="bottom"/>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c>
          <w:tcPr>
            <w:tcW w:w="5809" w:type="dxa"/>
            <w:tcBorders>
              <w:top w:val="single" w:sz="12" w:space="0" w:color="auto"/>
            </w:tcBorders>
            <w:shd w:val="clear" w:color="auto" w:fill="FFFFFF"/>
            <w:vAlign w:val="bottom"/>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sz w:val="24"/>
                <w:szCs w:val="24"/>
              </w:rPr>
            </w:pPr>
            <w:r w:rsidRPr="00686D8C">
              <w:rPr>
                <w:rFonts w:ascii="Garamond" w:eastAsia="Calibri" w:hAnsi="Garamond" w:cs="Arial"/>
                <w:sz w:val="24"/>
                <w:szCs w:val="24"/>
              </w:rPr>
              <w:t>Motivação (Categorizado)</w:t>
            </w:r>
          </w:p>
        </w:tc>
      </w:tr>
      <w:tr w:rsidR="00DC11BE" w:rsidRPr="00686D8C" w:rsidTr="004E3707">
        <w:trPr>
          <w:cantSplit/>
          <w:trHeight w:val="265"/>
        </w:trPr>
        <w:tc>
          <w:tcPr>
            <w:tcW w:w="2691"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 xml:space="preserve">H de </w:t>
            </w:r>
            <w:proofErr w:type="spellStart"/>
            <w:r w:rsidRPr="00686D8C">
              <w:rPr>
                <w:rFonts w:ascii="Garamond" w:eastAsia="Calibri" w:hAnsi="Garamond" w:cs="Arial"/>
                <w:sz w:val="24"/>
                <w:szCs w:val="24"/>
              </w:rPr>
              <w:t>Kruskal-Wallis</w:t>
            </w:r>
            <w:proofErr w:type="spellEnd"/>
          </w:p>
        </w:tc>
        <w:tc>
          <w:tcPr>
            <w:tcW w:w="5809" w:type="dxa"/>
            <w:shd w:val="clear" w:color="auto" w:fill="FFFFFF"/>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sz w:val="24"/>
                <w:szCs w:val="24"/>
              </w:rPr>
            </w:pPr>
            <w:r w:rsidRPr="00686D8C">
              <w:rPr>
                <w:rFonts w:ascii="Garamond" w:eastAsia="Calibri" w:hAnsi="Garamond" w:cs="Arial"/>
                <w:sz w:val="24"/>
                <w:szCs w:val="24"/>
              </w:rPr>
              <w:t>13,904</w:t>
            </w:r>
          </w:p>
        </w:tc>
      </w:tr>
      <w:tr w:rsidR="00DC11BE" w:rsidRPr="00686D8C" w:rsidTr="004E3707">
        <w:trPr>
          <w:cantSplit/>
          <w:trHeight w:val="265"/>
        </w:trPr>
        <w:tc>
          <w:tcPr>
            <w:tcW w:w="2691"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proofErr w:type="spellStart"/>
            <w:r w:rsidRPr="00686D8C">
              <w:rPr>
                <w:rFonts w:ascii="Garamond" w:eastAsia="Calibri" w:hAnsi="Garamond" w:cs="Arial"/>
                <w:sz w:val="24"/>
                <w:szCs w:val="24"/>
              </w:rPr>
              <w:t>gl</w:t>
            </w:r>
            <w:proofErr w:type="spellEnd"/>
          </w:p>
        </w:tc>
        <w:tc>
          <w:tcPr>
            <w:tcW w:w="5809" w:type="dxa"/>
            <w:shd w:val="clear" w:color="auto" w:fill="FFFFFF"/>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sz w:val="24"/>
                <w:szCs w:val="24"/>
              </w:rPr>
            </w:pPr>
            <w:r w:rsidRPr="00686D8C">
              <w:rPr>
                <w:rFonts w:ascii="Garamond" w:eastAsia="Calibri" w:hAnsi="Garamond" w:cs="Arial"/>
                <w:sz w:val="24"/>
                <w:szCs w:val="24"/>
              </w:rPr>
              <w:t>2</w:t>
            </w:r>
          </w:p>
        </w:tc>
      </w:tr>
      <w:tr w:rsidR="00DC11BE" w:rsidRPr="00686D8C" w:rsidTr="004E3707">
        <w:trPr>
          <w:cantSplit/>
          <w:trHeight w:val="392"/>
        </w:trPr>
        <w:tc>
          <w:tcPr>
            <w:tcW w:w="269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lastRenderedPageBreak/>
              <w:t xml:space="preserve">Significância </w:t>
            </w:r>
            <w:proofErr w:type="spellStart"/>
            <w:r w:rsidRPr="00686D8C">
              <w:rPr>
                <w:rFonts w:ascii="Garamond" w:eastAsia="Calibri" w:hAnsi="Garamond" w:cs="Arial"/>
                <w:sz w:val="24"/>
                <w:szCs w:val="24"/>
              </w:rPr>
              <w:t>Sig</w:t>
            </w:r>
            <w:proofErr w:type="spellEnd"/>
            <w:r w:rsidRPr="00686D8C">
              <w:rPr>
                <w:rFonts w:ascii="Garamond" w:eastAsia="Calibri" w:hAnsi="Garamond" w:cs="Arial"/>
                <w:sz w:val="24"/>
                <w:szCs w:val="24"/>
              </w:rPr>
              <w:t>.</w:t>
            </w:r>
          </w:p>
        </w:tc>
        <w:tc>
          <w:tcPr>
            <w:tcW w:w="5809" w:type="dxa"/>
            <w:shd w:val="clear" w:color="auto" w:fill="FFFFFF"/>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sz w:val="24"/>
                <w:szCs w:val="24"/>
              </w:rPr>
            </w:pPr>
            <w:r w:rsidRPr="00686D8C">
              <w:rPr>
                <w:rFonts w:ascii="Garamond" w:eastAsia="Calibri" w:hAnsi="Garamond" w:cs="Arial"/>
                <w:sz w:val="24"/>
                <w:szCs w:val="24"/>
              </w:rPr>
              <w:t>,001</w:t>
            </w:r>
          </w:p>
        </w:tc>
      </w:tr>
      <w:tr w:rsidR="00DC11BE" w:rsidRPr="00686D8C" w:rsidTr="004E3707">
        <w:trPr>
          <w:cantSplit/>
          <w:trHeight w:val="253"/>
        </w:trPr>
        <w:tc>
          <w:tcPr>
            <w:tcW w:w="8500" w:type="dxa"/>
            <w:gridSpan w:val="2"/>
            <w:tcBorders>
              <w:top w:val="single" w:sz="4" w:space="0" w:color="auto"/>
              <w:bottom w:val="single" w:sz="4" w:space="0" w:color="auto"/>
            </w:tcBorders>
            <w:shd w:val="clear" w:color="auto" w:fill="FFFFFF"/>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 xml:space="preserve">a. Teste </w:t>
            </w:r>
            <w:proofErr w:type="spellStart"/>
            <w:r w:rsidRPr="00686D8C">
              <w:rPr>
                <w:rFonts w:ascii="Garamond" w:eastAsia="Calibri" w:hAnsi="Garamond" w:cs="Arial"/>
                <w:sz w:val="24"/>
                <w:szCs w:val="24"/>
              </w:rPr>
              <w:t>Kruskal</w:t>
            </w:r>
            <w:proofErr w:type="spellEnd"/>
            <w:r w:rsidRPr="00686D8C">
              <w:rPr>
                <w:rFonts w:ascii="Garamond" w:eastAsia="Calibri" w:hAnsi="Garamond" w:cs="Arial"/>
                <w:sz w:val="24"/>
                <w:szCs w:val="24"/>
              </w:rPr>
              <w:t xml:space="preserve"> </w:t>
            </w:r>
            <w:proofErr w:type="spellStart"/>
            <w:r w:rsidRPr="00686D8C">
              <w:rPr>
                <w:rFonts w:ascii="Garamond" w:eastAsia="Calibri" w:hAnsi="Garamond" w:cs="Arial"/>
                <w:sz w:val="24"/>
                <w:szCs w:val="24"/>
              </w:rPr>
              <w:t>Wallis</w:t>
            </w:r>
            <w:proofErr w:type="spellEnd"/>
          </w:p>
        </w:tc>
      </w:tr>
      <w:tr w:rsidR="00DC11BE" w:rsidRPr="00686D8C" w:rsidTr="004E3707">
        <w:trPr>
          <w:cantSplit/>
          <w:trHeight w:val="334"/>
        </w:trPr>
        <w:tc>
          <w:tcPr>
            <w:tcW w:w="8500" w:type="dxa"/>
            <w:gridSpan w:val="2"/>
            <w:tcBorders>
              <w:top w:val="single" w:sz="4" w:space="0" w:color="auto"/>
              <w:bottom w:val="single" w:sz="12" w:space="0" w:color="auto"/>
            </w:tcBorders>
            <w:shd w:val="clear" w:color="auto" w:fill="FFFFFF"/>
          </w:tcPr>
          <w:p w:rsidR="00DC11BE" w:rsidRPr="00686D8C" w:rsidRDefault="00DC11BE" w:rsidP="004E3707">
            <w:pPr>
              <w:keepNext/>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b. Variável de Agrupamento: Emoções positivas (Categorizado)</w:t>
            </w:r>
          </w:p>
        </w:tc>
      </w:tr>
    </w:tbl>
    <w:p w:rsidR="00DC11BE" w:rsidRPr="00686D8C" w:rsidRDefault="00686D8C" w:rsidP="00686D8C">
      <w:pPr>
        <w:spacing w:before="120" w:after="120" w:line="240" w:lineRule="auto"/>
        <w:rPr>
          <w:rFonts w:ascii="Garamond" w:eastAsia="Calibri" w:hAnsi="Garamond" w:cs="Times New Roman"/>
          <w:iCs/>
          <w:sz w:val="24"/>
          <w:szCs w:val="24"/>
        </w:rPr>
      </w:pPr>
      <w:r w:rsidRPr="00686D8C">
        <w:rPr>
          <w:rFonts w:ascii="Garamond" w:hAnsi="Garamond"/>
          <w:b/>
          <w:iCs/>
          <w:sz w:val="20"/>
          <w:szCs w:val="20"/>
        </w:rPr>
        <w:t xml:space="preserve">Fonte: </w:t>
      </w:r>
      <w:r w:rsidRPr="00686D8C">
        <w:rPr>
          <w:rFonts w:ascii="Garamond" w:hAnsi="Garamond"/>
          <w:bCs/>
          <w:iCs/>
          <w:sz w:val="20"/>
          <w:szCs w:val="20"/>
        </w:rPr>
        <w:t>Elaboração própria.</w:t>
      </w:r>
    </w:p>
    <w:p w:rsidR="00DC11BE" w:rsidRPr="006425F7" w:rsidRDefault="00DC11BE" w:rsidP="006425F7">
      <w:pPr>
        <w:pStyle w:val="CorpoTexto"/>
      </w:pPr>
    </w:p>
    <w:p w:rsidR="00DC11BE" w:rsidRPr="0094770E" w:rsidRDefault="00DC11BE" w:rsidP="007C204C">
      <w:pPr>
        <w:pStyle w:val="CorpoTexto"/>
      </w:pPr>
      <w:r w:rsidRPr="00BF2693">
        <w:rPr>
          <w:color w:val="000000" w:themeColor="text1"/>
        </w:rPr>
        <w:t xml:space="preserve">Por conseguinte, verifica-se </w:t>
      </w:r>
      <w:r w:rsidRPr="0094770E">
        <w:t>que as médias das classificações são diferentes para os grupos. Além disso, o nível de significância é inferior a 5%, logo não rejeitamos a hipótese nula que afirma que a motivação do pessoal de contacto influencia as suas respostas emocionais às reclamações dos clientes.</w:t>
      </w:r>
    </w:p>
    <w:p w:rsidR="00702025" w:rsidRDefault="00DC11BE" w:rsidP="00686D8C">
      <w:pPr>
        <w:pStyle w:val="CorpoTexto"/>
        <w:rPr>
          <w:color w:val="000000"/>
        </w:rPr>
      </w:pPr>
      <w:r w:rsidRPr="0094770E">
        <w:rPr>
          <w:color w:val="000000"/>
        </w:rPr>
        <w:t>O teste de independência do qui-quadrado permitiu averiguar se duas variáveis estão relacionadas.</w:t>
      </w:r>
    </w:p>
    <w:p w:rsidR="00686D8C" w:rsidRPr="00686D8C" w:rsidRDefault="00686D8C" w:rsidP="00686D8C">
      <w:pPr>
        <w:pStyle w:val="CorpoTexto"/>
        <w:rPr>
          <w:color w:val="000000"/>
        </w:rPr>
      </w:pPr>
    </w:p>
    <w:p w:rsidR="00DC11BE" w:rsidRPr="00686D8C" w:rsidRDefault="00DC11BE" w:rsidP="00686D8C">
      <w:pPr>
        <w:spacing w:after="120" w:line="240" w:lineRule="auto"/>
        <w:rPr>
          <w:rFonts w:ascii="Garamond" w:eastAsia="Times New Roman" w:hAnsi="Garamond" w:cstheme="minorHAnsi"/>
          <w:sz w:val="20"/>
          <w:szCs w:val="20"/>
          <w:lang w:eastAsia="pt-PT"/>
        </w:rPr>
      </w:pPr>
      <w:bookmarkStart w:id="84" w:name="_Toc46677143"/>
      <w:r w:rsidRPr="00862447">
        <w:rPr>
          <w:rFonts w:ascii="Garamond" w:hAnsi="Garamond" w:cstheme="minorHAnsi"/>
          <w:b/>
          <w:iCs/>
          <w:sz w:val="20"/>
          <w:szCs w:val="20"/>
        </w:rPr>
        <w:t xml:space="preserve">Tabela </w:t>
      </w:r>
      <w:r w:rsidRPr="00862447">
        <w:rPr>
          <w:rFonts w:ascii="Garamond" w:hAnsi="Garamond" w:cstheme="minorHAnsi"/>
          <w:b/>
          <w:iCs/>
          <w:sz w:val="20"/>
          <w:szCs w:val="20"/>
        </w:rPr>
        <w:fldChar w:fldCharType="begin"/>
      </w:r>
      <w:r w:rsidRPr="00862447">
        <w:rPr>
          <w:rFonts w:ascii="Garamond" w:hAnsi="Garamond" w:cstheme="minorHAnsi"/>
          <w:b/>
          <w:iCs/>
          <w:sz w:val="20"/>
          <w:szCs w:val="20"/>
        </w:rPr>
        <w:instrText xml:space="preserve"> SEQ Tabela \* ARABIC </w:instrText>
      </w:r>
      <w:r w:rsidRPr="00862447">
        <w:rPr>
          <w:rFonts w:ascii="Garamond" w:hAnsi="Garamond" w:cstheme="minorHAnsi"/>
          <w:b/>
          <w:iCs/>
          <w:sz w:val="20"/>
          <w:szCs w:val="20"/>
        </w:rPr>
        <w:fldChar w:fldCharType="separate"/>
      </w:r>
      <w:r w:rsidR="004E0B72" w:rsidRPr="00862447">
        <w:rPr>
          <w:rFonts w:ascii="Garamond" w:hAnsi="Garamond" w:cstheme="minorHAnsi"/>
          <w:b/>
          <w:iCs/>
          <w:noProof/>
          <w:sz w:val="20"/>
          <w:szCs w:val="20"/>
        </w:rPr>
        <w:t>26</w:t>
      </w:r>
      <w:r w:rsidRPr="00862447">
        <w:rPr>
          <w:rFonts w:ascii="Garamond" w:hAnsi="Garamond" w:cstheme="minorHAnsi"/>
          <w:b/>
          <w:iCs/>
          <w:sz w:val="20"/>
          <w:szCs w:val="20"/>
        </w:rPr>
        <w:fldChar w:fldCharType="end"/>
      </w:r>
      <w:r w:rsidRPr="0094770E">
        <w:rPr>
          <w:rFonts w:ascii="Garamond" w:hAnsi="Garamond" w:cstheme="minorHAnsi"/>
          <w:i/>
          <w:sz w:val="20"/>
          <w:szCs w:val="20"/>
        </w:rPr>
        <w:t xml:space="preserve"> -</w:t>
      </w:r>
      <w:r w:rsidR="00702025" w:rsidRPr="0094770E">
        <w:rPr>
          <w:rFonts w:ascii="Garamond" w:hAnsi="Garamond" w:cstheme="minorHAnsi"/>
          <w:i/>
          <w:sz w:val="20"/>
          <w:szCs w:val="20"/>
        </w:rPr>
        <w:t xml:space="preserve"> </w:t>
      </w:r>
      <w:r w:rsidR="00702025" w:rsidRPr="0094770E">
        <w:rPr>
          <w:rFonts w:ascii="Garamond" w:eastAsia="Times New Roman" w:hAnsi="Garamond" w:cstheme="minorHAnsi"/>
          <w:sz w:val="20"/>
          <w:szCs w:val="20"/>
          <w:lang w:eastAsia="pt-PT"/>
        </w:rPr>
        <w:t>Tabulação cruzada motivação (Categorizado) * Emoções positivas (Categorizado)</w:t>
      </w:r>
      <w:r w:rsidR="004B172D">
        <w:rPr>
          <w:rFonts w:ascii="Garamond" w:eastAsia="Times New Roman" w:hAnsi="Garamond" w:cstheme="minorHAnsi"/>
          <w:sz w:val="20"/>
          <w:szCs w:val="20"/>
          <w:lang w:eastAsia="pt-PT"/>
        </w:rPr>
        <w:t xml:space="preserve">, </w:t>
      </w:r>
      <w:r w:rsidR="004B172D" w:rsidRPr="004B172D">
        <w:rPr>
          <w:rFonts w:ascii="Garamond" w:hAnsi="Garamond"/>
          <w:iCs/>
          <w:sz w:val="20"/>
          <w:szCs w:val="20"/>
        </w:rPr>
        <w:t>Hipótese H1</w:t>
      </w:r>
      <w:bookmarkEnd w:id="84"/>
    </w:p>
    <w:tbl>
      <w:tblPr>
        <w:tblW w:w="8566" w:type="dxa"/>
        <w:jc w:val="center"/>
        <w:tblLayout w:type="fixed"/>
        <w:tblCellMar>
          <w:left w:w="0" w:type="dxa"/>
          <w:right w:w="0" w:type="dxa"/>
        </w:tblCellMar>
        <w:tblLook w:val="0000" w:firstRow="0" w:lastRow="0" w:firstColumn="0" w:lastColumn="0" w:noHBand="0" w:noVBand="0"/>
      </w:tblPr>
      <w:tblGrid>
        <w:gridCol w:w="1168"/>
        <w:gridCol w:w="1615"/>
        <w:gridCol w:w="1775"/>
        <w:gridCol w:w="925"/>
        <w:gridCol w:w="1316"/>
        <w:gridCol w:w="881"/>
        <w:gridCol w:w="886"/>
      </w:tblGrid>
      <w:tr w:rsidR="00DC11BE" w:rsidRPr="00686D8C" w:rsidTr="004E3707">
        <w:trPr>
          <w:cantSplit/>
          <w:trHeight w:val="312"/>
          <w:jc w:val="center"/>
        </w:trPr>
        <w:tc>
          <w:tcPr>
            <w:tcW w:w="8566" w:type="dxa"/>
            <w:gridSpan w:val="7"/>
            <w:tcBorders>
              <w:bottom w:val="single" w:sz="12" w:space="0" w:color="auto"/>
            </w:tcBorders>
            <w:shd w:val="clear" w:color="auto" w:fill="auto"/>
            <w:vAlign w:val="center"/>
          </w:tcPr>
          <w:p w:rsidR="00DC11BE" w:rsidRPr="00686D8C" w:rsidRDefault="00DC11BE" w:rsidP="004E3707">
            <w:pPr>
              <w:autoSpaceDE w:val="0"/>
              <w:autoSpaceDN w:val="0"/>
              <w:adjustRightInd w:val="0"/>
              <w:spacing w:line="320" w:lineRule="atLeast"/>
              <w:ind w:left="60" w:right="60"/>
              <w:rPr>
                <w:rFonts w:ascii="Garamond" w:eastAsia="Calibri" w:hAnsi="Garamond" w:cs="Times New Roman"/>
                <w:b/>
                <w:sz w:val="24"/>
                <w:szCs w:val="24"/>
              </w:rPr>
            </w:pPr>
            <w:r w:rsidRPr="00686D8C">
              <w:rPr>
                <w:rFonts w:ascii="Garamond" w:eastAsia="Calibri" w:hAnsi="Garamond" w:cs="Times New Roman"/>
                <w:b/>
                <w:sz w:val="24"/>
                <w:szCs w:val="24"/>
              </w:rPr>
              <w:t xml:space="preserve">Tabulação cruzada da motivação (Categorizado) e das emoções positivas (Categorizado) </w:t>
            </w:r>
          </w:p>
        </w:tc>
      </w:tr>
      <w:tr w:rsidR="00DC11BE" w:rsidRPr="00686D8C" w:rsidTr="004E3707">
        <w:trPr>
          <w:cantSplit/>
          <w:trHeight w:val="328"/>
          <w:jc w:val="center"/>
        </w:trPr>
        <w:tc>
          <w:tcPr>
            <w:tcW w:w="4558" w:type="dxa"/>
            <w:gridSpan w:val="3"/>
            <w:vMerge w:val="restart"/>
            <w:tcBorders>
              <w:top w:val="single" w:sz="12" w:space="0" w:color="auto"/>
            </w:tcBorders>
            <w:shd w:val="clear" w:color="auto" w:fill="auto"/>
            <w:vAlign w:val="bottom"/>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c>
          <w:tcPr>
            <w:tcW w:w="3122" w:type="dxa"/>
            <w:gridSpan w:val="3"/>
            <w:tcBorders>
              <w:top w:val="single" w:sz="12"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Emoções positivas (Categorizado)</w:t>
            </w:r>
          </w:p>
        </w:tc>
        <w:tc>
          <w:tcPr>
            <w:tcW w:w="886" w:type="dxa"/>
            <w:vMerge w:val="restart"/>
            <w:tcBorders>
              <w:top w:val="single" w:sz="12"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Total</w:t>
            </w:r>
          </w:p>
        </w:tc>
      </w:tr>
      <w:tr w:rsidR="00DC11BE" w:rsidRPr="00686D8C" w:rsidTr="004E3707">
        <w:trPr>
          <w:cantSplit/>
          <w:trHeight w:val="312"/>
          <w:jc w:val="center"/>
        </w:trPr>
        <w:tc>
          <w:tcPr>
            <w:tcW w:w="4558" w:type="dxa"/>
            <w:gridSpan w:val="3"/>
            <w:vMerge/>
            <w:tcBorders>
              <w:bottom w:val="single" w:sz="4" w:space="0" w:color="auto"/>
            </w:tcBorders>
            <w:shd w:val="clear" w:color="auto" w:fill="auto"/>
            <w:vAlign w:val="bottom"/>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925" w:type="dxa"/>
            <w:tcBorders>
              <w:top w:val="single" w:sz="4"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Pouco</w:t>
            </w:r>
          </w:p>
        </w:tc>
        <w:tc>
          <w:tcPr>
            <w:tcW w:w="1316" w:type="dxa"/>
            <w:tcBorders>
              <w:top w:val="single" w:sz="4"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Moderadamente</w:t>
            </w:r>
          </w:p>
        </w:tc>
        <w:tc>
          <w:tcPr>
            <w:tcW w:w="881" w:type="dxa"/>
            <w:tcBorders>
              <w:top w:val="single" w:sz="4"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Muito</w:t>
            </w:r>
          </w:p>
        </w:tc>
        <w:tc>
          <w:tcPr>
            <w:tcW w:w="886" w:type="dxa"/>
            <w:vMerge/>
            <w:tcBorders>
              <w:bottom w:val="single" w:sz="4" w:space="0" w:color="auto"/>
            </w:tcBorders>
            <w:shd w:val="clear" w:color="auto" w:fill="auto"/>
            <w:vAlign w:val="bottom"/>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r>
      <w:tr w:rsidR="00DC11BE" w:rsidRPr="00686D8C" w:rsidTr="004E3707">
        <w:trPr>
          <w:cantSplit/>
          <w:trHeight w:val="328"/>
          <w:jc w:val="center"/>
        </w:trPr>
        <w:tc>
          <w:tcPr>
            <w:tcW w:w="1168" w:type="dxa"/>
            <w:vMerge w:val="restart"/>
            <w:tcBorders>
              <w:top w:val="single" w:sz="4" w:space="0" w:color="auto"/>
            </w:tcBorders>
            <w:shd w:val="clear" w:color="auto" w:fill="auto"/>
            <w:vAlign w:val="center"/>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264A60"/>
                <w:sz w:val="24"/>
                <w:szCs w:val="24"/>
              </w:rPr>
            </w:pPr>
            <w:r w:rsidRPr="00686D8C">
              <w:rPr>
                <w:rFonts w:ascii="Garamond" w:eastAsia="Calibri" w:hAnsi="Garamond" w:cs="Arial"/>
                <w:sz w:val="24"/>
                <w:szCs w:val="24"/>
              </w:rPr>
              <w:t>Motivação (Categorizado)</w:t>
            </w:r>
          </w:p>
        </w:tc>
        <w:tc>
          <w:tcPr>
            <w:tcW w:w="1615" w:type="dxa"/>
            <w:vMerge w:val="restart"/>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Muito desmotivado</w:t>
            </w:r>
          </w:p>
        </w:tc>
        <w:tc>
          <w:tcPr>
            <w:tcW w:w="177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w:t>
            </w:r>
          </w:p>
        </w:tc>
        <w:tc>
          <w:tcPr>
            <w:tcW w:w="92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2</w:t>
            </w:r>
          </w:p>
        </w:tc>
        <w:tc>
          <w:tcPr>
            <w:tcW w:w="131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0</w:t>
            </w:r>
          </w:p>
        </w:tc>
        <w:tc>
          <w:tcPr>
            <w:tcW w:w="88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0</w:t>
            </w:r>
          </w:p>
        </w:tc>
        <w:tc>
          <w:tcPr>
            <w:tcW w:w="88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2</w:t>
            </w:r>
          </w:p>
        </w:tc>
      </w:tr>
      <w:tr w:rsidR="00DC11BE" w:rsidRPr="00686D8C" w:rsidTr="004E3707">
        <w:trPr>
          <w:cantSplit/>
          <w:trHeight w:val="343"/>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color w:val="010205"/>
                <w:sz w:val="24"/>
                <w:szCs w:val="24"/>
              </w:rPr>
            </w:pPr>
          </w:p>
        </w:tc>
        <w:tc>
          <w:tcPr>
            <w:tcW w:w="1615"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 Esperada</w:t>
            </w:r>
          </w:p>
        </w:tc>
        <w:tc>
          <w:tcPr>
            <w:tcW w:w="925"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,7</w:t>
            </w:r>
          </w:p>
        </w:tc>
        <w:tc>
          <w:tcPr>
            <w:tcW w:w="1316"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1,1</w:t>
            </w:r>
          </w:p>
        </w:tc>
        <w:tc>
          <w:tcPr>
            <w:tcW w:w="881"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w:t>
            </w:r>
          </w:p>
        </w:tc>
        <w:tc>
          <w:tcPr>
            <w:tcW w:w="886"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2,0</w:t>
            </w:r>
          </w:p>
        </w:tc>
      </w:tr>
      <w:tr w:rsidR="00DC11BE" w:rsidRPr="00686D8C" w:rsidTr="004E3707">
        <w:trPr>
          <w:cantSplit/>
          <w:trHeight w:val="343"/>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color w:val="010205"/>
                <w:sz w:val="24"/>
                <w:szCs w:val="24"/>
              </w:rPr>
            </w:pPr>
          </w:p>
        </w:tc>
        <w:tc>
          <w:tcPr>
            <w:tcW w:w="1615" w:type="dxa"/>
            <w:vMerge/>
            <w:tcBorders>
              <w:bottom w:val="single" w:sz="4" w:space="0" w:color="auto"/>
            </w:tcBorders>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Resíduo</w:t>
            </w:r>
          </w:p>
        </w:tc>
        <w:tc>
          <w:tcPr>
            <w:tcW w:w="925"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1,3</w:t>
            </w:r>
          </w:p>
        </w:tc>
        <w:tc>
          <w:tcPr>
            <w:tcW w:w="1316"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-1,1</w:t>
            </w:r>
          </w:p>
        </w:tc>
        <w:tc>
          <w:tcPr>
            <w:tcW w:w="88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w:t>
            </w:r>
          </w:p>
        </w:tc>
        <w:tc>
          <w:tcPr>
            <w:tcW w:w="886" w:type="dxa"/>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r>
      <w:tr w:rsidR="00DC11BE" w:rsidRPr="00686D8C" w:rsidTr="004E3707">
        <w:trPr>
          <w:cantSplit/>
          <w:trHeight w:val="328"/>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c>
          <w:tcPr>
            <w:tcW w:w="1615" w:type="dxa"/>
            <w:vMerge w:val="restart"/>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Desmotivado</w:t>
            </w:r>
          </w:p>
        </w:tc>
        <w:tc>
          <w:tcPr>
            <w:tcW w:w="177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w:t>
            </w:r>
          </w:p>
        </w:tc>
        <w:tc>
          <w:tcPr>
            <w:tcW w:w="92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2</w:t>
            </w:r>
          </w:p>
        </w:tc>
        <w:tc>
          <w:tcPr>
            <w:tcW w:w="131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0</w:t>
            </w:r>
          </w:p>
        </w:tc>
        <w:tc>
          <w:tcPr>
            <w:tcW w:w="88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0</w:t>
            </w:r>
          </w:p>
        </w:tc>
        <w:tc>
          <w:tcPr>
            <w:tcW w:w="88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2</w:t>
            </w:r>
          </w:p>
        </w:tc>
      </w:tr>
      <w:tr w:rsidR="00DC11BE" w:rsidRPr="00686D8C" w:rsidTr="004E3707">
        <w:trPr>
          <w:cantSplit/>
          <w:trHeight w:val="343"/>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color w:val="010205"/>
                <w:sz w:val="24"/>
                <w:szCs w:val="24"/>
              </w:rPr>
            </w:pPr>
          </w:p>
        </w:tc>
        <w:tc>
          <w:tcPr>
            <w:tcW w:w="1615"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 Esperada</w:t>
            </w:r>
          </w:p>
        </w:tc>
        <w:tc>
          <w:tcPr>
            <w:tcW w:w="925"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,7</w:t>
            </w:r>
          </w:p>
        </w:tc>
        <w:tc>
          <w:tcPr>
            <w:tcW w:w="1316"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1,1</w:t>
            </w:r>
          </w:p>
        </w:tc>
        <w:tc>
          <w:tcPr>
            <w:tcW w:w="881"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w:t>
            </w:r>
          </w:p>
        </w:tc>
        <w:tc>
          <w:tcPr>
            <w:tcW w:w="886"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2,0</w:t>
            </w:r>
          </w:p>
        </w:tc>
      </w:tr>
      <w:tr w:rsidR="00DC11BE" w:rsidRPr="00686D8C" w:rsidTr="004E3707">
        <w:trPr>
          <w:cantSplit/>
          <w:trHeight w:val="343"/>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color w:val="010205"/>
                <w:sz w:val="24"/>
                <w:szCs w:val="24"/>
              </w:rPr>
            </w:pPr>
          </w:p>
        </w:tc>
        <w:tc>
          <w:tcPr>
            <w:tcW w:w="1615" w:type="dxa"/>
            <w:vMerge/>
            <w:tcBorders>
              <w:bottom w:val="single" w:sz="4" w:space="0" w:color="auto"/>
            </w:tcBorders>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Resíduo</w:t>
            </w:r>
          </w:p>
        </w:tc>
        <w:tc>
          <w:tcPr>
            <w:tcW w:w="925"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1,3</w:t>
            </w:r>
          </w:p>
        </w:tc>
        <w:tc>
          <w:tcPr>
            <w:tcW w:w="1316"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-1,1</w:t>
            </w:r>
          </w:p>
        </w:tc>
        <w:tc>
          <w:tcPr>
            <w:tcW w:w="88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w:t>
            </w:r>
          </w:p>
        </w:tc>
        <w:tc>
          <w:tcPr>
            <w:tcW w:w="886" w:type="dxa"/>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r>
      <w:tr w:rsidR="00DC11BE" w:rsidRPr="00686D8C" w:rsidTr="004E3707">
        <w:trPr>
          <w:cantSplit/>
          <w:trHeight w:val="328"/>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c>
          <w:tcPr>
            <w:tcW w:w="1615" w:type="dxa"/>
            <w:vMerge w:val="restart"/>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Motivado</w:t>
            </w:r>
          </w:p>
        </w:tc>
        <w:tc>
          <w:tcPr>
            <w:tcW w:w="177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w:t>
            </w:r>
          </w:p>
        </w:tc>
        <w:tc>
          <w:tcPr>
            <w:tcW w:w="92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5</w:t>
            </w:r>
          </w:p>
        </w:tc>
        <w:tc>
          <w:tcPr>
            <w:tcW w:w="131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0</w:t>
            </w:r>
          </w:p>
        </w:tc>
        <w:tc>
          <w:tcPr>
            <w:tcW w:w="88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w:t>
            </w:r>
          </w:p>
        </w:tc>
        <w:tc>
          <w:tcPr>
            <w:tcW w:w="88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6</w:t>
            </w:r>
          </w:p>
        </w:tc>
      </w:tr>
      <w:tr w:rsidR="00DC11BE" w:rsidRPr="00686D8C" w:rsidTr="004E3707">
        <w:trPr>
          <w:cantSplit/>
          <w:trHeight w:val="343"/>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color w:val="010205"/>
                <w:sz w:val="24"/>
                <w:szCs w:val="24"/>
              </w:rPr>
            </w:pPr>
          </w:p>
        </w:tc>
        <w:tc>
          <w:tcPr>
            <w:tcW w:w="1615"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 Esperada</w:t>
            </w:r>
          </w:p>
        </w:tc>
        <w:tc>
          <w:tcPr>
            <w:tcW w:w="925"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2,2</w:t>
            </w:r>
          </w:p>
        </w:tc>
        <w:tc>
          <w:tcPr>
            <w:tcW w:w="1316"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3,3</w:t>
            </w:r>
          </w:p>
        </w:tc>
        <w:tc>
          <w:tcPr>
            <w:tcW w:w="881"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,4</w:t>
            </w:r>
          </w:p>
        </w:tc>
        <w:tc>
          <w:tcPr>
            <w:tcW w:w="886"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6,0</w:t>
            </w:r>
          </w:p>
        </w:tc>
      </w:tr>
      <w:tr w:rsidR="00DC11BE" w:rsidRPr="00686D8C" w:rsidTr="004E3707">
        <w:trPr>
          <w:cantSplit/>
          <w:trHeight w:val="343"/>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color w:val="010205"/>
                <w:sz w:val="24"/>
                <w:szCs w:val="24"/>
              </w:rPr>
            </w:pPr>
          </w:p>
        </w:tc>
        <w:tc>
          <w:tcPr>
            <w:tcW w:w="1615" w:type="dxa"/>
            <w:vMerge/>
            <w:tcBorders>
              <w:bottom w:val="single" w:sz="4" w:space="0" w:color="auto"/>
            </w:tcBorders>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Resíduo</w:t>
            </w:r>
          </w:p>
        </w:tc>
        <w:tc>
          <w:tcPr>
            <w:tcW w:w="925"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2,8</w:t>
            </w:r>
          </w:p>
        </w:tc>
        <w:tc>
          <w:tcPr>
            <w:tcW w:w="1316"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-3,3</w:t>
            </w:r>
          </w:p>
        </w:tc>
        <w:tc>
          <w:tcPr>
            <w:tcW w:w="88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,6</w:t>
            </w:r>
          </w:p>
        </w:tc>
        <w:tc>
          <w:tcPr>
            <w:tcW w:w="886" w:type="dxa"/>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r>
      <w:tr w:rsidR="00DC11BE" w:rsidRPr="00686D8C" w:rsidTr="004E3707">
        <w:trPr>
          <w:cantSplit/>
          <w:trHeight w:val="343"/>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c>
          <w:tcPr>
            <w:tcW w:w="1615" w:type="dxa"/>
            <w:vMerge w:val="restart"/>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Muito motivado</w:t>
            </w:r>
          </w:p>
        </w:tc>
        <w:tc>
          <w:tcPr>
            <w:tcW w:w="177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w:t>
            </w:r>
          </w:p>
        </w:tc>
        <w:tc>
          <w:tcPr>
            <w:tcW w:w="92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68</w:t>
            </w:r>
          </w:p>
        </w:tc>
        <w:tc>
          <w:tcPr>
            <w:tcW w:w="131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116</w:t>
            </w:r>
          </w:p>
        </w:tc>
        <w:tc>
          <w:tcPr>
            <w:tcW w:w="88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14</w:t>
            </w:r>
          </w:p>
        </w:tc>
        <w:tc>
          <w:tcPr>
            <w:tcW w:w="88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198</w:t>
            </w:r>
          </w:p>
        </w:tc>
      </w:tr>
      <w:tr w:rsidR="00DC11BE" w:rsidRPr="00686D8C" w:rsidTr="004E3707">
        <w:trPr>
          <w:cantSplit/>
          <w:trHeight w:val="328"/>
          <w:jc w:val="center"/>
        </w:trPr>
        <w:tc>
          <w:tcPr>
            <w:tcW w:w="1168"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color w:val="010205"/>
                <w:sz w:val="24"/>
                <w:szCs w:val="24"/>
              </w:rPr>
            </w:pPr>
          </w:p>
        </w:tc>
        <w:tc>
          <w:tcPr>
            <w:tcW w:w="1615" w:type="dxa"/>
            <w:vMerge/>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 Esperada</w:t>
            </w:r>
          </w:p>
        </w:tc>
        <w:tc>
          <w:tcPr>
            <w:tcW w:w="925"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73,3</w:t>
            </w:r>
          </w:p>
        </w:tc>
        <w:tc>
          <w:tcPr>
            <w:tcW w:w="1316"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110,4</w:t>
            </w:r>
          </w:p>
        </w:tc>
        <w:tc>
          <w:tcPr>
            <w:tcW w:w="881"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14,3</w:t>
            </w:r>
          </w:p>
        </w:tc>
        <w:tc>
          <w:tcPr>
            <w:tcW w:w="886"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198,0</w:t>
            </w:r>
          </w:p>
        </w:tc>
      </w:tr>
      <w:tr w:rsidR="00DC11BE" w:rsidRPr="00686D8C" w:rsidTr="004E3707">
        <w:trPr>
          <w:cantSplit/>
          <w:trHeight w:val="343"/>
          <w:jc w:val="center"/>
        </w:trPr>
        <w:tc>
          <w:tcPr>
            <w:tcW w:w="1168" w:type="dxa"/>
            <w:vMerge/>
            <w:tcBorders>
              <w:bottom w:val="single" w:sz="4" w:space="0" w:color="auto"/>
            </w:tcBorders>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color w:val="010205"/>
                <w:sz w:val="24"/>
                <w:szCs w:val="24"/>
              </w:rPr>
            </w:pPr>
          </w:p>
        </w:tc>
        <w:tc>
          <w:tcPr>
            <w:tcW w:w="1615" w:type="dxa"/>
            <w:vMerge/>
            <w:tcBorders>
              <w:bottom w:val="single" w:sz="4" w:space="0" w:color="auto"/>
            </w:tcBorders>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Resíduo</w:t>
            </w:r>
          </w:p>
        </w:tc>
        <w:tc>
          <w:tcPr>
            <w:tcW w:w="925"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-5,3</w:t>
            </w:r>
          </w:p>
        </w:tc>
        <w:tc>
          <w:tcPr>
            <w:tcW w:w="1316"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5,6</w:t>
            </w:r>
          </w:p>
        </w:tc>
        <w:tc>
          <w:tcPr>
            <w:tcW w:w="88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-,3</w:t>
            </w:r>
          </w:p>
        </w:tc>
        <w:tc>
          <w:tcPr>
            <w:tcW w:w="886" w:type="dxa"/>
            <w:shd w:val="clear" w:color="auto" w:fill="auto"/>
            <w:vAlign w:val="center"/>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r>
      <w:tr w:rsidR="00DC11BE" w:rsidRPr="00686D8C" w:rsidTr="004E3707">
        <w:trPr>
          <w:cantSplit/>
          <w:trHeight w:val="328"/>
          <w:jc w:val="center"/>
        </w:trPr>
        <w:tc>
          <w:tcPr>
            <w:tcW w:w="2783" w:type="dxa"/>
            <w:gridSpan w:val="2"/>
            <w:vMerge w:val="restart"/>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Total</w:t>
            </w:r>
          </w:p>
        </w:tc>
        <w:tc>
          <w:tcPr>
            <w:tcW w:w="177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w:t>
            </w:r>
          </w:p>
        </w:tc>
        <w:tc>
          <w:tcPr>
            <w:tcW w:w="925"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77</w:t>
            </w:r>
          </w:p>
        </w:tc>
        <w:tc>
          <w:tcPr>
            <w:tcW w:w="131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116</w:t>
            </w:r>
          </w:p>
        </w:tc>
        <w:tc>
          <w:tcPr>
            <w:tcW w:w="88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15</w:t>
            </w:r>
          </w:p>
        </w:tc>
        <w:tc>
          <w:tcPr>
            <w:tcW w:w="88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208</w:t>
            </w:r>
          </w:p>
        </w:tc>
      </w:tr>
      <w:tr w:rsidR="00DC11BE" w:rsidRPr="00686D8C" w:rsidTr="004E3707">
        <w:trPr>
          <w:cantSplit/>
          <w:trHeight w:val="343"/>
          <w:jc w:val="center"/>
        </w:trPr>
        <w:tc>
          <w:tcPr>
            <w:tcW w:w="2783" w:type="dxa"/>
            <w:gridSpan w:val="2"/>
            <w:vMerge/>
            <w:tcBorders>
              <w:bottom w:val="single" w:sz="12" w:space="0" w:color="auto"/>
            </w:tcBorders>
            <w:shd w:val="clear" w:color="auto" w:fill="auto"/>
          </w:tcPr>
          <w:p w:rsidR="00DC11BE" w:rsidRPr="00686D8C" w:rsidRDefault="00DC11BE" w:rsidP="004E3707">
            <w:pPr>
              <w:autoSpaceDE w:val="0"/>
              <w:autoSpaceDN w:val="0"/>
              <w:adjustRightInd w:val="0"/>
              <w:spacing w:line="240" w:lineRule="auto"/>
              <w:rPr>
                <w:rFonts w:ascii="Garamond" w:eastAsia="Calibri" w:hAnsi="Garamond" w:cs="Arial"/>
                <w:sz w:val="24"/>
                <w:szCs w:val="24"/>
              </w:rPr>
            </w:pPr>
          </w:p>
        </w:tc>
        <w:tc>
          <w:tcPr>
            <w:tcW w:w="1775"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Contagem Esperada</w:t>
            </w:r>
          </w:p>
        </w:tc>
        <w:tc>
          <w:tcPr>
            <w:tcW w:w="925"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77,0</w:t>
            </w:r>
          </w:p>
        </w:tc>
        <w:tc>
          <w:tcPr>
            <w:tcW w:w="1316"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116,0</w:t>
            </w:r>
          </w:p>
        </w:tc>
        <w:tc>
          <w:tcPr>
            <w:tcW w:w="881"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color w:val="010205"/>
                <w:sz w:val="24"/>
                <w:szCs w:val="24"/>
              </w:rPr>
            </w:pPr>
            <w:r w:rsidRPr="00686D8C">
              <w:rPr>
                <w:rFonts w:ascii="Garamond" w:eastAsia="Calibri" w:hAnsi="Garamond" w:cs="Arial"/>
                <w:color w:val="010205"/>
                <w:sz w:val="24"/>
                <w:szCs w:val="24"/>
              </w:rPr>
              <w:t>15,0</w:t>
            </w:r>
          </w:p>
        </w:tc>
        <w:tc>
          <w:tcPr>
            <w:tcW w:w="886"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color w:val="010205"/>
                <w:sz w:val="24"/>
                <w:szCs w:val="24"/>
              </w:rPr>
            </w:pPr>
            <w:r w:rsidRPr="00686D8C">
              <w:rPr>
                <w:rFonts w:ascii="Garamond" w:eastAsia="Calibri" w:hAnsi="Garamond" w:cs="Arial"/>
                <w:color w:val="010205"/>
                <w:sz w:val="24"/>
                <w:szCs w:val="24"/>
              </w:rPr>
              <w:t>208,0</w:t>
            </w:r>
          </w:p>
        </w:tc>
      </w:tr>
    </w:tbl>
    <w:p w:rsidR="00DC11BE" w:rsidRPr="00686D8C" w:rsidRDefault="00686D8C" w:rsidP="00D06AED">
      <w:pPr>
        <w:autoSpaceDE w:val="0"/>
        <w:autoSpaceDN w:val="0"/>
        <w:adjustRightInd w:val="0"/>
        <w:spacing w:before="120" w:after="120" w:line="240" w:lineRule="auto"/>
        <w:rPr>
          <w:rFonts w:ascii="Garamond" w:eastAsia="Calibri" w:hAnsi="Garamond" w:cs="Times New Roman"/>
          <w:iCs/>
          <w:sz w:val="24"/>
          <w:szCs w:val="24"/>
        </w:rPr>
      </w:pPr>
      <w:r w:rsidRPr="00686D8C">
        <w:rPr>
          <w:rFonts w:ascii="Garamond" w:hAnsi="Garamond"/>
          <w:b/>
          <w:iCs/>
          <w:sz w:val="20"/>
          <w:szCs w:val="20"/>
        </w:rPr>
        <w:t xml:space="preserve">Fonte: </w:t>
      </w:r>
      <w:r w:rsidRPr="00686D8C">
        <w:rPr>
          <w:rFonts w:ascii="Garamond" w:hAnsi="Garamond"/>
          <w:bCs/>
          <w:iCs/>
          <w:sz w:val="20"/>
          <w:szCs w:val="20"/>
        </w:rPr>
        <w:t>Elaboração própria.</w:t>
      </w:r>
    </w:p>
    <w:p w:rsidR="00DC11BE" w:rsidRPr="00D06AED" w:rsidRDefault="00DC11BE" w:rsidP="00D06AED">
      <w:pPr>
        <w:pStyle w:val="CorpoTexto"/>
      </w:pPr>
    </w:p>
    <w:p w:rsidR="00862447" w:rsidRPr="00686D8C" w:rsidRDefault="00DC11BE" w:rsidP="00686D8C">
      <w:pPr>
        <w:pStyle w:val="Legenda"/>
        <w:keepNext/>
        <w:spacing w:after="120"/>
        <w:rPr>
          <w:rFonts w:ascii="Garamond" w:hAnsi="Garamond"/>
          <w:i w:val="0"/>
          <w:color w:val="auto"/>
          <w:sz w:val="20"/>
          <w:szCs w:val="20"/>
        </w:rPr>
      </w:pPr>
      <w:bookmarkStart w:id="85" w:name="_Toc46677144"/>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27</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Testes qui-quadrado</w:t>
      </w:r>
      <w:r w:rsidR="004B172D">
        <w:rPr>
          <w:rFonts w:ascii="Garamond" w:hAnsi="Garamond"/>
          <w:i w:val="0"/>
          <w:color w:val="auto"/>
          <w:sz w:val="20"/>
          <w:szCs w:val="20"/>
        </w:rPr>
        <w:t>, Hipótese H1</w:t>
      </w:r>
      <w:bookmarkEnd w:id="85"/>
    </w:p>
    <w:tbl>
      <w:tblPr>
        <w:tblW w:w="8642" w:type="dxa"/>
        <w:tblLayout w:type="fixed"/>
        <w:tblCellMar>
          <w:left w:w="0" w:type="dxa"/>
          <w:right w:w="0" w:type="dxa"/>
        </w:tblCellMar>
        <w:tblLook w:val="0000" w:firstRow="0" w:lastRow="0" w:firstColumn="0" w:lastColumn="0" w:noHBand="0" w:noVBand="0"/>
      </w:tblPr>
      <w:tblGrid>
        <w:gridCol w:w="3173"/>
        <w:gridCol w:w="1329"/>
        <w:gridCol w:w="1329"/>
        <w:gridCol w:w="2811"/>
      </w:tblGrid>
      <w:tr w:rsidR="00DC11BE" w:rsidRPr="00686D8C" w:rsidTr="004E3707">
        <w:trPr>
          <w:cantSplit/>
          <w:trHeight w:val="397"/>
        </w:trPr>
        <w:tc>
          <w:tcPr>
            <w:tcW w:w="8642" w:type="dxa"/>
            <w:gridSpan w:val="4"/>
            <w:shd w:val="clear" w:color="auto" w:fill="auto"/>
            <w:vAlign w:val="center"/>
          </w:tcPr>
          <w:p w:rsidR="00DC11BE" w:rsidRPr="00686D8C" w:rsidRDefault="00DC11BE" w:rsidP="004E3707">
            <w:pPr>
              <w:autoSpaceDE w:val="0"/>
              <w:autoSpaceDN w:val="0"/>
              <w:adjustRightInd w:val="0"/>
              <w:spacing w:line="320" w:lineRule="atLeast"/>
              <w:ind w:left="60" w:right="60"/>
              <w:rPr>
                <w:rFonts w:ascii="Garamond" w:eastAsia="Calibri" w:hAnsi="Garamond" w:cs="Arial"/>
                <w:b/>
                <w:sz w:val="24"/>
                <w:szCs w:val="24"/>
              </w:rPr>
            </w:pPr>
            <w:r w:rsidRPr="00686D8C">
              <w:rPr>
                <w:rFonts w:ascii="Garamond" w:eastAsia="Calibri" w:hAnsi="Garamond" w:cs="Arial"/>
                <w:b/>
                <w:sz w:val="24"/>
                <w:szCs w:val="24"/>
              </w:rPr>
              <w:t>Testes qui-quadrado</w:t>
            </w:r>
          </w:p>
        </w:tc>
      </w:tr>
      <w:tr w:rsidR="00DC11BE" w:rsidRPr="00686D8C" w:rsidTr="004E3707">
        <w:trPr>
          <w:cantSplit/>
          <w:trHeight w:val="337"/>
        </w:trPr>
        <w:tc>
          <w:tcPr>
            <w:tcW w:w="3173" w:type="dxa"/>
            <w:tcBorders>
              <w:top w:val="single" w:sz="12" w:space="0" w:color="auto"/>
            </w:tcBorders>
            <w:shd w:val="clear" w:color="auto" w:fill="auto"/>
            <w:vAlign w:val="bottom"/>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c>
          <w:tcPr>
            <w:tcW w:w="1329" w:type="dxa"/>
            <w:tcBorders>
              <w:top w:val="single" w:sz="12"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Valor</w:t>
            </w:r>
          </w:p>
        </w:tc>
        <w:tc>
          <w:tcPr>
            <w:tcW w:w="1329" w:type="dxa"/>
            <w:tcBorders>
              <w:top w:val="single" w:sz="12"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proofErr w:type="spellStart"/>
            <w:r w:rsidRPr="00686D8C">
              <w:rPr>
                <w:rFonts w:ascii="Garamond" w:eastAsia="Calibri" w:hAnsi="Garamond" w:cs="Arial"/>
                <w:sz w:val="24"/>
                <w:szCs w:val="24"/>
              </w:rPr>
              <w:t>gl</w:t>
            </w:r>
            <w:proofErr w:type="spellEnd"/>
          </w:p>
        </w:tc>
        <w:tc>
          <w:tcPr>
            <w:tcW w:w="2811" w:type="dxa"/>
            <w:tcBorders>
              <w:top w:val="single" w:sz="12"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Significância Assintótica (Bilateral)</w:t>
            </w:r>
          </w:p>
        </w:tc>
      </w:tr>
      <w:tr w:rsidR="00DC11BE" w:rsidRPr="00686D8C" w:rsidTr="004E3707">
        <w:trPr>
          <w:cantSplit/>
          <w:trHeight w:val="416"/>
        </w:trPr>
        <w:tc>
          <w:tcPr>
            <w:tcW w:w="3173"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 xml:space="preserve">Qui-quadrado de </w:t>
            </w:r>
            <w:proofErr w:type="spellStart"/>
            <w:r w:rsidRPr="00686D8C">
              <w:rPr>
                <w:rFonts w:ascii="Garamond" w:eastAsia="Calibri" w:hAnsi="Garamond" w:cs="Arial"/>
                <w:sz w:val="24"/>
                <w:szCs w:val="24"/>
              </w:rPr>
              <w:t>Pearson</w:t>
            </w:r>
            <w:proofErr w:type="spellEnd"/>
          </w:p>
        </w:tc>
        <w:tc>
          <w:tcPr>
            <w:tcW w:w="1329"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15,042</w:t>
            </w:r>
            <w:r w:rsidRPr="00686D8C">
              <w:rPr>
                <w:rFonts w:ascii="Garamond" w:eastAsia="Calibri" w:hAnsi="Garamond" w:cs="Arial"/>
                <w:sz w:val="24"/>
                <w:szCs w:val="24"/>
                <w:vertAlign w:val="superscript"/>
              </w:rPr>
              <w:t>a</w:t>
            </w:r>
          </w:p>
        </w:tc>
        <w:tc>
          <w:tcPr>
            <w:tcW w:w="1329"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6</w:t>
            </w:r>
          </w:p>
        </w:tc>
        <w:tc>
          <w:tcPr>
            <w:tcW w:w="281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sz w:val="24"/>
                <w:szCs w:val="24"/>
              </w:rPr>
            </w:pPr>
            <w:r w:rsidRPr="00686D8C">
              <w:rPr>
                <w:rFonts w:ascii="Garamond" w:eastAsia="Calibri" w:hAnsi="Garamond" w:cs="Arial"/>
                <w:sz w:val="24"/>
                <w:szCs w:val="24"/>
              </w:rPr>
              <w:t>,020</w:t>
            </w:r>
          </w:p>
        </w:tc>
      </w:tr>
      <w:tr w:rsidR="00DC11BE" w:rsidRPr="00686D8C" w:rsidTr="004E3707">
        <w:trPr>
          <w:cantSplit/>
          <w:trHeight w:val="416"/>
        </w:trPr>
        <w:tc>
          <w:tcPr>
            <w:tcW w:w="3173"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Razão de verossimilhança</w:t>
            </w:r>
          </w:p>
        </w:tc>
        <w:tc>
          <w:tcPr>
            <w:tcW w:w="1329"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18,414</w:t>
            </w:r>
          </w:p>
        </w:tc>
        <w:tc>
          <w:tcPr>
            <w:tcW w:w="1329"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6</w:t>
            </w:r>
          </w:p>
        </w:tc>
        <w:tc>
          <w:tcPr>
            <w:tcW w:w="2811"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sz w:val="24"/>
                <w:szCs w:val="24"/>
              </w:rPr>
            </w:pPr>
            <w:r w:rsidRPr="00686D8C">
              <w:rPr>
                <w:rFonts w:ascii="Garamond" w:eastAsia="Calibri" w:hAnsi="Garamond" w:cs="Arial"/>
                <w:sz w:val="24"/>
                <w:szCs w:val="24"/>
              </w:rPr>
              <w:t>,005</w:t>
            </w:r>
          </w:p>
        </w:tc>
      </w:tr>
      <w:tr w:rsidR="00DC11BE" w:rsidRPr="00686D8C" w:rsidTr="004E3707">
        <w:trPr>
          <w:cantSplit/>
          <w:trHeight w:val="397"/>
        </w:trPr>
        <w:tc>
          <w:tcPr>
            <w:tcW w:w="3173" w:type="dxa"/>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Associação Linear por Linear</w:t>
            </w:r>
          </w:p>
        </w:tc>
        <w:tc>
          <w:tcPr>
            <w:tcW w:w="1329"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7,797</w:t>
            </w:r>
          </w:p>
        </w:tc>
        <w:tc>
          <w:tcPr>
            <w:tcW w:w="1329"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1</w:t>
            </w:r>
          </w:p>
        </w:tc>
        <w:tc>
          <w:tcPr>
            <w:tcW w:w="2811"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eastAsia="Calibri" w:hAnsi="Garamond" w:cs="Arial"/>
                <w:sz w:val="24"/>
                <w:szCs w:val="24"/>
              </w:rPr>
            </w:pPr>
            <w:r w:rsidRPr="00686D8C">
              <w:rPr>
                <w:rFonts w:ascii="Garamond" w:eastAsia="Calibri" w:hAnsi="Garamond" w:cs="Arial"/>
                <w:sz w:val="24"/>
                <w:szCs w:val="24"/>
              </w:rPr>
              <w:t>,005</w:t>
            </w:r>
          </w:p>
        </w:tc>
      </w:tr>
      <w:tr w:rsidR="00DC11BE" w:rsidRPr="00686D8C" w:rsidTr="004E3707">
        <w:trPr>
          <w:cantSplit/>
          <w:trHeight w:val="416"/>
        </w:trPr>
        <w:tc>
          <w:tcPr>
            <w:tcW w:w="3173"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eastAsia="Calibri" w:hAnsi="Garamond" w:cs="Arial"/>
                <w:sz w:val="24"/>
                <w:szCs w:val="24"/>
              </w:rPr>
            </w:pPr>
            <w:r w:rsidRPr="00686D8C">
              <w:rPr>
                <w:rFonts w:ascii="Garamond" w:eastAsia="Calibri" w:hAnsi="Garamond" w:cs="Arial"/>
                <w:sz w:val="24"/>
                <w:szCs w:val="24"/>
              </w:rPr>
              <w:t>N de Casos Válidos</w:t>
            </w:r>
          </w:p>
        </w:tc>
        <w:tc>
          <w:tcPr>
            <w:tcW w:w="1329"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eastAsia="Calibri" w:hAnsi="Garamond" w:cs="Arial"/>
                <w:sz w:val="24"/>
                <w:szCs w:val="24"/>
              </w:rPr>
            </w:pPr>
            <w:r w:rsidRPr="00686D8C">
              <w:rPr>
                <w:rFonts w:ascii="Garamond" w:eastAsia="Calibri" w:hAnsi="Garamond" w:cs="Arial"/>
                <w:sz w:val="24"/>
                <w:szCs w:val="24"/>
              </w:rPr>
              <w:t>208</w:t>
            </w:r>
          </w:p>
        </w:tc>
        <w:tc>
          <w:tcPr>
            <w:tcW w:w="1329" w:type="dxa"/>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jc w:val="center"/>
              <w:rPr>
                <w:rFonts w:ascii="Garamond" w:eastAsia="Calibri" w:hAnsi="Garamond" w:cs="Times New Roman"/>
                <w:sz w:val="24"/>
                <w:szCs w:val="24"/>
              </w:rPr>
            </w:pPr>
          </w:p>
        </w:tc>
        <w:tc>
          <w:tcPr>
            <w:tcW w:w="2811" w:type="dxa"/>
            <w:shd w:val="clear" w:color="auto" w:fill="auto"/>
            <w:vAlign w:val="center"/>
          </w:tcPr>
          <w:p w:rsidR="00DC11BE" w:rsidRPr="00686D8C" w:rsidRDefault="00DC11BE" w:rsidP="004E3707">
            <w:pPr>
              <w:autoSpaceDE w:val="0"/>
              <w:autoSpaceDN w:val="0"/>
              <w:adjustRightInd w:val="0"/>
              <w:spacing w:line="240" w:lineRule="auto"/>
              <w:rPr>
                <w:rFonts w:ascii="Garamond" w:eastAsia="Calibri" w:hAnsi="Garamond" w:cs="Times New Roman"/>
                <w:sz w:val="24"/>
                <w:szCs w:val="24"/>
              </w:rPr>
            </w:pPr>
          </w:p>
        </w:tc>
      </w:tr>
      <w:tr w:rsidR="00DC11BE" w:rsidRPr="00686D8C" w:rsidTr="004E3707">
        <w:trPr>
          <w:cantSplit/>
          <w:trHeight w:val="281"/>
        </w:trPr>
        <w:tc>
          <w:tcPr>
            <w:tcW w:w="8642" w:type="dxa"/>
            <w:gridSpan w:val="4"/>
            <w:tcBorders>
              <w:top w:val="single" w:sz="4" w:space="0" w:color="auto"/>
              <w:bottom w:val="single" w:sz="12" w:space="0" w:color="auto"/>
            </w:tcBorders>
            <w:shd w:val="clear" w:color="auto" w:fill="auto"/>
          </w:tcPr>
          <w:p w:rsidR="00DC11BE" w:rsidRPr="00686D8C" w:rsidRDefault="00DC11BE" w:rsidP="004E3707">
            <w:pPr>
              <w:autoSpaceDE w:val="0"/>
              <w:autoSpaceDN w:val="0"/>
              <w:adjustRightInd w:val="0"/>
              <w:spacing w:line="240" w:lineRule="auto"/>
              <w:ind w:left="60" w:right="60"/>
              <w:rPr>
                <w:rFonts w:ascii="Garamond" w:eastAsia="Calibri" w:hAnsi="Garamond" w:cs="Arial"/>
                <w:sz w:val="24"/>
                <w:szCs w:val="24"/>
              </w:rPr>
            </w:pPr>
            <w:r w:rsidRPr="00686D8C">
              <w:rPr>
                <w:rFonts w:ascii="Garamond" w:eastAsia="Calibri" w:hAnsi="Garamond" w:cs="Arial"/>
                <w:sz w:val="24"/>
                <w:szCs w:val="24"/>
              </w:rPr>
              <w:t>a. 9 células (75,0%) esperavam uma contagem menor que 5. A contagem mínima esperada é ,14.</w:t>
            </w:r>
          </w:p>
        </w:tc>
      </w:tr>
    </w:tbl>
    <w:p w:rsidR="00686D8C" w:rsidRDefault="00686D8C" w:rsidP="00686D8C">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6425F7">
      <w:pPr>
        <w:pStyle w:val="CorpoTexto"/>
      </w:pPr>
    </w:p>
    <w:p w:rsidR="00DC11BE" w:rsidRPr="0094770E" w:rsidRDefault="00DC11BE" w:rsidP="00D4135D">
      <w:pPr>
        <w:pStyle w:val="CorpoTexto"/>
      </w:pPr>
      <w:r w:rsidRPr="0094770E">
        <w:t xml:space="preserve">O valor do teste do Qui-Quadrado de </w:t>
      </w:r>
      <w:proofErr w:type="spellStart"/>
      <w:r w:rsidRPr="0094770E">
        <w:t>Pearson</w:t>
      </w:r>
      <w:proofErr w:type="spellEnd"/>
      <w:r w:rsidRPr="0094770E">
        <w:t xml:space="preserve"> é 15,042, com um nível de significância de 0.20. Na medida em que 20% é maior do que 5%, não rejeitamos a Hipótese nula. Logo, as variáveis não são independentes. Ou seja, conclui-se também com este teste que a motivação do pessoal de contacto influencia as suas respostas emocionais às reclamações dos clientes. A hipótese verifica-se.</w:t>
      </w:r>
    </w:p>
    <w:p w:rsidR="00DC11BE" w:rsidRPr="0094770E" w:rsidRDefault="00DC11BE">
      <w:pPr>
        <w:rPr>
          <w:rFonts w:ascii="Garamond" w:eastAsia="Garamond" w:hAnsi="Garamond" w:cs="Garamond"/>
          <w:sz w:val="24"/>
          <w:szCs w:val="24"/>
          <w:lang w:eastAsia="pt-PT"/>
        </w:rPr>
      </w:pPr>
    </w:p>
    <w:p w:rsidR="00686D8C" w:rsidRDefault="00686D8C">
      <w:pPr>
        <w:rPr>
          <w:rFonts w:ascii="Garamond" w:hAnsi="Garamond"/>
          <w:b/>
          <w:bCs/>
          <w:sz w:val="24"/>
        </w:rPr>
      </w:pPr>
      <w:r>
        <w:rPr>
          <w:b/>
          <w:bCs/>
        </w:rPr>
        <w:br w:type="page"/>
      </w:r>
    </w:p>
    <w:p w:rsidR="00DC11BE" w:rsidRDefault="00DC11BE" w:rsidP="006425F7">
      <w:pPr>
        <w:pStyle w:val="CorpoTexto"/>
        <w:rPr>
          <w:b/>
          <w:bCs/>
        </w:rPr>
      </w:pPr>
      <w:r w:rsidRPr="00686D8C">
        <w:rPr>
          <w:b/>
          <w:bCs/>
        </w:rPr>
        <w:lastRenderedPageBreak/>
        <w:t>Análise da hipótese H2- A satisfação do pessoal de contacto influencia as suas respostas emocionais às reclamações dos clientes.</w:t>
      </w:r>
    </w:p>
    <w:p w:rsidR="006425F7" w:rsidRPr="00D06AED" w:rsidRDefault="006425F7" w:rsidP="00D06AED">
      <w:pPr>
        <w:pStyle w:val="CorpoTexto"/>
      </w:pPr>
    </w:p>
    <w:p w:rsidR="00862447" w:rsidRPr="00686D8C" w:rsidRDefault="00DC11BE" w:rsidP="00686D8C">
      <w:pPr>
        <w:pStyle w:val="Legenda"/>
        <w:keepNext/>
        <w:spacing w:after="120"/>
        <w:rPr>
          <w:rFonts w:ascii="Garamond" w:hAnsi="Garamond"/>
          <w:i w:val="0"/>
          <w:color w:val="auto"/>
          <w:sz w:val="20"/>
          <w:szCs w:val="20"/>
        </w:rPr>
      </w:pPr>
      <w:bookmarkStart w:id="86" w:name="_Toc46677145"/>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28</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Teste </w:t>
      </w:r>
      <w:proofErr w:type="spellStart"/>
      <w:r w:rsidRPr="0094770E">
        <w:rPr>
          <w:rFonts w:ascii="Garamond" w:hAnsi="Garamond"/>
          <w:i w:val="0"/>
          <w:color w:val="auto"/>
          <w:sz w:val="20"/>
          <w:szCs w:val="20"/>
        </w:rPr>
        <w:t>Kruskal</w:t>
      </w:r>
      <w:proofErr w:type="spellEnd"/>
      <w:r w:rsidRPr="0094770E">
        <w:rPr>
          <w:rFonts w:ascii="Garamond" w:hAnsi="Garamond"/>
          <w:i w:val="0"/>
          <w:color w:val="auto"/>
          <w:sz w:val="20"/>
          <w:szCs w:val="20"/>
        </w:rPr>
        <w:t xml:space="preserve"> – </w:t>
      </w:r>
      <w:proofErr w:type="spellStart"/>
      <w:r w:rsidRPr="0094770E">
        <w:rPr>
          <w:rFonts w:ascii="Garamond" w:hAnsi="Garamond"/>
          <w:i w:val="0"/>
          <w:color w:val="auto"/>
          <w:sz w:val="20"/>
          <w:szCs w:val="20"/>
        </w:rPr>
        <w:t>Wallis</w:t>
      </w:r>
      <w:proofErr w:type="spellEnd"/>
      <w:r w:rsidR="004B172D">
        <w:rPr>
          <w:rFonts w:ascii="Garamond" w:hAnsi="Garamond"/>
          <w:i w:val="0"/>
          <w:color w:val="auto"/>
          <w:sz w:val="20"/>
          <w:szCs w:val="20"/>
        </w:rPr>
        <w:t>, Hipótese H2</w:t>
      </w:r>
      <w:bookmarkEnd w:id="86"/>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1266"/>
        <w:gridCol w:w="2124"/>
      </w:tblGrid>
      <w:tr w:rsidR="00DC11BE" w:rsidRPr="00686D8C" w:rsidTr="004E3707">
        <w:trPr>
          <w:trHeight w:hRule="exact" w:val="284"/>
        </w:trPr>
        <w:tc>
          <w:tcPr>
            <w:tcW w:w="8493" w:type="dxa"/>
            <w:gridSpan w:val="4"/>
            <w:tcBorders>
              <w:bottom w:val="single" w:sz="12" w:space="0" w:color="auto"/>
            </w:tcBorders>
          </w:tcPr>
          <w:p w:rsidR="00DC11BE" w:rsidRPr="00686D8C" w:rsidRDefault="00DC11BE" w:rsidP="004E3707">
            <w:pPr>
              <w:rPr>
                <w:rFonts w:ascii="Garamond" w:hAnsi="Garamond"/>
                <w:b/>
                <w:sz w:val="24"/>
                <w:szCs w:val="24"/>
              </w:rPr>
            </w:pPr>
            <w:r w:rsidRPr="00686D8C">
              <w:rPr>
                <w:rFonts w:ascii="Garamond" w:hAnsi="Garamond"/>
                <w:b/>
                <w:sz w:val="24"/>
                <w:szCs w:val="24"/>
              </w:rPr>
              <w:t xml:space="preserve">Teste </w:t>
            </w:r>
            <w:proofErr w:type="spellStart"/>
            <w:r w:rsidRPr="00686D8C">
              <w:rPr>
                <w:rFonts w:ascii="Garamond" w:hAnsi="Garamond"/>
                <w:b/>
                <w:sz w:val="24"/>
                <w:szCs w:val="24"/>
              </w:rPr>
              <w:t>Kruskal-Wallis</w:t>
            </w:r>
            <w:proofErr w:type="spellEnd"/>
          </w:p>
        </w:tc>
      </w:tr>
      <w:tr w:rsidR="00DC11BE" w:rsidRPr="00686D8C" w:rsidTr="004E3707">
        <w:trPr>
          <w:trHeight w:hRule="exact" w:val="284"/>
        </w:trPr>
        <w:tc>
          <w:tcPr>
            <w:tcW w:w="8493" w:type="dxa"/>
            <w:gridSpan w:val="4"/>
            <w:tcBorders>
              <w:top w:val="single" w:sz="12" w:space="0" w:color="auto"/>
            </w:tcBorders>
          </w:tcPr>
          <w:p w:rsidR="00DC11BE" w:rsidRPr="00686D8C" w:rsidRDefault="00DC11BE" w:rsidP="004E3707">
            <w:pPr>
              <w:jc w:val="center"/>
              <w:rPr>
                <w:rFonts w:ascii="Garamond" w:hAnsi="Garamond"/>
                <w:b/>
                <w:sz w:val="24"/>
                <w:szCs w:val="24"/>
              </w:rPr>
            </w:pPr>
            <w:r w:rsidRPr="00686D8C">
              <w:rPr>
                <w:rFonts w:ascii="Garamond" w:hAnsi="Garamond"/>
                <w:b/>
                <w:sz w:val="24"/>
                <w:szCs w:val="24"/>
              </w:rPr>
              <w:t>RANKS</w:t>
            </w:r>
          </w:p>
        </w:tc>
      </w:tr>
      <w:tr w:rsidR="00DC11BE" w:rsidRPr="00686D8C" w:rsidTr="004E3707">
        <w:trPr>
          <w:trHeight w:hRule="exact" w:val="284"/>
        </w:trPr>
        <w:tc>
          <w:tcPr>
            <w:tcW w:w="2268" w:type="dxa"/>
            <w:tcBorders>
              <w:top w:val="single" w:sz="4" w:space="0" w:color="auto"/>
            </w:tcBorders>
          </w:tcPr>
          <w:p w:rsidR="00DC11BE" w:rsidRPr="00686D8C" w:rsidRDefault="00DC11BE" w:rsidP="004E3707">
            <w:pPr>
              <w:rPr>
                <w:rFonts w:ascii="Garamond" w:hAnsi="Garamond"/>
                <w:sz w:val="24"/>
                <w:szCs w:val="24"/>
              </w:rPr>
            </w:pPr>
          </w:p>
        </w:tc>
        <w:tc>
          <w:tcPr>
            <w:tcW w:w="2835" w:type="dxa"/>
            <w:tcBorders>
              <w:top w:val="single" w:sz="4" w:space="0" w:color="auto"/>
              <w:bottom w:val="single" w:sz="4" w:space="0" w:color="auto"/>
            </w:tcBorders>
          </w:tcPr>
          <w:p w:rsidR="00DC11BE" w:rsidRPr="00686D8C" w:rsidRDefault="00DC11BE" w:rsidP="004E3707">
            <w:pPr>
              <w:jc w:val="center"/>
              <w:rPr>
                <w:rFonts w:ascii="Garamond" w:hAnsi="Garamond"/>
                <w:b/>
                <w:sz w:val="24"/>
                <w:szCs w:val="24"/>
              </w:rPr>
            </w:pPr>
            <w:r w:rsidRPr="00686D8C">
              <w:rPr>
                <w:rFonts w:ascii="Garamond" w:hAnsi="Garamond"/>
                <w:b/>
                <w:sz w:val="24"/>
                <w:szCs w:val="24"/>
              </w:rPr>
              <w:t>Emoções positivas (Categorizado)</w:t>
            </w:r>
          </w:p>
        </w:tc>
        <w:tc>
          <w:tcPr>
            <w:tcW w:w="1266" w:type="dxa"/>
            <w:tcBorders>
              <w:top w:val="single" w:sz="4" w:space="0" w:color="auto"/>
              <w:bottom w:val="single" w:sz="4" w:space="0" w:color="auto"/>
            </w:tcBorders>
          </w:tcPr>
          <w:p w:rsidR="00DC11BE" w:rsidRPr="00686D8C" w:rsidRDefault="00DC11BE" w:rsidP="004E3707">
            <w:pPr>
              <w:jc w:val="center"/>
              <w:rPr>
                <w:rFonts w:ascii="Garamond" w:hAnsi="Garamond"/>
                <w:b/>
                <w:sz w:val="24"/>
                <w:szCs w:val="24"/>
              </w:rPr>
            </w:pPr>
            <w:r w:rsidRPr="00686D8C">
              <w:rPr>
                <w:rFonts w:ascii="Garamond" w:hAnsi="Garamond"/>
                <w:b/>
                <w:sz w:val="24"/>
                <w:szCs w:val="24"/>
              </w:rPr>
              <w:t>N</w:t>
            </w:r>
          </w:p>
        </w:tc>
        <w:tc>
          <w:tcPr>
            <w:tcW w:w="2124" w:type="dxa"/>
            <w:tcBorders>
              <w:top w:val="single" w:sz="4" w:space="0" w:color="auto"/>
              <w:bottom w:val="single" w:sz="4" w:space="0" w:color="auto"/>
            </w:tcBorders>
          </w:tcPr>
          <w:p w:rsidR="00DC11BE" w:rsidRPr="00686D8C" w:rsidRDefault="00DC11BE" w:rsidP="004E3707">
            <w:pPr>
              <w:jc w:val="center"/>
              <w:rPr>
                <w:rFonts w:ascii="Garamond" w:hAnsi="Garamond"/>
                <w:b/>
                <w:sz w:val="24"/>
                <w:szCs w:val="24"/>
              </w:rPr>
            </w:pPr>
            <w:r w:rsidRPr="00686D8C">
              <w:rPr>
                <w:rFonts w:ascii="Garamond" w:hAnsi="Garamond"/>
                <w:b/>
                <w:sz w:val="24"/>
                <w:szCs w:val="24"/>
              </w:rPr>
              <w:t>Posto Médio</w:t>
            </w:r>
          </w:p>
        </w:tc>
      </w:tr>
      <w:tr w:rsidR="00DC11BE" w:rsidRPr="00686D8C" w:rsidTr="004E3707">
        <w:trPr>
          <w:trHeight w:hRule="exact" w:val="284"/>
        </w:trPr>
        <w:tc>
          <w:tcPr>
            <w:tcW w:w="2268" w:type="dxa"/>
            <w:vMerge w:val="restart"/>
            <w:vAlign w:val="center"/>
          </w:tcPr>
          <w:p w:rsidR="00DC11BE" w:rsidRPr="00686D8C" w:rsidRDefault="00DC11BE" w:rsidP="004E3707">
            <w:pPr>
              <w:rPr>
                <w:rFonts w:ascii="Garamond" w:hAnsi="Garamond"/>
                <w:b/>
                <w:sz w:val="24"/>
                <w:szCs w:val="24"/>
              </w:rPr>
            </w:pPr>
            <w:r w:rsidRPr="00686D8C">
              <w:rPr>
                <w:rFonts w:ascii="Garamond" w:hAnsi="Garamond"/>
                <w:b/>
                <w:sz w:val="24"/>
                <w:szCs w:val="24"/>
              </w:rPr>
              <w:t>Satisfação com o trabalho (Categorizado)</w:t>
            </w:r>
          </w:p>
        </w:tc>
        <w:tc>
          <w:tcPr>
            <w:tcW w:w="2835" w:type="dxa"/>
            <w:tcBorders>
              <w:top w:val="single" w:sz="4" w:space="0" w:color="auto"/>
            </w:tcBorders>
          </w:tcPr>
          <w:p w:rsidR="00DC11BE" w:rsidRPr="00686D8C" w:rsidRDefault="00DC11BE" w:rsidP="004E3707">
            <w:pPr>
              <w:rPr>
                <w:rFonts w:ascii="Garamond" w:hAnsi="Garamond"/>
                <w:sz w:val="24"/>
                <w:szCs w:val="24"/>
              </w:rPr>
            </w:pPr>
            <w:r w:rsidRPr="00686D8C">
              <w:rPr>
                <w:rFonts w:ascii="Garamond" w:hAnsi="Garamond"/>
                <w:sz w:val="24"/>
                <w:szCs w:val="24"/>
              </w:rPr>
              <w:t>Pouco</w:t>
            </w:r>
          </w:p>
        </w:tc>
        <w:tc>
          <w:tcPr>
            <w:tcW w:w="1266" w:type="dxa"/>
            <w:tcBorders>
              <w:top w:val="single" w:sz="4" w:space="0" w:color="auto"/>
            </w:tcBorders>
          </w:tcPr>
          <w:p w:rsidR="00DC11BE" w:rsidRPr="00686D8C" w:rsidRDefault="00DC11BE" w:rsidP="004E3707">
            <w:pPr>
              <w:jc w:val="center"/>
              <w:rPr>
                <w:rFonts w:ascii="Garamond" w:hAnsi="Garamond"/>
                <w:sz w:val="24"/>
                <w:szCs w:val="24"/>
              </w:rPr>
            </w:pPr>
            <w:r w:rsidRPr="00686D8C">
              <w:rPr>
                <w:rFonts w:ascii="Garamond" w:hAnsi="Garamond"/>
                <w:sz w:val="24"/>
                <w:szCs w:val="24"/>
              </w:rPr>
              <w:t>77</w:t>
            </w:r>
          </w:p>
        </w:tc>
        <w:tc>
          <w:tcPr>
            <w:tcW w:w="2124" w:type="dxa"/>
            <w:tcBorders>
              <w:top w:val="single" w:sz="4" w:space="0" w:color="auto"/>
            </w:tcBorders>
          </w:tcPr>
          <w:p w:rsidR="00DC11BE" w:rsidRPr="00686D8C" w:rsidRDefault="00DC11BE" w:rsidP="004E3707">
            <w:pPr>
              <w:jc w:val="center"/>
              <w:rPr>
                <w:rFonts w:ascii="Garamond" w:hAnsi="Garamond"/>
                <w:sz w:val="24"/>
                <w:szCs w:val="24"/>
              </w:rPr>
            </w:pPr>
            <w:r w:rsidRPr="00686D8C">
              <w:rPr>
                <w:rFonts w:ascii="Garamond" w:hAnsi="Garamond"/>
                <w:sz w:val="24"/>
                <w:szCs w:val="24"/>
              </w:rPr>
              <w:t>103,58</w:t>
            </w:r>
          </w:p>
        </w:tc>
      </w:tr>
      <w:tr w:rsidR="00DC11BE" w:rsidRPr="00686D8C" w:rsidTr="004E3707">
        <w:trPr>
          <w:trHeight w:hRule="exact" w:val="284"/>
        </w:trPr>
        <w:tc>
          <w:tcPr>
            <w:tcW w:w="2268" w:type="dxa"/>
            <w:vMerge/>
          </w:tcPr>
          <w:p w:rsidR="00DC11BE" w:rsidRPr="00686D8C" w:rsidRDefault="00DC11BE" w:rsidP="004E3707">
            <w:pPr>
              <w:rPr>
                <w:rFonts w:ascii="Garamond" w:hAnsi="Garamond"/>
                <w:sz w:val="24"/>
                <w:szCs w:val="24"/>
              </w:rPr>
            </w:pPr>
          </w:p>
        </w:tc>
        <w:tc>
          <w:tcPr>
            <w:tcW w:w="2835" w:type="dxa"/>
          </w:tcPr>
          <w:p w:rsidR="00DC11BE" w:rsidRPr="00686D8C" w:rsidRDefault="00DC11BE" w:rsidP="004E3707">
            <w:pPr>
              <w:rPr>
                <w:rFonts w:ascii="Garamond" w:hAnsi="Garamond"/>
                <w:sz w:val="24"/>
                <w:szCs w:val="24"/>
              </w:rPr>
            </w:pPr>
            <w:r w:rsidRPr="00686D8C">
              <w:rPr>
                <w:rFonts w:ascii="Garamond" w:hAnsi="Garamond"/>
                <w:sz w:val="24"/>
                <w:szCs w:val="24"/>
              </w:rPr>
              <w:t>Moderadamente</w:t>
            </w:r>
          </w:p>
        </w:tc>
        <w:tc>
          <w:tcPr>
            <w:tcW w:w="1266" w:type="dxa"/>
          </w:tcPr>
          <w:p w:rsidR="00DC11BE" w:rsidRPr="00686D8C" w:rsidRDefault="00DC11BE" w:rsidP="004E3707">
            <w:pPr>
              <w:jc w:val="center"/>
              <w:rPr>
                <w:rFonts w:ascii="Garamond" w:hAnsi="Garamond"/>
                <w:sz w:val="24"/>
                <w:szCs w:val="24"/>
              </w:rPr>
            </w:pPr>
            <w:r w:rsidRPr="00686D8C">
              <w:rPr>
                <w:rFonts w:ascii="Garamond" w:hAnsi="Garamond"/>
                <w:sz w:val="24"/>
                <w:szCs w:val="24"/>
              </w:rPr>
              <w:t>116</w:t>
            </w:r>
          </w:p>
        </w:tc>
        <w:tc>
          <w:tcPr>
            <w:tcW w:w="2124" w:type="dxa"/>
          </w:tcPr>
          <w:p w:rsidR="00DC11BE" w:rsidRPr="00686D8C" w:rsidRDefault="00DC11BE" w:rsidP="004E3707">
            <w:pPr>
              <w:jc w:val="center"/>
              <w:rPr>
                <w:rFonts w:ascii="Garamond" w:hAnsi="Garamond"/>
                <w:sz w:val="24"/>
                <w:szCs w:val="24"/>
              </w:rPr>
            </w:pPr>
            <w:r w:rsidRPr="00686D8C">
              <w:rPr>
                <w:rFonts w:ascii="Garamond" w:hAnsi="Garamond"/>
                <w:sz w:val="24"/>
                <w:szCs w:val="24"/>
              </w:rPr>
              <w:t>107,24</w:t>
            </w:r>
          </w:p>
        </w:tc>
      </w:tr>
      <w:tr w:rsidR="00DC11BE" w:rsidRPr="00686D8C" w:rsidTr="004E3707">
        <w:trPr>
          <w:trHeight w:hRule="exact" w:val="284"/>
        </w:trPr>
        <w:tc>
          <w:tcPr>
            <w:tcW w:w="2268" w:type="dxa"/>
            <w:vMerge/>
          </w:tcPr>
          <w:p w:rsidR="00DC11BE" w:rsidRPr="00686D8C" w:rsidRDefault="00DC11BE" w:rsidP="004E3707">
            <w:pPr>
              <w:rPr>
                <w:rFonts w:ascii="Garamond" w:hAnsi="Garamond"/>
                <w:sz w:val="24"/>
                <w:szCs w:val="24"/>
              </w:rPr>
            </w:pPr>
          </w:p>
        </w:tc>
        <w:tc>
          <w:tcPr>
            <w:tcW w:w="2835" w:type="dxa"/>
          </w:tcPr>
          <w:p w:rsidR="00DC11BE" w:rsidRPr="00686D8C" w:rsidRDefault="00DC11BE" w:rsidP="004E3707">
            <w:pPr>
              <w:rPr>
                <w:rFonts w:ascii="Garamond" w:hAnsi="Garamond"/>
                <w:sz w:val="24"/>
                <w:szCs w:val="24"/>
              </w:rPr>
            </w:pPr>
            <w:r w:rsidRPr="00686D8C">
              <w:rPr>
                <w:rFonts w:ascii="Garamond" w:hAnsi="Garamond"/>
                <w:sz w:val="24"/>
                <w:szCs w:val="24"/>
              </w:rPr>
              <w:t>Muito</w:t>
            </w:r>
          </w:p>
        </w:tc>
        <w:tc>
          <w:tcPr>
            <w:tcW w:w="1266" w:type="dxa"/>
          </w:tcPr>
          <w:p w:rsidR="00DC11BE" w:rsidRPr="00686D8C" w:rsidRDefault="00DC11BE" w:rsidP="004E3707">
            <w:pPr>
              <w:jc w:val="center"/>
              <w:rPr>
                <w:rFonts w:ascii="Garamond" w:hAnsi="Garamond"/>
                <w:sz w:val="24"/>
                <w:szCs w:val="24"/>
              </w:rPr>
            </w:pPr>
            <w:r w:rsidRPr="00686D8C">
              <w:rPr>
                <w:rFonts w:ascii="Garamond" w:hAnsi="Garamond"/>
                <w:sz w:val="24"/>
                <w:szCs w:val="24"/>
              </w:rPr>
              <w:t>15</w:t>
            </w:r>
          </w:p>
        </w:tc>
        <w:tc>
          <w:tcPr>
            <w:tcW w:w="2124" w:type="dxa"/>
          </w:tcPr>
          <w:p w:rsidR="00DC11BE" w:rsidRPr="00686D8C" w:rsidRDefault="00DC11BE" w:rsidP="004E3707">
            <w:pPr>
              <w:jc w:val="center"/>
              <w:rPr>
                <w:rFonts w:ascii="Garamond" w:hAnsi="Garamond"/>
                <w:sz w:val="24"/>
                <w:szCs w:val="24"/>
              </w:rPr>
            </w:pPr>
            <w:r w:rsidRPr="00686D8C">
              <w:rPr>
                <w:rFonts w:ascii="Garamond" w:hAnsi="Garamond"/>
                <w:sz w:val="24"/>
                <w:szCs w:val="24"/>
              </w:rPr>
              <w:t>87,97</w:t>
            </w:r>
          </w:p>
        </w:tc>
      </w:tr>
      <w:tr w:rsidR="00DC11BE" w:rsidRPr="00686D8C" w:rsidTr="004E3707">
        <w:trPr>
          <w:trHeight w:hRule="exact" w:val="284"/>
        </w:trPr>
        <w:tc>
          <w:tcPr>
            <w:tcW w:w="2268" w:type="dxa"/>
            <w:tcBorders>
              <w:top w:val="single" w:sz="4" w:space="0" w:color="auto"/>
              <w:bottom w:val="single" w:sz="12" w:space="0" w:color="auto"/>
            </w:tcBorders>
          </w:tcPr>
          <w:p w:rsidR="00DC11BE" w:rsidRPr="00686D8C" w:rsidRDefault="00DC11BE" w:rsidP="004E3707">
            <w:pPr>
              <w:rPr>
                <w:rFonts w:ascii="Garamond" w:hAnsi="Garamond"/>
                <w:sz w:val="24"/>
                <w:szCs w:val="24"/>
              </w:rPr>
            </w:pPr>
            <w:r w:rsidRPr="00686D8C">
              <w:rPr>
                <w:rFonts w:ascii="Garamond" w:hAnsi="Garamond"/>
                <w:sz w:val="24"/>
                <w:szCs w:val="24"/>
              </w:rPr>
              <w:t>Total</w:t>
            </w:r>
          </w:p>
        </w:tc>
        <w:tc>
          <w:tcPr>
            <w:tcW w:w="2835" w:type="dxa"/>
            <w:tcBorders>
              <w:top w:val="single" w:sz="4" w:space="0" w:color="auto"/>
              <w:bottom w:val="single" w:sz="12" w:space="0" w:color="auto"/>
            </w:tcBorders>
          </w:tcPr>
          <w:p w:rsidR="00DC11BE" w:rsidRPr="00686D8C" w:rsidRDefault="00DC11BE" w:rsidP="004E3707">
            <w:pPr>
              <w:jc w:val="center"/>
              <w:rPr>
                <w:rFonts w:ascii="Garamond" w:hAnsi="Garamond"/>
                <w:sz w:val="24"/>
                <w:szCs w:val="24"/>
              </w:rPr>
            </w:pPr>
          </w:p>
        </w:tc>
        <w:tc>
          <w:tcPr>
            <w:tcW w:w="1266" w:type="dxa"/>
            <w:tcBorders>
              <w:top w:val="single" w:sz="4" w:space="0" w:color="auto"/>
              <w:bottom w:val="single" w:sz="12" w:space="0" w:color="auto"/>
            </w:tcBorders>
          </w:tcPr>
          <w:p w:rsidR="00DC11BE" w:rsidRPr="00686D8C" w:rsidRDefault="00DC11BE" w:rsidP="004E3707">
            <w:pPr>
              <w:jc w:val="center"/>
              <w:rPr>
                <w:rFonts w:ascii="Garamond" w:hAnsi="Garamond"/>
                <w:sz w:val="24"/>
                <w:szCs w:val="24"/>
              </w:rPr>
            </w:pPr>
            <w:r w:rsidRPr="00686D8C">
              <w:rPr>
                <w:rFonts w:ascii="Garamond" w:hAnsi="Garamond"/>
                <w:sz w:val="24"/>
                <w:szCs w:val="24"/>
              </w:rPr>
              <w:t>208</w:t>
            </w:r>
          </w:p>
        </w:tc>
        <w:tc>
          <w:tcPr>
            <w:tcW w:w="2124" w:type="dxa"/>
            <w:tcBorders>
              <w:top w:val="single" w:sz="4" w:space="0" w:color="auto"/>
              <w:bottom w:val="single" w:sz="12" w:space="0" w:color="auto"/>
            </w:tcBorders>
          </w:tcPr>
          <w:p w:rsidR="00DC11BE" w:rsidRPr="00686D8C" w:rsidRDefault="00DC11BE" w:rsidP="004E3707">
            <w:pPr>
              <w:jc w:val="right"/>
              <w:rPr>
                <w:rFonts w:ascii="Garamond" w:hAnsi="Garamond"/>
                <w:sz w:val="24"/>
                <w:szCs w:val="24"/>
              </w:rPr>
            </w:pPr>
          </w:p>
        </w:tc>
      </w:tr>
    </w:tbl>
    <w:p w:rsidR="00686D8C" w:rsidRDefault="00686D8C" w:rsidP="00686D8C">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6425F7">
      <w:pPr>
        <w:pStyle w:val="CorpoTexto"/>
      </w:pPr>
    </w:p>
    <w:p w:rsidR="00862447" w:rsidRPr="00686D8C" w:rsidRDefault="00DC11BE" w:rsidP="00686D8C">
      <w:pPr>
        <w:pStyle w:val="Legenda"/>
        <w:keepNext/>
        <w:spacing w:after="120"/>
        <w:rPr>
          <w:rFonts w:ascii="Garamond" w:hAnsi="Garamond"/>
          <w:i w:val="0"/>
          <w:color w:val="auto"/>
          <w:sz w:val="20"/>
          <w:szCs w:val="20"/>
        </w:rPr>
      </w:pPr>
      <w:bookmarkStart w:id="87" w:name="_Toc46677146"/>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29</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Estatísticas de teste </w:t>
      </w:r>
      <w:proofErr w:type="spellStart"/>
      <w:proofErr w:type="gramStart"/>
      <w:r w:rsidRPr="0094770E">
        <w:rPr>
          <w:rFonts w:ascii="Garamond" w:hAnsi="Garamond"/>
          <w:i w:val="0"/>
          <w:color w:val="auto"/>
          <w:sz w:val="20"/>
          <w:szCs w:val="20"/>
        </w:rPr>
        <w:t>a,b</w:t>
      </w:r>
      <w:proofErr w:type="spellEnd"/>
      <w:proofErr w:type="gramEnd"/>
      <w:r w:rsidR="004B172D">
        <w:rPr>
          <w:rFonts w:ascii="Garamond" w:hAnsi="Garamond"/>
          <w:i w:val="0"/>
          <w:color w:val="auto"/>
          <w:sz w:val="20"/>
          <w:szCs w:val="20"/>
        </w:rPr>
        <w:t>, Hipótese H2</w:t>
      </w:r>
      <w:bookmarkEnd w:id="87"/>
    </w:p>
    <w:tbl>
      <w:tblPr>
        <w:tblW w:w="8500" w:type="dxa"/>
        <w:tblLayout w:type="fixed"/>
        <w:tblCellMar>
          <w:left w:w="0" w:type="dxa"/>
          <w:right w:w="0" w:type="dxa"/>
        </w:tblCellMar>
        <w:tblLook w:val="0000" w:firstRow="0" w:lastRow="0" w:firstColumn="0" w:lastColumn="0" w:noHBand="0" w:noVBand="0"/>
      </w:tblPr>
      <w:tblGrid>
        <w:gridCol w:w="2698"/>
        <w:gridCol w:w="5802"/>
      </w:tblGrid>
      <w:tr w:rsidR="00DC11BE" w:rsidRPr="00686D8C" w:rsidTr="004E3707">
        <w:trPr>
          <w:cantSplit/>
          <w:trHeight w:val="353"/>
        </w:trPr>
        <w:tc>
          <w:tcPr>
            <w:tcW w:w="8500" w:type="dxa"/>
            <w:gridSpan w:val="2"/>
            <w:tcBorders>
              <w:bottom w:val="single" w:sz="12"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rPr>
                <w:rFonts w:ascii="Garamond" w:hAnsi="Garamond" w:cs="Arial"/>
                <w:b/>
                <w:sz w:val="24"/>
                <w:szCs w:val="24"/>
              </w:rPr>
            </w:pPr>
            <w:r w:rsidRPr="00686D8C">
              <w:rPr>
                <w:rFonts w:ascii="Garamond" w:hAnsi="Garamond" w:cs="Arial"/>
                <w:b/>
                <w:sz w:val="24"/>
                <w:szCs w:val="24"/>
              </w:rPr>
              <w:t>Estatística de teste a, b.</w:t>
            </w:r>
          </w:p>
        </w:tc>
      </w:tr>
      <w:tr w:rsidR="00DC11BE" w:rsidRPr="00686D8C" w:rsidTr="004E3707">
        <w:trPr>
          <w:cantSplit/>
          <w:trHeight w:val="353"/>
        </w:trPr>
        <w:tc>
          <w:tcPr>
            <w:tcW w:w="2698" w:type="dxa"/>
            <w:tcBorders>
              <w:top w:val="single" w:sz="12" w:space="0" w:color="auto"/>
            </w:tcBorders>
            <w:shd w:val="clear" w:color="auto" w:fill="auto"/>
            <w:vAlign w:val="bottom"/>
          </w:tcPr>
          <w:p w:rsidR="00DC11BE" w:rsidRPr="00686D8C" w:rsidRDefault="00DC11BE" w:rsidP="004E3707">
            <w:pPr>
              <w:autoSpaceDE w:val="0"/>
              <w:autoSpaceDN w:val="0"/>
              <w:adjustRightInd w:val="0"/>
              <w:spacing w:line="240" w:lineRule="auto"/>
              <w:rPr>
                <w:rFonts w:ascii="Garamond" w:hAnsi="Garamond" w:cs="Times New Roman"/>
                <w:sz w:val="24"/>
                <w:szCs w:val="24"/>
              </w:rPr>
            </w:pPr>
          </w:p>
        </w:tc>
        <w:tc>
          <w:tcPr>
            <w:tcW w:w="5802" w:type="dxa"/>
            <w:tcBorders>
              <w:top w:val="single" w:sz="12"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Satisfação com o trabalho (Categorizado)</w:t>
            </w:r>
          </w:p>
        </w:tc>
      </w:tr>
      <w:tr w:rsidR="00DC11BE" w:rsidRPr="00686D8C" w:rsidTr="004E3707">
        <w:trPr>
          <w:cantSplit/>
          <w:trHeight w:val="272"/>
        </w:trPr>
        <w:tc>
          <w:tcPr>
            <w:tcW w:w="2698" w:type="dxa"/>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 xml:space="preserve">H de </w:t>
            </w:r>
            <w:proofErr w:type="spellStart"/>
            <w:r w:rsidRPr="00686D8C">
              <w:rPr>
                <w:rFonts w:ascii="Garamond" w:hAnsi="Garamond" w:cs="Arial"/>
                <w:sz w:val="24"/>
                <w:szCs w:val="24"/>
              </w:rPr>
              <w:t>Kruskal-Wallis</w:t>
            </w:r>
            <w:proofErr w:type="spellEnd"/>
          </w:p>
        </w:tc>
        <w:tc>
          <w:tcPr>
            <w:tcW w:w="5802"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1,925</w:t>
            </w:r>
          </w:p>
        </w:tc>
      </w:tr>
      <w:tr w:rsidR="00DC11BE" w:rsidRPr="00686D8C" w:rsidTr="004E3707">
        <w:trPr>
          <w:cantSplit/>
          <w:trHeight w:val="272"/>
        </w:trPr>
        <w:tc>
          <w:tcPr>
            <w:tcW w:w="2698" w:type="dxa"/>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proofErr w:type="spellStart"/>
            <w:r w:rsidRPr="00686D8C">
              <w:rPr>
                <w:rFonts w:ascii="Garamond" w:hAnsi="Garamond" w:cs="Arial"/>
                <w:sz w:val="24"/>
                <w:szCs w:val="24"/>
              </w:rPr>
              <w:t>Gl</w:t>
            </w:r>
            <w:proofErr w:type="spellEnd"/>
          </w:p>
        </w:tc>
        <w:tc>
          <w:tcPr>
            <w:tcW w:w="5802"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2</w:t>
            </w:r>
          </w:p>
        </w:tc>
      </w:tr>
      <w:tr w:rsidR="00DC11BE" w:rsidRPr="00686D8C" w:rsidTr="004E3707">
        <w:trPr>
          <w:cantSplit/>
          <w:trHeight w:val="260"/>
        </w:trPr>
        <w:tc>
          <w:tcPr>
            <w:tcW w:w="2698"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 xml:space="preserve">Significância </w:t>
            </w:r>
            <w:proofErr w:type="spellStart"/>
            <w:r w:rsidRPr="00686D8C">
              <w:rPr>
                <w:rFonts w:ascii="Garamond" w:hAnsi="Garamond" w:cs="Arial"/>
                <w:sz w:val="24"/>
                <w:szCs w:val="24"/>
              </w:rPr>
              <w:t>Sig</w:t>
            </w:r>
            <w:proofErr w:type="spellEnd"/>
            <w:r w:rsidRPr="00686D8C">
              <w:rPr>
                <w:rFonts w:ascii="Garamond" w:hAnsi="Garamond" w:cs="Arial"/>
                <w:sz w:val="24"/>
                <w:szCs w:val="24"/>
              </w:rPr>
              <w:t>.</w:t>
            </w:r>
          </w:p>
        </w:tc>
        <w:tc>
          <w:tcPr>
            <w:tcW w:w="5802"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,382</w:t>
            </w:r>
          </w:p>
        </w:tc>
      </w:tr>
      <w:tr w:rsidR="00DC11BE" w:rsidRPr="00686D8C" w:rsidTr="004E3707">
        <w:trPr>
          <w:cantSplit/>
          <w:trHeight w:val="272"/>
        </w:trPr>
        <w:tc>
          <w:tcPr>
            <w:tcW w:w="8500" w:type="dxa"/>
            <w:gridSpan w:val="2"/>
            <w:tcBorders>
              <w:top w:val="single" w:sz="4" w:space="0" w:color="auto"/>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 xml:space="preserve">a. Teste </w:t>
            </w:r>
            <w:proofErr w:type="spellStart"/>
            <w:r w:rsidRPr="00686D8C">
              <w:rPr>
                <w:rFonts w:ascii="Garamond" w:hAnsi="Garamond" w:cs="Arial"/>
                <w:sz w:val="24"/>
                <w:szCs w:val="24"/>
              </w:rPr>
              <w:t>Kruskal</w:t>
            </w:r>
            <w:proofErr w:type="spellEnd"/>
            <w:r w:rsidRPr="00686D8C">
              <w:rPr>
                <w:rFonts w:ascii="Garamond" w:hAnsi="Garamond" w:cs="Arial"/>
                <w:sz w:val="24"/>
                <w:szCs w:val="24"/>
              </w:rPr>
              <w:t xml:space="preserve"> </w:t>
            </w:r>
            <w:proofErr w:type="spellStart"/>
            <w:r w:rsidRPr="00686D8C">
              <w:rPr>
                <w:rFonts w:ascii="Garamond" w:hAnsi="Garamond" w:cs="Arial"/>
                <w:sz w:val="24"/>
                <w:szCs w:val="24"/>
              </w:rPr>
              <w:t>Wallis</w:t>
            </w:r>
            <w:proofErr w:type="spellEnd"/>
          </w:p>
        </w:tc>
      </w:tr>
      <w:tr w:rsidR="00DC11BE" w:rsidRPr="00686D8C" w:rsidTr="004E3707">
        <w:trPr>
          <w:cantSplit/>
          <w:trHeight w:val="297"/>
        </w:trPr>
        <w:tc>
          <w:tcPr>
            <w:tcW w:w="8500" w:type="dxa"/>
            <w:gridSpan w:val="2"/>
            <w:tcBorders>
              <w:top w:val="single" w:sz="4" w:space="0" w:color="auto"/>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b. Variável de Agrupamento: Emoções positivas (Categorizado)</w:t>
            </w:r>
          </w:p>
        </w:tc>
      </w:tr>
    </w:tbl>
    <w:p w:rsidR="00686D8C" w:rsidRDefault="00686D8C" w:rsidP="00686D8C">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6425F7">
      <w:pPr>
        <w:pStyle w:val="CorpoTexto"/>
      </w:pPr>
    </w:p>
    <w:p w:rsidR="00862447" w:rsidRPr="00686D8C" w:rsidRDefault="00DC11BE" w:rsidP="00686D8C">
      <w:pPr>
        <w:pStyle w:val="CorpoTexto"/>
      </w:pPr>
      <w:r w:rsidRPr="0094770E">
        <w:t xml:space="preserve">Os dados obtidos permitem verificar que as médias das classificações são diferentes para os grupos. Além disso, o nível de significância é inferior a 5%, logo não rejeitamos a hipótese nula que afirma que </w:t>
      </w:r>
      <w:r w:rsidRPr="0094770E">
        <w:rPr>
          <w:szCs w:val="24"/>
        </w:rPr>
        <w:t>a satisfação do pessoal de contacto influencia as suas respostas emocionais às reclamações dos clientes</w:t>
      </w:r>
      <w:r w:rsidRPr="0094770E">
        <w:t>.</w:t>
      </w:r>
    </w:p>
    <w:p w:rsidR="00862447" w:rsidRPr="0094770E" w:rsidRDefault="00862447" w:rsidP="004E3707">
      <w:pPr>
        <w:rPr>
          <w:rFonts w:ascii="Garamond" w:hAnsi="Garamond" w:cs="Times New Roman"/>
          <w:sz w:val="20"/>
          <w:szCs w:val="20"/>
        </w:rPr>
      </w:pPr>
    </w:p>
    <w:p w:rsidR="00766663" w:rsidRDefault="00766663">
      <w:pPr>
        <w:rPr>
          <w:rFonts w:ascii="Garamond" w:hAnsi="Garamond"/>
          <w:b/>
          <w:iCs/>
          <w:sz w:val="20"/>
          <w:szCs w:val="20"/>
        </w:rPr>
      </w:pPr>
      <w:r>
        <w:rPr>
          <w:rFonts w:ascii="Garamond" w:hAnsi="Garamond"/>
          <w:b/>
          <w:iCs/>
          <w:sz w:val="20"/>
          <w:szCs w:val="20"/>
        </w:rPr>
        <w:br w:type="page"/>
      </w:r>
    </w:p>
    <w:p w:rsidR="00DC11BE" w:rsidRPr="00686D8C" w:rsidRDefault="00DC11BE" w:rsidP="00686D8C">
      <w:pPr>
        <w:spacing w:after="120" w:line="240" w:lineRule="auto"/>
        <w:rPr>
          <w:rFonts w:ascii="Garamond" w:eastAsia="Times New Roman" w:hAnsi="Garamond" w:cs="Times New Roman"/>
          <w:sz w:val="20"/>
          <w:szCs w:val="20"/>
          <w:lang w:eastAsia="pt-PT"/>
        </w:rPr>
      </w:pPr>
      <w:bookmarkStart w:id="88" w:name="_Toc46677147"/>
      <w:r w:rsidRPr="00862447">
        <w:rPr>
          <w:rFonts w:ascii="Garamond" w:hAnsi="Garamond"/>
          <w:b/>
          <w:iCs/>
          <w:sz w:val="20"/>
          <w:szCs w:val="20"/>
        </w:rPr>
        <w:lastRenderedPageBreak/>
        <w:t xml:space="preserve">Tabela </w:t>
      </w:r>
      <w:r w:rsidRPr="00862447">
        <w:rPr>
          <w:rFonts w:ascii="Garamond" w:hAnsi="Garamond"/>
          <w:b/>
          <w:iCs/>
          <w:sz w:val="20"/>
          <w:szCs w:val="20"/>
        </w:rPr>
        <w:fldChar w:fldCharType="begin"/>
      </w:r>
      <w:r w:rsidRPr="00862447">
        <w:rPr>
          <w:rFonts w:ascii="Garamond" w:hAnsi="Garamond"/>
          <w:b/>
          <w:iCs/>
          <w:sz w:val="20"/>
          <w:szCs w:val="20"/>
        </w:rPr>
        <w:instrText xml:space="preserve"> SEQ Tabela \* ARABIC </w:instrText>
      </w:r>
      <w:r w:rsidRPr="00862447">
        <w:rPr>
          <w:rFonts w:ascii="Garamond" w:hAnsi="Garamond"/>
          <w:b/>
          <w:iCs/>
          <w:sz w:val="20"/>
          <w:szCs w:val="20"/>
        </w:rPr>
        <w:fldChar w:fldCharType="separate"/>
      </w:r>
      <w:r w:rsidR="004E0B72" w:rsidRPr="00862447">
        <w:rPr>
          <w:rFonts w:ascii="Garamond" w:hAnsi="Garamond"/>
          <w:b/>
          <w:iCs/>
          <w:noProof/>
          <w:sz w:val="20"/>
          <w:szCs w:val="20"/>
        </w:rPr>
        <w:t>30</w:t>
      </w:r>
      <w:r w:rsidRPr="00862447">
        <w:rPr>
          <w:rFonts w:ascii="Garamond" w:hAnsi="Garamond"/>
          <w:b/>
          <w:iCs/>
          <w:sz w:val="20"/>
          <w:szCs w:val="20"/>
        </w:rPr>
        <w:fldChar w:fldCharType="end"/>
      </w:r>
      <w:r w:rsidRPr="00862447">
        <w:rPr>
          <w:rFonts w:ascii="Garamond" w:hAnsi="Garamond"/>
          <w:iCs/>
          <w:sz w:val="20"/>
          <w:szCs w:val="20"/>
        </w:rPr>
        <w:t xml:space="preserve"> -</w:t>
      </w:r>
      <w:r w:rsidR="007A3302" w:rsidRPr="0094770E">
        <w:rPr>
          <w:rFonts w:ascii="Garamond" w:hAnsi="Garamond"/>
          <w:i/>
          <w:sz w:val="20"/>
          <w:szCs w:val="20"/>
        </w:rPr>
        <w:t xml:space="preserve"> </w:t>
      </w:r>
      <w:r w:rsidR="007A3302" w:rsidRPr="0094770E">
        <w:rPr>
          <w:rFonts w:ascii="Garamond" w:eastAsia="Times New Roman" w:hAnsi="Garamond" w:cs="Times New Roman"/>
          <w:sz w:val="20"/>
          <w:szCs w:val="20"/>
          <w:lang w:eastAsia="pt-PT"/>
        </w:rPr>
        <w:t>Tabulação cruzada Satisfação com o trabalho (Categorizado) * Emoções positivas (Categorizado)</w:t>
      </w:r>
      <w:r w:rsidR="004B172D">
        <w:rPr>
          <w:rFonts w:ascii="Garamond" w:eastAsia="Times New Roman" w:hAnsi="Garamond" w:cs="Times New Roman"/>
          <w:sz w:val="20"/>
          <w:szCs w:val="20"/>
          <w:lang w:eastAsia="pt-PT"/>
        </w:rPr>
        <w:t xml:space="preserve">, </w:t>
      </w:r>
      <w:r w:rsidR="004B172D" w:rsidRPr="004B172D">
        <w:rPr>
          <w:rFonts w:ascii="Garamond" w:hAnsi="Garamond"/>
          <w:iCs/>
          <w:sz w:val="20"/>
          <w:szCs w:val="20"/>
        </w:rPr>
        <w:t>Hipótese H2</w:t>
      </w:r>
      <w:bookmarkEnd w:id="88"/>
    </w:p>
    <w:tbl>
      <w:tblPr>
        <w:tblW w:w="8427" w:type="dxa"/>
        <w:jc w:val="center"/>
        <w:tblLayout w:type="fixed"/>
        <w:tblCellMar>
          <w:left w:w="0" w:type="dxa"/>
          <w:right w:w="0" w:type="dxa"/>
        </w:tblCellMar>
        <w:tblLook w:val="0000" w:firstRow="0" w:lastRow="0" w:firstColumn="0" w:lastColumn="0" w:noHBand="0" w:noVBand="0"/>
      </w:tblPr>
      <w:tblGrid>
        <w:gridCol w:w="1985"/>
        <w:gridCol w:w="992"/>
        <w:gridCol w:w="1701"/>
        <w:gridCol w:w="709"/>
        <w:gridCol w:w="1276"/>
        <w:gridCol w:w="834"/>
        <w:gridCol w:w="930"/>
      </w:tblGrid>
      <w:tr w:rsidR="00DC11BE" w:rsidRPr="00686D8C" w:rsidTr="004E3707">
        <w:trPr>
          <w:cantSplit/>
          <w:trHeight w:val="343"/>
          <w:jc w:val="center"/>
        </w:trPr>
        <w:tc>
          <w:tcPr>
            <w:tcW w:w="8427" w:type="dxa"/>
            <w:gridSpan w:val="7"/>
            <w:tcBorders>
              <w:bottom w:val="single" w:sz="12"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rPr>
                <w:rFonts w:ascii="Garamond" w:hAnsi="Garamond" w:cs="Arial"/>
                <w:b/>
                <w:color w:val="264A60"/>
                <w:sz w:val="24"/>
                <w:szCs w:val="24"/>
              </w:rPr>
            </w:pPr>
            <w:r w:rsidRPr="00686D8C">
              <w:rPr>
                <w:rFonts w:ascii="Garamond" w:hAnsi="Garamond" w:cs="Arial"/>
                <w:b/>
                <w:sz w:val="24"/>
                <w:szCs w:val="24"/>
              </w:rPr>
              <w:t>Tabulação cruzada satisfação com o trabalho (Categorizado) e emoções positivas (Categorizado)</w:t>
            </w:r>
          </w:p>
        </w:tc>
      </w:tr>
      <w:tr w:rsidR="00DC11BE" w:rsidRPr="00686D8C" w:rsidTr="004E3707">
        <w:trPr>
          <w:cantSplit/>
          <w:trHeight w:val="343"/>
          <w:jc w:val="center"/>
        </w:trPr>
        <w:tc>
          <w:tcPr>
            <w:tcW w:w="4678" w:type="dxa"/>
            <w:gridSpan w:val="3"/>
            <w:vMerge w:val="restart"/>
            <w:tcBorders>
              <w:top w:val="single" w:sz="12" w:space="0" w:color="auto"/>
            </w:tcBorders>
            <w:shd w:val="clear" w:color="auto" w:fill="auto"/>
            <w:vAlign w:val="bottom"/>
          </w:tcPr>
          <w:p w:rsidR="00DC11BE" w:rsidRPr="00686D8C" w:rsidRDefault="00DC11BE" w:rsidP="004E3707">
            <w:pPr>
              <w:rPr>
                <w:rFonts w:ascii="Garamond" w:hAnsi="Garamond" w:cs="Times New Roman"/>
                <w:sz w:val="24"/>
                <w:szCs w:val="24"/>
              </w:rPr>
            </w:pPr>
          </w:p>
        </w:tc>
        <w:tc>
          <w:tcPr>
            <w:tcW w:w="2819" w:type="dxa"/>
            <w:gridSpan w:val="3"/>
            <w:tcBorders>
              <w:top w:val="single" w:sz="12"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Emoções positivas (Categorizado)</w:t>
            </w:r>
          </w:p>
        </w:tc>
        <w:tc>
          <w:tcPr>
            <w:tcW w:w="930" w:type="dxa"/>
            <w:vMerge w:val="restart"/>
            <w:tcBorders>
              <w:top w:val="single" w:sz="12"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Total</w:t>
            </w:r>
          </w:p>
        </w:tc>
      </w:tr>
      <w:tr w:rsidR="00DC11BE" w:rsidRPr="00686D8C" w:rsidTr="004E3707">
        <w:trPr>
          <w:cantSplit/>
          <w:trHeight w:val="326"/>
          <w:jc w:val="center"/>
        </w:trPr>
        <w:tc>
          <w:tcPr>
            <w:tcW w:w="4678" w:type="dxa"/>
            <w:gridSpan w:val="3"/>
            <w:vMerge/>
            <w:tcBorders>
              <w:bottom w:val="single" w:sz="4" w:space="0" w:color="auto"/>
            </w:tcBorders>
            <w:shd w:val="clear" w:color="auto" w:fill="auto"/>
            <w:vAlign w:val="bottom"/>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709" w:type="dxa"/>
            <w:tcBorders>
              <w:top w:val="single" w:sz="4"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Pouco</w:t>
            </w:r>
          </w:p>
        </w:tc>
        <w:tc>
          <w:tcPr>
            <w:tcW w:w="1276" w:type="dxa"/>
            <w:tcBorders>
              <w:top w:val="single" w:sz="4"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Moderadamente</w:t>
            </w:r>
          </w:p>
        </w:tc>
        <w:tc>
          <w:tcPr>
            <w:tcW w:w="834" w:type="dxa"/>
            <w:tcBorders>
              <w:top w:val="single" w:sz="4"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Muito</w:t>
            </w:r>
          </w:p>
        </w:tc>
        <w:tc>
          <w:tcPr>
            <w:tcW w:w="930" w:type="dxa"/>
            <w:vMerge/>
            <w:tcBorders>
              <w:bottom w:val="single" w:sz="4" w:space="0" w:color="auto"/>
            </w:tcBorders>
            <w:shd w:val="clear" w:color="auto" w:fill="auto"/>
            <w:vAlign w:val="bottom"/>
          </w:tcPr>
          <w:p w:rsidR="00DC11BE" w:rsidRPr="00686D8C" w:rsidRDefault="00DC11BE" w:rsidP="004E3707">
            <w:pPr>
              <w:autoSpaceDE w:val="0"/>
              <w:autoSpaceDN w:val="0"/>
              <w:adjustRightInd w:val="0"/>
              <w:spacing w:line="240" w:lineRule="auto"/>
              <w:rPr>
                <w:rFonts w:ascii="Garamond" w:hAnsi="Garamond" w:cs="Arial"/>
                <w:sz w:val="24"/>
                <w:szCs w:val="24"/>
              </w:rPr>
            </w:pPr>
          </w:p>
        </w:tc>
      </w:tr>
      <w:tr w:rsidR="00DC11BE" w:rsidRPr="00686D8C" w:rsidTr="004E3707">
        <w:trPr>
          <w:cantSplit/>
          <w:trHeight w:val="343"/>
          <w:jc w:val="center"/>
        </w:trPr>
        <w:tc>
          <w:tcPr>
            <w:tcW w:w="1985" w:type="dxa"/>
            <w:vMerge w:val="restart"/>
            <w:tcBorders>
              <w:top w:val="single" w:sz="4" w:space="0" w:color="auto"/>
            </w:tcBorders>
            <w:shd w:val="clear" w:color="auto" w:fill="auto"/>
            <w:vAlign w:val="center"/>
          </w:tcPr>
          <w:p w:rsidR="00DC11BE" w:rsidRPr="00686D8C" w:rsidRDefault="00DC11BE" w:rsidP="004E3707">
            <w:pPr>
              <w:autoSpaceDE w:val="0"/>
              <w:autoSpaceDN w:val="0"/>
              <w:adjustRightInd w:val="0"/>
              <w:spacing w:line="320" w:lineRule="atLeast"/>
              <w:ind w:left="60" w:right="852"/>
              <w:rPr>
                <w:rFonts w:ascii="Garamond" w:hAnsi="Garamond" w:cs="Arial"/>
                <w:sz w:val="24"/>
                <w:szCs w:val="24"/>
              </w:rPr>
            </w:pPr>
            <w:r w:rsidRPr="00686D8C">
              <w:rPr>
                <w:rFonts w:ascii="Garamond" w:hAnsi="Garamond" w:cs="Arial"/>
                <w:sz w:val="24"/>
                <w:szCs w:val="24"/>
              </w:rPr>
              <w:t>Satisfação com o trabalho (Categorizado)</w:t>
            </w:r>
          </w:p>
        </w:tc>
        <w:tc>
          <w:tcPr>
            <w:tcW w:w="992" w:type="dxa"/>
            <w:vMerge w:val="restart"/>
            <w:tcBorders>
              <w:top w:val="single" w:sz="4" w:space="0" w:color="auto"/>
            </w:tcBorders>
            <w:shd w:val="clear" w:color="auto" w:fill="auto"/>
            <w:vAlign w:val="center"/>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Insatisfeito</w:t>
            </w:r>
          </w:p>
        </w:tc>
        <w:tc>
          <w:tcPr>
            <w:tcW w:w="170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Contagem</w:t>
            </w:r>
          </w:p>
        </w:tc>
        <w:tc>
          <w:tcPr>
            <w:tcW w:w="709"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3</w:t>
            </w:r>
          </w:p>
        </w:tc>
        <w:tc>
          <w:tcPr>
            <w:tcW w:w="127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2</w:t>
            </w:r>
          </w:p>
        </w:tc>
        <w:tc>
          <w:tcPr>
            <w:tcW w:w="834"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1</w:t>
            </w:r>
          </w:p>
        </w:tc>
        <w:tc>
          <w:tcPr>
            <w:tcW w:w="930"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6</w:t>
            </w:r>
          </w:p>
        </w:tc>
      </w:tr>
      <w:tr w:rsidR="00DC11BE" w:rsidRPr="00686D8C" w:rsidTr="004E3707">
        <w:trPr>
          <w:cantSplit/>
          <w:trHeight w:val="358"/>
          <w:jc w:val="center"/>
        </w:trPr>
        <w:tc>
          <w:tcPr>
            <w:tcW w:w="1985" w:type="dxa"/>
            <w:vMerge/>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992" w:type="dxa"/>
            <w:vMerge/>
            <w:shd w:val="clear" w:color="auto" w:fill="auto"/>
            <w:vAlign w:val="center"/>
          </w:tcPr>
          <w:p w:rsidR="00DC11BE" w:rsidRPr="00686D8C" w:rsidRDefault="00DC11BE" w:rsidP="004E3707">
            <w:pPr>
              <w:autoSpaceDE w:val="0"/>
              <w:autoSpaceDN w:val="0"/>
              <w:adjustRightInd w:val="0"/>
              <w:spacing w:line="240" w:lineRule="auto"/>
              <w:jc w:val="center"/>
              <w:rPr>
                <w:rFonts w:ascii="Garamond" w:hAnsi="Garamond" w:cs="Arial"/>
                <w:sz w:val="24"/>
                <w:szCs w:val="24"/>
              </w:rPr>
            </w:pPr>
          </w:p>
        </w:tc>
        <w:tc>
          <w:tcPr>
            <w:tcW w:w="1701" w:type="dxa"/>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Contagem Esperada</w:t>
            </w:r>
          </w:p>
        </w:tc>
        <w:tc>
          <w:tcPr>
            <w:tcW w:w="709"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2,2</w:t>
            </w:r>
          </w:p>
        </w:tc>
        <w:tc>
          <w:tcPr>
            <w:tcW w:w="1276"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3,3</w:t>
            </w:r>
          </w:p>
        </w:tc>
        <w:tc>
          <w:tcPr>
            <w:tcW w:w="834"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w:t>
            </w:r>
          </w:p>
        </w:tc>
        <w:tc>
          <w:tcPr>
            <w:tcW w:w="930"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6,0</w:t>
            </w:r>
          </w:p>
        </w:tc>
      </w:tr>
      <w:tr w:rsidR="00DC11BE" w:rsidRPr="00686D8C" w:rsidTr="004E3707">
        <w:trPr>
          <w:cantSplit/>
          <w:trHeight w:val="358"/>
          <w:jc w:val="center"/>
        </w:trPr>
        <w:tc>
          <w:tcPr>
            <w:tcW w:w="1985" w:type="dxa"/>
            <w:vMerge/>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992" w:type="dxa"/>
            <w:vMerge/>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jc w:val="center"/>
              <w:rPr>
                <w:rFonts w:ascii="Garamond" w:hAnsi="Garamond" w:cs="Arial"/>
                <w:sz w:val="24"/>
                <w:szCs w:val="24"/>
              </w:rPr>
            </w:pPr>
          </w:p>
        </w:tc>
        <w:tc>
          <w:tcPr>
            <w:tcW w:w="170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Resíduo</w:t>
            </w:r>
          </w:p>
        </w:tc>
        <w:tc>
          <w:tcPr>
            <w:tcW w:w="709"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,8</w:t>
            </w:r>
          </w:p>
        </w:tc>
        <w:tc>
          <w:tcPr>
            <w:tcW w:w="1276"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-1,3</w:t>
            </w:r>
          </w:p>
        </w:tc>
        <w:tc>
          <w:tcPr>
            <w:tcW w:w="834"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,6</w:t>
            </w:r>
          </w:p>
        </w:tc>
        <w:tc>
          <w:tcPr>
            <w:tcW w:w="930" w:type="dxa"/>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rPr>
                <w:rFonts w:ascii="Garamond" w:hAnsi="Garamond" w:cs="Times New Roman"/>
                <w:sz w:val="24"/>
                <w:szCs w:val="24"/>
              </w:rPr>
            </w:pPr>
          </w:p>
        </w:tc>
      </w:tr>
      <w:tr w:rsidR="00DC11BE" w:rsidRPr="00686D8C" w:rsidTr="004E3707">
        <w:trPr>
          <w:cantSplit/>
          <w:trHeight w:val="343"/>
          <w:jc w:val="center"/>
        </w:trPr>
        <w:tc>
          <w:tcPr>
            <w:tcW w:w="1985" w:type="dxa"/>
            <w:vMerge/>
            <w:shd w:val="clear" w:color="auto" w:fill="auto"/>
          </w:tcPr>
          <w:p w:rsidR="00DC11BE" w:rsidRPr="00686D8C" w:rsidRDefault="00DC11BE" w:rsidP="004E3707">
            <w:pPr>
              <w:autoSpaceDE w:val="0"/>
              <w:autoSpaceDN w:val="0"/>
              <w:adjustRightInd w:val="0"/>
              <w:spacing w:line="240" w:lineRule="auto"/>
              <w:rPr>
                <w:rFonts w:ascii="Garamond" w:hAnsi="Garamond" w:cs="Times New Roman"/>
                <w:sz w:val="24"/>
                <w:szCs w:val="24"/>
              </w:rPr>
            </w:pPr>
          </w:p>
        </w:tc>
        <w:tc>
          <w:tcPr>
            <w:tcW w:w="992" w:type="dxa"/>
            <w:vMerge w:val="restart"/>
            <w:tcBorders>
              <w:top w:val="single" w:sz="4" w:space="0" w:color="auto"/>
            </w:tcBorders>
            <w:shd w:val="clear" w:color="auto" w:fill="auto"/>
            <w:vAlign w:val="center"/>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Satisfeito</w:t>
            </w:r>
          </w:p>
        </w:tc>
        <w:tc>
          <w:tcPr>
            <w:tcW w:w="170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Contagem</w:t>
            </w:r>
          </w:p>
        </w:tc>
        <w:tc>
          <w:tcPr>
            <w:tcW w:w="709"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27</w:t>
            </w:r>
          </w:p>
        </w:tc>
        <w:tc>
          <w:tcPr>
            <w:tcW w:w="127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40</w:t>
            </w:r>
          </w:p>
        </w:tc>
        <w:tc>
          <w:tcPr>
            <w:tcW w:w="834"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7</w:t>
            </w:r>
          </w:p>
        </w:tc>
        <w:tc>
          <w:tcPr>
            <w:tcW w:w="930"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74</w:t>
            </w:r>
          </w:p>
        </w:tc>
      </w:tr>
      <w:tr w:rsidR="00DC11BE" w:rsidRPr="00686D8C" w:rsidTr="004E3707">
        <w:trPr>
          <w:cantSplit/>
          <w:trHeight w:val="358"/>
          <w:jc w:val="center"/>
        </w:trPr>
        <w:tc>
          <w:tcPr>
            <w:tcW w:w="1985" w:type="dxa"/>
            <w:vMerge/>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992" w:type="dxa"/>
            <w:vMerge/>
            <w:shd w:val="clear" w:color="auto" w:fill="auto"/>
            <w:vAlign w:val="center"/>
          </w:tcPr>
          <w:p w:rsidR="00DC11BE" w:rsidRPr="00686D8C" w:rsidRDefault="00DC11BE" w:rsidP="004E3707">
            <w:pPr>
              <w:autoSpaceDE w:val="0"/>
              <w:autoSpaceDN w:val="0"/>
              <w:adjustRightInd w:val="0"/>
              <w:spacing w:line="240" w:lineRule="auto"/>
              <w:jc w:val="center"/>
              <w:rPr>
                <w:rFonts w:ascii="Garamond" w:hAnsi="Garamond" w:cs="Arial"/>
                <w:sz w:val="24"/>
                <w:szCs w:val="24"/>
              </w:rPr>
            </w:pPr>
          </w:p>
        </w:tc>
        <w:tc>
          <w:tcPr>
            <w:tcW w:w="1701" w:type="dxa"/>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Contagem Esperada</w:t>
            </w:r>
          </w:p>
        </w:tc>
        <w:tc>
          <w:tcPr>
            <w:tcW w:w="709"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27,4</w:t>
            </w:r>
          </w:p>
        </w:tc>
        <w:tc>
          <w:tcPr>
            <w:tcW w:w="1276"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41,3</w:t>
            </w:r>
          </w:p>
        </w:tc>
        <w:tc>
          <w:tcPr>
            <w:tcW w:w="834"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5,3</w:t>
            </w:r>
          </w:p>
        </w:tc>
        <w:tc>
          <w:tcPr>
            <w:tcW w:w="930"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74,0</w:t>
            </w:r>
          </w:p>
        </w:tc>
      </w:tr>
      <w:tr w:rsidR="00DC11BE" w:rsidRPr="00686D8C" w:rsidTr="004E3707">
        <w:trPr>
          <w:cantSplit/>
          <w:trHeight w:val="358"/>
          <w:jc w:val="center"/>
        </w:trPr>
        <w:tc>
          <w:tcPr>
            <w:tcW w:w="1985" w:type="dxa"/>
            <w:vMerge/>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992" w:type="dxa"/>
            <w:vMerge/>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jc w:val="center"/>
              <w:rPr>
                <w:rFonts w:ascii="Garamond" w:hAnsi="Garamond" w:cs="Arial"/>
                <w:sz w:val="24"/>
                <w:szCs w:val="24"/>
              </w:rPr>
            </w:pPr>
          </w:p>
        </w:tc>
        <w:tc>
          <w:tcPr>
            <w:tcW w:w="170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Resíduo</w:t>
            </w:r>
          </w:p>
        </w:tc>
        <w:tc>
          <w:tcPr>
            <w:tcW w:w="709"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w:t>
            </w:r>
          </w:p>
        </w:tc>
        <w:tc>
          <w:tcPr>
            <w:tcW w:w="1276"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-1,3</w:t>
            </w:r>
          </w:p>
        </w:tc>
        <w:tc>
          <w:tcPr>
            <w:tcW w:w="834"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1,7</w:t>
            </w:r>
          </w:p>
        </w:tc>
        <w:tc>
          <w:tcPr>
            <w:tcW w:w="930" w:type="dxa"/>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rPr>
                <w:rFonts w:ascii="Garamond" w:hAnsi="Garamond" w:cs="Times New Roman"/>
                <w:sz w:val="24"/>
                <w:szCs w:val="24"/>
              </w:rPr>
            </w:pPr>
          </w:p>
        </w:tc>
      </w:tr>
      <w:tr w:rsidR="00DC11BE" w:rsidRPr="00686D8C" w:rsidTr="004E3707">
        <w:trPr>
          <w:cantSplit/>
          <w:trHeight w:val="343"/>
          <w:jc w:val="center"/>
        </w:trPr>
        <w:tc>
          <w:tcPr>
            <w:tcW w:w="1985" w:type="dxa"/>
            <w:vMerge/>
            <w:shd w:val="clear" w:color="auto" w:fill="auto"/>
          </w:tcPr>
          <w:p w:rsidR="00DC11BE" w:rsidRPr="00686D8C" w:rsidRDefault="00DC11BE" w:rsidP="004E3707">
            <w:pPr>
              <w:autoSpaceDE w:val="0"/>
              <w:autoSpaceDN w:val="0"/>
              <w:adjustRightInd w:val="0"/>
              <w:spacing w:line="240" w:lineRule="auto"/>
              <w:rPr>
                <w:rFonts w:ascii="Garamond" w:hAnsi="Garamond" w:cs="Times New Roman"/>
                <w:sz w:val="24"/>
                <w:szCs w:val="24"/>
              </w:rPr>
            </w:pPr>
          </w:p>
        </w:tc>
        <w:tc>
          <w:tcPr>
            <w:tcW w:w="992" w:type="dxa"/>
            <w:vMerge w:val="restart"/>
            <w:tcBorders>
              <w:top w:val="single" w:sz="4" w:space="0" w:color="auto"/>
            </w:tcBorders>
            <w:shd w:val="clear" w:color="auto" w:fill="auto"/>
            <w:vAlign w:val="center"/>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 xml:space="preserve">Muito </w:t>
            </w:r>
            <w:proofErr w:type="gramStart"/>
            <w:r w:rsidRPr="00686D8C">
              <w:rPr>
                <w:rFonts w:ascii="Garamond" w:hAnsi="Garamond" w:cs="Arial"/>
                <w:sz w:val="24"/>
                <w:szCs w:val="24"/>
              </w:rPr>
              <w:t>Satisfeito</w:t>
            </w:r>
            <w:proofErr w:type="gramEnd"/>
          </w:p>
        </w:tc>
        <w:tc>
          <w:tcPr>
            <w:tcW w:w="170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Contagem</w:t>
            </w:r>
          </w:p>
        </w:tc>
        <w:tc>
          <w:tcPr>
            <w:tcW w:w="709"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47</w:t>
            </w:r>
          </w:p>
        </w:tc>
        <w:tc>
          <w:tcPr>
            <w:tcW w:w="127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74</w:t>
            </w:r>
          </w:p>
        </w:tc>
        <w:tc>
          <w:tcPr>
            <w:tcW w:w="834"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7</w:t>
            </w:r>
          </w:p>
        </w:tc>
        <w:tc>
          <w:tcPr>
            <w:tcW w:w="930"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128</w:t>
            </w:r>
          </w:p>
        </w:tc>
      </w:tr>
      <w:tr w:rsidR="00DC11BE" w:rsidRPr="00686D8C" w:rsidTr="004E3707">
        <w:trPr>
          <w:cantSplit/>
          <w:trHeight w:val="358"/>
          <w:jc w:val="center"/>
        </w:trPr>
        <w:tc>
          <w:tcPr>
            <w:tcW w:w="1985" w:type="dxa"/>
            <w:vMerge/>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992" w:type="dxa"/>
            <w:vMerge/>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1701" w:type="dxa"/>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Contagem Esperada</w:t>
            </w:r>
          </w:p>
        </w:tc>
        <w:tc>
          <w:tcPr>
            <w:tcW w:w="709"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47,4</w:t>
            </w:r>
          </w:p>
        </w:tc>
        <w:tc>
          <w:tcPr>
            <w:tcW w:w="1276"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71,4</w:t>
            </w:r>
          </w:p>
        </w:tc>
        <w:tc>
          <w:tcPr>
            <w:tcW w:w="834"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9,2</w:t>
            </w:r>
          </w:p>
        </w:tc>
        <w:tc>
          <w:tcPr>
            <w:tcW w:w="930" w:type="dxa"/>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sz w:val="24"/>
                <w:szCs w:val="24"/>
              </w:rPr>
            </w:pPr>
            <w:r w:rsidRPr="00686D8C">
              <w:rPr>
                <w:rFonts w:ascii="Garamond" w:hAnsi="Garamond" w:cs="Arial"/>
                <w:sz w:val="24"/>
                <w:szCs w:val="24"/>
              </w:rPr>
              <w:t>128,0</w:t>
            </w:r>
          </w:p>
        </w:tc>
      </w:tr>
      <w:tr w:rsidR="00DC11BE" w:rsidRPr="00686D8C" w:rsidTr="004E3707">
        <w:trPr>
          <w:cantSplit/>
          <w:trHeight w:val="358"/>
          <w:jc w:val="center"/>
        </w:trPr>
        <w:tc>
          <w:tcPr>
            <w:tcW w:w="1985" w:type="dxa"/>
            <w:vMerge/>
            <w:tcBorders>
              <w:bottom w:val="single" w:sz="4" w:space="0" w:color="auto"/>
            </w:tcBorders>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992" w:type="dxa"/>
            <w:vMerge/>
            <w:tcBorders>
              <w:bottom w:val="single" w:sz="4" w:space="0" w:color="auto"/>
            </w:tcBorders>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170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Resíduo</w:t>
            </w:r>
          </w:p>
        </w:tc>
        <w:tc>
          <w:tcPr>
            <w:tcW w:w="709"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w:t>
            </w:r>
          </w:p>
        </w:tc>
        <w:tc>
          <w:tcPr>
            <w:tcW w:w="1276"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2,6</w:t>
            </w:r>
          </w:p>
        </w:tc>
        <w:tc>
          <w:tcPr>
            <w:tcW w:w="834"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-2,2</w:t>
            </w:r>
          </w:p>
        </w:tc>
        <w:tc>
          <w:tcPr>
            <w:tcW w:w="930" w:type="dxa"/>
            <w:tcBorders>
              <w:bottom w:val="single" w:sz="4" w:space="0" w:color="auto"/>
            </w:tcBorders>
            <w:shd w:val="clear" w:color="auto" w:fill="auto"/>
            <w:vAlign w:val="center"/>
          </w:tcPr>
          <w:p w:rsidR="00DC11BE" w:rsidRPr="00686D8C" w:rsidRDefault="00DC11BE" w:rsidP="004E3707">
            <w:pPr>
              <w:autoSpaceDE w:val="0"/>
              <w:autoSpaceDN w:val="0"/>
              <w:adjustRightInd w:val="0"/>
              <w:spacing w:line="240" w:lineRule="auto"/>
              <w:rPr>
                <w:rFonts w:ascii="Garamond" w:hAnsi="Garamond" w:cs="Times New Roman"/>
                <w:sz w:val="24"/>
                <w:szCs w:val="24"/>
              </w:rPr>
            </w:pPr>
          </w:p>
        </w:tc>
      </w:tr>
      <w:tr w:rsidR="00DC11BE" w:rsidRPr="00686D8C" w:rsidTr="004E3707">
        <w:trPr>
          <w:cantSplit/>
          <w:trHeight w:val="343"/>
          <w:jc w:val="center"/>
        </w:trPr>
        <w:tc>
          <w:tcPr>
            <w:tcW w:w="2977" w:type="dxa"/>
            <w:gridSpan w:val="2"/>
            <w:vMerge w:val="restart"/>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b/>
                <w:sz w:val="24"/>
                <w:szCs w:val="24"/>
              </w:rPr>
            </w:pPr>
            <w:r w:rsidRPr="00686D8C">
              <w:rPr>
                <w:rFonts w:ascii="Garamond" w:hAnsi="Garamond" w:cs="Arial"/>
                <w:b/>
                <w:sz w:val="24"/>
                <w:szCs w:val="24"/>
              </w:rPr>
              <w:t>Total</w:t>
            </w:r>
          </w:p>
        </w:tc>
        <w:tc>
          <w:tcPr>
            <w:tcW w:w="170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b/>
                <w:sz w:val="24"/>
                <w:szCs w:val="24"/>
              </w:rPr>
            </w:pPr>
            <w:r w:rsidRPr="00686D8C">
              <w:rPr>
                <w:rFonts w:ascii="Garamond" w:hAnsi="Garamond" w:cs="Arial"/>
                <w:b/>
                <w:sz w:val="24"/>
                <w:szCs w:val="24"/>
              </w:rPr>
              <w:t>Contagem</w:t>
            </w:r>
          </w:p>
        </w:tc>
        <w:tc>
          <w:tcPr>
            <w:tcW w:w="709"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b/>
                <w:sz w:val="24"/>
                <w:szCs w:val="24"/>
              </w:rPr>
            </w:pPr>
            <w:r w:rsidRPr="00686D8C">
              <w:rPr>
                <w:rFonts w:ascii="Garamond" w:hAnsi="Garamond" w:cs="Arial"/>
                <w:b/>
                <w:sz w:val="24"/>
                <w:szCs w:val="24"/>
              </w:rPr>
              <w:t>77</w:t>
            </w:r>
          </w:p>
        </w:tc>
        <w:tc>
          <w:tcPr>
            <w:tcW w:w="1276"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b/>
                <w:sz w:val="24"/>
                <w:szCs w:val="24"/>
              </w:rPr>
            </w:pPr>
            <w:r w:rsidRPr="00686D8C">
              <w:rPr>
                <w:rFonts w:ascii="Garamond" w:hAnsi="Garamond" w:cs="Arial"/>
                <w:b/>
                <w:sz w:val="24"/>
                <w:szCs w:val="24"/>
              </w:rPr>
              <w:t>116</w:t>
            </w:r>
          </w:p>
        </w:tc>
        <w:tc>
          <w:tcPr>
            <w:tcW w:w="834"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b/>
                <w:sz w:val="24"/>
                <w:szCs w:val="24"/>
              </w:rPr>
            </w:pPr>
            <w:r w:rsidRPr="00686D8C">
              <w:rPr>
                <w:rFonts w:ascii="Garamond" w:hAnsi="Garamond" w:cs="Arial"/>
                <w:b/>
                <w:sz w:val="24"/>
                <w:szCs w:val="24"/>
              </w:rPr>
              <w:t>15</w:t>
            </w:r>
          </w:p>
        </w:tc>
        <w:tc>
          <w:tcPr>
            <w:tcW w:w="930"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b/>
                <w:sz w:val="24"/>
                <w:szCs w:val="24"/>
              </w:rPr>
            </w:pPr>
            <w:r w:rsidRPr="00686D8C">
              <w:rPr>
                <w:rFonts w:ascii="Garamond" w:hAnsi="Garamond" w:cs="Arial"/>
                <w:b/>
                <w:sz w:val="24"/>
                <w:szCs w:val="24"/>
              </w:rPr>
              <w:t>208</w:t>
            </w:r>
          </w:p>
        </w:tc>
      </w:tr>
      <w:tr w:rsidR="00DC11BE" w:rsidRPr="00686D8C" w:rsidTr="004E3707">
        <w:trPr>
          <w:cantSplit/>
          <w:trHeight w:val="358"/>
          <w:jc w:val="center"/>
        </w:trPr>
        <w:tc>
          <w:tcPr>
            <w:tcW w:w="2977" w:type="dxa"/>
            <w:gridSpan w:val="2"/>
            <w:vMerge/>
            <w:tcBorders>
              <w:bottom w:val="single" w:sz="12" w:space="0" w:color="auto"/>
            </w:tcBorders>
            <w:shd w:val="clear" w:color="auto" w:fill="auto"/>
          </w:tcPr>
          <w:p w:rsidR="00DC11BE" w:rsidRPr="00686D8C" w:rsidRDefault="00DC11BE" w:rsidP="004E3707">
            <w:pPr>
              <w:autoSpaceDE w:val="0"/>
              <w:autoSpaceDN w:val="0"/>
              <w:adjustRightInd w:val="0"/>
              <w:spacing w:line="240" w:lineRule="auto"/>
              <w:rPr>
                <w:rFonts w:ascii="Garamond" w:hAnsi="Garamond" w:cs="Arial"/>
                <w:sz w:val="24"/>
                <w:szCs w:val="24"/>
              </w:rPr>
            </w:pPr>
          </w:p>
        </w:tc>
        <w:tc>
          <w:tcPr>
            <w:tcW w:w="1701"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b/>
                <w:sz w:val="24"/>
                <w:szCs w:val="24"/>
              </w:rPr>
            </w:pPr>
            <w:r w:rsidRPr="00686D8C">
              <w:rPr>
                <w:rFonts w:ascii="Garamond" w:hAnsi="Garamond" w:cs="Arial"/>
                <w:b/>
                <w:sz w:val="24"/>
                <w:szCs w:val="24"/>
              </w:rPr>
              <w:t>Contagem Esperada</w:t>
            </w:r>
          </w:p>
        </w:tc>
        <w:tc>
          <w:tcPr>
            <w:tcW w:w="709"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b/>
                <w:sz w:val="24"/>
                <w:szCs w:val="24"/>
              </w:rPr>
            </w:pPr>
            <w:r w:rsidRPr="00686D8C">
              <w:rPr>
                <w:rFonts w:ascii="Garamond" w:hAnsi="Garamond" w:cs="Arial"/>
                <w:b/>
                <w:sz w:val="24"/>
                <w:szCs w:val="24"/>
              </w:rPr>
              <w:t>77,0</w:t>
            </w:r>
          </w:p>
        </w:tc>
        <w:tc>
          <w:tcPr>
            <w:tcW w:w="1276"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b/>
                <w:sz w:val="24"/>
                <w:szCs w:val="24"/>
              </w:rPr>
            </w:pPr>
            <w:r w:rsidRPr="00686D8C">
              <w:rPr>
                <w:rFonts w:ascii="Garamond" w:hAnsi="Garamond" w:cs="Arial"/>
                <w:b/>
                <w:sz w:val="24"/>
                <w:szCs w:val="24"/>
              </w:rPr>
              <w:t>116,0</w:t>
            </w:r>
          </w:p>
        </w:tc>
        <w:tc>
          <w:tcPr>
            <w:tcW w:w="834"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b/>
                <w:sz w:val="24"/>
                <w:szCs w:val="24"/>
              </w:rPr>
            </w:pPr>
            <w:r w:rsidRPr="00686D8C">
              <w:rPr>
                <w:rFonts w:ascii="Garamond" w:hAnsi="Garamond" w:cs="Arial"/>
                <w:b/>
                <w:sz w:val="24"/>
                <w:szCs w:val="24"/>
              </w:rPr>
              <w:t>15,0</w:t>
            </w:r>
          </w:p>
        </w:tc>
        <w:tc>
          <w:tcPr>
            <w:tcW w:w="930" w:type="dxa"/>
            <w:tcBorders>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jc w:val="right"/>
              <w:rPr>
                <w:rFonts w:ascii="Garamond" w:hAnsi="Garamond" w:cs="Arial"/>
                <w:b/>
                <w:sz w:val="24"/>
                <w:szCs w:val="24"/>
              </w:rPr>
            </w:pPr>
            <w:r w:rsidRPr="00686D8C">
              <w:rPr>
                <w:rFonts w:ascii="Garamond" w:hAnsi="Garamond" w:cs="Arial"/>
                <w:b/>
                <w:sz w:val="24"/>
                <w:szCs w:val="24"/>
              </w:rPr>
              <w:t>208,0</w:t>
            </w:r>
          </w:p>
        </w:tc>
      </w:tr>
    </w:tbl>
    <w:p w:rsidR="00DC11BE" w:rsidRPr="00686D8C" w:rsidRDefault="00686D8C" w:rsidP="004E3707">
      <w:pPr>
        <w:autoSpaceDE w:val="0"/>
        <w:autoSpaceDN w:val="0"/>
        <w:adjustRightInd w:val="0"/>
        <w:spacing w:line="240" w:lineRule="auto"/>
        <w:rPr>
          <w:rFonts w:ascii="Garamond" w:hAnsi="Garamond" w:cs="Times New Roman"/>
          <w:iCs/>
          <w:sz w:val="24"/>
          <w:szCs w:val="24"/>
        </w:rPr>
      </w:pPr>
      <w:r w:rsidRPr="00686D8C">
        <w:rPr>
          <w:rFonts w:ascii="Garamond" w:hAnsi="Garamond"/>
          <w:b/>
          <w:iCs/>
          <w:sz w:val="20"/>
          <w:szCs w:val="20"/>
        </w:rPr>
        <w:t xml:space="preserve">Fonte: </w:t>
      </w:r>
      <w:r w:rsidRPr="00686D8C">
        <w:rPr>
          <w:rFonts w:ascii="Garamond" w:hAnsi="Garamond"/>
          <w:bCs/>
          <w:iCs/>
          <w:sz w:val="20"/>
          <w:szCs w:val="20"/>
        </w:rPr>
        <w:t>Elaboração própria.</w:t>
      </w:r>
    </w:p>
    <w:p w:rsidR="00DC11BE" w:rsidRPr="0094770E" w:rsidRDefault="00DC11BE" w:rsidP="006425F7">
      <w:pPr>
        <w:pStyle w:val="CorpoTexto"/>
      </w:pPr>
    </w:p>
    <w:p w:rsidR="00862447" w:rsidRPr="00686D8C" w:rsidRDefault="00DC11BE" w:rsidP="00686D8C">
      <w:pPr>
        <w:pStyle w:val="Legenda"/>
        <w:keepNext/>
        <w:spacing w:after="120"/>
        <w:rPr>
          <w:rFonts w:ascii="Garamond" w:hAnsi="Garamond"/>
          <w:i w:val="0"/>
          <w:color w:val="auto"/>
          <w:sz w:val="20"/>
          <w:szCs w:val="20"/>
        </w:rPr>
      </w:pPr>
      <w:bookmarkStart w:id="89" w:name="_Toc46677148"/>
      <w:r w:rsidRPr="0094770E">
        <w:rPr>
          <w:rFonts w:ascii="Garamond" w:hAnsi="Garamond"/>
          <w:b/>
          <w:i w:val="0"/>
          <w:color w:val="auto"/>
          <w:sz w:val="20"/>
          <w:szCs w:val="20"/>
        </w:rPr>
        <w:t xml:space="preserve">Tabela </w:t>
      </w:r>
      <w:r w:rsidRPr="0094770E">
        <w:rPr>
          <w:rFonts w:ascii="Garamond" w:hAnsi="Garamond"/>
          <w:b/>
          <w:i w:val="0"/>
          <w:color w:val="auto"/>
          <w:sz w:val="20"/>
          <w:szCs w:val="20"/>
        </w:rPr>
        <w:fldChar w:fldCharType="begin"/>
      </w:r>
      <w:r w:rsidRPr="0094770E">
        <w:rPr>
          <w:rFonts w:ascii="Garamond" w:hAnsi="Garamond"/>
          <w:b/>
          <w:i w:val="0"/>
          <w:color w:val="auto"/>
          <w:sz w:val="20"/>
          <w:szCs w:val="20"/>
        </w:rPr>
        <w:instrText xml:space="preserve"> SEQ Tabela \* ARABIC </w:instrText>
      </w:r>
      <w:r w:rsidRPr="0094770E">
        <w:rPr>
          <w:rFonts w:ascii="Garamond" w:hAnsi="Garamond"/>
          <w:b/>
          <w:i w:val="0"/>
          <w:color w:val="auto"/>
          <w:sz w:val="20"/>
          <w:szCs w:val="20"/>
        </w:rPr>
        <w:fldChar w:fldCharType="separate"/>
      </w:r>
      <w:r w:rsidR="004E0B72">
        <w:rPr>
          <w:rFonts w:ascii="Garamond" w:hAnsi="Garamond"/>
          <w:b/>
          <w:i w:val="0"/>
          <w:noProof/>
          <w:color w:val="auto"/>
          <w:sz w:val="20"/>
          <w:szCs w:val="20"/>
        </w:rPr>
        <w:t>31</w:t>
      </w:r>
      <w:r w:rsidRPr="0094770E">
        <w:rPr>
          <w:rFonts w:ascii="Garamond" w:hAnsi="Garamond"/>
          <w:b/>
          <w:i w:val="0"/>
          <w:color w:val="auto"/>
          <w:sz w:val="20"/>
          <w:szCs w:val="20"/>
        </w:rPr>
        <w:fldChar w:fldCharType="end"/>
      </w:r>
      <w:r w:rsidRPr="0094770E">
        <w:rPr>
          <w:rFonts w:ascii="Garamond" w:hAnsi="Garamond"/>
          <w:i w:val="0"/>
          <w:color w:val="auto"/>
          <w:sz w:val="20"/>
          <w:szCs w:val="20"/>
        </w:rPr>
        <w:t xml:space="preserve"> - Testes qui-quadrado</w:t>
      </w:r>
      <w:r w:rsidR="004B172D">
        <w:rPr>
          <w:rFonts w:ascii="Garamond" w:hAnsi="Garamond"/>
          <w:i w:val="0"/>
          <w:color w:val="auto"/>
          <w:sz w:val="20"/>
          <w:szCs w:val="20"/>
        </w:rPr>
        <w:t>, Hipótese H2</w:t>
      </w:r>
      <w:bookmarkEnd w:id="89"/>
    </w:p>
    <w:tbl>
      <w:tblPr>
        <w:tblW w:w="8409" w:type="dxa"/>
        <w:tblLayout w:type="fixed"/>
        <w:tblCellMar>
          <w:left w:w="0" w:type="dxa"/>
          <w:right w:w="0" w:type="dxa"/>
        </w:tblCellMar>
        <w:tblLook w:val="0000" w:firstRow="0" w:lastRow="0" w:firstColumn="0" w:lastColumn="0" w:noHBand="0" w:noVBand="0"/>
      </w:tblPr>
      <w:tblGrid>
        <w:gridCol w:w="3448"/>
        <w:gridCol w:w="1083"/>
        <w:gridCol w:w="851"/>
        <w:gridCol w:w="3027"/>
      </w:tblGrid>
      <w:tr w:rsidR="00DC11BE" w:rsidRPr="00686D8C" w:rsidTr="004E3707">
        <w:trPr>
          <w:cantSplit/>
          <w:trHeight w:val="287"/>
        </w:trPr>
        <w:tc>
          <w:tcPr>
            <w:tcW w:w="8409" w:type="dxa"/>
            <w:gridSpan w:val="4"/>
            <w:tcBorders>
              <w:bottom w:val="single" w:sz="12"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rPr>
                <w:rFonts w:ascii="Garamond" w:hAnsi="Garamond" w:cs="Arial"/>
                <w:b/>
                <w:sz w:val="24"/>
                <w:szCs w:val="24"/>
              </w:rPr>
            </w:pPr>
            <w:r w:rsidRPr="00686D8C">
              <w:rPr>
                <w:rFonts w:ascii="Garamond" w:hAnsi="Garamond" w:cs="Arial"/>
                <w:b/>
                <w:sz w:val="24"/>
                <w:szCs w:val="24"/>
              </w:rPr>
              <w:t>Testes qui-quadrado</w:t>
            </w:r>
          </w:p>
        </w:tc>
      </w:tr>
      <w:tr w:rsidR="00DC11BE" w:rsidRPr="00686D8C" w:rsidTr="004E3707">
        <w:trPr>
          <w:cantSplit/>
          <w:trHeight w:val="226"/>
        </w:trPr>
        <w:tc>
          <w:tcPr>
            <w:tcW w:w="3448" w:type="dxa"/>
            <w:tcBorders>
              <w:top w:val="single" w:sz="12" w:space="0" w:color="auto"/>
            </w:tcBorders>
            <w:shd w:val="clear" w:color="auto" w:fill="auto"/>
            <w:vAlign w:val="bottom"/>
          </w:tcPr>
          <w:p w:rsidR="00DC11BE" w:rsidRPr="00686D8C" w:rsidRDefault="00DC11BE" w:rsidP="004E3707">
            <w:pPr>
              <w:autoSpaceDE w:val="0"/>
              <w:autoSpaceDN w:val="0"/>
              <w:adjustRightInd w:val="0"/>
              <w:spacing w:line="240" w:lineRule="auto"/>
              <w:rPr>
                <w:rFonts w:ascii="Garamond" w:hAnsi="Garamond" w:cs="Times New Roman"/>
                <w:sz w:val="24"/>
                <w:szCs w:val="24"/>
              </w:rPr>
            </w:pPr>
          </w:p>
        </w:tc>
        <w:tc>
          <w:tcPr>
            <w:tcW w:w="1083" w:type="dxa"/>
            <w:tcBorders>
              <w:top w:val="single" w:sz="12"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Valor</w:t>
            </w:r>
          </w:p>
        </w:tc>
        <w:tc>
          <w:tcPr>
            <w:tcW w:w="851" w:type="dxa"/>
            <w:tcBorders>
              <w:top w:val="single" w:sz="12"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proofErr w:type="spellStart"/>
            <w:r w:rsidRPr="00686D8C">
              <w:rPr>
                <w:rFonts w:ascii="Garamond" w:hAnsi="Garamond" w:cs="Arial"/>
                <w:sz w:val="24"/>
                <w:szCs w:val="24"/>
              </w:rPr>
              <w:t>gl</w:t>
            </w:r>
            <w:proofErr w:type="spellEnd"/>
          </w:p>
        </w:tc>
        <w:tc>
          <w:tcPr>
            <w:tcW w:w="3027" w:type="dxa"/>
            <w:tcBorders>
              <w:top w:val="single" w:sz="12"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Significância Assintótica (Bilateral)</w:t>
            </w:r>
          </w:p>
        </w:tc>
      </w:tr>
      <w:tr w:rsidR="00DC11BE" w:rsidRPr="00686D8C" w:rsidTr="004E3707">
        <w:trPr>
          <w:cantSplit/>
          <w:trHeight w:val="365"/>
        </w:trPr>
        <w:tc>
          <w:tcPr>
            <w:tcW w:w="3448" w:type="dxa"/>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 xml:space="preserve">Qui-quadrado de </w:t>
            </w:r>
            <w:proofErr w:type="spellStart"/>
            <w:r w:rsidRPr="00686D8C">
              <w:rPr>
                <w:rFonts w:ascii="Garamond" w:hAnsi="Garamond" w:cs="Arial"/>
                <w:sz w:val="24"/>
                <w:szCs w:val="24"/>
              </w:rPr>
              <w:t>Pearson</w:t>
            </w:r>
            <w:proofErr w:type="spellEnd"/>
          </w:p>
        </w:tc>
        <w:tc>
          <w:tcPr>
            <w:tcW w:w="1083"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2,760</w:t>
            </w:r>
            <w:r w:rsidRPr="00686D8C">
              <w:rPr>
                <w:rFonts w:ascii="Garamond" w:hAnsi="Garamond" w:cs="Arial"/>
                <w:sz w:val="24"/>
                <w:szCs w:val="24"/>
                <w:vertAlign w:val="superscript"/>
              </w:rPr>
              <w:t>a</w:t>
            </w:r>
          </w:p>
        </w:tc>
        <w:tc>
          <w:tcPr>
            <w:tcW w:w="851"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w:t>
            </w:r>
          </w:p>
        </w:tc>
        <w:tc>
          <w:tcPr>
            <w:tcW w:w="3027" w:type="dxa"/>
            <w:tcBorders>
              <w:top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,599</w:t>
            </w:r>
          </w:p>
        </w:tc>
      </w:tr>
      <w:tr w:rsidR="00DC11BE" w:rsidRPr="00686D8C" w:rsidTr="004E3707">
        <w:trPr>
          <w:cantSplit/>
          <w:trHeight w:val="347"/>
        </w:trPr>
        <w:tc>
          <w:tcPr>
            <w:tcW w:w="3448" w:type="dxa"/>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Razão de verossimilhança</w:t>
            </w:r>
          </w:p>
        </w:tc>
        <w:tc>
          <w:tcPr>
            <w:tcW w:w="1083"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2,624</w:t>
            </w:r>
          </w:p>
        </w:tc>
        <w:tc>
          <w:tcPr>
            <w:tcW w:w="851"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4</w:t>
            </w:r>
          </w:p>
        </w:tc>
        <w:tc>
          <w:tcPr>
            <w:tcW w:w="3027" w:type="dxa"/>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,623</w:t>
            </w:r>
          </w:p>
        </w:tc>
      </w:tr>
      <w:tr w:rsidR="00DC11BE" w:rsidRPr="00686D8C" w:rsidTr="004E3707">
        <w:trPr>
          <w:cantSplit/>
          <w:trHeight w:val="365"/>
        </w:trPr>
        <w:tc>
          <w:tcPr>
            <w:tcW w:w="3448"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Associação Linear por Linear</w:t>
            </w:r>
          </w:p>
        </w:tc>
        <w:tc>
          <w:tcPr>
            <w:tcW w:w="1083"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,120</w:t>
            </w:r>
          </w:p>
        </w:tc>
        <w:tc>
          <w:tcPr>
            <w:tcW w:w="851"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1</w:t>
            </w:r>
          </w:p>
        </w:tc>
        <w:tc>
          <w:tcPr>
            <w:tcW w:w="3027" w:type="dxa"/>
            <w:tcBorders>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jc w:val="center"/>
              <w:rPr>
                <w:rFonts w:ascii="Garamond" w:hAnsi="Garamond" w:cs="Arial"/>
                <w:sz w:val="24"/>
                <w:szCs w:val="24"/>
              </w:rPr>
            </w:pPr>
            <w:r w:rsidRPr="00686D8C">
              <w:rPr>
                <w:rFonts w:ascii="Garamond" w:hAnsi="Garamond" w:cs="Arial"/>
                <w:sz w:val="24"/>
                <w:szCs w:val="24"/>
              </w:rPr>
              <w:t>,729</w:t>
            </w:r>
          </w:p>
        </w:tc>
      </w:tr>
      <w:tr w:rsidR="00DC11BE" w:rsidRPr="00686D8C" w:rsidTr="004E3707">
        <w:trPr>
          <w:cantSplit/>
          <w:trHeight w:val="365"/>
        </w:trPr>
        <w:tc>
          <w:tcPr>
            <w:tcW w:w="3448" w:type="dxa"/>
            <w:tcBorders>
              <w:top w:val="single" w:sz="4" w:space="0" w:color="auto"/>
              <w:bottom w:val="single" w:sz="4"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N de Casos Válidos</w:t>
            </w:r>
          </w:p>
        </w:tc>
        <w:tc>
          <w:tcPr>
            <w:tcW w:w="4961" w:type="dxa"/>
            <w:gridSpan w:val="3"/>
            <w:tcBorders>
              <w:top w:val="single" w:sz="4" w:space="0" w:color="auto"/>
              <w:bottom w:val="single" w:sz="4" w:space="0" w:color="auto"/>
            </w:tcBorders>
            <w:shd w:val="clear" w:color="auto" w:fill="auto"/>
            <w:vAlign w:val="bottom"/>
          </w:tcPr>
          <w:p w:rsidR="00DC11BE" w:rsidRPr="00686D8C" w:rsidRDefault="00DC11BE" w:rsidP="004E3707">
            <w:pPr>
              <w:autoSpaceDE w:val="0"/>
              <w:autoSpaceDN w:val="0"/>
              <w:adjustRightInd w:val="0"/>
              <w:spacing w:line="240" w:lineRule="auto"/>
              <w:jc w:val="right"/>
              <w:rPr>
                <w:rFonts w:ascii="Garamond" w:hAnsi="Garamond" w:cs="Times New Roman"/>
                <w:sz w:val="24"/>
                <w:szCs w:val="24"/>
              </w:rPr>
            </w:pPr>
            <w:r w:rsidRPr="00686D8C">
              <w:rPr>
                <w:rFonts w:ascii="Garamond" w:hAnsi="Garamond" w:cs="Arial"/>
                <w:sz w:val="24"/>
                <w:szCs w:val="24"/>
              </w:rPr>
              <w:t>208</w:t>
            </w:r>
          </w:p>
        </w:tc>
      </w:tr>
      <w:tr w:rsidR="00DC11BE" w:rsidRPr="00686D8C" w:rsidTr="004E3707">
        <w:trPr>
          <w:cantSplit/>
          <w:trHeight w:val="387"/>
        </w:trPr>
        <w:tc>
          <w:tcPr>
            <w:tcW w:w="8409" w:type="dxa"/>
            <w:gridSpan w:val="4"/>
            <w:tcBorders>
              <w:top w:val="single" w:sz="4" w:space="0" w:color="auto"/>
              <w:bottom w:val="single" w:sz="12" w:space="0" w:color="auto"/>
            </w:tcBorders>
            <w:shd w:val="clear" w:color="auto" w:fill="auto"/>
          </w:tcPr>
          <w:p w:rsidR="00DC11BE" w:rsidRPr="00686D8C" w:rsidRDefault="00DC11BE" w:rsidP="004E3707">
            <w:pPr>
              <w:autoSpaceDE w:val="0"/>
              <w:autoSpaceDN w:val="0"/>
              <w:adjustRightInd w:val="0"/>
              <w:spacing w:line="320" w:lineRule="atLeast"/>
              <w:ind w:left="60" w:right="60"/>
              <w:rPr>
                <w:rFonts w:ascii="Garamond" w:hAnsi="Garamond" w:cs="Arial"/>
                <w:sz w:val="24"/>
                <w:szCs w:val="24"/>
              </w:rPr>
            </w:pPr>
            <w:r w:rsidRPr="00686D8C">
              <w:rPr>
                <w:rFonts w:ascii="Garamond" w:hAnsi="Garamond" w:cs="Arial"/>
                <w:sz w:val="24"/>
                <w:szCs w:val="24"/>
              </w:rPr>
              <w:t>a. 3 células (33,3%) esperavam uma contagem menor que 5. A contagem mínima esperada é ,43.</w:t>
            </w:r>
          </w:p>
        </w:tc>
      </w:tr>
    </w:tbl>
    <w:p w:rsidR="00686D8C" w:rsidRDefault="00686D8C" w:rsidP="00686D8C">
      <w:pPr>
        <w:pStyle w:val="Legenda"/>
        <w:keepNext/>
        <w:spacing w:before="120" w:after="120"/>
        <w:rPr>
          <w:rFonts w:ascii="Garamond" w:hAnsi="Garamond"/>
          <w:bCs/>
          <w:i w:val="0"/>
          <w:color w:val="auto"/>
          <w:sz w:val="20"/>
          <w:szCs w:val="20"/>
        </w:rPr>
      </w:pPr>
      <w:r w:rsidRPr="004E0B72">
        <w:rPr>
          <w:rFonts w:ascii="Garamond" w:hAnsi="Garamond"/>
          <w:b/>
          <w:i w:val="0"/>
          <w:color w:val="auto"/>
          <w:sz w:val="20"/>
          <w:szCs w:val="20"/>
        </w:rPr>
        <w:t xml:space="preserve">Fonte: </w:t>
      </w:r>
      <w:r w:rsidRPr="004E0B72">
        <w:rPr>
          <w:rFonts w:ascii="Garamond" w:hAnsi="Garamond"/>
          <w:bCs/>
          <w:i w:val="0"/>
          <w:color w:val="auto"/>
          <w:sz w:val="20"/>
          <w:szCs w:val="20"/>
        </w:rPr>
        <w:t>Elaboração própria.</w:t>
      </w:r>
    </w:p>
    <w:p w:rsidR="00DC11BE" w:rsidRPr="0094770E" w:rsidRDefault="00DC11BE" w:rsidP="006425F7">
      <w:pPr>
        <w:pStyle w:val="CorpoTexto"/>
      </w:pPr>
    </w:p>
    <w:p w:rsidR="00643822" w:rsidRPr="0094770E" w:rsidRDefault="00DC11BE" w:rsidP="007C204C">
      <w:pPr>
        <w:pStyle w:val="CorpoTexto"/>
      </w:pPr>
      <w:r w:rsidRPr="0094770E">
        <w:lastRenderedPageBreak/>
        <w:t xml:space="preserve">O valor do teste do Qui-Quadrado de </w:t>
      </w:r>
      <w:proofErr w:type="spellStart"/>
      <w:r w:rsidRPr="0094770E">
        <w:t>Pearson</w:t>
      </w:r>
      <w:proofErr w:type="spellEnd"/>
      <w:r w:rsidRPr="0094770E">
        <w:t xml:space="preserve"> é 2,760, com um nível de significância de 0,59. Na medida em que 59% é maior do que 5%, não rejeitamos a Hipótese nula. Logo, as variáveis não são independentes. Ou seja, conclui-se também com este teste que a satisfação do pessoal de contacto influencia as suas respostas emocionais às reclamações dos clientes. A hipótese verifica-se.</w:t>
      </w:r>
    </w:p>
    <w:p w:rsidR="00643822" w:rsidRPr="0094770E" w:rsidRDefault="00643822" w:rsidP="006425F7">
      <w:pPr>
        <w:pStyle w:val="CorpoTexto"/>
      </w:pPr>
    </w:p>
    <w:p w:rsidR="00DC11BE" w:rsidRPr="007C204C" w:rsidRDefault="00DC11BE" w:rsidP="007C204C">
      <w:pPr>
        <w:pStyle w:val="CorpoTexto"/>
        <w:rPr>
          <w:b/>
          <w:bCs/>
        </w:rPr>
      </w:pPr>
      <w:bookmarkStart w:id="90" w:name="_Toc37177067"/>
      <w:r w:rsidRPr="007C204C">
        <w:rPr>
          <w:b/>
          <w:bCs/>
        </w:rPr>
        <w:t>Conclusão da análise de resultados</w:t>
      </w:r>
      <w:bookmarkEnd w:id="90"/>
    </w:p>
    <w:p w:rsidR="00DC11BE" w:rsidRPr="0094770E" w:rsidRDefault="00DC11BE" w:rsidP="007C204C">
      <w:pPr>
        <w:pStyle w:val="CorpoTexto"/>
      </w:pPr>
      <w:r w:rsidRPr="0094770E">
        <w:t>Após o processo de recolha de dados iniciou-se a análise dos mesmos. O objetivo era perceber se os vários itens de motivação e da satisfação tinham uma influência positiva na resposta emocional do pessoal de contacto em resposta a reclamações de clientes. Na variável Motivação ganha particular realce o fator Afiliação e Sucesso e na variável Satisfação, o fator mais relevante é a relação com os superiores hierárquicos e os colegas de trabalho.</w:t>
      </w:r>
    </w:p>
    <w:p w:rsidR="00DC11BE" w:rsidRPr="0094770E" w:rsidRDefault="00DC11BE" w:rsidP="007C204C">
      <w:pPr>
        <w:pStyle w:val="CorpoTexto"/>
      </w:pPr>
      <w:r w:rsidRPr="0094770E">
        <w:t>A conjugação categorizada dos itens motivação e satisfação com as emoções positivas, também categorizadas, revelou a existência de uma correlação positiva entre ambas.</w:t>
      </w:r>
    </w:p>
    <w:p w:rsidR="00DC11BE" w:rsidRPr="0094770E" w:rsidRDefault="00DC11BE" w:rsidP="007C204C">
      <w:pPr>
        <w:pStyle w:val="CorpoTexto"/>
      </w:pPr>
      <w:r w:rsidRPr="0094770E">
        <w:t>Desta forma, foi possível confirmar as duas hipóteses levantadas para este estudo.</w:t>
      </w:r>
    </w:p>
    <w:p w:rsidR="00DC11BE" w:rsidRPr="0094770E" w:rsidRDefault="00DC11BE" w:rsidP="007C204C">
      <w:pPr>
        <w:pStyle w:val="CorpoTexto"/>
      </w:pPr>
      <w:r w:rsidRPr="0094770E">
        <w:t xml:space="preserve">Por conseguinte, os valores encontrados enfatizam, na variável motivação, os fatores sucesso e afiliação, ou seja, os valores observados vão de encontro ao perfil médio esperado da população portuguesa proposto por </w:t>
      </w:r>
      <w:r w:rsidRPr="0094770E">
        <w:rPr>
          <w:noProof/>
        </w:rPr>
        <w:t>McClelland (1988)</w:t>
      </w:r>
      <w:r w:rsidRPr="0094770E">
        <w:t xml:space="preserve"> e amplamente citado por </w:t>
      </w:r>
      <w:r w:rsidRPr="0094770E">
        <w:rPr>
          <w:noProof/>
        </w:rPr>
        <w:t xml:space="preserve">Rego </w:t>
      </w:r>
      <w:r w:rsidR="00984FA2" w:rsidRPr="0094770E">
        <w:rPr>
          <w:noProof/>
        </w:rPr>
        <w:t>e</w:t>
      </w:r>
      <w:r w:rsidRPr="0094770E">
        <w:rPr>
          <w:noProof/>
        </w:rPr>
        <w:t xml:space="preserve"> Carvalho (2002)</w:t>
      </w:r>
      <w:r w:rsidRPr="0094770E">
        <w:t xml:space="preserve">. Estes referem que em Portugal grande parte de população atribui maior importância ao sucesso e à afiliação e às relações em detrimento do poder. </w:t>
      </w:r>
    </w:p>
    <w:p w:rsidR="00DC11BE" w:rsidRPr="0094770E" w:rsidRDefault="00DC11BE" w:rsidP="007C204C">
      <w:pPr>
        <w:pStyle w:val="CorpoTexto"/>
      </w:pPr>
      <w:r w:rsidRPr="0094770E">
        <w:t xml:space="preserve">Deste modo, para a população deste estudo o motivo de sucesso advém do interesse frequente em realizar as tarefas de forma sensata e acertada ultrapassando, por vezes, os padrões de excelência, ou seja, estes indivíduos mostram eminente apetência para assumirem responsabilidades pessoais, descobrirem resoluções para os problemas e elegerem o feedback sobre o resultado do seu trabalho como forma de serem instruídos em relação ao seu desempenho laboral. Assim, estes indivíduos escolhem, na maioria das vezes, tarefas de dificuldade intermédia, procuram atingir objetivos </w:t>
      </w:r>
      <w:proofErr w:type="gramStart"/>
      <w:r w:rsidRPr="0094770E">
        <w:t>elevados</w:t>
      </w:r>
      <w:proofErr w:type="gramEnd"/>
      <w:r w:rsidRPr="0094770E">
        <w:t xml:space="preserve"> mas exequíveis, apresentam um comportamento positivo em relação à competitividade, são persistentes nas tarefas e tomam a iniciativa de começar novos projetos, mesmo enfrentando obstáculos ou dificuldades. No entanto, e embora revelem por vezes alguns sintomas de impaciência são geralmente bem-sucedidos como empreendedores </w:t>
      </w:r>
      <w:r w:rsidRPr="0094770E">
        <w:rPr>
          <w:noProof/>
        </w:rPr>
        <w:t>(Rego &amp; Carvalho, 2002)</w:t>
      </w:r>
      <w:r w:rsidRPr="0094770E">
        <w:t xml:space="preserve">. </w:t>
      </w:r>
    </w:p>
    <w:p w:rsidR="00DC11BE" w:rsidRPr="0094770E" w:rsidRDefault="00DC11BE" w:rsidP="007C204C">
      <w:pPr>
        <w:pStyle w:val="CorpoTexto"/>
      </w:pPr>
      <w:r w:rsidRPr="0094770E">
        <w:lastRenderedPageBreak/>
        <w:t xml:space="preserve">No mesmo sentido, os resultados obtidos revelam que os indivíduos que constituem a nossa amostra tendem a ser </w:t>
      </w:r>
      <w:proofErr w:type="spellStart"/>
      <w:r w:rsidRPr="0094770E">
        <w:t>afiliativos</w:t>
      </w:r>
      <w:proofErr w:type="spellEnd"/>
      <w:r w:rsidRPr="0094770E">
        <w:t xml:space="preserve"> uma vez que denotam um interesse reiterado em criar, manter ou repor relações afetivas positivas com outros indivíduos. Estes resultados vão de encontro aos resultados obtidos por outros investigadores, designadamente os encontrados por </w:t>
      </w:r>
      <w:r w:rsidRPr="0094770E">
        <w:rPr>
          <w:noProof/>
        </w:rPr>
        <w:t xml:space="preserve">Rego </w:t>
      </w:r>
      <w:r w:rsidR="00984FA2" w:rsidRPr="0094770E">
        <w:rPr>
          <w:noProof/>
        </w:rPr>
        <w:t>e</w:t>
      </w:r>
      <w:r w:rsidRPr="0094770E">
        <w:rPr>
          <w:noProof/>
        </w:rPr>
        <w:t xml:space="preserve"> Carvalho (2002)</w:t>
      </w:r>
      <w:r w:rsidRPr="0094770E">
        <w:t xml:space="preserve"> que mencionam que, os indivíduos motivados para a afiliação apreciam as redes de relações interpessoais, inclinam-se para o cooperativismo e conformam-se amiúde com o desejo dos outros, embora em situações em que se sintam ameaçados possam apresentar e manifestar irritação ou fúria e atuar defensivamente perante tais situações. No entanto refere-se que em amostras similares os resultados obtidos através destes instrumentos podem revelar algum pessimismo psicométrico, quer seja pela especificidade cultural dos inquiridos, quer pelas diferenças idiomáticas e de interpretação ou ainda por outras peculiaridades distintas de certas populações </w:t>
      </w:r>
      <w:r w:rsidRPr="0094770E">
        <w:rPr>
          <w:noProof/>
        </w:rPr>
        <w:t>(Rego &amp; Leite, 2003)</w:t>
      </w:r>
      <w:r w:rsidRPr="0094770E">
        <w:t xml:space="preserve">.  </w:t>
      </w:r>
    </w:p>
    <w:p w:rsidR="00DC11BE" w:rsidRPr="0094770E" w:rsidRDefault="00DC11BE" w:rsidP="007C204C">
      <w:pPr>
        <w:pStyle w:val="CorpoTexto"/>
      </w:pPr>
      <w:r w:rsidRPr="0094770E">
        <w:t xml:space="preserve">Relativamente à variável satisfação e sendo esta uma das componentes mais significativas do capital humano em contexto laboral, os resultados evidenciam que os inquiridos atribuem grande significado às relações com os seus superiores hierárquicos e a relação com os seus colegas de trabalho. Estes indicadores estão em consonância com as evidências manifestadas por </w:t>
      </w:r>
      <w:r w:rsidRPr="0094770E">
        <w:rPr>
          <w:noProof/>
        </w:rPr>
        <w:t>Patterson et al. (2010)</w:t>
      </w:r>
      <w:r w:rsidRPr="0094770E">
        <w:t xml:space="preserve"> que entendem o conceito de satisfação no trabalho como uma influência recíproca entre o conhecimento e o afeto, ou a interação entre a reflexão e os sentimentos, ou seja, segundo estes autores a satisfação laboral pode ser vista e ponderada como uma avaliação global do trabalho de cada um, considerando no entanto diversas dimensões, designadamente a satisfação com o salário, com os colegas de trabalho, com os superiores hierárquicos e com o próprio trabalho. Estes autores assinalam ainda que o conceito, por vezes subdivide-se em dois vetores, a satisfação intrínseca que abrange a satisfação com o próprio trabalho, com os colegas e com os superiores hierárquicos e a satisfação extrínseca relacionada com diferentes aspetos nomeadamente o salário e as promoções. Os resultados observados vão também de encontro aos trabalhos realizados por </w:t>
      </w:r>
      <w:r w:rsidRPr="0094770E">
        <w:rPr>
          <w:noProof/>
        </w:rPr>
        <w:t>Deshpande (1996)</w:t>
      </w:r>
      <w:r w:rsidRPr="0094770E">
        <w:t xml:space="preserve"> sobre o impacto do ambiente laboral nos vários aspetos da satisfação no trabalho. O autor refere que entre os diversos elementos de satisfação no trabalho, os indivíduos realçam o seu próprio trabalho em oposição aos salários que auferem, no entanto os inquiridos assinalam que um bom ambiente profissional influencia a satisfação geral no trabalho, nomeadamente a satisfação com as promoções e com os superiores hierárquicos, porque acreditam que se numa organização existir um ambiente agradável e amistoso isso proporciona-lhes mais satisfação com os seus supervisores. </w:t>
      </w:r>
      <w:r w:rsidRPr="0094770E">
        <w:rPr>
          <w:noProof/>
        </w:rPr>
        <w:t>Spagnoli et al. (2012)</w:t>
      </w:r>
      <w:r w:rsidRPr="0094770E">
        <w:t xml:space="preserve"> referem </w:t>
      </w:r>
      <w:r w:rsidRPr="0094770E">
        <w:lastRenderedPageBreak/>
        <w:t xml:space="preserve">também no seu estudo que após a implementação de novas estratégias na organização, tais como, benefícios sociais, sistemas de avaliação de desempenho, formação laboral e estratégias de comunicação, contribuíram para um melhor desempenho laboral especialmente nas vertentes satisfação com as recompensas e satisfação com as práticas de gestão e ambiente organizacional, embora verificassem também que a satisfação com o trabalho propriamente dita tenha diminuído. No entanto, em analogia com as relações pessoais e as premissas de satisfação laboral, os dados parecem não ser consistentes em todos os estudos. Porém, segundo </w:t>
      </w:r>
      <w:r w:rsidRPr="0094770E">
        <w:rPr>
          <w:noProof/>
        </w:rPr>
        <w:t>Zalewska (1999)</w:t>
      </w:r>
      <w:r w:rsidRPr="0094770E">
        <w:t xml:space="preserve"> a importância dos valores, designadamente as relações sociais, afetam a satisfação geral no trabalho nomeadamente com os colegas, com os superiores hierárquicos e com as condições laborais, referindo, no entanto, que estes indicadores estão provavelmente condicionados pelos valores e objetivos culturais da amostra e da especificidade dos locais onde trabalham. Para a autora, os indivíduos com baixa habilidade reativa (LR – </w:t>
      </w:r>
      <w:proofErr w:type="spellStart"/>
      <w:r w:rsidRPr="0094770E">
        <w:rPr>
          <w:i/>
        </w:rPr>
        <w:t>low</w:t>
      </w:r>
      <w:proofErr w:type="spellEnd"/>
      <w:r w:rsidRPr="0094770E">
        <w:rPr>
          <w:i/>
        </w:rPr>
        <w:t xml:space="preserve"> in </w:t>
      </w:r>
      <w:proofErr w:type="spellStart"/>
      <w:r w:rsidRPr="0094770E">
        <w:rPr>
          <w:i/>
        </w:rPr>
        <w:t>reactivity</w:t>
      </w:r>
      <w:proofErr w:type="spellEnd"/>
      <w:r w:rsidRPr="0094770E">
        <w:t xml:space="preserve">) são mais orientados para os aspetos físicos do ambiente e, neste pressuposto, relevam na satisfação para o trabalho os aspetos relacionados com os salários e a segurança, ao passo que os indivíduos com elevada habilidade reativa (HR – </w:t>
      </w:r>
      <w:proofErr w:type="spellStart"/>
      <w:r w:rsidRPr="0094770E">
        <w:rPr>
          <w:i/>
        </w:rPr>
        <w:t>high</w:t>
      </w:r>
      <w:proofErr w:type="spellEnd"/>
      <w:r w:rsidRPr="0094770E">
        <w:rPr>
          <w:i/>
        </w:rPr>
        <w:t xml:space="preserve"> in </w:t>
      </w:r>
      <w:proofErr w:type="spellStart"/>
      <w:r w:rsidRPr="0094770E">
        <w:rPr>
          <w:i/>
        </w:rPr>
        <w:t>reactivity</w:t>
      </w:r>
      <w:proofErr w:type="spellEnd"/>
      <w:r w:rsidRPr="0094770E">
        <w:t xml:space="preserve">) necessitam de um menor grau de estimulação para se sentirem bem e evidenciam a satisfação para o trabalho com as relações entre os colegas, os superiores hierárquicos e as condições laborais.  </w:t>
      </w:r>
    </w:p>
    <w:p w:rsidR="00DC11BE" w:rsidRPr="0094770E" w:rsidRDefault="00DC11BE" w:rsidP="007C204C">
      <w:pPr>
        <w:pStyle w:val="CorpoTexto"/>
      </w:pPr>
      <w:r w:rsidRPr="0094770E">
        <w:t xml:space="preserve">Por último, neste estudo pretendeu-se avaliar se a conjugação categorizada das variáveis motivação e satisfação com as emoções positivas categorizadas evidenciavam a existência de uma correlação positiva entre ambas. A análise e a observação dos resultados permitiram afirmar que sim. </w:t>
      </w:r>
    </w:p>
    <w:p w:rsidR="00DC11BE" w:rsidRPr="0094770E" w:rsidRDefault="00DC11BE" w:rsidP="007C204C">
      <w:pPr>
        <w:pStyle w:val="CorpoTexto"/>
      </w:pPr>
      <w:r w:rsidRPr="0094770E">
        <w:t xml:space="preserve">Deste modo, os resultados obtidos vão de encontro aos estudos efetuados por </w:t>
      </w:r>
      <w:r w:rsidRPr="0094770E">
        <w:rPr>
          <w:noProof/>
        </w:rPr>
        <w:t xml:space="preserve">Owen, Videras, </w:t>
      </w:r>
      <w:r w:rsidR="00984FA2" w:rsidRPr="0094770E">
        <w:rPr>
          <w:noProof/>
        </w:rPr>
        <w:t>e</w:t>
      </w:r>
      <w:r w:rsidRPr="0094770E">
        <w:rPr>
          <w:noProof/>
        </w:rPr>
        <w:t xml:space="preserve"> Willemsen (2008)</w:t>
      </w:r>
      <w:r w:rsidRPr="0094770E">
        <w:t xml:space="preserve"> que evidenciam uma relação significativamente positiva entre a satisfação no trabalho e a satisfação com a vida. Estes autores afirmam que uma das principais razões desta ocorrência está relacionada com o facto de os indivíduos permanecerem a maior parte do tempo da sua vida no local de trabalho, representando este uma parte expressiva da sua vida. Assim, e uma vez que os estados emocionais positivos têm origem na conquista de melhores e mais razoáveis desempenhos laborais, é relevante desenvolverem-se e promoverem-se nas organizações emoções e pensamentos positivos, uma vez que estes podem fazer a diferença em contexto organizacional. No mesmo sentido vão as opiniões de </w:t>
      </w:r>
      <w:r w:rsidRPr="0094770E">
        <w:rPr>
          <w:noProof/>
        </w:rPr>
        <w:t xml:space="preserve">Wright </w:t>
      </w:r>
      <w:r w:rsidR="00984FA2" w:rsidRPr="0094770E">
        <w:rPr>
          <w:noProof/>
        </w:rPr>
        <w:t>e</w:t>
      </w:r>
      <w:r w:rsidRPr="0094770E">
        <w:rPr>
          <w:noProof/>
        </w:rPr>
        <w:t xml:space="preserve"> Cropanzano (2004)</w:t>
      </w:r>
      <w:r w:rsidRPr="0094770E">
        <w:t xml:space="preserve"> que sintetizaram os efeitos positivos das </w:t>
      </w:r>
      <w:r w:rsidRPr="0094770E">
        <w:lastRenderedPageBreak/>
        <w:t xml:space="preserve">emoções positivas assegurando que os colaboradores mais felizes tornam-se mais capazes, são mais expansivos e constroem mais relações, transformando-se em indivíduos mais criativos, resilientes, socialmente interligados, física e mentalmente mais saudáveis e consequentemente mais produtivos. No entanto, como refere </w:t>
      </w:r>
      <w:r w:rsidRPr="0094770E">
        <w:rPr>
          <w:noProof/>
        </w:rPr>
        <w:t>van Kleef (2014)</w:t>
      </w:r>
      <w:r w:rsidRPr="0094770E">
        <w:t xml:space="preserve"> as emoções têm um efeito universal no comportamento das organizações, isto é, as emoções, quando expressas, não influenciam unicamente as ações dos indivíduos, mas também exercem influência nos outros elementos da organização, que percecionam essas emoções. Para o autor, as expressões emocionais têm efeitos simétricos, uma vez que as expressões positivas podem ser vantajosas para quem as expressa, ao passo que as expressões negativas geram resultados desfavoráveis. Noutros </w:t>
      </w:r>
      <w:r w:rsidR="00D46F56" w:rsidRPr="0094770E">
        <w:t>casos,</w:t>
      </w:r>
      <w:r w:rsidRPr="0094770E">
        <w:t xml:space="preserve"> porém, refere o autor, os efeitos podem ser assimétricos, visto que determinadas expressões emocionais negativas dão origem a resultados benéficos para os indivíduos que as expressam, ao mesmo tempo que expressões positivas originam efeitos adversos. Neste pressuposto, </w:t>
      </w:r>
      <w:r w:rsidRPr="0094770E">
        <w:rPr>
          <w:noProof/>
        </w:rPr>
        <w:t>Silverblatt (2010)</w:t>
      </w:r>
      <w:r w:rsidRPr="0094770E">
        <w:t xml:space="preserve"> admite que determinadas ações, mesmo sem grande relevância, podem gerar efeitos muito positivos, com os quais se podem adquirir emoções positivas que, na maioria das vezes, operam como um expediente para as emoções negativas e, deste modo, se o colaborador aprender a ampliar os seus níveis de emoções positivas vai experienciar menos </w:t>
      </w:r>
      <w:r w:rsidRPr="0094770E">
        <w:rPr>
          <w:i/>
        </w:rPr>
        <w:t>stress</w:t>
      </w:r>
      <w:r w:rsidRPr="0094770E">
        <w:t xml:space="preserve"> e tornar-se mais resiliente.</w:t>
      </w:r>
    </w:p>
    <w:p w:rsidR="00DC11BE" w:rsidRPr="0094770E" w:rsidRDefault="00DC11BE" w:rsidP="007C204C">
      <w:pPr>
        <w:pStyle w:val="CorpoTexto"/>
      </w:pPr>
      <w:r w:rsidRPr="0094770E">
        <w:t xml:space="preserve">Assim, embora a satisfação no trabalho possa ser referida como um estado emocional positivo ou de prazer que advém da apreciação do trabalho ou das experiências proporcionadas por este, ou ainda pelas expectativas fundadas nas necessidades e nos valores do indivíduo associados ao trabalho sendo, neste sentido, um estado emocional positivo consequente da perceção subjetiva dos experimentos laborais como colaborador </w:t>
      </w:r>
      <w:r w:rsidRPr="0094770E">
        <w:rPr>
          <w:noProof/>
        </w:rPr>
        <w:t>(E. Locke, 1976)</w:t>
      </w:r>
      <w:r w:rsidRPr="0094770E">
        <w:t xml:space="preserve">, esta geralmente explica-se em termos afetivos, ao passo que, a motivação para o trabalho está relacionada com a avaliação sobre a relevância do trabalho e dos resultados daí expectáveis para os indivíduos, desta forma a motivação expõe a tensão criada por uma necessidade e a satisfação revela o sentimento de atendimento da necessidade </w:t>
      </w:r>
      <w:r w:rsidRPr="0094770E">
        <w:rPr>
          <w:noProof/>
        </w:rPr>
        <w:t>(M. Martinez &amp; Paraguay, 2003)</w:t>
      </w:r>
      <w:r w:rsidRPr="0094770E">
        <w:t xml:space="preserve">. Em suma, para que haja satisfação é necessário ter existido motivação e, neste pressuposto a satisfação pode ser estimada como um revelador de motivação. Por conseguinte, quando os colaboradores falam de motivação, o que pretendem na realidade é mais satisfação, ou seja o indivíduo tende a procurar um trabalho que para além de o motivar seja do seu interesse, daí que a satisfação no trabalho possa ser designada como um estado afetivo positivo que resulta do juízo do emprego ou das experiências a ele conexas </w:t>
      </w:r>
      <w:r w:rsidR="000D1374" w:rsidRPr="0094770E">
        <w:rPr>
          <w:noProof/>
        </w:rPr>
        <w:t>(</w:t>
      </w:r>
      <w:r w:rsidRPr="0094770E">
        <w:rPr>
          <w:noProof/>
        </w:rPr>
        <w:t>Locke, 1976)</w:t>
      </w:r>
      <w:r w:rsidRPr="0094770E">
        <w:t xml:space="preserve">. Deste modo, e servindo de mote para a escolha das emoções positivas e a sua </w:t>
      </w:r>
      <w:r w:rsidRPr="0094770E">
        <w:lastRenderedPageBreak/>
        <w:t xml:space="preserve">correlação com a motivação e a satisfação no trabalho, salientam-se os estudos de </w:t>
      </w:r>
      <w:r w:rsidRPr="0094770E">
        <w:rPr>
          <w:noProof/>
        </w:rPr>
        <w:t xml:space="preserve">Srivastava </w:t>
      </w:r>
      <w:r w:rsidR="00984FA2" w:rsidRPr="0094770E">
        <w:rPr>
          <w:noProof/>
        </w:rPr>
        <w:t>e</w:t>
      </w:r>
      <w:r w:rsidRPr="0094770E">
        <w:rPr>
          <w:noProof/>
        </w:rPr>
        <w:t xml:space="preserve"> Kakkar (2008)</w:t>
      </w:r>
      <w:r w:rsidRPr="0094770E">
        <w:t xml:space="preserve"> e de </w:t>
      </w:r>
      <w:r w:rsidRPr="0094770E">
        <w:rPr>
          <w:noProof/>
        </w:rPr>
        <w:t xml:space="preserve">Hitka </w:t>
      </w:r>
      <w:r w:rsidR="00984FA2" w:rsidRPr="0094770E">
        <w:rPr>
          <w:noProof/>
        </w:rPr>
        <w:t>e</w:t>
      </w:r>
      <w:r w:rsidRPr="0094770E">
        <w:rPr>
          <w:noProof/>
        </w:rPr>
        <w:t xml:space="preserve"> Balážová (2015)</w:t>
      </w:r>
      <w:r w:rsidRPr="0094770E">
        <w:t xml:space="preserve"> que mencionam que um colaborador motivado é particularmente um apaixonado naquilo que realiza, visto que desenvolve e analisa com mais aptidão as competências de relacionamento, negociação e criatividade, ou seja, torna-se um colaborador mais satisfeito e mais produtivo no seio de uma organização. Para além disso, referem os autores, estes colaboradores podem persuadir e serem um exemplo para </w:t>
      </w:r>
      <w:r w:rsidRPr="007C204C">
        <w:t>outros indivíduos uma vez que disseminam emoções positivas. Por conseguinte, e visto que, os colaboradores são geradores de qualidade, estes devem estar, dentro das possibilidades, o mais satisfeitos e motivados, de modo a cumprirem as suas tarefas com elevada qualidade.</w:t>
      </w:r>
      <w:r w:rsidRPr="0094770E">
        <w:t xml:space="preserve">          </w:t>
      </w:r>
    </w:p>
    <w:p w:rsidR="00DC11BE" w:rsidRPr="0094770E" w:rsidRDefault="00DC11BE" w:rsidP="00050136">
      <w:pPr>
        <w:pStyle w:val="Nvel22"/>
      </w:pPr>
    </w:p>
    <w:p w:rsidR="00AC1306" w:rsidRDefault="00AC1306">
      <w:pPr>
        <w:rPr>
          <w:rFonts w:ascii="Garamond" w:eastAsiaTheme="majorEastAsia" w:hAnsi="Garamond" w:cs="Times New Roman"/>
          <w:b/>
          <w:sz w:val="28"/>
          <w:szCs w:val="28"/>
        </w:rPr>
      </w:pPr>
      <w:bookmarkStart w:id="91" w:name="_Toc37177068"/>
      <w:r>
        <w:br w:type="page"/>
      </w:r>
    </w:p>
    <w:p w:rsidR="00DC11BE" w:rsidRPr="0094770E" w:rsidRDefault="00DC11BE" w:rsidP="00A32A19">
      <w:pPr>
        <w:pStyle w:val="Nivel1"/>
      </w:pPr>
      <w:bookmarkStart w:id="92" w:name="_Toc46678988"/>
      <w:r w:rsidRPr="0094770E">
        <w:lastRenderedPageBreak/>
        <w:t>Conclusão</w:t>
      </w:r>
      <w:bookmarkEnd w:id="91"/>
      <w:bookmarkEnd w:id="92"/>
    </w:p>
    <w:p w:rsidR="00DC11BE" w:rsidRPr="0094770E" w:rsidRDefault="00DC11BE" w:rsidP="007C204C">
      <w:pPr>
        <w:pStyle w:val="CorpoTexto"/>
      </w:pPr>
      <w:r w:rsidRPr="0094770E">
        <w:t>Neste último capítulo são, então, apresentadas as principais conclusões, num contexto geral, retiradas desta dissertação, são inumeradas contribuições desta para a literatura e gestão que servirão de mote, e em jeito de conclusão, para a exposição de alguma limitações e possibilidades de investigação futura.</w:t>
      </w:r>
    </w:p>
    <w:p w:rsidR="00DC11BE" w:rsidRPr="0094770E" w:rsidRDefault="00DC11BE" w:rsidP="007C204C">
      <w:pPr>
        <w:pStyle w:val="CorpoTexto"/>
        <w:rPr>
          <w:rFonts w:cs="Times New Roman"/>
          <w:szCs w:val="24"/>
        </w:rPr>
      </w:pPr>
      <w:r w:rsidRPr="0094770E">
        <w:rPr>
          <w:rFonts w:cs="Times New Roman"/>
          <w:szCs w:val="24"/>
        </w:rPr>
        <w:t xml:space="preserve">É crescente a imposição feita às empresas de serviços para a entrega de um serviço de excelência ao cliente </w:t>
      </w:r>
      <w:r w:rsidRPr="0094770E">
        <w:rPr>
          <w:rFonts w:cs="Times New Roman"/>
          <w:noProof/>
          <w:szCs w:val="24"/>
        </w:rPr>
        <w:t>(Lind et al., 1990)</w:t>
      </w:r>
      <w:r w:rsidRPr="0094770E">
        <w:rPr>
          <w:rFonts w:cs="Times New Roman"/>
          <w:szCs w:val="24"/>
        </w:rPr>
        <w:t xml:space="preserve"> e, numa economia competitiva e incerta, as organizações procuram incessantemente novas ideias e estratégias, menos tradicionais, para obter uma vantagem competitiva </w:t>
      </w:r>
      <w:r w:rsidRPr="0094770E">
        <w:rPr>
          <w:rFonts w:cs="Times New Roman"/>
          <w:noProof/>
          <w:szCs w:val="24"/>
        </w:rPr>
        <w:t>(Grant, 2011; Morrison, 2011)</w:t>
      </w:r>
      <w:r w:rsidRPr="0094770E">
        <w:rPr>
          <w:rFonts w:cs="Times New Roman"/>
          <w:szCs w:val="24"/>
        </w:rPr>
        <w:t>.</w:t>
      </w:r>
    </w:p>
    <w:p w:rsidR="00DC11BE" w:rsidRPr="0094770E" w:rsidRDefault="00DC11BE" w:rsidP="007C204C">
      <w:pPr>
        <w:pStyle w:val="CorpoTexto"/>
        <w:rPr>
          <w:rFonts w:cs="Times New Roman"/>
          <w:szCs w:val="24"/>
        </w:rPr>
      </w:pPr>
      <w:r w:rsidRPr="0094770E">
        <w:rPr>
          <w:rFonts w:cs="Times New Roman"/>
          <w:szCs w:val="24"/>
        </w:rPr>
        <w:t xml:space="preserve">De forma a se fazerem evidenciar no competitivo mundo dos negócios, as organizações desdobram-se em esforços para oferecer um atendimento de topo aos seus clientes </w:t>
      </w:r>
      <w:r w:rsidRPr="0094770E">
        <w:rPr>
          <w:rFonts w:cs="Times New Roman"/>
          <w:noProof/>
          <w:szCs w:val="24"/>
        </w:rPr>
        <w:t>(Lanza et al., 2009)</w:t>
      </w:r>
      <w:r w:rsidRPr="0094770E">
        <w:rPr>
          <w:rFonts w:cs="Times New Roman"/>
          <w:szCs w:val="24"/>
        </w:rPr>
        <w:t>.</w:t>
      </w:r>
    </w:p>
    <w:p w:rsidR="00DC11BE" w:rsidRPr="0094770E" w:rsidRDefault="00DC11BE" w:rsidP="007C204C">
      <w:pPr>
        <w:pStyle w:val="CorpoTexto"/>
      </w:pPr>
      <w:r w:rsidRPr="0094770E">
        <w:t>Este estudo poderá apresentar algumas limitações, nomeadamente ao nível da amostra. O objetivo será obter uma amostra mais heterógena e que possibilite a extrapolação do resultado para a população em geral, mas que, por vezes, pode ficar condicionada a determinados fatores como a concentração geográfica, faixas etárias pouco diversas ou prevalência de género, por exemplo. Apesar destas possíveis limitações espera-se que exista uma consistência dos resultados do presente estudo com a literatura existente e analisada previamente.</w:t>
      </w:r>
    </w:p>
    <w:p w:rsidR="00DC11BE" w:rsidRPr="0094770E" w:rsidRDefault="00DC11BE" w:rsidP="007C204C">
      <w:pPr>
        <w:pStyle w:val="CorpoTexto"/>
      </w:pPr>
      <w:r w:rsidRPr="0094770E">
        <w:t xml:space="preserve">Como prolongamento do presente estudo, poderia ser interessante comparar as perceções do pessoal de contacto relativamente aos fatores motivação e satisfação com as perceções dos gestores de topo das empresas/instituições de forma a analisar quais os </w:t>
      </w:r>
      <w:proofErr w:type="spellStart"/>
      <w:r w:rsidRPr="0094770E">
        <w:t>sub-fatores</w:t>
      </w:r>
      <w:proofErr w:type="spellEnd"/>
      <w:r w:rsidRPr="0094770E">
        <w:t xml:space="preserve"> que obtém maior concentração entre as duas partes.</w:t>
      </w:r>
    </w:p>
    <w:p w:rsidR="00DC11BE" w:rsidRPr="0094770E" w:rsidRDefault="00DC11BE" w:rsidP="007C204C">
      <w:pPr>
        <w:pStyle w:val="CorpoTexto"/>
      </w:pPr>
      <w:r w:rsidRPr="0094770E">
        <w:t>Em futuros estudos seria também interessante analisar a influência de outros fatores organizacionais, para além da satisfação e motivação, nas respostas do pessoal de contacto e da sua perspetiva.</w:t>
      </w:r>
    </w:p>
    <w:p w:rsidR="00DC11BE" w:rsidRPr="0094770E" w:rsidRDefault="00DC11BE" w:rsidP="004E3707">
      <w:pPr>
        <w:rPr>
          <w:rFonts w:ascii="Garamond" w:hAnsi="Garamond"/>
          <w:b/>
          <w:sz w:val="24"/>
        </w:rPr>
      </w:pPr>
      <w:r w:rsidRPr="0094770E">
        <w:br w:type="page"/>
      </w:r>
    </w:p>
    <w:p w:rsidR="00DC11BE" w:rsidRPr="0094770E" w:rsidRDefault="00DC11BE" w:rsidP="00A32A19">
      <w:pPr>
        <w:pStyle w:val="Nivel1"/>
      </w:pPr>
      <w:bookmarkStart w:id="93" w:name="_Toc37177069"/>
      <w:bookmarkStart w:id="94" w:name="_Toc46678989"/>
      <w:r w:rsidRPr="0094770E">
        <w:lastRenderedPageBreak/>
        <w:t>Referências bibliográficas</w:t>
      </w:r>
      <w:bookmarkEnd w:id="93"/>
      <w:bookmarkEnd w:id="94"/>
    </w:p>
    <w:p w:rsidR="00DC11BE" w:rsidRPr="00095BC8" w:rsidRDefault="00DC11BE" w:rsidP="005D6333">
      <w:pPr>
        <w:pStyle w:val="EndNoteBibliography"/>
        <w:ind w:left="720" w:hanging="720"/>
      </w:pPr>
      <w:r w:rsidRPr="00D77886">
        <w:t xml:space="preserve">Ahmad, K., Jasimuddin, S., &amp; Kee, W. (2018). </w:t>
      </w:r>
      <w:r w:rsidRPr="00095BC8">
        <w:t xml:space="preserve">Organizational climate and job satisfaction: do employees’ personalities matter? </w:t>
      </w:r>
      <w:r w:rsidRPr="00095BC8">
        <w:rPr>
          <w:i/>
        </w:rPr>
        <w:t>Management Decision, 56</w:t>
      </w:r>
      <w:r w:rsidR="005D6333" w:rsidRPr="00095BC8">
        <w:t>(2), 421-440. doi:</w:t>
      </w:r>
      <w:r w:rsidRPr="00095BC8">
        <w:t>10.1108/md-10-2016-0713</w:t>
      </w:r>
    </w:p>
    <w:p w:rsidR="00DC11BE" w:rsidRPr="00095BC8" w:rsidRDefault="00DC11BE" w:rsidP="005D6333">
      <w:pPr>
        <w:pStyle w:val="EndNoteBibliography"/>
        <w:ind w:left="720" w:hanging="720"/>
      </w:pPr>
      <w:r w:rsidRPr="00095BC8">
        <w:t xml:space="preserve">Altinay, L., Altinay, E., &amp; Gannon, J. (2008). Exploring the relationship between the human resource management practices and growth in small service firms. </w:t>
      </w:r>
      <w:r w:rsidRPr="00095BC8">
        <w:rPr>
          <w:i/>
        </w:rPr>
        <w:t>Service Industries Journal, 28</w:t>
      </w:r>
      <w:r w:rsidRPr="00095BC8">
        <w:t>(7), 919-937. doi:</w:t>
      </w:r>
      <w:r w:rsidRPr="00095BC8">
        <w:rPr>
          <w:rStyle w:val="Hiperligao"/>
          <w:color w:val="auto"/>
          <w:u w:val="none"/>
        </w:rPr>
        <w:t>https://doi.org/10.1080/02642060701846804</w:t>
      </w:r>
    </w:p>
    <w:p w:rsidR="00DC11BE" w:rsidRPr="00095BC8" w:rsidRDefault="00DC11BE" w:rsidP="005D6333">
      <w:pPr>
        <w:pStyle w:val="EndNoteBibliography"/>
        <w:ind w:left="720" w:hanging="720"/>
      </w:pPr>
      <w:r w:rsidRPr="00095BC8">
        <w:t xml:space="preserve">Arvey, R., Carter, G., &amp; Buerkley, D. (1991). Job Satisfaction: Dispositional and Situational Influences. In C. L. Cooper &amp; I. T. Robertson (Eds.), </w:t>
      </w:r>
      <w:r w:rsidRPr="00095BC8">
        <w:rPr>
          <w:i/>
        </w:rPr>
        <w:t>International Review of Industrial and Organizational Psychology</w:t>
      </w:r>
      <w:r w:rsidRPr="00095BC8">
        <w:t xml:space="preserve"> (Vol. 6, pp. 359–383). New Jersey, EUA: John Wiley &amp; Sons.</w:t>
      </w:r>
    </w:p>
    <w:p w:rsidR="00DC11BE" w:rsidRPr="00095BC8" w:rsidRDefault="00DC11BE" w:rsidP="005D6333">
      <w:pPr>
        <w:pStyle w:val="EndNoteBibliography"/>
        <w:ind w:left="720" w:hanging="720"/>
      </w:pPr>
      <w:r w:rsidRPr="00095BC8">
        <w:t xml:space="preserve">Ashforth, B., &amp; Humphrey, R. (1995). Emotion in the Workplace: A Reappraisal. </w:t>
      </w:r>
      <w:r w:rsidRPr="00095BC8">
        <w:rPr>
          <w:i/>
        </w:rPr>
        <w:t>Human Relations, 48</w:t>
      </w:r>
      <w:r w:rsidRPr="00095BC8">
        <w:t>(2), 97-125. doi:10.1177/001872679504800201</w:t>
      </w:r>
    </w:p>
    <w:p w:rsidR="00DC11BE" w:rsidRPr="00095BC8" w:rsidRDefault="00DC11BE" w:rsidP="005D6333">
      <w:pPr>
        <w:pStyle w:val="EndNoteBibliography"/>
        <w:ind w:left="720" w:hanging="720"/>
      </w:pPr>
      <w:r w:rsidRPr="00095BC8">
        <w:t xml:space="preserve">Ashkanasy, N., Hartel, C., &amp; Daus, C. (2002). Diversity and emotion: The new frontiers in organizational behavior research. </w:t>
      </w:r>
      <w:r w:rsidRPr="00095BC8">
        <w:rPr>
          <w:i/>
        </w:rPr>
        <w:t>Journal of Management, 28</w:t>
      </w:r>
      <w:r w:rsidRPr="00095BC8">
        <w:t>(3), 307-338. doi:10.1177/014920630202800304</w:t>
      </w:r>
    </w:p>
    <w:p w:rsidR="00DC11BE" w:rsidRPr="00095BC8" w:rsidRDefault="00DC11BE" w:rsidP="005D6333">
      <w:pPr>
        <w:pStyle w:val="EndNoteBibliography"/>
        <w:ind w:left="720" w:hanging="720"/>
      </w:pPr>
      <w:r w:rsidRPr="00095BC8">
        <w:t xml:space="preserve">Ayers, G., &amp; Griffin, J. (1997). The future role of defibrillators in the management of atrial fibrillation. </w:t>
      </w:r>
      <w:r w:rsidRPr="00095BC8">
        <w:rPr>
          <w:i/>
        </w:rPr>
        <w:t>Current Opinion in Cardiology, 12</w:t>
      </w:r>
      <w:r w:rsidRPr="00095BC8">
        <w:t>(1), 12-17. doi:10.1097/00001573-199701000-00003</w:t>
      </w:r>
    </w:p>
    <w:p w:rsidR="00DC11BE" w:rsidRPr="00095BC8" w:rsidRDefault="00DC11BE" w:rsidP="005D6333">
      <w:pPr>
        <w:pStyle w:val="EndNoteBibliography"/>
        <w:ind w:left="720" w:hanging="720"/>
      </w:pPr>
      <w:r w:rsidRPr="00095BC8">
        <w:t xml:space="preserve">Bagozzi, R., Gopinath, M., &amp; Nyer, P. (1999). The role of emotions in marketing. </w:t>
      </w:r>
      <w:r w:rsidRPr="00095BC8">
        <w:rPr>
          <w:i/>
        </w:rPr>
        <w:t>Journal of the Academy of Marketing Science, 27</w:t>
      </w:r>
      <w:r w:rsidRPr="00095BC8">
        <w:t>(2), 184-206. doi:10.1177/0092070399272005</w:t>
      </w:r>
    </w:p>
    <w:p w:rsidR="00DC11BE" w:rsidRPr="00095BC8" w:rsidRDefault="00DC11BE" w:rsidP="005D6333">
      <w:pPr>
        <w:pStyle w:val="EndNoteBibliography"/>
        <w:ind w:left="720" w:hanging="720"/>
      </w:pPr>
      <w:r w:rsidRPr="00095BC8">
        <w:t xml:space="preserve">Barlow, J., &amp; Moller, C. (2008). </w:t>
      </w:r>
      <w:r w:rsidRPr="00095BC8">
        <w:rPr>
          <w:i/>
        </w:rPr>
        <w:t>A complaint is a gift: Recovering Customer Loyalty When Things Go Wrong</w:t>
      </w:r>
      <w:r w:rsidRPr="00095BC8">
        <w:t>. San Francisco: Berrett-Koehler Publishers.</w:t>
      </w:r>
    </w:p>
    <w:p w:rsidR="00DC11BE" w:rsidRPr="00095BC8" w:rsidRDefault="00DC11BE" w:rsidP="005D6333">
      <w:pPr>
        <w:pStyle w:val="EndNoteBibliography"/>
        <w:ind w:left="720" w:hanging="720"/>
      </w:pPr>
      <w:r w:rsidRPr="00095BC8">
        <w:t xml:space="preserve">Barsky, J. (2002). Evoking emotion: affective keys to hotel loyalty. </w:t>
      </w:r>
      <w:r w:rsidRPr="00095BC8">
        <w:rPr>
          <w:i/>
        </w:rPr>
        <w:t>The Cornell Hotel and Restaurant Administration Quarterly, 43</w:t>
      </w:r>
      <w:r w:rsidRPr="00095BC8">
        <w:t>(1), 39-46. doi:10.1016/s0010-8804(02)80007-6</w:t>
      </w:r>
    </w:p>
    <w:p w:rsidR="00DC11BE" w:rsidRPr="0094770E" w:rsidRDefault="00DC11BE" w:rsidP="005D6333">
      <w:pPr>
        <w:pStyle w:val="EndNoteBibliography"/>
        <w:ind w:left="720" w:hanging="720"/>
        <w:rPr>
          <w:lang w:val="pt-PT"/>
        </w:rPr>
      </w:pPr>
      <w:r w:rsidRPr="00095BC8">
        <w:t xml:space="preserve">Bateson, J., &amp; Hoffman, K. (2001). </w:t>
      </w:r>
      <w:r w:rsidRPr="0094770E">
        <w:rPr>
          <w:i/>
          <w:lang w:val="pt-PT"/>
        </w:rPr>
        <w:t>Marketing de serviços</w:t>
      </w:r>
      <w:r w:rsidRPr="0094770E">
        <w:rPr>
          <w:lang w:val="pt-PT"/>
        </w:rPr>
        <w:t>. Porto Alegre: Bookman.</w:t>
      </w:r>
    </w:p>
    <w:p w:rsidR="00DC11BE" w:rsidRPr="00095BC8" w:rsidRDefault="00DC11BE" w:rsidP="005D6333">
      <w:pPr>
        <w:pStyle w:val="EndNoteBibliography"/>
        <w:ind w:left="720" w:hanging="720"/>
      </w:pPr>
      <w:r w:rsidRPr="0094770E">
        <w:rPr>
          <w:lang w:val="pt-PT"/>
        </w:rPr>
        <w:t xml:space="preserve">Battaglia, D., &amp; Borchardt, M. (2010). Análise do processo de recuperação de serviços a partir das reclamações dos clientes: estudo de caso em três organizações. </w:t>
      </w:r>
      <w:r w:rsidRPr="00095BC8">
        <w:rPr>
          <w:i/>
        </w:rPr>
        <w:t>Production, 20</w:t>
      </w:r>
      <w:r w:rsidRPr="00095BC8">
        <w:t>(3), 455-470. doi:10.1590/S0103-65132010005000028</w:t>
      </w:r>
    </w:p>
    <w:p w:rsidR="00DC11BE" w:rsidRPr="00095BC8" w:rsidRDefault="00DC11BE" w:rsidP="005D6333">
      <w:pPr>
        <w:pStyle w:val="EndNoteBibliography"/>
        <w:ind w:left="720" w:hanging="720"/>
      </w:pPr>
      <w:r w:rsidRPr="00095BC8">
        <w:t xml:space="preserve">Becker, G. (1993). Nobel Lecture - the Economic Way of Looking at Behavior. </w:t>
      </w:r>
      <w:r w:rsidRPr="00095BC8">
        <w:rPr>
          <w:i/>
        </w:rPr>
        <w:t>Journal of Political Economy, 101</w:t>
      </w:r>
      <w:r w:rsidRPr="00095BC8">
        <w:t>(3), 385-409. doi:10.1086/261880</w:t>
      </w:r>
    </w:p>
    <w:p w:rsidR="00DC11BE" w:rsidRPr="00095BC8" w:rsidRDefault="00DC11BE" w:rsidP="005D6333">
      <w:pPr>
        <w:pStyle w:val="EndNoteBibliography"/>
        <w:ind w:left="720" w:hanging="720"/>
      </w:pPr>
      <w:r w:rsidRPr="00095BC8">
        <w:t xml:space="preserve">Berlyne, D., Craw, M., Salapatek, P., &amp; Lewis, J. (1963). Novelty, Complexity, Incongruity, Extrinsic Motivation, and the GSR. </w:t>
      </w:r>
      <w:r w:rsidRPr="00095BC8">
        <w:rPr>
          <w:i/>
        </w:rPr>
        <w:t>Journal of Experimental Psychology General, 66</w:t>
      </w:r>
      <w:r w:rsidRPr="00095BC8">
        <w:t>(6), 560-567. doi:10.1037/h0045767</w:t>
      </w:r>
    </w:p>
    <w:p w:rsidR="00DC11BE" w:rsidRPr="00095BC8" w:rsidRDefault="00DC11BE" w:rsidP="005D6333">
      <w:pPr>
        <w:pStyle w:val="EndNoteBibliography"/>
        <w:ind w:left="720" w:hanging="720"/>
      </w:pPr>
      <w:r w:rsidRPr="00095BC8">
        <w:t xml:space="preserve">Berry, L. (2009). Competing with quality service in good times and bad. </w:t>
      </w:r>
      <w:r w:rsidRPr="00095BC8">
        <w:rPr>
          <w:i/>
        </w:rPr>
        <w:t>Business Horizons, 52</w:t>
      </w:r>
      <w:r w:rsidRPr="00095BC8">
        <w:t>(4), 309-317. doi:10.1016/j.bushor.2009.02.002</w:t>
      </w:r>
    </w:p>
    <w:p w:rsidR="00DC11BE" w:rsidRPr="00095BC8" w:rsidRDefault="00DC11BE" w:rsidP="005D6333">
      <w:pPr>
        <w:pStyle w:val="EndNoteBibliography"/>
        <w:ind w:left="720" w:hanging="720"/>
      </w:pPr>
      <w:r w:rsidRPr="00095BC8">
        <w:t xml:space="preserve">Bitner, M., Booms, B., &amp; Tetreault, M. (1990). The Service Encounter - Diagnosing Favorable and Unfavorable Incidents. </w:t>
      </w:r>
      <w:r w:rsidRPr="00095BC8">
        <w:rPr>
          <w:i/>
        </w:rPr>
        <w:t>Journal of Marketing, 54</w:t>
      </w:r>
      <w:r w:rsidRPr="00095BC8">
        <w:t>(1), 71-84. doi:10.2307/1252174</w:t>
      </w:r>
    </w:p>
    <w:p w:rsidR="00DC11BE" w:rsidRPr="00095BC8" w:rsidRDefault="00DC11BE" w:rsidP="005D6333">
      <w:pPr>
        <w:pStyle w:val="EndNoteBibliography"/>
        <w:ind w:left="720" w:hanging="720"/>
      </w:pPr>
      <w:r w:rsidRPr="00095BC8">
        <w:t xml:space="preserve">Blodgett, J., Granbois, D., &amp; Walters, R. (1993). The Effects of Perceived Justice on Complainants' Negative Word-of-Mouth Behavior and Repatronage Intentions. </w:t>
      </w:r>
      <w:r w:rsidRPr="00095BC8">
        <w:rPr>
          <w:i/>
        </w:rPr>
        <w:t>Journal of Retailing, 69</w:t>
      </w:r>
      <w:r w:rsidRPr="00095BC8">
        <w:t>(4), 399-428. doi:10.1016/0022-4359(93)90015-B</w:t>
      </w:r>
    </w:p>
    <w:p w:rsidR="00DC11BE" w:rsidRPr="00095BC8" w:rsidRDefault="00DC11BE" w:rsidP="005D6333">
      <w:pPr>
        <w:pStyle w:val="EndNoteBibliography"/>
        <w:ind w:left="720" w:hanging="720"/>
      </w:pPr>
      <w:r w:rsidRPr="00095BC8">
        <w:t xml:space="preserve">Blodgett, J., Hill, D., &amp; Tax, S. (1997). The effects of distributive, procedural, and interactional justice on postcomplaint behavior. </w:t>
      </w:r>
      <w:r w:rsidRPr="00095BC8">
        <w:rPr>
          <w:i/>
        </w:rPr>
        <w:t>Journal of Retailing, 73</w:t>
      </w:r>
      <w:r w:rsidRPr="00095BC8">
        <w:t>(2), 185-210. doi:10.1016/S0022-4359(97)90003-8</w:t>
      </w:r>
    </w:p>
    <w:p w:rsidR="00DC11BE" w:rsidRPr="0094770E" w:rsidRDefault="00DC11BE" w:rsidP="005D6333">
      <w:pPr>
        <w:pStyle w:val="EndNoteBibliography"/>
        <w:ind w:left="720" w:hanging="720"/>
        <w:rPr>
          <w:lang w:val="pt-PT"/>
        </w:rPr>
      </w:pPr>
      <w:r w:rsidRPr="00095BC8">
        <w:t xml:space="preserve">Bonnet, M. (1972). Position of lesions of the pigmentary epithelium in acquired macular degeneration. </w:t>
      </w:r>
      <w:r w:rsidRPr="0094770E">
        <w:rPr>
          <w:i/>
          <w:lang w:val="pt-PT"/>
        </w:rPr>
        <w:t>Bulletin des Societe Ophtalmologie de France, 72</w:t>
      </w:r>
      <w:r w:rsidRPr="0094770E">
        <w:rPr>
          <w:lang w:val="pt-PT"/>
        </w:rPr>
        <w:t xml:space="preserve">(2), 217-236. </w:t>
      </w:r>
    </w:p>
    <w:p w:rsidR="00DC11BE" w:rsidRPr="0094770E" w:rsidRDefault="00DC11BE" w:rsidP="005D6333">
      <w:pPr>
        <w:pStyle w:val="EndNoteBibliography"/>
        <w:ind w:left="720" w:hanging="720"/>
        <w:rPr>
          <w:lang w:val="pt-PT"/>
        </w:rPr>
      </w:pPr>
      <w:r w:rsidRPr="0094770E">
        <w:rPr>
          <w:lang w:val="pt-PT"/>
        </w:rPr>
        <w:lastRenderedPageBreak/>
        <w:t xml:space="preserve">Borges, A., Pedro, F., Miranda, C., Semenoff-Segundo, A., Pecora, J., &amp; Filho, A. (2010). </w:t>
      </w:r>
      <w:r w:rsidRPr="00095BC8">
        <w:t xml:space="preserve">Comparative study of physico-chemical properties of MTA-based and Portland cements. </w:t>
      </w:r>
      <w:r w:rsidRPr="0094770E">
        <w:rPr>
          <w:i/>
          <w:lang w:val="pt-PT"/>
        </w:rPr>
        <w:t>Acta Odontol Latinoam, 23</w:t>
      </w:r>
      <w:r w:rsidRPr="0094770E">
        <w:rPr>
          <w:lang w:val="pt-PT"/>
        </w:rPr>
        <w:t>(3), 175-181. doi:10.1362/026725706777978721</w:t>
      </w:r>
    </w:p>
    <w:p w:rsidR="00DC11BE" w:rsidRPr="0094770E" w:rsidRDefault="00DC11BE" w:rsidP="005D6333">
      <w:pPr>
        <w:pStyle w:val="EndNoteBibliography"/>
        <w:ind w:left="720" w:hanging="720"/>
        <w:rPr>
          <w:lang w:val="pt-PT"/>
        </w:rPr>
      </w:pPr>
      <w:r w:rsidRPr="0094770E">
        <w:rPr>
          <w:lang w:val="pt-PT"/>
        </w:rPr>
        <w:t xml:space="preserve">Bosch, M. (2009). </w:t>
      </w:r>
      <w:r w:rsidRPr="0094770E">
        <w:rPr>
          <w:i/>
          <w:lang w:val="pt-PT"/>
        </w:rPr>
        <w:t>La danza de las emociones</w:t>
      </w:r>
      <w:r w:rsidRPr="0094770E">
        <w:rPr>
          <w:lang w:val="pt-PT"/>
        </w:rPr>
        <w:t>. Madrid: Editorial EDAF, S.L.</w:t>
      </w:r>
    </w:p>
    <w:p w:rsidR="00DC11BE" w:rsidRPr="00095BC8" w:rsidRDefault="00DC11BE" w:rsidP="005D6333">
      <w:pPr>
        <w:pStyle w:val="EndNoteBibliography"/>
        <w:ind w:left="720" w:hanging="720"/>
      </w:pPr>
      <w:r w:rsidRPr="00095BC8">
        <w:t xml:space="preserve">Bove, L., &amp; Johnson, L. (2001). Customer relationships with service personnel: Do we measure closeness, quality or strength? </w:t>
      </w:r>
      <w:r w:rsidRPr="00095BC8">
        <w:rPr>
          <w:i/>
        </w:rPr>
        <w:t>Journal of Business Research, 54</w:t>
      </w:r>
      <w:r w:rsidRPr="00095BC8">
        <w:t>(3), 189-197. doi:</w:t>
      </w:r>
      <w:r w:rsidRPr="00095BC8">
        <w:rPr>
          <w:rStyle w:val="Hiperligao"/>
          <w:color w:val="auto"/>
          <w:u w:val="none"/>
        </w:rPr>
        <w:t>https://doi.org/10.1016/S0148-2963(00)00122-3</w:t>
      </w:r>
    </w:p>
    <w:p w:rsidR="00DC11BE" w:rsidRPr="00095BC8" w:rsidRDefault="00DC11BE" w:rsidP="005D6333">
      <w:pPr>
        <w:pStyle w:val="EndNoteBibliography"/>
        <w:ind w:left="720" w:hanging="720"/>
      </w:pPr>
      <w:r w:rsidRPr="00095BC8">
        <w:t xml:space="preserve">Brief, A. (1998). </w:t>
      </w:r>
      <w:r w:rsidRPr="00095BC8">
        <w:rPr>
          <w:i/>
        </w:rPr>
        <w:t>Foundations for organizational science. Attitudes in and around organizations</w:t>
      </w:r>
      <w:r w:rsidRPr="00095BC8">
        <w:t xml:space="preserve"> (1 ed.). Thousand Oaks, Califórnia: Sage Publications, Inc.</w:t>
      </w:r>
    </w:p>
    <w:p w:rsidR="00DC11BE" w:rsidRPr="00095BC8" w:rsidRDefault="00DC11BE" w:rsidP="005D6333">
      <w:pPr>
        <w:pStyle w:val="EndNoteBibliography"/>
        <w:ind w:left="720" w:hanging="720"/>
      </w:pPr>
      <w:r w:rsidRPr="00095BC8">
        <w:t>Buée, L., Hamdane, M., Delobel, P., Sambo, A., Bégard, S., Ghestem, A., . . . Delacourte, A. (2002). Tau story: from frontotemporal dementia to other tauopathies.</w:t>
      </w:r>
      <w:r w:rsidRPr="00095BC8">
        <w:rPr>
          <w:i/>
        </w:rPr>
        <w:t xml:space="preserve"> Journal de la Societe de Biologie, 196</w:t>
      </w:r>
      <w:r w:rsidRPr="00095BC8">
        <w:t>(1), 103-108. doi:10.1016/S0148-2963(97)00004-0</w:t>
      </w:r>
    </w:p>
    <w:p w:rsidR="00DC11BE" w:rsidRPr="00095BC8" w:rsidRDefault="00DC11BE" w:rsidP="005D6333">
      <w:pPr>
        <w:pStyle w:val="EndNoteBibliography"/>
        <w:ind w:left="720" w:hanging="720"/>
      </w:pPr>
      <w:r w:rsidRPr="00095BC8">
        <w:t xml:space="preserve">Buford, J., Bedeian, A., &amp; Lindner, J. (1995). </w:t>
      </w:r>
      <w:r w:rsidRPr="00095BC8">
        <w:rPr>
          <w:i/>
        </w:rPr>
        <w:t>Management in extension</w:t>
      </w:r>
      <w:r w:rsidRPr="00095BC8">
        <w:t xml:space="preserve"> (3 ed.). Columbus, Ohio: Ohio State University Extension.</w:t>
      </w:r>
    </w:p>
    <w:p w:rsidR="00DC11BE" w:rsidRPr="0094770E" w:rsidRDefault="00DC11BE" w:rsidP="005D6333">
      <w:pPr>
        <w:pStyle w:val="EndNoteBibliography"/>
        <w:ind w:left="720" w:hanging="720"/>
        <w:rPr>
          <w:lang w:val="pt-PT"/>
        </w:rPr>
      </w:pPr>
      <w:r w:rsidRPr="00095BC8">
        <w:t>Bullock, R., Little, M., &amp; Milham, S. (19</w:t>
      </w:r>
      <w:r w:rsidR="004A4173" w:rsidRPr="00095BC8">
        <w:t>9</w:t>
      </w:r>
      <w:r w:rsidRPr="00095BC8">
        <w:t xml:space="preserve">2). The relationships between  quantitative and qualitative approaches in social policy research. In J. Brannen (Ed.), </w:t>
      </w:r>
      <w:r w:rsidRPr="00095BC8">
        <w:rPr>
          <w:i/>
        </w:rPr>
        <w:t xml:space="preserve">Mixing methods: Qualitativeand quantitative research </w:t>
      </w:r>
      <w:r w:rsidRPr="00095BC8">
        <w:t xml:space="preserve">(pp. 81-99). </w:t>
      </w:r>
      <w:r w:rsidRPr="0094770E">
        <w:rPr>
          <w:lang w:val="pt-PT"/>
        </w:rPr>
        <w:t>Aldershot: Avebury.</w:t>
      </w:r>
    </w:p>
    <w:p w:rsidR="00DC11BE" w:rsidRPr="00095BC8" w:rsidRDefault="00DC11BE" w:rsidP="005D6333">
      <w:pPr>
        <w:pStyle w:val="EndNoteBibliography"/>
        <w:ind w:left="720" w:hanging="720"/>
      </w:pPr>
      <w:r w:rsidRPr="0094770E">
        <w:rPr>
          <w:lang w:val="pt-PT"/>
        </w:rPr>
        <w:t xml:space="preserve">Carmo, H., &amp; Ferreira, M. (2015). </w:t>
      </w:r>
      <w:r w:rsidRPr="0094770E">
        <w:rPr>
          <w:i/>
          <w:lang w:val="pt-PT"/>
        </w:rPr>
        <w:t>Metodologia da investigação : guia para auto-aprendizagem</w:t>
      </w:r>
      <w:r w:rsidRPr="0094770E">
        <w:rPr>
          <w:lang w:val="pt-PT"/>
        </w:rPr>
        <w:t xml:space="preserve">. </w:t>
      </w:r>
      <w:r w:rsidRPr="00095BC8">
        <w:t>Lisboa: Universidade Aberta.</w:t>
      </w:r>
    </w:p>
    <w:p w:rsidR="00DC11BE" w:rsidRPr="00095BC8" w:rsidRDefault="00DC11BE" w:rsidP="005D6333">
      <w:pPr>
        <w:pStyle w:val="EndNoteBibliography"/>
        <w:ind w:left="720" w:hanging="720"/>
      </w:pPr>
      <w:r w:rsidRPr="00095BC8">
        <w:t xml:space="preserve">Cartwright, S., &amp; Pappas, C. (2008). Emotional intelligence, its measurement and implications for the workplace. </w:t>
      </w:r>
      <w:r w:rsidRPr="00095BC8">
        <w:rPr>
          <w:i/>
        </w:rPr>
        <w:t>International Journal of Management Reviews, 10</w:t>
      </w:r>
      <w:r w:rsidRPr="00095BC8">
        <w:t>(2), 149-171. doi:10.1111/j.1468-2370.2007.00220.x</w:t>
      </w:r>
    </w:p>
    <w:p w:rsidR="00DC11BE" w:rsidRPr="00095BC8" w:rsidRDefault="00DC11BE" w:rsidP="005D6333">
      <w:pPr>
        <w:pStyle w:val="EndNoteBibliography"/>
        <w:ind w:left="720" w:hanging="720"/>
      </w:pPr>
      <w:r w:rsidRPr="00095BC8">
        <w:t xml:space="preserve">Castro, M., &amp; Martins, N. (2010). The relationship between organisational climate and employee satisfaction in a South African information and technology organization. </w:t>
      </w:r>
      <w:r w:rsidRPr="00095BC8">
        <w:rPr>
          <w:i/>
        </w:rPr>
        <w:t>SA Journal of Industrial Psychology, 36</w:t>
      </w:r>
      <w:r w:rsidRPr="00095BC8">
        <w:t xml:space="preserve">(1), 1-9. doi: </w:t>
      </w:r>
      <w:r w:rsidRPr="00095BC8">
        <w:rPr>
          <w:rStyle w:val="Hiperligao"/>
          <w:color w:val="auto"/>
          <w:u w:val="none"/>
        </w:rPr>
        <w:t>https://doi.org/10.4102/sajip.v36i1.800</w:t>
      </w:r>
    </w:p>
    <w:p w:rsidR="00DC11BE" w:rsidRPr="0094770E" w:rsidRDefault="00DC11BE" w:rsidP="005D6333">
      <w:pPr>
        <w:pStyle w:val="EndNoteBibliography"/>
        <w:ind w:left="720" w:hanging="720"/>
        <w:rPr>
          <w:lang w:val="pt-PT"/>
        </w:rPr>
      </w:pPr>
      <w:r w:rsidRPr="0094770E">
        <w:rPr>
          <w:lang w:val="pt-PT"/>
        </w:rPr>
        <w:t xml:space="preserve">Castro, M., Padilla, J., &amp; Ramírez, S. (2009). Grado de satisfacción laboral y condiciones de trabajo: una exploración cualitativa. </w:t>
      </w:r>
      <w:r w:rsidRPr="0094770E">
        <w:rPr>
          <w:i/>
          <w:lang w:val="pt-PT"/>
        </w:rPr>
        <w:t>Enseñanza e Investigación en Psicología, 14</w:t>
      </w:r>
      <w:r w:rsidRPr="0094770E">
        <w:rPr>
          <w:lang w:val="pt-PT"/>
        </w:rPr>
        <w:t xml:space="preserve">(1), 105-118. </w:t>
      </w:r>
    </w:p>
    <w:p w:rsidR="00DC11BE" w:rsidRPr="00095BC8" w:rsidRDefault="00DC11BE" w:rsidP="005D6333">
      <w:pPr>
        <w:pStyle w:val="EndNoteBibliography"/>
        <w:ind w:left="720" w:hanging="720"/>
      </w:pPr>
      <w:r w:rsidRPr="0094770E">
        <w:rPr>
          <w:lang w:val="pt-PT"/>
        </w:rPr>
        <w:t xml:space="preserve">Chen, X., Zhao, K., Liu, X., &amp; Wu, D. (2012). </w:t>
      </w:r>
      <w:r w:rsidRPr="00095BC8">
        <w:t xml:space="preserve">Improving employees' job satisfaction and innovation performance using conflict management. </w:t>
      </w:r>
      <w:r w:rsidRPr="00095BC8">
        <w:rPr>
          <w:i/>
        </w:rPr>
        <w:t>International Journal of Conflict Management, 23</w:t>
      </w:r>
      <w:r w:rsidRPr="00095BC8">
        <w:t>(2), 151-172. doi:</w:t>
      </w:r>
      <w:r w:rsidRPr="00095BC8">
        <w:rPr>
          <w:rStyle w:val="Hiperligao"/>
          <w:color w:val="auto"/>
          <w:u w:val="none"/>
        </w:rPr>
        <w:t>https://doi.org/10.1108/10444061211218276</w:t>
      </w:r>
    </w:p>
    <w:p w:rsidR="00DC11BE" w:rsidRPr="0094770E" w:rsidRDefault="00DC11BE" w:rsidP="005D6333">
      <w:pPr>
        <w:pStyle w:val="EndNoteBibliography"/>
        <w:ind w:left="720" w:hanging="720"/>
        <w:rPr>
          <w:lang w:val="pt-PT"/>
        </w:rPr>
      </w:pPr>
      <w:r w:rsidRPr="00095BC8">
        <w:t xml:space="preserve">Chiavenato, I. (1999). </w:t>
      </w:r>
      <w:r w:rsidRPr="0094770E">
        <w:rPr>
          <w:i/>
          <w:lang w:val="pt-PT"/>
        </w:rPr>
        <w:t>Administração nos novos tempos</w:t>
      </w:r>
      <w:r w:rsidRPr="0094770E">
        <w:rPr>
          <w:lang w:val="pt-PT"/>
        </w:rPr>
        <w:t xml:space="preserve"> (2 ed.). Rio da Janeiro: Editora Campus.</w:t>
      </w:r>
    </w:p>
    <w:p w:rsidR="00DC11BE" w:rsidRPr="0094770E" w:rsidRDefault="00DC11BE" w:rsidP="005D6333">
      <w:pPr>
        <w:pStyle w:val="EndNoteBibliography"/>
        <w:ind w:left="720" w:hanging="720"/>
        <w:rPr>
          <w:lang w:val="pt-PT"/>
        </w:rPr>
      </w:pPr>
      <w:r w:rsidRPr="00095BC8">
        <w:t xml:space="preserve">Conlon, D., &amp; Murray, N. (1996). Customer Perceptions of Corporate Responses to Product Complaints: The Role of Explanations. </w:t>
      </w:r>
      <w:r w:rsidRPr="0094770E">
        <w:rPr>
          <w:i/>
          <w:lang w:val="pt-PT"/>
        </w:rPr>
        <w:t>Academy of Management Journal, 39</w:t>
      </w:r>
      <w:r w:rsidRPr="0094770E">
        <w:rPr>
          <w:lang w:val="pt-PT"/>
        </w:rPr>
        <w:t>(4), 1040-1056. doi:10.2307/256723</w:t>
      </w:r>
    </w:p>
    <w:p w:rsidR="00DC11BE" w:rsidRPr="0094770E" w:rsidRDefault="00DC11BE" w:rsidP="005D6333">
      <w:pPr>
        <w:pStyle w:val="EndNoteBibliography"/>
        <w:ind w:left="720" w:hanging="720"/>
        <w:rPr>
          <w:lang w:val="pt-PT"/>
        </w:rPr>
      </w:pPr>
      <w:r w:rsidRPr="0094770E">
        <w:rPr>
          <w:lang w:val="pt-PT"/>
        </w:rPr>
        <w:t xml:space="preserve">Cunha, M., Cunha, R., Rego, A., Neves, P., &amp; Cabral-Cardoso, C. (2006). </w:t>
      </w:r>
      <w:r w:rsidRPr="0094770E">
        <w:rPr>
          <w:i/>
          <w:lang w:val="pt-PT"/>
        </w:rPr>
        <w:t>Manual de Comportamento Organizacional e Gestão</w:t>
      </w:r>
      <w:r w:rsidRPr="0094770E">
        <w:rPr>
          <w:lang w:val="pt-PT"/>
        </w:rPr>
        <w:t xml:space="preserve"> (5 ed.). Lisboa: Editora RH, Lda.</w:t>
      </w:r>
    </w:p>
    <w:p w:rsidR="00DC11BE" w:rsidRPr="0094770E" w:rsidRDefault="00DC11BE" w:rsidP="005D6333">
      <w:pPr>
        <w:pStyle w:val="EndNoteBibliography"/>
        <w:ind w:left="720" w:hanging="720"/>
        <w:rPr>
          <w:lang w:val="pt-PT"/>
        </w:rPr>
      </w:pPr>
      <w:r w:rsidRPr="0094770E">
        <w:rPr>
          <w:lang w:val="pt-PT"/>
        </w:rPr>
        <w:t xml:space="preserve">Cunha, M., Cunha, R., Rego, A., Neves, P., &amp; Cabral-Cardoso, C. (2014). </w:t>
      </w:r>
      <w:r w:rsidRPr="0094770E">
        <w:rPr>
          <w:i/>
          <w:lang w:val="pt-PT"/>
        </w:rPr>
        <w:t>Manual de Comportamento Organizacional e Gestão</w:t>
      </w:r>
      <w:r w:rsidRPr="0094770E">
        <w:rPr>
          <w:lang w:val="pt-PT"/>
        </w:rPr>
        <w:t xml:space="preserve"> (7 ed.). Lisboa: Editora RH, Lda.</w:t>
      </w:r>
    </w:p>
    <w:p w:rsidR="00DC11BE" w:rsidRPr="00095BC8" w:rsidRDefault="00DC11BE" w:rsidP="005D6333">
      <w:pPr>
        <w:pStyle w:val="EndNoteBibliography"/>
        <w:ind w:left="720" w:hanging="720"/>
      </w:pPr>
      <w:r w:rsidRPr="0094770E">
        <w:rPr>
          <w:lang w:val="pt-PT"/>
        </w:rPr>
        <w:t xml:space="preserve">Daft, R. (2014). </w:t>
      </w:r>
      <w:r w:rsidRPr="0094770E">
        <w:rPr>
          <w:i/>
          <w:lang w:val="pt-PT"/>
        </w:rPr>
        <w:t>Organizações: teoria e projetos</w:t>
      </w:r>
      <w:r w:rsidRPr="0094770E">
        <w:rPr>
          <w:lang w:val="pt-PT"/>
        </w:rPr>
        <w:t xml:space="preserve"> (E. Translate, Trans. </w:t>
      </w:r>
      <w:r w:rsidRPr="00095BC8">
        <w:t>11 ed.). São Paulo: CENGAGE Learning.</w:t>
      </w:r>
    </w:p>
    <w:p w:rsidR="00DC11BE" w:rsidRPr="00095BC8" w:rsidRDefault="00DC11BE" w:rsidP="005D6333">
      <w:pPr>
        <w:pStyle w:val="EndNoteBibliography"/>
        <w:ind w:left="720" w:hanging="720"/>
      </w:pPr>
      <w:r w:rsidRPr="00095BC8">
        <w:t xml:space="preserve">Dallimore, K., Sparks, B., &amp; Butcher, K. (2007). The influence of angry customer outbursts on service providers' facial displays and affective states. </w:t>
      </w:r>
      <w:r w:rsidRPr="00095BC8">
        <w:rPr>
          <w:i/>
        </w:rPr>
        <w:t>Journal of Service Research, 10</w:t>
      </w:r>
      <w:r w:rsidRPr="00095BC8">
        <w:t>(1), 78-92. doi:</w:t>
      </w:r>
      <w:r w:rsidRPr="00095BC8">
        <w:rPr>
          <w:rStyle w:val="Hiperligao"/>
          <w:color w:val="auto"/>
          <w:u w:val="none"/>
        </w:rPr>
        <w:t>https://doi.org/10.1177/1094670507304694</w:t>
      </w:r>
    </w:p>
    <w:p w:rsidR="00DC11BE" w:rsidRPr="00095BC8" w:rsidRDefault="00DC11BE" w:rsidP="005D6333">
      <w:pPr>
        <w:pStyle w:val="EndNoteBibliography"/>
        <w:ind w:left="720" w:hanging="720"/>
      </w:pPr>
      <w:r w:rsidRPr="00095BC8">
        <w:t xml:space="preserve">Danysz, W., Kostowski, W., &amp; Archer, T. (1988). Some aspects of stress and depression. </w:t>
      </w:r>
      <w:r w:rsidRPr="00095BC8">
        <w:rPr>
          <w:i/>
        </w:rPr>
        <w:t>Progress in Neuro-Psychopharmacology and Biological Psychiatry, 12</w:t>
      </w:r>
      <w:r w:rsidRPr="00095BC8">
        <w:t>(4), 405-419. doi:</w:t>
      </w:r>
      <w:r w:rsidRPr="00095BC8">
        <w:rPr>
          <w:rStyle w:val="Hiperligao"/>
          <w:color w:val="auto"/>
          <w:u w:val="none"/>
        </w:rPr>
        <w:t>https://doi.org/10.1016/0278-5846(88)90101-7</w:t>
      </w:r>
    </w:p>
    <w:p w:rsidR="00DC11BE" w:rsidRPr="00095BC8" w:rsidRDefault="00DC11BE" w:rsidP="005D6333">
      <w:pPr>
        <w:pStyle w:val="EndNoteBibliography"/>
        <w:ind w:left="720" w:hanging="720"/>
      </w:pPr>
      <w:r w:rsidRPr="00095BC8">
        <w:lastRenderedPageBreak/>
        <w:t xml:space="preserve">Day, R., Schaetzle, T., Grabicke, K., &amp; Staubach, F. (1981). The Hidden Agenda of Consumer Complaining. </w:t>
      </w:r>
      <w:r w:rsidRPr="00095BC8">
        <w:rPr>
          <w:i/>
        </w:rPr>
        <w:t>Journal of Retailing, 57</w:t>
      </w:r>
      <w:r w:rsidRPr="00095BC8">
        <w:t xml:space="preserve">(3), 86-106. </w:t>
      </w:r>
    </w:p>
    <w:p w:rsidR="00DC11BE" w:rsidRPr="00095BC8" w:rsidRDefault="00DC11BE" w:rsidP="005D6333">
      <w:pPr>
        <w:pStyle w:val="EndNoteBibliography"/>
        <w:ind w:left="720" w:hanging="720"/>
      </w:pPr>
      <w:r w:rsidRPr="00095BC8">
        <w:t xml:space="preserve">Deci, E., &amp; Ryan, R. (1985). The General Causality Orientations Scale - Self-Determination in Personality. </w:t>
      </w:r>
      <w:r w:rsidRPr="00095BC8">
        <w:rPr>
          <w:i/>
        </w:rPr>
        <w:t>Journal of Research in Personality, 19</w:t>
      </w:r>
      <w:r w:rsidRPr="00095BC8">
        <w:t>(2), 109-134. doi:</w:t>
      </w:r>
      <w:r w:rsidRPr="00095BC8">
        <w:rPr>
          <w:rStyle w:val="Hiperligao"/>
          <w:color w:val="auto"/>
          <w:u w:val="none"/>
        </w:rPr>
        <w:t>https://doi.org/10.1016/0092-6566(85)90023-6</w:t>
      </w:r>
    </w:p>
    <w:p w:rsidR="00DC11BE" w:rsidRPr="00095BC8" w:rsidRDefault="00DC11BE" w:rsidP="005D6333">
      <w:pPr>
        <w:pStyle w:val="EndNoteBibliography"/>
        <w:ind w:left="720" w:hanging="720"/>
      </w:pPr>
      <w:r w:rsidRPr="00095BC8">
        <w:t xml:space="preserve">Deshpande, S. (1996). The impact of ethical climate types on facets of job satisfaction: An empirical investigation. </w:t>
      </w:r>
      <w:r w:rsidRPr="00095BC8">
        <w:rPr>
          <w:i/>
        </w:rPr>
        <w:t>Journal of Business Ethics, 15</w:t>
      </w:r>
      <w:r w:rsidRPr="00095BC8">
        <w:t>(6), 655-660. doi:10.1007/Bf00411800</w:t>
      </w:r>
    </w:p>
    <w:p w:rsidR="00DC11BE" w:rsidRPr="00095BC8" w:rsidRDefault="00DC11BE" w:rsidP="005D6333">
      <w:pPr>
        <w:pStyle w:val="EndNoteBibliography"/>
        <w:ind w:left="720" w:hanging="720"/>
      </w:pPr>
      <w:r w:rsidRPr="00095BC8">
        <w:t xml:space="preserve">Domagalski, T. (1999). Emotion in organizations: Main currents. </w:t>
      </w:r>
      <w:r w:rsidRPr="00095BC8">
        <w:rPr>
          <w:i/>
        </w:rPr>
        <w:t>Human Relations, 52</w:t>
      </w:r>
      <w:r w:rsidRPr="00095BC8">
        <w:t>(6), 833-852. doi:10.1177/001872679905200607</w:t>
      </w:r>
    </w:p>
    <w:p w:rsidR="00DC11BE" w:rsidRPr="00095BC8" w:rsidRDefault="00DC11BE" w:rsidP="005D6333">
      <w:pPr>
        <w:pStyle w:val="EndNoteBibliography"/>
        <w:ind w:left="720" w:hanging="720"/>
      </w:pPr>
      <w:r w:rsidRPr="00095BC8">
        <w:t xml:space="preserve">Du, J., Fan, X., &amp; Feng, T. (2011). Multiple emotional contagions in service encounters. </w:t>
      </w:r>
      <w:r w:rsidRPr="00095BC8">
        <w:rPr>
          <w:i/>
        </w:rPr>
        <w:t>Journal of the Academy of Marketing Science, 39</w:t>
      </w:r>
      <w:r w:rsidRPr="00095BC8">
        <w:t>(3), 449-466. doi:10.1007/s11747-010-0210-9</w:t>
      </w:r>
    </w:p>
    <w:p w:rsidR="00DC11BE" w:rsidRPr="00095BC8" w:rsidRDefault="00DC11BE" w:rsidP="005D6333">
      <w:pPr>
        <w:pStyle w:val="EndNoteBibliography"/>
        <w:ind w:left="720" w:hanging="720"/>
      </w:pPr>
      <w:r w:rsidRPr="00095BC8">
        <w:t xml:space="preserve">Dube, L., Belanger, M., &amp; Trudeau, E. (1996). The role of emotions in health care satisfaction. Positive feelings have the expected effect, but negative ones do not always result in dissatisfaction. </w:t>
      </w:r>
      <w:r w:rsidRPr="00095BC8">
        <w:rPr>
          <w:i/>
        </w:rPr>
        <w:t>Journal Health Care Marketing, 16</w:t>
      </w:r>
      <w:r w:rsidRPr="00095BC8">
        <w:t xml:space="preserve">(2), 45-51. </w:t>
      </w:r>
    </w:p>
    <w:p w:rsidR="00DC11BE" w:rsidRPr="00095BC8" w:rsidRDefault="00DC11BE" w:rsidP="005D6333">
      <w:pPr>
        <w:pStyle w:val="EndNoteBibliography"/>
        <w:ind w:left="720" w:hanging="720"/>
      </w:pPr>
      <w:r w:rsidRPr="00095BC8">
        <w:t xml:space="preserve">Edgett, S., &amp; Parkinson, S. (1993). Marketing for Service Industries-A Review. </w:t>
      </w:r>
      <w:r w:rsidRPr="00095BC8">
        <w:rPr>
          <w:i/>
        </w:rPr>
        <w:t>Service Industries Journal, 13</w:t>
      </w:r>
      <w:r w:rsidRPr="00095BC8">
        <w:t>(3), 19-39. doi:10.1080/02642069300000048</w:t>
      </w:r>
    </w:p>
    <w:p w:rsidR="00DC11BE" w:rsidRPr="00095BC8" w:rsidRDefault="00DC11BE" w:rsidP="005D6333">
      <w:pPr>
        <w:pStyle w:val="EndNoteBibliography"/>
        <w:ind w:left="720" w:hanging="720"/>
      </w:pPr>
      <w:r w:rsidRPr="00095BC8">
        <w:t xml:space="preserve">Edwards, B., Bell, S., Arthur, W., &amp; Decuir, A. (2008). Relationships between facets of job satisfaction and task and contextual performance. </w:t>
      </w:r>
      <w:r w:rsidRPr="00095BC8">
        <w:rPr>
          <w:i/>
        </w:rPr>
        <w:t>Applied Psychology IAAP, 57</w:t>
      </w:r>
      <w:r w:rsidRPr="00095BC8">
        <w:t xml:space="preserve">(3), 441-465. doi: </w:t>
      </w:r>
      <w:r w:rsidRPr="00095BC8">
        <w:rPr>
          <w:rStyle w:val="Hiperligao"/>
          <w:color w:val="auto"/>
          <w:u w:val="none"/>
        </w:rPr>
        <w:t>https://doi.org/10.1111/j.1464-0597.2008.00328.x</w:t>
      </w:r>
    </w:p>
    <w:p w:rsidR="00DC11BE" w:rsidRPr="00095BC8" w:rsidRDefault="00DC11BE" w:rsidP="005D6333">
      <w:pPr>
        <w:pStyle w:val="EndNoteBibliography"/>
        <w:ind w:left="720" w:hanging="720"/>
      </w:pPr>
      <w:r w:rsidRPr="00095BC8">
        <w:t xml:space="preserve">Elfenbein, H. (2007). Emotion in Organizations A Review and Theoretical Integration. </w:t>
      </w:r>
      <w:r w:rsidRPr="00095BC8">
        <w:rPr>
          <w:i/>
        </w:rPr>
        <w:t>Academy of Management Annals</w:t>
      </w:r>
      <w:r w:rsidRPr="00095BC8">
        <w:t>(1), 315-386. doi:</w:t>
      </w:r>
      <w:r w:rsidRPr="00095BC8">
        <w:rPr>
          <w:rStyle w:val="Hiperligao"/>
          <w:color w:val="auto"/>
          <w:u w:val="none"/>
        </w:rPr>
        <w:t>http://dx.doi.org/10.2139/ssrn.942383</w:t>
      </w:r>
    </w:p>
    <w:p w:rsidR="00DC11BE" w:rsidRPr="00095BC8" w:rsidRDefault="00DC11BE" w:rsidP="005D6333">
      <w:pPr>
        <w:pStyle w:val="EndNoteBibliography"/>
        <w:ind w:left="720" w:hanging="720"/>
      </w:pPr>
      <w:r w:rsidRPr="0094770E">
        <w:rPr>
          <w:lang w:val="pt-PT"/>
        </w:rPr>
        <w:t xml:space="preserve">Estrella, R., Barkla, B., Romero, J., &amp; Pantoja, O. (2012). </w:t>
      </w:r>
      <w:r w:rsidRPr="00095BC8">
        <w:t xml:space="preserve">Day/night regulation of aquaporins during the CAM cycle in Mesembryanthemum crystallinum. </w:t>
      </w:r>
      <w:r w:rsidRPr="00095BC8">
        <w:rPr>
          <w:i/>
        </w:rPr>
        <w:t>Plant Cell &amp; Environment, 35</w:t>
      </w:r>
      <w:r w:rsidRPr="00095BC8">
        <w:t>(3), 485-501. doi:10.1111/j.1365-3040.2011.02419.x</w:t>
      </w:r>
    </w:p>
    <w:p w:rsidR="00DC11BE" w:rsidRPr="0094770E" w:rsidRDefault="00DC11BE" w:rsidP="005D6333">
      <w:pPr>
        <w:pStyle w:val="EndNoteBibliography"/>
        <w:ind w:left="720" w:hanging="720"/>
        <w:rPr>
          <w:lang w:val="pt-PT"/>
        </w:rPr>
      </w:pPr>
      <w:r w:rsidRPr="00095BC8">
        <w:t xml:space="preserve">Fabiani, A., Gabella, G., Monticone, G., &amp; Schiffer, D. (1965). Histochemical findings and significance of phosphatase activity in cerebral tumors. </w:t>
      </w:r>
      <w:r w:rsidRPr="0094770E">
        <w:rPr>
          <w:i/>
          <w:lang w:val="pt-PT"/>
        </w:rPr>
        <w:t>Minerva Neurochir, 9</w:t>
      </w:r>
      <w:r w:rsidRPr="0094770E">
        <w:rPr>
          <w:lang w:val="pt-PT"/>
        </w:rPr>
        <w:t>(1), 50-51. doi:10.5465/AMR.1982.4285467</w:t>
      </w:r>
    </w:p>
    <w:p w:rsidR="00DC11BE" w:rsidRPr="0094770E" w:rsidRDefault="00DC11BE" w:rsidP="005D6333">
      <w:pPr>
        <w:pStyle w:val="EndNoteBibliography"/>
        <w:ind w:left="720" w:hanging="720"/>
        <w:rPr>
          <w:lang w:val="pt-PT"/>
        </w:rPr>
      </w:pPr>
      <w:r w:rsidRPr="0094770E">
        <w:rPr>
          <w:lang w:val="pt-PT"/>
        </w:rPr>
        <w:t xml:space="preserve">Farkas, A., Moriel, E., &amp; Prat, O. (1983). </w:t>
      </w:r>
      <w:r w:rsidRPr="00095BC8">
        <w:t xml:space="preserve">Rapid spread of transitional ureteral tumor: a serious unusual complication of ureteral brush biopsy. </w:t>
      </w:r>
      <w:r w:rsidRPr="0094770E">
        <w:rPr>
          <w:i/>
          <w:lang w:val="pt-PT"/>
        </w:rPr>
        <w:t>Journal of Urology, 129</w:t>
      </w:r>
      <w:r w:rsidRPr="0094770E">
        <w:rPr>
          <w:lang w:val="pt-PT"/>
        </w:rPr>
        <w:t>(6), 1229-1230. doi:10.1016/s0022-5347(17)52656-7</w:t>
      </w:r>
    </w:p>
    <w:p w:rsidR="00DC11BE" w:rsidRPr="00095BC8" w:rsidRDefault="00DC11BE" w:rsidP="005D6333">
      <w:pPr>
        <w:pStyle w:val="EndNoteBibliography"/>
        <w:ind w:left="720" w:hanging="720"/>
      </w:pPr>
      <w:r w:rsidRPr="0094770E">
        <w:rPr>
          <w:lang w:val="pt-PT"/>
        </w:rPr>
        <w:t xml:space="preserve">Field, A. (2009). </w:t>
      </w:r>
      <w:r w:rsidRPr="0094770E">
        <w:rPr>
          <w:i/>
          <w:lang w:val="pt-PT"/>
        </w:rPr>
        <w:t>Descobrindo a estatística usando o SPSS</w:t>
      </w:r>
      <w:r w:rsidRPr="0094770E">
        <w:rPr>
          <w:lang w:val="pt-PT"/>
        </w:rPr>
        <w:t xml:space="preserve"> (Lorí Viali, Trans.). </w:t>
      </w:r>
      <w:r w:rsidRPr="00095BC8">
        <w:t>Porto Alegre: Artmed.</w:t>
      </w:r>
    </w:p>
    <w:p w:rsidR="00DC11BE" w:rsidRPr="0094770E" w:rsidRDefault="00DC11BE" w:rsidP="005D6333">
      <w:pPr>
        <w:pStyle w:val="EndNoteBibliography"/>
        <w:ind w:left="720" w:hanging="720"/>
        <w:rPr>
          <w:lang w:val="pt-PT"/>
        </w:rPr>
      </w:pPr>
      <w:r w:rsidRPr="00095BC8">
        <w:t xml:space="preserve">Fierro, J., Polo, I., &amp; Carrasco, R. (2014). The role of frontline employees in customer engagement. </w:t>
      </w:r>
      <w:r w:rsidRPr="0094770E">
        <w:rPr>
          <w:i/>
          <w:lang w:val="pt-PT"/>
        </w:rPr>
        <w:t>Revista Española de Investigación de Marketing ESIC, 18</w:t>
      </w:r>
      <w:r w:rsidRPr="0094770E">
        <w:rPr>
          <w:lang w:val="pt-PT"/>
        </w:rPr>
        <w:t>(2), 67-77. doi:</w:t>
      </w:r>
      <w:r w:rsidRPr="0094770E">
        <w:rPr>
          <w:rStyle w:val="Hiperligao"/>
          <w:color w:val="auto"/>
          <w:u w:val="none"/>
          <w:lang w:val="pt-PT"/>
        </w:rPr>
        <w:t>https://doi.org/10.1016/j.reimke.2014.06.005</w:t>
      </w:r>
    </w:p>
    <w:p w:rsidR="00DC11BE" w:rsidRPr="00095BC8" w:rsidRDefault="00DC11BE" w:rsidP="005D6333">
      <w:pPr>
        <w:pStyle w:val="EndNoteBibliography"/>
        <w:ind w:left="720" w:hanging="720"/>
      </w:pPr>
      <w:r w:rsidRPr="00095BC8">
        <w:t xml:space="preserve">Filiz, Z. (2014). An Analysis of the Levels of Job Satisfaction and Life Satisfaction of the Academic Staff. </w:t>
      </w:r>
      <w:r w:rsidRPr="00095BC8">
        <w:rPr>
          <w:i/>
        </w:rPr>
        <w:t>Social Indicators Research, 116</w:t>
      </w:r>
      <w:r w:rsidRPr="00095BC8">
        <w:t>(3), 793-808. doi:10.1007/s11205-013-0319-6</w:t>
      </w:r>
    </w:p>
    <w:p w:rsidR="00DC11BE" w:rsidRPr="00095BC8" w:rsidRDefault="00DC11BE" w:rsidP="005D6333">
      <w:pPr>
        <w:pStyle w:val="EndNoteBibliography"/>
        <w:ind w:left="720" w:hanging="720"/>
      </w:pPr>
      <w:r w:rsidRPr="00095BC8">
        <w:t xml:space="preserve">Fineman, S. (1993). Organizations as emotional arenas. In S. Fineman (Ed.), </w:t>
      </w:r>
      <w:r w:rsidRPr="00095BC8">
        <w:rPr>
          <w:i/>
        </w:rPr>
        <w:t>Emotion in organizations.</w:t>
      </w:r>
      <w:r w:rsidRPr="00095BC8">
        <w:t xml:space="preserve"> (pp. 9-35). Thousand Oaks: SAGE Publications, Inc.</w:t>
      </w:r>
    </w:p>
    <w:p w:rsidR="00DC11BE" w:rsidRPr="00095BC8" w:rsidRDefault="00DC11BE" w:rsidP="005D6333">
      <w:pPr>
        <w:pStyle w:val="EndNoteBibliography"/>
        <w:ind w:left="720" w:hanging="720"/>
      </w:pPr>
      <w:r w:rsidRPr="00095BC8">
        <w:t xml:space="preserve">Fineman, S. (1996). Emotion and organizing. In S. R. Clegg, C.Hardy, &amp; W. R. Nord (Eds.), </w:t>
      </w:r>
      <w:r w:rsidRPr="00095BC8">
        <w:rPr>
          <w:i/>
        </w:rPr>
        <w:t>Handbook of organization studies</w:t>
      </w:r>
      <w:r w:rsidRPr="00095BC8">
        <w:t xml:space="preserve"> (pp. 543-564). London: Sage Publications, Inc.</w:t>
      </w:r>
    </w:p>
    <w:p w:rsidR="00DC11BE" w:rsidRPr="00095BC8" w:rsidRDefault="00DC11BE" w:rsidP="005D6333">
      <w:pPr>
        <w:pStyle w:val="EndNoteBibliography"/>
        <w:ind w:left="720" w:hanging="720"/>
      </w:pPr>
      <w:r w:rsidRPr="00095BC8">
        <w:t xml:space="preserve">Firnstahl, T. (1989). My Employees Are My Service Guarantee. </w:t>
      </w:r>
      <w:r w:rsidRPr="00095BC8">
        <w:rPr>
          <w:i/>
        </w:rPr>
        <w:t>Harvard Business Review, 67</w:t>
      </w:r>
      <w:r w:rsidRPr="00095BC8">
        <w:t xml:space="preserve">(1), 28-32. </w:t>
      </w:r>
    </w:p>
    <w:p w:rsidR="00DC11BE" w:rsidRPr="00766663" w:rsidRDefault="00DC11BE" w:rsidP="00766663">
      <w:pPr>
        <w:pStyle w:val="EndNoteBibliography"/>
        <w:ind w:left="720" w:hanging="720"/>
        <w:rPr>
          <w:i/>
        </w:rPr>
      </w:pPr>
      <w:r w:rsidRPr="00766663">
        <w:rPr>
          <w:iCs/>
        </w:rPr>
        <w:lastRenderedPageBreak/>
        <w:t>Fisher, C., &amp; Ashkanasy, N. (2000).</w:t>
      </w:r>
      <w:r w:rsidRPr="00766663">
        <w:rPr>
          <w:i/>
        </w:rPr>
        <w:t xml:space="preserve"> The emerging role of emotions in work life: an introduction. </w:t>
      </w:r>
      <w:r w:rsidRPr="00D77886">
        <w:rPr>
          <w:i/>
        </w:rPr>
        <w:t>Journal of Organizational Behavior, 21</w:t>
      </w:r>
      <w:r w:rsidRPr="00766663">
        <w:rPr>
          <w:i/>
        </w:rPr>
        <w:t>(2), 123-129. doi:10.1002/(SICI)1099-1379(200003)21:23.0.CO;2-8</w:t>
      </w:r>
    </w:p>
    <w:p w:rsidR="00DC11BE" w:rsidRPr="00095BC8" w:rsidRDefault="00DC11BE" w:rsidP="005D6333">
      <w:pPr>
        <w:pStyle w:val="EndNoteBibliography"/>
        <w:ind w:left="720" w:hanging="720"/>
      </w:pPr>
      <w:r w:rsidRPr="00095BC8">
        <w:t xml:space="preserve">Fitzsimmons, J., &amp; Fitzsimmons, M. (2006). </w:t>
      </w:r>
      <w:r w:rsidRPr="00095BC8">
        <w:rPr>
          <w:i/>
        </w:rPr>
        <w:t>Service management:Operations, strategy, and information technology</w:t>
      </w:r>
      <w:r w:rsidRPr="00095BC8">
        <w:t xml:space="preserve"> (5 ed.). New York: Irwin/McGraw-Hill.</w:t>
      </w:r>
    </w:p>
    <w:p w:rsidR="00DC11BE" w:rsidRPr="00095BC8" w:rsidRDefault="00DC11BE" w:rsidP="005D6333">
      <w:pPr>
        <w:pStyle w:val="EndNoteBibliography"/>
        <w:ind w:left="720" w:hanging="720"/>
      </w:pPr>
      <w:r w:rsidRPr="00095BC8">
        <w:t xml:space="preserve">Fornell, C., &amp; Wernerfelt, B. (1987). Defensive Marketing Strategy by Customer Complaint Management: A Theoretical Analysis. </w:t>
      </w:r>
      <w:r w:rsidRPr="00095BC8">
        <w:rPr>
          <w:i/>
        </w:rPr>
        <w:t>Journal of Marketing Research, 24</w:t>
      </w:r>
      <w:r w:rsidRPr="00095BC8">
        <w:t xml:space="preserve">(4), 337-346. </w:t>
      </w:r>
    </w:p>
    <w:p w:rsidR="00DC11BE" w:rsidRPr="00095BC8" w:rsidRDefault="00DC11BE" w:rsidP="005D6333">
      <w:pPr>
        <w:pStyle w:val="EndNoteBibliography"/>
        <w:ind w:left="720" w:hanging="720"/>
      </w:pPr>
      <w:r w:rsidRPr="00095BC8">
        <w:t xml:space="preserve">Fortin, M., Côté, J., &amp; Filion, F. (2009). </w:t>
      </w:r>
      <w:r w:rsidRPr="0094770E">
        <w:rPr>
          <w:i/>
          <w:lang w:val="pt-PT"/>
        </w:rPr>
        <w:t>Fundamentos e etapas do processo de investigação</w:t>
      </w:r>
      <w:r w:rsidRPr="0094770E">
        <w:rPr>
          <w:lang w:val="pt-PT"/>
        </w:rPr>
        <w:t xml:space="preserve">. </w:t>
      </w:r>
      <w:r w:rsidRPr="00095BC8">
        <w:t>Loures: Lusodidacta.</w:t>
      </w:r>
    </w:p>
    <w:p w:rsidR="00DC11BE" w:rsidRPr="00095BC8" w:rsidRDefault="00DC11BE" w:rsidP="005D6333">
      <w:pPr>
        <w:pStyle w:val="EndNoteBibliography"/>
        <w:ind w:left="720" w:hanging="720"/>
      </w:pPr>
      <w:r w:rsidRPr="00095BC8">
        <w:t xml:space="preserve">Fu, W., &amp; Deshpande, S. (2014). The Impact of Caring Climate, Job Satisfaction, and Organizational Commitment on Job Performance of Employees in a China's Insurance Company. </w:t>
      </w:r>
      <w:r w:rsidRPr="00095BC8">
        <w:rPr>
          <w:i/>
        </w:rPr>
        <w:t>Journal of Business Ethics, 124</w:t>
      </w:r>
      <w:r w:rsidRPr="00095BC8">
        <w:t>(2), 339-349. doi:10.1007/s10551-013-1876-y</w:t>
      </w:r>
    </w:p>
    <w:p w:rsidR="00DC11BE" w:rsidRPr="00095BC8" w:rsidRDefault="00DC11BE" w:rsidP="005D6333">
      <w:pPr>
        <w:pStyle w:val="EndNoteBibliography"/>
        <w:ind w:left="720" w:hanging="720"/>
      </w:pPr>
      <w:r w:rsidRPr="00095BC8">
        <w:t xml:space="preserve">Fu, W., Deshpande, S., &amp; Zhao, X. (2011). The Impact of Ethical Behavior and Facets of Job Satisfaction on Organizational Commitment of Chinese Employees. </w:t>
      </w:r>
      <w:r w:rsidRPr="00095BC8">
        <w:rPr>
          <w:i/>
        </w:rPr>
        <w:t>Journal of Business Ethics, 104</w:t>
      </w:r>
      <w:r w:rsidRPr="00095BC8">
        <w:t>(4), 537-543. doi:10.1007/s10551-011-0928-4</w:t>
      </w:r>
    </w:p>
    <w:p w:rsidR="00DC11BE" w:rsidRPr="0094770E" w:rsidRDefault="00DC11BE" w:rsidP="005D6333">
      <w:pPr>
        <w:pStyle w:val="EndNoteBibliography"/>
        <w:ind w:left="720" w:hanging="720"/>
        <w:rPr>
          <w:lang w:val="pt-PT"/>
        </w:rPr>
      </w:pPr>
      <w:r w:rsidRPr="00095BC8">
        <w:t xml:space="preserve">Galinha, I., &amp; Ribeiro, J. (2005). </w:t>
      </w:r>
      <w:r w:rsidRPr="0094770E">
        <w:rPr>
          <w:lang w:val="pt-PT"/>
        </w:rPr>
        <w:t xml:space="preserve">Contribuição para o estudo da versão portuguesa da Positive and NegativeAffect Schedule (PANAS): II-Estudo Psicométrico. </w:t>
      </w:r>
      <w:r w:rsidRPr="0094770E">
        <w:rPr>
          <w:i/>
          <w:lang w:val="pt-PT"/>
        </w:rPr>
        <w:t>Análise Psicológica, 23</w:t>
      </w:r>
      <w:r w:rsidRPr="0094770E">
        <w:rPr>
          <w:lang w:val="pt-PT"/>
        </w:rPr>
        <w:t>(2), 219-227. doi:</w:t>
      </w:r>
      <w:r w:rsidRPr="0094770E">
        <w:rPr>
          <w:rStyle w:val="Hiperligao"/>
          <w:color w:val="auto"/>
          <w:u w:val="none"/>
          <w:lang w:val="pt-PT"/>
        </w:rPr>
        <w:t>https://doi.org/10.14417/ap.84</w:t>
      </w:r>
    </w:p>
    <w:p w:rsidR="00DC11BE" w:rsidRPr="00095BC8" w:rsidRDefault="00DC11BE" w:rsidP="005D6333">
      <w:pPr>
        <w:pStyle w:val="EndNoteBibliography"/>
        <w:ind w:left="720" w:hanging="720"/>
      </w:pPr>
      <w:r w:rsidRPr="0094770E">
        <w:rPr>
          <w:lang w:val="pt-PT"/>
        </w:rPr>
        <w:t xml:space="preserve">García, M., Sotos, T., Martínez, E., &amp; Carral, P. (2005). Variables relacionadas con la satisfacción laboral: un estudio transversal a partir del modelo EFQM. </w:t>
      </w:r>
      <w:r w:rsidRPr="00095BC8">
        <w:rPr>
          <w:i/>
        </w:rPr>
        <w:t>Gaceta Sanitaria, 19</w:t>
      </w:r>
      <w:r w:rsidRPr="00095BC8">
        <w:t>(2), 127-134. doi:10.1157/13074368</w:t>
      </w:r>
    </w:p>
    <w:p w:rsidR="00DC11BE" w:rsidRPr="0094770E" w:rsidRDefault="00DC11BE" w:rsidP="005D6333">
      <w:pPr>
        <w:pStyle w:val="EndNoteBibliography"/>
        <w:ind w:left="720" w:hanging="720"/>
        <w:rPr>
          <w:lang w:val="pt-PT"/>
        </w:rPr>
      </w:pPr>
      <w:r w:rsidRPr="00095BC8">
        <w:t xml:space="preserve">George, J., &amp; Jones, G. (1996). The Experience of Work and Turnover Intentions: Interactive Effects of Value Attainment, Job Satisfaction, and Positive Mood. </w:t>
      </w:r>
      <w:r w:rsidRPr="0094770E">
        <w:rPr>
          <w:i/>
          <w:lang w:val="pt-PT"/>
        </w:rPr>
        <w:t>Journal of Applied Psychology, 81</w:t>
      </w:r>
      <w:r w:rsidRPr="0094770E">
        <w:rPr>
          <w:lang w:val="pt-PT"/>
        </w:rPr>
        <w:t>(3), 318-325. doi:10.1037/0021-9010.81.3.318</w:t>
      </w:r>
    </w:p>
    <w:p w:rsidR="00DC11BE" w:rsidRPr="0094770E" w:rsidRDefault="00DC11BE" w:rsidP="005D6333">
      <w:pPr>
        <w:pStyle w:val="EndNoteBibliography"/>
        <w:ind w:left="720" w:hanging="720"/>
        <w:rPr>
          <w:lang w:val="pt-PT"/>
        </w:rPr>
      </w:pPr>
      <w:r w:rsidRPr="0094770E">
        <w:rPr>
          <w:lang w:val="pt-PT"/>
        </w:rPr>
        <w:t xml:space="preserve">Gil, A. (1999). </w:t>
      </w:r>
      <w:r w:rsidRPr="0094770E">
        <w:rPr>
          <w:i/>
          <w:lang w:val="pt-PT"/>
        </w:rPr>
        <w:t>Métodos e Técnicas de Pesquisa Social</w:t>
      </w:r>
      <w:r w:rsidRPr="0094770E">
        <w:rPr>
          <w:lang w:val="pt-PT"/>
        </w:rPr>
        <w:t>. São Paulo: Editora Atlas S.A. .</w:t>
      </w:r>
    </w:p>
    <w:p w:rsidR="00DC11BE" w:rsidRPr="0094770E" w:rsidRDefault="00DC11BE" w:rsidP="005D6333">
      <w:pPr>
        <w:pStyle w:val="EndNoteBibliography"/>
        <w:ind w:left="720" w:hanging="720"/>
        <w:rPr>
          <w:lang w:val="pt-PT"/>
        </w:rPr>
      </w:pPr>
      <w:r w:rsidRPr="0094770E">
        <w:rPr>
          <w:lang w:val="pt-PT"/>
        </w:rPr>
        <w:t xml:space="preserve">Goleman, D. (2018). </w:t>
      </w:r>
      <w:r w:rsidRPr="0094770E">
        <w:rPr>
          <w:i/>
          <w:lang w:val="pt-PT"/>
        </w:rPr>
        <w:t>La inteligencia emocional por qué es más importante que el cociente intelecutal</w:t>
      </w:r>
      <w:r w:rsidRPr="0094770E">
        <w:rPr>
          <w:lang w:val="pt-PT"/>
        </w:rPr>
        <w:t>. Barcelona: Ediciones B de bolsillo, S.A.</w:t>
      </w:r>
    </w:p>
    <w:p w:rsidR="00DC11BE" w:rsidRPr="0094770E" w:rsidRDefault="00DC11BE" w:rsidP="005D6333">
      <w:pPr>
        <w:pStyle w:val="EndNoteBibliography"/>
        <w:ind w:left="720" w:hanging="720"/>
        <w:rPr>
          <w:lang w:val="pt-PT"/>
        </w:rPr>
      </w:pPr>
      <w:r w:rsidRPr="0094770E">
        <w:rPr>
          <w:lang w:val="pt-PT"/>
        </w:rPr>
        <w:t xml:space="preserve">Goleman, D. (2019). </w:t>
      </w:r>
      <w:r w:rsidRPr="0094770E">
        <w:rPr>
          <w:i/>
          <w:lang w:val="pt-PT"/>
        </w:rPr>
        <w:t>Inteligencia emocional en la empresa</w:t>
      </w:r>
      <w:r w:rsidRPr="0094770E">
        <w:rPr>
          <w:lang w:val="pt-PT"/>
        </w:rPr>
        <w:t>. Barcelona: Editorial B de bolsillo.</w:t>
      </w:r>
    </w:p>
    <w:p w:rsidR="00DC11BE" w:rsidRPr="0094770E" w:rsidRDefault="00DC11BE" w:rsidP="005D6333">
      <w:pPr>
        <w:pStyle w:val="EndNoteBibliography"/>
        <w:ind w:left="720" w:hanging="720"/>
        <w:rPr>
          <w:lang w:val="pt-PT"/>
        </w:rPr>
      </w:pPr>
      <w:r w:rsidRPr="0094770E">
        <w:rPr>
          <w:lang w:val="pt-PT"/>
        </w:rPr>
        <w:t xml:space="preserve">Gomes, D., &amp; Borba, D. (2011). Motivação no trabalho. In Duarte Gomes (Ed.), </w:t>
      </w:r>
      <w:r w:rsidRPr="0094770E">
        <w:rPr>
          <w:i/>
          <w:lang w:val="pt-PT"/>
        </w:rPr>
        <w:t>Psicologia das Organizações, do Trabalho e dos Recursos Humanos</w:t>
      </w:r>
      <w:r w:rsidRPr="0094770E">
        <w:rPr>
          <w:lang w:val="pt-PT"/>
        </w:rPr>
        <w:t xml:space="preserve"> (1 ed., pp. 241-320). Coimbra: Imprensa da Universidade de Coimbra.</w:t>
      </w:r>
    </w:p>
    <w:p w:rsidR="00DC11BE" w:rsidRPr="00095BC8" w:rsidRDefault="00DC11BE" w:rsidP="005D6333">
      <w:pPr>
        <w:pStyle w:val="EndNoteBibliography"/>
        <w:ind w:left="720" w:hanging="720"/>
      </w:pPr>
      <w:r w:rsidRPr="0094770E">
        <w:rPr>
          <w:lang w:val="pt-PT"/>
        </w:rPr>
        <w:t xml:space="preserve">Goodwin, C., &amp; Ross, I. (1992). </w:t>
      </w:r>
      <w:r w:rsidRPr="00095BC8">
        <w:t xml:space="preserve">Consumer Responses to Service Failures: Influence of Procedural and Interactional Fairness Perceptions. </w:t>
      </w:r>
      <w:r w:rsidRPr="00095BC8">
        <w:rPr>
          <w:i/>
        </w:rPr>
        <w:t>Journal of Business Research, 25</w:t>
      </w:r>
      <w:r w:rsidRPr="00095BC8">
        <w:t>(2), 149-163. doi:10.1016/0148-2963(92)90014-3</w:t>
      </w:r>
    </w:p>
    <w:p w:rsidR="00DC11BE" w:rsidRPr="00095BC8" w:rsidRDefault="00DC11BE" w:rsidP="005D6333">
      <w:pPr>
        <w:pStyle w:val="EndNoteBibliography"/>
        <w:ind w:left="720" w:hanging="720"/>
      </w:pPr>
      <w:r w:rsidRPr="00095BC8">
        <w:t xml:space="preserve">Grandey, A., Cordeiro, B., &amp; Crouter, A. (2005). A longitudinal and multi-source test of the work-family conflict and job satisfaction relationship. </w:t>
      </w:r>
      <w:r w:rsidRPr="00095BC8">
        <w:rPr>
          <w:i/>
        </w:rPr>
        <w:t>Journal of Occupational and Organizational Psychology, 78</w:t>
      </w:r>
      <w:r w:rsidRPr="00095BC8">
        <w:t>(3), 305-323. doi:10.1348/096317905x2676</w:t>
      </w:r>
    </w:p>
    <w:p w:rsidR="00DC11BE" w:rsidRPr="00095BC8" w:rsidRDefault="00DC11BE" w:rsidP="005D6333">
      <w:pPr>
        <w:pStyle w:val="EndNoteBibliography"/>
        <w:ind w:left="720" w:hanging="720"/>
      </w:pPr>
      <w:r w:rsidRPr="00095BC8">
        <w:t xml:space="preserve">Grant, R. (2011). Reflections on knowledge-based approaches to the organization of production. </w:t>
      </w:r>
      <w:r w:rsidRPr="00095BC8">
        <w:rPr>
          <w:i/>
        </w:rPr>
        <w:t>Journal of Management &amp; Governance, 17</w:t>
      </w:r>
      <w:r w:rsidRPr="00095BC8">
        <w:t>(3), 541-558. doi:10.1007/s10997-011-9195-0</w:t>
      </w:r>
    </w:p>
    <w:p w:rsidR="00DC11BE" w:rsidRPr="00095BC8" w:rsidRDefault="00DC11BE" w:rsidP="005D6333">
      <w:pPr>
        <w:pStyle w:val="EndNoteBibliography"/>
        <w:ind w:left="720" w:hanging="720"/>
      </w:pPr>
      <w:r w:rsidRPr="00095BC8">
        <w:t xml:space="preserve">Hart, C., Heskett, J., &amp; Sasser, W. (1990). The profitable art of service recovery. </w:t>
      </w:r>
      <w:r w:rsidRPr="00095BC8">
        <w:rPr>
          <w:i/>
        </w:rPr>
        <w:t>Harvard Business Review, 68</w:t>
      </w:r>
      <w:r w:rsidRPr="00095BC8">
        <w:t xml:space="preserve">(4), 148-156. </w:t>
      </w:r>
    </w:p>
    <w:p w:rsidR="00DC11BE" w:rsidRPr="00095BC8" w:rsidRDefault="00DC11BE" w:rsidP="005D6333">
      <w:pPr>
        <w:pStyle w:val="EndNoteBibliography"/>
        <w:ind w:left="720" w:hanging="720"/>
      </w:pPr>
      <w:r w:rsidRPr="00095BC8">
        <w:t xml:space="preserve">Hausknecht, J., &amp; Langevin, A. (2010). Selecting Employees for Service and Sales Jobs In J. L. Farr &amp; N. T. Tippins (Eds.), </w:t>
      </w:r>
      <w:r w:rsidRPr="00095BC8">
        <w:rPr>
          <w:i/>
        </w:rPr>
        <w:t>Handbook of employee selection</w:t>
      </w:r>
      <w:r w:rsidRPr="00095BC8">
        <w:t xml:space="preserve"> (pp. 765–779). New York: Routledge, Taylor, &amp; Francis.</w:t>
      </w:r>
    </w:p>
    <w:p w:rsidR="00DC11BE" w:rsidRPr="00095BC8" w:rsidRDefault="00DC11BE" w:rsidP="005D6333">
      <w:pPr>
        <w:pStyle w:val="EndNoteBibliography"/>
        <w:ind w:left="720" w:hanging="720"/>
      </w:pPr>
      <w:r w:rsidRPr="00095BC8">
        <w:t xml:space="preserve">Hennig-Thurau, T., &amp; Hansen, U. (2000). Relationship Marketing - Some Reflections on the State-of-the-Art of the Relational Concept. In Thorsten Hennig Thurau &amp; Ursula Hansen (Eds.), </w:t>
      </w:r>
      <w:r w:rsidRPr="00095BC8">
        <w:rPr>
          <w:i/>
        </w:rPr>
        <w:t>Relationship Marketing</w:t>
      </w:r>
      <w:r w:rsidRPr="00095BC8">
        <w:t xml:space="preserve"> (pp. 3-27). Berlin: Springer.</w:t>
      </w:r>
    </w:p>
    <w:p w:rsidR="00DC11BE" w:rsidRPr="00095BC8" w:rsidRDefault="00DC11BE" w:rsidP="005D6333">
      <w:pPr>
        <w:pStyle w:val="EndNoteBibliography"/>
        <w:ind w:left="720" w:hanging="720"/>
      </w:pPr>
      <w:r w:rsidRPr="00095BC8">
        <w:lastRenderedPageBreak/>
        <w:t>Hennig</w:t>
      </w:r>
      <w:r w:rsidRPr="00095BC8">
        <w:rPr>
          <w:rFonts w:ascii="Times New Roman" w:hAnsi="Times New Roman" w:cs="Times New Roman"/>
        </w:rPr>
        <w:t>‐</w:t>
      </w:r>
      <w:r w:rsidRPr="00095BC8">
        <w:t xml:space="preserve">Thurau, T. (2004). Customer orientation of service employees - Its impact on customer satisfaction, commitment, and retention. </w:t>
      </w:r>
      <w:r w:rsidRPr="00095BC8">
        <w:rPr>
          <w:i/>
        </w:rPr>
        <w:t>International Journal of Service Industry Management, 15</w:t>
      </w:r>
      <w:r w:rsidRPr="00095BC8">
        <w:t>(5), 460-478. doi:10.1108/09564230410564939</w:t>
      </w:r>
    </w:p>
    <w:p w:rsidR="00DC11BE" w:rsidRPr="00095BC8" w:rsidRDefault="00DC11BE" w:rsidP="005D6333">
      <w:pPr>
        <w:pStyle w:val="EndNoteBibliography"/>
        <w:ind w:left="720" w:hanging="720"/>
      </w:pPr>
      <w:r w:rsidRPr="00095BC8">
        <w:t xml:space="preserve">Heracleous, L., &amp; Wirtz, J. (2010). Singapore 'Airlines' Balancing Act. </w:t>
      </w:r>
      <w:r w:rsidRPr="00095BC8">
        <w:rPr>
          <w:i/>
        </w:rPr>
        <w:t>Harvard Business Review, 88</w:t>
      </w:r>
      <w:r w:rsidRPr="00095BC8">
        <w:t xml:space="preserve">, 145-149. </w:t>
      </w:r>
    </w:p>
    <w:p w:rsidR="00DC11BE" w:rsidRPr="00095BC8" w:rsidRDefault="00DC11BE" w:rsidP="005D6333">
      <w:pPr>
        <w:pStyle w:val="EndNoteBibliography"/>
        <w:ind w:left="720" w:hanging="720"/>
      </w:pPr>
      <w:r w:rsidRPr="00095BC8">
        <w:t xml:space="preserve">Heskett, J., Jones, T., Loveman, G., Sasser, W., &amp; Schlesinger, L. (1994). Putting the Service-Profit Chain to Work. </w:t>
      </w:r>
      <w:r w:rsidRPr="00095BC8">
        <w:rPr>
          <w:i/>
        </w:rPr>
        <w:t>Harvard Business Review, 72</w:t>
      </w:r>
      <w:r w:rsidRPr="00095BC8">
        <w:t xml:space="preserve">(2), 164-170. </w:t>
      </w:r>
    </w:p>
    <w:p w:rsidR="00DC11BE" w:rsidRPr="00095BC8" w:rsidRDefault="00DC11BE" w:rsidP="005D6333">
      <w:pPr>
        <w:pStyle w:val="EndNoteBibliography"/>
        <w:ind w:left="720" w:hanging="720"/>
      </w:pPr>
      <w:r w:rsidRPr="00095BC8">
        <w:t xml:space="preserve">Heskett, J., Sasser, W., &amp; Schlesinger, L. (1997). </w:t>
      </w:r>
      <w:r w:rsidRPr="00095BC8">
        <w:rPr>
          <w:i/>
        </w:rPr>
        <w:t>The Service Profit Chain</w:t>
      </w:r>
      <w:r w:rsidRPr="00095BC8">
        <w:t>. New York: Free Press.</w:t>
      </w:r>
    </w:p>
    <w:p w:rsidR="00DC11BE" w:rsidRPr="00095BC8" w:rsidRDefault="00DC11BE" w:rsidP="005D6333">
      <w:pPr>
        <w:pStyle w:val="EndNoteBibliography"/>
        <w:ind w:left="720" w:hanging="720"/>
      </w:pPr>
      <w:r w:rsidRPr="00095BC8">
        <w:t xml:space="preserve">Heskett, J., Sasser, W., &amp; Schlesinger, L. (2015). </w:t>
      </w:r>
      <w:r w:rsidRPr="00095BC8">
        <w:rPr>
          <w:i/>
        </w:rPr>
        <w:t>What Great Service Leaders Knowand &amp; Do: Creating Breakthroughs in Service Firms</w:t>
      </w:r>
      <w:r w:rsidRPr="00095BC8">
        <w:t>. Oakland, CA: Berrett-Koehler Publishers.</w:t>
      </w:r>
    </w:p>
    <w:p w:rsidR="00DC11BE" w:rsidRPr="00095BC8" w:rsidRDefault="00DC11BE" w:rsidP="005D6333">
      <w:pPr>
        <w:pStyle w:val="EndNoteBibliography"/>
        <w:ind w:left="720" w:hanging="720"/>
      </w:pPr>
      <w:r w:rsidRPr="00095BC8">
        <w:t xml:space="preserve">Hills, F., James, P., Paterson, J., &amp; Smith, M. (1980). Delayed development of amiloride-sensitive sodium transport in lamb distal colon. </w:t>
      </w:r>
      <w:r w:rsidRPr="00095BC8">
        <w:rPr>
          <w:i/>
        </w:rPr>
        <w:t>Journal of Physiology, 303</w:t>
      </w:r>
      <w:r w:rsidRPr="00095BC8">
        <w:t>(3), 371-384. doi:10.1113/jphysiol.1980.sp013292</w:t>
      </w:r>
    </w:p>
    <w:p w:rsidR="00DC11BE" w:rsidRPr="00095BC8" w:rsidRDefault="00DC11BE" w:rsidP="005D6333">
      <w:pPr>
        <w:pStyle w:val="EndNoteBibliography"/>
        <w:ind w:left="720" w:hanging="720"/>
      </w:pPr>
      <w:r w:rsidRPr="00095BC8">
        <w:t xml:space="preserve">Hitka, M., &amp; Balážová, Ž. (2015). The impact of age, education and seniority on motivation of employees. </w:t>
      </w:r>
      <w:r w:rsidRPr="00095BC8">
        <w:rPr>
          <w:i/>
        </w:rPr>
        <w:t>Business: Theory and Practice, 16</w:t>
      </w:r>
      <w:r w:rsidRPr="00095BC8">
        <w:t>(1), 113-120. doi:</w:t>
      </w:r>
      <w:r w:rsidRPr="00095BC8">
        <w:rPr>
          <w:rStyle w:val="Hiperligao"/>
          <w:color w:val="auto"/>
          <w:u w:val="none"/>
        </w:rPr>
        <w:t>https://doi.org/10.3846/btp.2015.433</w:t>
      </w:r>
    </w:p>
    <w:p w:rsidR="00DC11BE" w:rsidRPr="00095BC8" w:rsidRDefault="00DC11BE" w:rsidP="005D6333">
      <w:pPr>
        <w:pStyle w:val="EndNoteBibliography"/>
        <w:ind w:left="720" w:hanging="720"/>
      </w:pPr>
      <w:r w:rsidRPr="00095BC8">
        <w:t xml:space="preserve">Hochschild, A. (1983). </w:t>
      </w:r>
      <w:r w:rsidRPr="00095BC8">
        <w:rPr>
          <w:i/>
        </w:rPr>
        <w:t>The managed heart: Commercialization of human feeling</w:t>
      </w:r>
      <w:r w:rsidRPr="00095BC8">
        <w:t>. Berkeley: University of California Press.</w:t>
      </w:r>
    </w:p>
    <w:p w:rsidR="00DC11BE" w:rsidRPr="00095BC8" w:rsidRDefault="00DC11BE" w:rsidP="005D6333">
      <w:pPr>
        <w:pStyle w:val="EndNoteBibliography"/>
        <w:ind w:left="720" w:hanging="720"/>
      </w:pPr>
      <w:r w:rsidRPr="00095BC8">
        <w:t xml:space="preserve">Hoffmann, K., &amp; Bateson, J. (1997). </w:t>
      </w:r>
      <w:r w:rsidRPr="00095BC8">
        <w:rPr>
          <w:i/>
        </w:rPr>
        <w:t>Essential of Service Marketing</w:t>
      </w:r>
      <w:r w:rsidRPr="00095BC8">
        <w:t>. Fort Worth: Dryden Press.</w:t>
      </w:r>
    </w:p>
    <w:p w:rsidR="00DC11BE" w:rsidRPr="00095BC8" w:rsidRDefault="00DC11BE" w:rsidP="005D6333">
      <w:pPr>
        <w:pStyle w:val="EndNoteBibliography"/>
        <w:ind w:left="720" w:hanging="720"/>
      </w:pPr>
      <w:r w:rsidRPr="00095BC8">
        <w:t xml:space="preserve">Hogreve, J., &amp; Gremler, D. (2009). Twenty Years of Service Guarantee Research A Synthesis. </w:t>
      </w:r>
      <w:r w:rsidRPr="00095BC8">
        <w:rPr>
          <w:i/>
        </w:rPr>
        <w:t>Journal of Service Research, 11</w:t>
      </w:r>
      <w:r w:rsidRPr="00095BC8">
        <w:t>(4), 322-343. doi:10.1177/1094670508329225</w:t>
      </w:r>
    </w:p>
    <w:p w:rsidR="00DC11BE" w:rsidRPr="00095BC8" w:rsidRDefault="00DC11BE" w:rsidP="005D6333">
      <w:pPr>
        <w:pStyle w:val="EndNoteBibliography"/>
        <w:ind w:left="720" w:hanging="720"/>
      </w:pPr>
      <w:r w:rsidRPr="00095BC8">
        <w:t xml:space="preserve">Holloway, B., &amp; Beatty, S. (2003). Service Failure in Online Retailing: A Recovery Opportunity. </w:t>
      </w:r>
      <w:r w:rsidRPr="00095BC8">
        <w:rPr>
          <w:i/>
        </w:rPr>
        <w:t>Journal of Service Research, 6</w:t>
      </w:r>
      <w:r w:rsidRPr="00095BC8">
        <w:t>(1), 92-105. doi:0.1177/1094670503254288</w:t>
      </w:r>
    </w:p>
    <w:p w:rsidR="00DC11BE" w:rsidRPr="00095BC8" w:rsidRDefault="00DC11BE" w:rsidP="005D6333">
      <w:pPr>
        <w:pStyle w:val="EndNoteBibliography"/>
        <w:ind w:left="720" w:hanging="720"/>
      </w:pPr>
      <w:r w:rsidRPr="00095BC8">
        <w:t xml:space="preserve">Hong, Y., Liao, H., Hu, J., &amp; Jiang, K. (2013). Missing link in the service profit chain: a meta-analytic review of the antecedents, consequences, and moderators of service climate. </w:t>
      </w:r>
      <w:r w:rsidRPr="00095BC8">
        <w:rPr>
          <w:i/>
        </w:rPr>
        <w:t>Journal Appl Psychol, 98</w:t>
      </w:r>
      <w:r w:rsidRPr="00095BC8">
        <w:t>(2), 237-267. doi:10.1037/a0031666</w:t>
      </w:r>
    </w:p>
    <w:p w:rsidR="00DC11BE" w:rsidRPr="00095BC8" w:rsidRDefault="00DC11BE" w:rsidP="005D6333">
      <w:pPr>
        <w:pStyle w:val="EndNoteBibliography"/>
        <w:ind w:left="720" w:hanging="720"/>
      </w:pPr>
      <w:r w:rsidRPr="00095BC8">
        <w:t xml:space="preserve">House, R., Shane, S., &amp; Herold, D. (1996). Rumors of the death of dispositional research are vastly exaggerated. </w:t>
      </w:r>
      <w:r w:rsidRPr="00095BC8">
        <w:rPr>
          <w:i/>
        </w:rPr>
        <w:t>Academy of Management Review, 21</w:t>
      </w:r>
      <w:r w:rsidRPr="00095BC8">
        <w:t xml:space="preserve">(1), 203-224. </w:t>
      </w:r>
    </w:p>
    <w:p w:rsidR="00DC11BE" w:rsidRPr="00095BC8" w:rsidRDefault="00DC11BE" w:rsidP="005D6333">
      <w:pPr>
        <w:pStyle w:val="EndNoteBibliography"/>
        <w:ind w:left="720" w:hanging="720"/>
      </w:pPr>
      <w:r w:rsidRPr="00095BC8">
        <w:t xml:space="preserve">Hutcheson, G., &amp; Sofroniou, N. (1999). </w:t>
      </w:r>
      <w:r w:rsidRPr="00095BC8">
        <w:rPr>
          <w:i/>
        </w:rPr>
        <w:t>The Multivariate Social Scientist: Introductory Statistics Using Generalized Linear Models</w:t>
      </w:r>
      <w:r w:rsidRPr="00095BC8">
        <w:t xml:space="preserve"> (1 ed.). London: SAGE Publications Ltd.</w:t>
      </w:r>
    </w:p>
    <w:p w:rsidR="00DC11BE" w:rsidRPr="00095BC8" w:rsidRDefault="00DC11BE" w:rsidP="005D6333">
      <w:pPr>
        <w:pStyle w:val="EndNoteBibliography"/>
        <w:ind w:left="720" w:hanging="720"/>
      </w:pPr>
      <w:r w:rsidRPr="00095BC8">
        <w:t xml:space="preserve">Jerger, C., &amp; Wirtz, J. (2017). Service Employee Responses to Angry Customer Complaints: The Roles of Customer Status and Service Climate. </w:t>
      </w:r>
      <w:r w:rsidRPr="00095BC8">
        <w:rPr>
          <w:i/>
        </w:rPr>
        <w:t>Journal of Service Research, 20</w:t>
      </w:r>
      <w:r w:rsidRPr="00095BC8">
        <w:t>(4), 362-378. doi:10.1177/1094670517728339</w:t>
      </w:r>
    </w:p>
    <w:p w:rsidR="00DC11BE" w:rsidRPr="00095BC8" w:rsidRDefault="00DC11BE" w:rsidP="005D6333">
      <w:pPr>
        <w:pStyle w:val="EndNoteBibliography"/>
        <w:ind w:left="720" w:hanging="720"/>
      </w:pPr>
      <w:r w:rsidRPr="00095BC8">
        <w:t xml:space="preserve">Johnston, R., &amp; Fern, A. (1999). Service recovery strategies for single and double deviation scenarios. </w:t>
      </w:r>
      <w:r w:rsidRPr="00095BC8">
        <w:rPr>
          <w:i/>
        </w:rPr>
        <w:t>Service Industries Journal, 19</w:t>
      </w:r>
      <w:r w:rsidRPr="00095BC8">
        <w:t>(2), 69-82. doi:10.1080/02642069900000019</w:t>
      </w:r>
    </w:p>
    <w:p w:rsidR="00DC11BE" w:rsidRPr="00095BC8" w:rsidRDefault="00DC11BE" w:rsidP="005D6333">
      <w:pPr>
        <w:pStyle w:val="EndNoteBibliography"/>
        <w:ind w:left="720" w:hanging="720"/>
      </w:pPr>
      <w:r w:rsidRPr="00095BC8">
        <w:t xml:space="preserve">Johnston, R., &amp; Mehra, S. (2002). Best-practice complaint management. </w:t>
      </w:r>
      <w:r w:rsidRPr="00095BC8">
        <w:rPr>
          <w:i/>
        </w:rPr>
        <w:t>Academy of Management Executive, 16</w:t>
      </w:r>
      <w:r w:rsidRPr="00095BC8">
        <w:t>(4), 145-154. doi:10.5465/Ame.2002.8951342</w:t>
      </w:r>
    </w:p>
    <w:p w:rsidR="00DC11BE" w:rsidRPr="00095BC8" w:rsidRDefault="00DC11BE" w:rsidP="005D6333">
      <w:pPr>
        <w:pStyle w:val="EndNoteBibliography"/>
        <w:ind w:left="720" w:hanging="720"/>
      </w:pPr>
      <w:r w:rsidRPr="00095BC8">
        <w:t xml:space="preserve">Kaiser, H. (1974). An index of factorial simplicity. </w:t>
      </w:r>
      <w:r w:rsidRPr="00095BC8">
        <w:rPr>
          <w:i/>
        </w:rPr>
        <w:t>Psychometrika, 39</w:t>
      </w:r>
      <w:r w:rsidRPr="00095BC8">
        <w:t xml:space="preserve">(1), 31-36. </w:t>
      </w:r>
    </w:p>
    <w:p w:rsidR="00DC11BE" w:rsidRPr="00095BC8" w:rsidRDefault="00DC11BE" w:rsidP="005D6333">
      <w:pPr>
        <w:pStyle w:val="EndNoteBibliography"/>
        <w:ind w:left="720" w:hanging="720"/>
      </w:pPr>
      <w:r w:rsidRPr="00095BC8">
        <w:t xml:space="preserve">Karatepe, O. (2006). The effects of selected antecedents on the service recovery performance of frontline employees. </w:t>
      </w:r>
      <w:r w:rsidRPr="00095BC8">
        <w:rPr>
          <w:i/>
        </w:rPr>
        <w:t>Service Industries Journal, 26</w:t>
      </w:r>
      <w:r w:rsidRPr="00095BC8">
        <w:t>(1), 39-57. doi:10.1080/02642060500358795</w:t>
      </w:r>
    </w:p>
    <w:p w:rsidR="00DC11BE" w:rsidRPr="00095BC8" w:rsidRDefault="00DC11BE" w:rsidP="005D6333">
      <w:pPr>
        <w:pStyle w:val="EndNoteBibliography"/>
        <w:ind w:left="720" w:hanging="720"/>
      </w:pPr>
      <w:r w:rsidRPr="00095BC8">
        <w:t xml:space="preserve">Kelley, S., &amp; Davis, M. (1994). Antecedents to customer expectations for service recovery. </w:t>
      </w:r>
      <w:r w:rsidRPr="00095BC8">
        <w:rPr>
          <w:i/>
        </w:rPr>
        <w:t>Journal of the Academy of Marketing Science, 22</w:t>
      </w:r>
      <w:r w:rsidRPr="00095BC8">
        <w:t>(1), 52-61. doi:10.1177/0092070394221005</w:t>
      </w:r>
    </w:p>
    <w:p w:rsidR="00DC11BE" w:rsidRPr="00095BC8" w:rsidRDefault="00DC11BE" w:rsidP="005D6333">
      <w:pPr>
        <w:pStyle w:val="EndNoteBibliography"/>
        <w:ind w:left="720" w:hanging="720"/>
      </w:pPr>
      <w:r w:rsidRPr="00095BC8">
        <w:t xml:space="preserve">Kolodinsky, J. (1992). Complaints, Redress, and Subsequent Purchases of Medical-Services by Dissatisfied consumers. </w:t>
      </w:r>
      <w:r w:rsidRPr="00095BC8">
        <w:rPr>
          <w:i/>
        </w:rPr>
        <w:t>Journal of Consumer Policy, 16</w:t>
      </w:r>
      <w:r w:rsidRPr="00095BC8">
        <w:t>(2), 193-214. doi:</w:t>
      </w:r>
      <w:r w:rsidRPr="00095BC8">
        <w:rPr>
          <w:rStyle w:val="Hiperligao"/>
          <w:color w:val="auto"/>
          <w:u w:val="none"/>
        </w:rPr>
        <w:t>https://doi.org/10.1007/BF01418376</w:t>
      </w:r>
    </w:p>
    <w:p w:rsidR="00DC11BE" w:rsidRPr="0094770E" w:rsidRDefault="00DC11BE" w:rsidP="005D6333">
      <w:pPr>
        <w:pStyle w:val="EndNoteBibliography"/>
        <w:ind w:left="720" w:hanging="720"/>
        <w:rPr>
          <w:lang w:val="pt-PT"/>
        </w:rPr>
      </w:pPr>
      <w:r w:rsidRPr="00095BC8">
        <w:t xml:space="preserve">Kotler, P., &amp; Armstrong, G. (1991). </w:t>
      </w:r>
      <w:r w:rsidRPr="0094770E">
        <w:rPr>
          <w:i/>
          <w:lang w:val="pt-PT"/>
        </w:rPr>
        <w:t>Fundamentos de Mercadotecnia</w:t>
      </w:r>
      <w:r w:rsidRPr="0094770E">
        <w:rPr>
          <w:lang w:val="pt-PT"/>
        </w:rPr>
        <w:t xml:space="preserve"> (2 ed.). México: Prentice Hall.</w:t>
      </w:r>
    </w:p>
    <w:p w:rsidR="00DC11BE" w:rsidRPr="00095BC8" w:rsidRDefault="00DC11BE" w:rsidP="005D6333">
      <w:pPr>
        <w:pStyle w:val="EndNoteBibliography"/>
        <w:ind w:left="720" w:hanging="720"/>
      </w:pPr>
      <w:r w:rsidRPr="00095BC8">
        <w:lastRenderedPageBreak/>
        <w:t xml:space="preserve">Kuz'min, M. (1973). 23rd International Congress on the History of Medicine in London. </w:t>
      </w:r>
      <w:r w:rsidRPr="00095BC8">
        <w:rPr>
          <w:i/>
        </w:rPr>
        <w:t>Sov Med, 36</w:t>
      </w:r>
      <w:r w:rsidRPr="00095BC8">
        <w:t>(11), 136-138. doi:10.1177/109467059914004</w:t>
      </w:r>
    </w:p>
    <w:p w:rsidR="00DC11BE" w:rsidRPr="00095BC8" w:rsidRDefault="00DC11BE" w:rsidP="005D6333">
      <w:pPr>
        <w:pStyle w:val="EndNoteBibliography"/>
        <w:ind w:left="720" w:hanging="720"/>
      </w:pPr>
      <w:r w:rsidRPr="00095BC8">
        <w:t xml:space="preserve">Lanza, A., Casielles, R., &amp; Martín, A. (2009). Satisfaction with service recovery: Perceived justice and emotional responses. </w:t>
      </w:r>
      <w:r w:rsidRPr="00095BC8">
        <w:rPr>
          <w:i/>
        </w:rPr>
        <w:t>Journal of Business Research, 62</w:t>
      </w:r>
      <w:r w:rsidRPr="00095BC8">
        <w:t>(8), 775-781. doi:10.1016/j.jbusres.2008.09.015</w:t>
      </w:r>
    </w:p>
    <w:p w:rsidR="00DC11BE" w:rsidRPr="00095BC8" w:rsidRDefault="00DC11BE" w:rsidP="005D6333">
      <w:pPr>
        <w:pStyle w:val="EndNoteBibliography"/>
        <w:ind w:left="720" w:hanging="720"/>
      </w:pPr>
      <w:r w:rsidRPr="00095BC8">
        <w:t xml:space="preserve">Liao, H. (2007). Do it right this time: the role of employee service recovery performance in customer-perceived justice and customer loyalty after service failures. </w:t>
      </w:r>
      <w:r w:rsidRPr="00095BC8">
        <w:rPr>
          <w:i/>
        </w:rPr>
        <w:t>Journal Appl Psychol, 92</w:t>
      </w:r>
      <w:r w:rsidRPr="00095BC8">
        <w:t>(2), 475-489. doi:10.1037/0021-9010.92.2.475</w:t>
      </w:r>
    </w:p>
    <w:p w:rsidR="00DC11BE" w:rsidRPr="00095BC8" w:rsidRDefault="00DC11BE" w:rsidP="005D6333">
      <w:pPr>
        <w:pStyle w:val="EndNoteBibliography"/>
        <w:ind w:left="720" w:hanging="720"/>
      </w:pPr>
      <w:r w:rsidRPr="00095BC8">
        <w:t xml:space="preserve">Liljander, V., &amp; Strandvik, T. (1997). Emotions in service satisfaction. </w:t>
      </w:r>
      <w:r w:rsidRPr="00095BC8">
        <w:rPr>
          <w:i/>
        </w:rPr>
        <w:t>International Journal of Service Industry Management, 8</w:t>
      </w:r>
      <w:r w:rsidRPr="00095BC8">
        <w:t>(2), 148. doi:10.1108/09564239710166272</w:t>
      </w:r>
    </w:p>
    <w:p w:rsidR="00DC11BE" w:rsidRPr="00095BC8" w:rsidRDefault="00DC11BE" w:rsidP="005D6333">
      <w:pPr>
        <w:pStyle w:val="EndNoteBibliography"/>
        <w:ind w:left="720" w:hanging="720"/>
      </w:pPr>
      <w:r w:rsidRPr="00095BC8">
        <w:t xml:space="preserve">Lima, M., Monteiro, M., &amp; Vala, J. (1995). </w:t>
      </w:r>
      <w:r w:rsidRPr="0094770E">
        <w:rPr>
          <w:lang w:val="pt-PT"/>
        </w:rPr>
        <w:t xml:space="preserve">A satisfação organizacional: Confronto de Modelos. In J. Vala, M. Lima, M. Monteiro, &amp; A. Caetano (Eds.), </w:t>
      </w:r>
      <w:r w:rsidRPr="0094770E">
        <w:rPr>
          <w:i/>
          <w:lang w:val="pt-PT"/>
        </w:rPr>
        <w:t>Psicologia Social das Organizações: Estudos em empresas portuguesas</w:t>
      </w:r>
      <w:r w:rsidRPr="0094770E">
        <w:rPr>
          <w:lang w:val="pt-PT"/>
        </w:rPr>
        <w:t xml:space="preserve"> (2 ed., pp. 101-122). </w:t>
      </w:r>
      <w:r w:rsidRPr="00095BC8">
        <w:t>Oeiras: Celta Editora.</w:t>
      </w:r>
    </w:p>
    <w:p w:rsidR="00DC11BE" w:rsidRPr="00095BC8" w:rsidRDefault="00DC11BE" w:rsidP="005D6333">
      <w:pPr>
        <w:pStyle w:val="EndNoteBibliography"/>
        <w:ind w:left="720" w:hanging="720"/>
      </w:pPr>
      <w:r w:rsidRPr="00095BC8">
        <w:t xml:space="preserve">Lind, T., Johannsen, H., &amp; Lauritzen, J. (1990). Results after primary suture of rupture of the anterior cruciate ligament. A 4-5 year follow-up. </w:t>
      </w:r>
      <w:r w:rsidRPr="00095BC8">
        <w:rPr>
          <w:i/>
        </w:rPr>
        <w:t>Ugeskr Laeger, 152</w:t>
      </w:r>
      <w:r w:rsidRPr="00095BC8">
        <w:t>(10), 670-672. doi:10.2307/3152082</w:t>
      </w:r>
    </w:p>
    <w:p w:rsidR="00DC11BE" w:rsidRPr="00095BC8" w:rsidRDefault="00DC11BE" w:rsidP="005D6333">
      <w:pPr>
        <w:pStyle w:val="EndNoteBibliography"/>
        <w:ind w:left="720" w:hanging="720"/>
      </w:pPr>
      <w:r w:rsidRPr="00095BC8">
        <w:t>Liu, R., &amp; McClure, P. (2001). Recognizing cross</w:t>
      </w:r>
      <w:r w:rsidRPr="00095BC8">
        <w:rPr>
          <w:rFonts w:ascii="Times New Roman" w:hAnsi="Times New Roman" w:cs="Times New Roman"/>
        </w:rPr>
        <w:t>‐</w:t>
      </w:r>
      <w:r w:rsidRPr="00095BC8">
        <w:t xml:space="preserve">cultural differences in consumer complaint behavior and intentions: an empirical examination. </w:t>
      </w:r>
      <w:r w:rsidRPr="00095BC8">
        <w:rPr>
          <w:i/>
        </w:rPr>
        <w:t>Journal of Consumer Marketing,, 18</w:t>
      </w:r>
      <w:r w:rsidRPr="00095BC8">
        <w:t>(1), 54-75. doi:10.1108/07363760110365813</w:t>
      </w:r>
    </w:p>
    <w:p w:rsidR="00DC11BE" w:rsidRPr="00095BC8" w:rsidRDefault="00DC11BE" w:rsidP="005D6333">
      <w:pPr>
        <w:pStyle w:val="EndNoteBibliography"/>
        <w:ind w:left="720" w:hanging="720"/>
      </w:pPr>
      <w:r w:rsidRPr="00095BC8">
        <w:t xml:space="preserve">Locke, E. (1976). The nature and causes of job satisfaction. In M. D. Dunnette (Ed.), </w:t>
      </w:r>
      <w:r w:rsidRPr="00095BC8">
        <w:rPr>
          <w:i/>
        </w:rPr>
        <w:t>Handbook of Industrial and Organizational Psychology</w:t>
      </w:r>
      <w:r w:rsidRPr="00095BC8">
        <w:t xml:space="preserve"> (1 ed., pp. 1297-1349). Chicago, IL: Rand McNally.</w:t>
      </w:r>
    </w:p>
    <w:p w:rsidR="00DC11BE" w:rsidRPr="00095BC8" w:rsidRDefault="00DC11BE" w:rsidP="005D6333">
      <w:pPr>
        <w:pStyle w:val="EndNoteBibliography"/>
        <w:ind w:left="720" w:hanging="720"/>
      </w:pPr>
      <w:r w:rsidRPr="00095BC8">
        <w:t xml:space="preserve">Locke, E. (1984). Job satisfaction. In M. Gruneberg &amp; T. Wall (Eds.), </w:t>
      </w:r>
      <w:r w:rsidRPr="00095BC8">
        <w:rPr>
          <w:i/>
        </w:rPr>
        <w:t>Sociat psychotogy and organizationat behaviour</w:t>
      </w:r>
      <w:r w:rsidRPr="00095BC8">
        <w:t xml:space="preserve"> (pp. 93-117). London: Wiley.</w:t>
      </w:r>
    </w:p>
    <w:p w:rsidR="00DC11BE" w:rsidRPr="0094770E" w:rsidRDefault="00DC11BE" w:rsidP="005D6333">
      <w:pPr>
        <w:pStyle w:val="EndNoteBibliography"/>
        <w:ind w:left="720" w:hanging="720"/>
        <w:rPr>
          <w:lang w:val="pt-PT"/>
        </w:rPr>
      </w:pPr>
      <w:r w:rsidRPr="00095BC8">
        <w:t xml:space="preserve">Lovelock, C., &amp; Wirtz, J. (2007). </w:t>
      </w:r>
      <w:r w:rsidRPr="00095BC8">
        <w:rPr>
          <w:i/>
        </w:rPr>
        <w:t>Services Marketing: People, Technology, Strategy</w:t>
      </w:r>
      <w:r w:rsidRPr="00095BC8">
        <w:t xml:space="preserve"> (6 ed.). </w:t>
      </w:r>
      <w:r w:rsidRPr="0094770E">
        <w:rPr>
          <w:lang w:val="pt-PT"/>
        </w:rPr>
        <w:t>New Jersey: Perason – Prentice Hall.</w:t>
      </w:r>
    </w:p>
    <w:p w:rsidR="00DC11BE" w:rsidRPr="0094770E" w:rsidRDefault="00DC11BE" w:rsidP="005D6333">
      <w:pPr>
        <w:pStyle w:val="EndNoteBibliography"/>
        <w:ind w:left="720" w:hanging="720"/>
        <w:rPr>
          <w:lang w:val="pt-PT"/>
        </w:rPr>
      </w:pPr>
      <w:r w:rsidRPr="0094770E">
        <w:rPr>
          <w:lang w:val="pt-PT"/>
        </w:rPr>
        <w:t xml:space="preserve">Marôco, J. (2010). </w:t>
      </w:r>
      <w:r w:rsidRPr="0094770E">
        <w:rPr>
          <w:i/>
          <w:lang w:val="pt-PT"/>
        </w:rPr>
        <w:t>Análise Estatística com o PASW Statistics (ex-SPSS)</w:t>
      </w:r>
      <w:r w:rsidRPr="0094770E">
        <w:rPr>
          <w:lang w:val="pt-PT"/>
        </w:rPr>
        <w:t>. Pêro Pinheiro: ReportNumber.</w:t>
      </w:r>
    </w:p>
    <w:p w:rsidR="00DC11BE" w:rsidRPr="0094770E" w:rsidRDefault="00DC11BE" w:rsidP="005D6333">
      <w:pPr>
        <w:pStyle w:val="EndNoteBibliography"/>
        <w:ind w:left="720" w:hanging="720"/>
        <w:rPr>
          <w:lang w:val="pt-PT"/>
        </w:rPr>
      </w:pPr>
      <w:r w:rsidRPr="0094770E">
        <w:rPr>
          <w:lang w:val="pt-PT"/>
        </w:rPr>
        <w:t xml:space="preserve">Martín, D., &amp; Boeck, K. (2007). </w:t>
      </w:r>
      <w:r w:rsidRPr="0094770E">
        <w:rPr>
          <w:i/>
          <w:lang w:val="pt-PT"/>
        </w:rPr>
        <w:t>EQ qué es inteligencia emocional</w:t>
      </w:r>
      <w:r w:rsidRPr="0094770E">
        <w:rPr>
          <w:lang w:val="pt-PT"/>
        </w:rPr>
        <w:t xml:space="preserve"> (3 ed.). Madrid: Editorial EDAF, S.L.</w:t>
      </w:r>
    </w:p>
    <w:p w:rsidR="00DC11BE" w:rsidRPr="0094770E" w:rsidRDefault="00DC11BE" w:rsidP="005D6333">
      <w:pPr>
        <w:pStyle w:val="EndNoteBibliography"/>
        <w:ind w:left="720" w:hanging="720"/>
        <w:rPr>
          <w:lang w:val="pt-PT"/>
        </w:rPr>
      </w:pPr>
      <w:r w:rsidRPr="0094770E">
        <w:rPr>
          <w:lang w:val="pt-PT"/>
        </w:rPr>
        <w:t xml:space="preserve">Martinez, L., &amp; Ferreira, A. (2008). </w:t>
      </w:r>
      <w:r w:rsidRPr="0094770E">
        <w:rPr>
          <w:i/>
          <w:lang w:val="pt-PT"/>
        </w:rPr>
        <w:t>Análise de dados com SPSS. Primeiros passos</w:t>
      </w:r>
      <w:r w:rsidRPr="0094770E">
        <w:rPr>
          <w:lang w:val="pt-PT"/>
        </w:rPr>
        <w:t xml:space="preserve"> (2 ed.). Lisboa: Escolar Editora.</w:t>
      </w:r>
    </w:p>
    <w:p w:rsidR="00DC11BE" w:rsidRPr="0094770E" w:rsidRDefault="00DC11BE" w:rsidP="005D6333">
      <w:pPr>
        <w:pStyle w:val="EndNoteBibliography"/>
        <w:ind w:left="720" w:hanging="720"/>
        <w:rPr>
          <w:lang w:val="pt-PT"/>
        </w:rPr>
      </w:pPr>
      <w:r w:rsidRPr="0094770E">
        <w:rPr>
          <w:lang w:val="pt-PT"/>
        </w:rPr>
        <w:t xml:space="preserve">Martinez, M., &amp; Paraguay, A. (2003). Satisfação e saúde no trabalho: aspectos conceituais e metodológicos. </w:t>
      </w:r>
      <w:r w:rsidRPr="0094770E">
        <w:rPr>
          <w:i/>
          <w:lang w:val="pt-PT"/>
        </w:rPr>
        <w:t>Cadernos de Psicologia Social do trabalho, 6</w:t>
      </w:r>
      <w:r w:rsidRPr="0094770E">
        <w:rPr>
          <w:lang w:val="pt-PT"/>
        </w:rPr>
        <w:t>, 59-78. doi:</w:t>
      </w:r>
      <w:r w:rsidRPr="0094770E">
        <w:rPr>
          <w:rStyle w:val="Hiperligao"/>
          <w:color w:val="auto"/>
          <w:u w:val="none"/>
          <w:lang w:val="pt-PT"/>
        </w:rPr>
        <w:t>https://doi.org/10.11606/issn.1981-0490.v6i0p59-78</w:t>
      </w:r>
    </w:p>
    <w:p w:rsidR="00DC11BE" w:rsidRPr="00095BC8" w:rsidRDefault="00DC11BE" w:rsidP="005D6333">
      <w:pPr>
        <w:pStyle w:val="EndNoteBibliography"/>
        <w:ind w:left="720" w:hanging="720"/>
      </w:pPr>
      <w:r w:rsidRPr="00095BC8">
        <w:t xml:space="preserve">Maxham, J. (2001). Service recovery's influence on consumer satisfaction, positive word-of-mouth, and purchase intentions. </w:t>
      </w:r>
      <w:r w:rsidRPr="00095BC8">
        <w:rPr>
          <w:i/>
        </w:rPr>
        <w:t>Journal of Business Research, 54</w:t>
      </w:r>
      <w:r w:rsidRPr="00095BC8">
        <w:t>(1), 11-24. doi:10.1016/s0148-2963(00)00114-4</w:t>
      </w:r>
    </w:p>
    <w:p w:rsidR="00DC11BE" w:rsidRPr="00095BC8" w:rsidRDefault="00DC11BE" w:rsidP="005D6333">
      <w:pPr>
        <w:pStyle w:val="EndNoteBibliography"/>
        <w:ind w:left="720" w:hanging="720"/>
      </w:pPr>
      <w:r w:rsidRPr="00095BC8">
        <w:t xml:space="preserve">Maxham, J., &amp; Netemeyer, R. (2002). Modeling customer perceptions of complaint handling over time: the effects of perceived justice on satisfaction and intent. </w:t>
      </w:r>
      <w:r w:rsidRPr="00095BC8">
        <w:rPr>
          <w:i/>
        </w:rPr>
        <w:t>Journal of Retailing, 78</w:t>
      </w:r>
      <w:r w:rsidRPr="00095BC8">
        <w:t>(4), 239-252. doi:10.1016/S0022-4359(02)00100-8</w:t>
      </w:r>
    </w:p>
    <w:p w:rsidR="00DC11BE" w:rsidRPr="00095BC8" w:rsidRDefault="00DC11BE" w:rsidP="005D6333">
      <w:pPr>
        <w:pStyle w:val="EndNoteBibliography"/>
        <w:ind w:left="720" w:hanging="720"/>
      </w:pPr>
      <w:r w:rsidRPr="00095BC8">
        <w:t xml:space="preserve">McClelland, D. (1988). </w:t>
      </w:r>
      <w:r w:rsidRPr="00095BC8">
        <w:rPr>
          <w:i/>
        </w:rPr>
        <w:t>Human Motivation</w:t>
      </w:r>
      <w:r w:rsidRPr="00095BC8">
        <w:t>. Cambridge, Reino Unido: Cambridge University Press.</w:t>
      </w:r>
    </w:p>
    <w:p w:rsidR="00DC11BE" w:rsidRPr="00095BC8" w:rsidRDefault="00DC11BE" w:rsidP="005D6333">
      <w:pPr>
        <w:pStyle w:val="EndNoteBibliography"/>
        <w:ind w:left="720" w:hanging="720"/>
      </w:pPr>
      <w:r w:rsidRPr="00095BC8">
        <w:t xml:space="preserve">McCole, P. (2004). Dealing with complaints in services. </w:t>
      </w:r>
      <w:r w:rsidRPr="00095BC8">
        <w:rPr>
          <w:i/>
        </w:rPr>
        <w:t>International Journal of Contemporary Hospitality Management, 16</w:t>
      </w:r>
      <w:r w:rsidRPr="00095BC8">
        <w:t>(6), 345-354. doi:</w:t>
      </w:r>
      <w:r w:rsidRPr="00095BC8">
        <w:rPr>
          <w:rStyle w:val="Hiperligao"/>
          <w:color w:val="auto"/>
          <w:u w:val="none"/>
        </w:rPr>
        <w:t>http://dx.doi.org/10.1108/09596110410550789</w:t>
      </w:r>
    </w:p>
    <w:p w:rsidR="00DC11BE" w:rsidRPr="00095BC8" w:rsidRDefault="00DC11BE" w:rsidP="005D6333">
      <w:pPr>
        <w:pStyle w:val="EndNoteBibliography"/>
        <w:ind w:left="720" w:hanging="720"/>
      </w:pPr>
      <w:r w:rsidRPr="00095BC8">
        <w:t xml:space="preserve">McColl-Kennedy, J., &amp; Smith, A. (2006). Customer Emotions in Service Failure and Recovery Encounters. In W. J. Zerbe, C. Hartel, &amp; N. Ashkanasy (Eds.), </w:t>
      </w:r>
      <w:r w:rsidRPr="00095BC8">
        <w:rPr>
          <w:i/>
        </w:rPr>
        <w:t>Individual and Organizational Perspectives on Emotion Management and Display</w:t>
      </w:r>
      <w:r w:rsidRPr="00095BC8">
        <w:t xml:space="preserve"> (Vol. 2, pp. 237-268).</w:t>
      </w:r>
    </w:p>
    <w:p w:rsidR="00DC11BE" w:rsidRPr="0094770E" w:rsidRDefault="00DC11BE" w:rsidP="005D6333">
      <w:pPr>
        <w:pStyle w:val="EndNoteBibliography"/>
        <w:ind w:left="720" w:hanging="720"/>
        <w:rPr>
          <w:lang w:val="pt-PT"/>
        </w:rPr>
      </w:pPr>
      <w:r w:rsidRPr="0094770E">
        <w:rPr>
          <w:lang w:val="pt-PT"/>
        </w:rPr>
        <w:lastRenderedPageBreak/>
        <w:t xml:space="preserve">Mello, S., Neto, A., Fonseca, F., &amp; Leão, A. (2004). A relação entre as características pessoais dos funcionários de contato em serviços e as estratégias utilizadas no gerenciamento da reclamação. </w:t>
      </w:r>
      <w:r w:rsidRPr="0094770E">
        <w:rPr>
          <w:i/>
          <w:lang w:val="pt-PT"/>
        </w:rPr>
        <w:t>Revista de Administração Mackenzie, 6</w:t>
      </w:r>
      <w:r w:rsidRPr="0094770E">
        <w:rPr>
          <w:lang w:val="pt-PT"/>
        </w:rPr>
        <w:t xml:space="preserve">(3), 119-136. </w:t>
      </w:r>
    </w:p>
    <w:p w:rsidR="00DC11BE" w:rsidRPr="00095BC8" w:rsidRDefault="00DC11BE" w:rsidP="005D6333">
      <w:pPr>
        <w:pStyle w:val="EndNoteBibliography"/>
        <w:ind w:left="720" w:hanging="720"/>
      </w:pPr>
      <w:r w:rsidRPr="0094770E">
        <w:rPr>
          <w:lang w:val="pt-PT"/>
        </w:rPr>
        <w:t xml:space="preserve">Miller, J., Craighead, C., &amp; Karwan, K. (2000). </w:t>
      </w:r>
      <w:r w:rsidRPr="00095BC8">
        <w:t xml:space="preserve">Service recovery: a framework and empirical investigation. </w:t>
      </w:r>
      <w:r w:rsidRPr="00095BC8">
        <w:rPr>
          <w:i/>
        </w:rPr>
        <w:t>Journal of Operations Management, 18</w:t>
      </w:r>
      <w:r w:rsidRPr="00095BC8">
        <w:t>(4), 387-400. doi:10.1016/S0272-6963(00)00032-2</w:t>
      </w:r>
    </w:p>
    <w:p w:rsidR="00DC11BE" w:rsidRPr="00095BC8" w:rsidRDefault="00DC11BE" w:rsidP="005D6333">
      <w:pPr>
        <w:pStyle w:val="EndNoteBibliography"/>
        <w:ind w:left="720" w:hanging="720"/>
      </w:pPr>
      <w:r w:rsidRPr="00095BC8">
        <w:t xml:space="preserve">Morris, J., &amp; Feldman, D. (1996). The Dimensions, Antecedents, and Consequences of Emotional Labor. </w:t>
      </w:r>
      <w:r w:rsidRPr="00095BC8">
        <w:rPr>
          <w:i/>
        </w:rPr>
        <w:t>Academy of Management Review, 21</w:t>
      </w:r>
      <w:r w:rsidRPr="00095BC8">
        <w:t>(4), 986-1010. doi:Morris, J. A., &amp; Feldman, D. C. (1996). THE DIMENSIONS, ANTECEDENTS, AND CONSEQUENCES OF EMOTIONAL LABOR. Academy of Management Review, 21(4), 986-986-1010. doi:10.5465/AMR.1996.9704071861</w:t>
      </w:r>
    </w:p>
    <w:p w:rsidR="00DC11BE" w:rsidRPr="00095BC8" w:rsidRDefault="00DC11BE" w:rsidP="005D6333">
      <w:pPr>
        <w:pStyle w:val="EndNoteBibliography"/>
        <w:ind w:left="720" w:hanging="720"/>
      </w:pPr>
      <w:r w:rsidRPr="00095BC8">
        <w:t xml:space="preserve">Morrison, E. (2011). Employee Voice Behavior: Integration and Directions for Future Research. </w:t>
      </w:r>
      <w:r w:rsidRPr="00095BC8">
        <w:rPr>
          <w:i/>
        </w:rPr>
        <w:t>Academy of Management Annals, 5</w:t>
      </w:r>
      <w:r w:rsidRPr="00095BC8">
        <w:t>, 373-412. doi:10.1080/19416520.2011.574506</w:t>
      </w:r>
    </w:p>
    <w:p w:rsidR="00DC11BE" w:rsidRPr="00095BC8" w:rsidRDefault="00DC11BE" w:rsidP="005D6333">
      <w:pPr>
        <w:pStyle w:val="EndNoteBibliography"/>
        <w:ind w:left="720" w:hanging="720"/>
      </w:pPr>
      <w:r w:rsidRPr="00095BC8">
        <w:t xml:space="preserve">Mumby, D., &amp; Putnam, L. (1992). The Politics of Emotion - a Feminist Reading of Bounded Rationality. </w:t>
      </w:r>
      <w:r w:rsidRPr="00095BC8">
        <w:rPr>
          <w:i/>
        </w:rPr>
        <w:t>Academy of Management Review, 17</w:t>
      </w:r>
      <w:r w:rsidRPr="00095BC8">
        <w:t>(3), 465-486. doi:10.5465/Amr.1992.4281983</w:t>
      </w:r>
    </w:p>
    <w:p w:rsidR="00DC11BE" w:rsidRPr="0094770E" w:rsidRDefault="00DC11BE" w:rsidP="005D6333">
      <w:pPr>
        <w:pStyle w:val="EndNoteBibliography"/>
        <w:ind w:left="720" w:hanging="720"/>
        <w:rPr>
          <w:lang w:val="pt-PT"/>
        </w:rPr>
      </w:pPr>
      <w:r w:rsidRPr="00095BC8">
        <w:t xml:space="preserve">Nasi, S., So, A., Combes, C., Daudon, M., &amp; Busso, N. (2016). Interleukin-6 and chondrocyte mineralisation act in tandem to promote experimental osteoarthritis. </w:t>
      </w:r>
      <w:r w:rsidRPr="0094770E">
        <w:rPr>
          <w:i/>
          <w:lang w:val="pt-PT"/>
        </w:rPr>
        <w:t>Ann Rheum Dis, 75</w:t>
      </w:r>
      <w:r w:rsidRPr="0094770E">
        <w:rPr>
          <w:lang w:val="pt-PT"/>
        </w:rPr>
        <w:t>(7), 1372-1379. doi:10.1136/annrheumdis-2015-207487</w:t>
      </w:r>
    </w:p>
    <w:p w:rsidR="00DC11BE" w:rsidRPr="00095BC8" w:rsidRDefault="00DC11BE" w:rsidP="005D6333">
      <w:pPr>
        <w:pStyle w:val="EndNoteBibliography"/>
        <w:ind w:left="720" w:hanging="720"/>
      </w:pPr>
      <w:r w:rsidRPr="0094770E">
        <w:rPr>
          <w:lang w:val="pt-PT"/>
        </w:rPr>
        <w:t xml:space="preserve">Neves, J. (2011). </w:t>
      </w:r>
      <w:r w:rsidRPr="0094770E">
        <w:rPr>
          <w:i/>
          <w:lang w:val="pt-PT"/>
        </w:rPr>
        <w:t>Avaliação e Gestão da Performance Estratégica da Empresa</w:t>
      </w:r>
      <w:r w:rsidRPr="0094770E">
        <w:rPr>
          <w:lang w:val="pt-PT"/>
        </w:rPr>
        <w:t xml:space="preserve"> (2 ed.). </w:t>
      </w:r>
      <w:r w:rsidRPr="00095BC8">
        <w:t>Lisboa: Texto Editora.</w:t>
      </w:r>
    </w:p>
    <w:p w:rsidR="00DC11BE" w:rsidRPr="00095BC8" w:rsidRDefault="00DC11BE" w:rsidP="005D6333">
      <w:pPr>
        <w:pStyle w:val="EndNoteBibliography"/>
        <w:ind w:left="720" w:hanging="720"/>
      </w:pPr>
      <w:r w:rsidRPr="00095BC8">
        <w:t xml:space="preserve">Nyer, P. (2000). An investigation into whether complaining can cause increased consumer satisfaction. </w:t>
      </w:r>
      <w:r w:rsidRPr="00095BC8">
        <w:rPr>
          <w:i/>
        </w:rPr>
        <w:t>Journal of Consumer Marketing, 17</w:t>
      </w:r>
      <w:r w:rsidRPr="00095BC8">
        <w:t>(1), 9-19. doi:10.1108/07363760010309500</w:t>
      </w:r>
    </w:p>
    <w:p w:rsidR="00DC11BE" w:rsidRPr="00095BC8" w:rsidRDefault="00DC11BE" w:rsidP="005D6333">
      <w:pPr>
        <w:pStyle w:val="EndNoteBibliography"/>
        <w:ind w:left="720" w:hanging="720"/>
      </w:pPr>
      <w:r w:rsidRPr="00095BC8">
        <w:t xml:space="preserve">Ok, C., Back, K., &amp; Shanklin, C. (2007). Mixed Findings on the Service Recovery Paradox. </w:t>
      </w:r>
      <w:r w:rsidRPr="00095BC8">
        <w:rPr>
          <w:i/>
        </w:rPr>
        <w:t>Service Industries Journal, 27</w:t>
      </w:r>
      <w:r w:rsidRPr="00095BC8">
        <w:t>(6), 671-686. doi:10.1080/02642060701453130</w:t>
      </w:r>
    </w:p>
    <w:p w:rsidR="00DC11BE" w:rsidRPr="00095BC8" w:rsidRDefault="00DC11BE" w:rsidP="005D6333">
      <w:pPr>
        <w:pStyle w:val="EndNoteBibliography"/>
        <w:ind w:left="720" w:hanging="720"/>
      </w:pPr>
      <w:r w:rsidRPr="00095BC8">
        <w:t xml:space="preserve">Oliver, R. (1994). Conceptual issues in the structural-analysis of consumption, satisfaction, and quality - Evidence in a service setting. </w:t>
      </w:r>
      <w:r w:rsidRPr="00095BC8">
        <w:rPr>
          <w:i/>
        </w:rPr>
        <w:t>NA - Advances in Consumer Research, 21</w:t>
      </w:r>
      <w:r w:rsidRPr="00095BC8">
        <w:t xml:space="preserve">, 16-22. </w:t>
      </w:r>
    </w:p>
    <w:p w:rsidR="00DC11BE" w:rsidRPr="00095BC8" w:rsidRDefault="00DC11BE" w:rsidP="005D6333">
      <w:pPr>
        <w:pStyle w:val="EndNoteBibliography"/>
        <w:ind w:left="720" w:hanging="720"/>
      </w:pPr>
      <w:r w:rsidRPr="00095BC8">
        <w:t xml:space="preserve">Oliver, R. (1997). </w:t>
      </w:r>
      <w:r w:rsidRPr="00095BC8">
        <w:rPr>
          <w:i/>
        </w:rPr>
        <w:t>Satisfaction: A Behavioral Perspective on the Consumer</w:t>
      </w:r>
      <w:r w:rsidRPr="00095BC8">
        <w:t>. NewYork: Irwin/MaGraw-Hill.</w:t>
      </w:r>
    </w:p>
    <w:p w:rsidR="00DC11BE" w:rsidRPr="00095BC8" w:rsidRDefault="00DC11BE" w:rsidP="005D6333">
      <w:pPr>
        <w:pStyle w:val="EndNoteBibliography"/>
        <w:ind w:left="720" w:hanging="720"/>
      </w:pPr>
      <w:r w:rsidRPr="00095BC8">
        <w:t xml:space="preserve">Oliver, R., Rust, R., &amp; Varki, S. (1997). Customer delight: Foundations, findings, and managerial insight. </w:t>
      </w:r>
      <w:r w:rsidRPr="00095BC8">
        <w:rPr>
          <w:i/>
        </w:rPr>
        <w:t>Journal of Retailing, 73</w:t>
      </w:r>
      <w:r w:rsidRPr="00095BC8">
        <w:t>(3), 311-336. doi:10.1016/S0022-4359(97)90021-X</w:t>
      </w:r>
    </w:p>
    <w:p w:rsidR="00DC11BE" w:rsidRPr="00095BC8" w:rsidRDefault="00DC11BE" w:rsidP="005D6333">
      <w:pPr>
        <w:pStyle w:val="EndNoteBibliography"/>
        <w:ind w:left="720" w:hanging="720"/>
      </w:pPr>
      <w:r w:rsidRPr="00095BC8">
        <w:t xml:space="preserve">Organ, D., &amp; Near, J. (1985). Cognition vs affect in measures of job satisfaction. </w:t>
      </w:r>
      <w:r w:rsidRPr="00095BC8">
        <w:rPr>
          <w:i/>
        </w:rPr>
        <w:t>Int J Psychol, 20</w:t>
      </w:r>
      <w:r w:rsidRPr="00095BC8">
        <w:t>(2), 241-253. doi:10.1080/00207598508247735</w:t>
      </w:r>
    </w:p>
    <w:p w:rsidR="00DC11BE" w:rsidRPr="00095BC8" w:rsidRDefault="00DC11BE" w:rsidP="005D6333">
      <w:pPr>
        <w:pStyle w:val="EndNoteBibliography"/>
        <w:ind w:left="720" w:hanging="720"/>
      </w:pPr>
      <w:r w:rsidRPr="00095BC8">
        <w:t xml:space="preserve">Owen, A., Videras, J., &amp; Willemsen, C. (2008). Democracy, Participation, and life Satisfaction. </w:t>
      </w:r>
      <w:r w:rsidRPr="00095BC8">
        <w:rPr>
          <w:i/>
        </w:rPr>
        <w:t>Social Science Quarterly, 89</w:t>
      </w:r>
      <w:r w:rsidRPr="00095BC8">
        <w:t xml:space="preserve">(4), 987-1005. </w:t>
      </w:r>
    </w:p>
    <w:p w:rsidR="00DC11BE" w:rsidRPr="00095BC8" w:rsidRDefault="00DC11BE" w:rsidP="005D6333">
      <w:pPr>
        <w:pStyle w:val="EndNoteBibliography"/>
        <w:ind w:left="720" w:hanging="720"/>
      </w:pPr>
      <w:r w:rsidRPr="00095BC8">
        <w:t xml:space="preserve">Pan, F. (2015). Practical application of importance-performance analysis in determining critical job satisfaction factors of a tourist hotel. </w:t>
      </w:r>
      <w:r w:rsidRPr="00095BC8">
        <w:rPr>
          <w:i/>
        </w:rPr>
        <w:t>Tourism Management, 46</w:t>
      </w:r>
      <w:r w:rsidRPr="00095BC8">
        <w:t>, 84-91. doi:10.1016/j.tourman.2014.06.004</w:t>
      </w:r>
    </w:p>
    <w:p w:rsidR="00DC11BE" w:rsidRPr="00095BC8" w:rsidRDefault="00DC11BE" w:rsidP="005D6333">
      <w:pPr>
        <w:pStyle w:val="EndNoteBibliography"/>
        <w:ind w:left="720" w:hanging="720"/>
      </w:pPr>
      <w:r w:rsidRPr="00095BC8">
        <w:t xml:space="preserve">Parasuraman, A., Berry, L., &amp; Zeithaml, V. (1991). Understanding Customer Expectations of Service. </w:t>
      </w:r>
      <w:r w:rsidRPr="00095BC8">
        <w:rPr>
          <w:i/>
        </w:rPr>
        <w:t>Sloan Management Review, 32</w:t>
      </w:r>
      <w:r w:rsidRPr="00095BC8">
        <w:t xml:space="preserve">(3), 39-48. </w:t>
      </w:r>
    </w:p>
    <w:p w:rsidR="00DC11BE" w:rsidRPr="00095BC8" w:rsidRDefault="00DC11BE" w:rsidP="005D6333">
      <w:pPr>
        <w:pStyle w:val="EndNoteBibliography"/>
        <w:ind w:left="720" w:hanging="720"/>
      </w:pPr>
      <w:r w:rsidRPr="00095BC8">
        <w:t xml:space="preserve">Parasuraman, A., Berry, L., &amp; Zeithaml, V. (1993). More on improving service quality measurement. </w:t>
      </w:r>
      <w:r w:rsidRPr="00095BC8">
        <w:rPr>
          <w:i/>
        </w:rPr>
        <w:t>Journal of Retailing, 69</w:t>
      </w:r>
      <w:r w:rsidRPr="00095BC8">
        <w:t>(1), 140-147. doi:10.1016/S0022-4359(05)80007-7</w:t>
      </w:r>
    </w:p>
    <w:p w:rsidR="00DC11BE" w:rsidRPr="00095BC8" w:rsidRDefault="00DC11BE" w:rsidP="005D6333">
      <w:pPr>
        <w:pStyle w:val="EndNoteBibliography"/>
        <w:ind w:left="720" w:hanging="720"/>
      </w:pPr>
      <w:r w:rsidRPr="00095BC8">
        <w:lastRenderedPageBreak/>
        <w:t xml:space="preserve">Parasuraman, A., Zeithaml, V., &amp; Berry, L. (1985). A Conceptual-Model of Service Quality and Its Implications for Future-Research. </w:t>
      </w:r>
      <w:r w:rsidRPr="00095BC8">
        <w:rPr>
          <w:i/>
        </w:rPr>
        <w:t>Journal of Marketing, 49</w:t>
      </w:r>
      <w:r w:rsidRPr="00095BC8">
        <w:t>(4), 41-50. doi:10.2307/1251430</w:t>
      </w:r>
    </w:p>
    <w:p w:rsidR="00DC11BE" w:rsidRPr="00095BC8" w:rsidRDefault="00DC11BE" w:rsidP="005D6333">
      <w:pPr>
        <w:pStyle w:val="EndNoteBibliography"/>
        <w:ind w:left="720" w:hanging="720"/>
      </w:pPr>
      <w:r w:rsidRPr="00095BC8">
        <w:t xml:space="preserve">Patterson, M., Rick, J., Wood, S., Carroll, C., Balain, S., &amp; Booth, A. (2010). Systematic review of the links between human resource management practices and performance. </w:t>
      </w:r>
      <w:r w:rsidRPr="00095BC8">
        <w:rPr>
          <w:i/>
        </w:rPr>
        <w:t>Health Technology Assessment (Winchester, England), 14</w:t>
      </w:r>
      <w:r w:rsidRPr="00095BC8">
        <w:t>(51), 1-334. doi:10.3310/hta14510</w:t>
      </w:r>
    </w:p>
    <w:p w:rsidR="00DC11BE" w:rsidRPr="00095BC8" w:rsidRDefault="00DC11BE" w:rsidP="005D6333">
      <w:pPr>
        <w:pStyle w:val="EndNoteBibliography"/>
        <w:ind w:left="720" w:hanging="720"/>
      </w:pPr>
      <w:r w:rsidRPr="00095BC8">
        <w:t xml:space="preserve">Pelaez, J., Garcia, A., &amp; Lopez, A. (2015). The Role of Emotions and Trust in Service Recovery in Business-to-Consumer Electronic Commerce. </w:t>
      </w:r>
      <w:r w:rsidRPr="00095BC8">
        <w:rPr>
          <w:i/>
        </w:rPr>
        <w:t>Journal of Theoretical and Applied Electronic Commerce Research, 10</w:t>
      </w:r>
      <w:r w:rsidRPr="00095BC8">
        <w:t>(2), 77-90. doi:</w:t>
      </w:r>
      <w:r w:rsidRPr="00095BC8">
        <w:rPr>
          <w:rStyle w:val="Hiperligao"/>
          <w:color w:val="auto"/>
          <w:u w:val="none"/>
        </w:rPr>
        <w:t>http://dx.doi.org/10.4067/S0718-18762015000200006</w:t>
      </w:r>
      <w:r w:rsidRPr="00095BC8">
        <w:t xml:space="preserve"> </w:t>
      </w:r>
    </w:p>
    <w:p w:rsidR="00DC11BE" w:rsidRPr="00095BC8" w:rsidRDefault="00DC11BE" w:rsidP="005D6333">
      <w:pPr>
        <w:pStyle w:val="EndNoteBibliography"/>
        <w:ind w:left="720" w:hanging="720"/>
      </w:pPr>
      <w:r w:rsidRPr="00095BC8">
        <w:t xml:space="preserve">Pugh, S. (2001). Service with a smile: Emotional contagion in the service encounter. </w:t>
      </w:r>
      <w:r w:rsidRPr="00095BC8">
        <w:rPr>
          <w:i/>
        </w:rPr>
        <w:t>Academy of Management Journal, 44</w:t>
      </w:r>
      <w:r w:rsidRPr="00095BC8">
        <w:t>(5), 1018-1027. doi:10.2307/3069445</w:t>
      </w:r>
    </w:p>
    <w:p w:rsidR="00DC11BE" w:rsidRPr="00095BC8" w:rsidRDefault="00DC11BE" w:rsidP="005D6333">
      <w:pPr>
        <w:pStyle w:val="EndNoteBibliography"/>
        <w:ind w:left="720" w:hanging="720"/>
      </w:pPr>
      <w:r w:rsidRPr="00095BC8">
        <w:t xml:space="preserve">Rafaeli, A., Altman, D., Gremler, D., Huang, M., Grewal, D., Iyer, B., &amp; Ruyter, K. (2017). The Future of Frontline Research: Invited Commentaries. </w:t>
      </w:r>
      <w:r w:rsidRPr="00095BC8">
        <w:rPr>
          <w:i/>
        </w:rPr>
        <w:t>Journal of Service Research, 20</w:t>
      </w:r>
      <w:r w:rsidRPr="00095BC8">
        <w:t>(1), 91-99. doi:10.1177/1094670516679275</w:t>
      </w:r>
    </w:p>
    <w:p w:rsidR="00DC11BE" w:rsidRPr="00095BC8" w:rsidRDefault="00DC11BE" w:rsidP="005D6333">
      <w:pPr>
        <w:pStyle w:val="EndNoteBibliography"/>
        <w:ind w:left="720" w:hanging="720"/>
      </w:pPr>
      <w:r w:rsidRPr="00095BC8">
        <w:t>Rafaeli, A., Ziklik, L., &amp; Doucet, L. (2008). The impact of call center employees' customer orientation behaviors on service quality.</w:t>
      </w:r>
      <w:r w:rsidRPr="00095BC8">
        <w:rPr>
          <w:i/>
        </w:rPr>
        <w:t xml:space="preserve"> Journal of Service Research, 10</w:t>
      </w:r>
      <w:r w:rsidRPr="00095BC8">
        <w:t>(3), 239-255. doi:10.1177/1094670507306685</w:t>
      </w:r>
    </w:p>
    <w:p w:rsidR="00DC11BE" w:rsidRPr="00095BC8" w:rsidRDefault="00DC11BE" w:rsidP="005D6333">
      <w:pPr>
        <w:pStyle w:val="EndNoteBibliography"/>
        <w:ind w:left="720" w:hanging="720"/>
      </w:pPr>
      <w:r w:rsidRPr="00095BC8">
        <w:t xml:space="preserve">Ramesh Babu, H., &amp; Ramesh, M. (2013). Relationsship Between Job Satisfaction and Quality of Work Life of Employees in Service Sector. </w:t>
      </w:r>
      <w:r w:rsidRPr="00095BC8">
        <w:rPr>
          <w:i/>
        </w:rPr>
        <w:t>Perspectives of Innovations, Economics &amp; Business, 13</w:t>
      </w:r>
      <w:r w:rsidRPr="00095BC8">
        <w:t xml:space="preserve">(2), 58-71. </w:t>
      </w:r>
    </w:p>
    <w:p w:rsidR="00DC11BE" w:rsidRPr="00095BC8" w:rsidRDefault="00DC11BE" w:rsidP="005D6333">
      <w:pPr>
        <w:pStyle w:val="EndNoteBibliography"/>
        <w:ind w:left="720" w:hanging="720"/>
      </w:pPr>
      <w:r w:rsidRPr="00095BC8">
        <w:t xml:space="preserve">Rast, S., &amp; Tourani, A. (2012). Evaluation of employees’ job satisfaction and role of gender difference: An empirical study at airline industry in Iran. </w:t>
      </w:r>
      <w:r w:rsidRPr="00095BC8">
        <w:rPr>
          <w:i/>
        </w:rPr>
        <w:t>International Journal of Business and Social Science, 3</w:t>
      </w:r>
      <w:r w:rsidRPr="00095BC8">
        <w:t xml:space="preserve">(7), 91-100. </w:t>
      </w:r>
    </w:p>
    <w:p w:rsidR="00DC11BE" w:rsidRPr="00095BC8" w:rsidRDefault="00DC11BE" w:rsidP="005D6333">
      <w:pPr>
        <w:pStyle w:val="EndNoteBibliography"/>
        <w:ind w:left="720" w:hanging="720"/>
      </w:pPr>
      <w:r w:rsidRPr="00095BC8">
        <w:t xml:space="preserve">Reeve, J. (2009). </w:t>
      </w:r>
      <w:r w:rsidRPr="00095BC8">
        <w:rPr>
          <w:i/>
        </w:rPr>
        <w:t>Understanding motivation and emotion</w:t>
      </w:r>
      <w:r w:rsidRPr="00095BC8">
        <w:t>. Hoboken, NJ: John Wiley &amp; Sons, Inc.</w:t>
      </w:r>
    </w:p>
    <w:p w:rsidR="00DC11BE" w:rsidRPr="0094770E" w:rsidRDefault="00DC11BE" w:rsidP="005D6333">
      <w:pPr>
        <w:pStyle w:val="EndNoteBibliography"/>
        <w:ind w:left="720" w:hanging="720"/>
        <w:rPr>
          <w:lang w:val="pt-PT"/>
        </w:rPr>
      </w:pPr>
      <w:r w:rsidRPr="0094770E">
        <w:rPr>
          <w:lang w:val="pt-PT"/>
        </w:rPr>
        <w:t xml:space="preserve">Rego, A. (2000). Justiça organizacional: desenvolvimento e validação de um instrumento de medida. </w:t>
      </w:r>
      <w:r w:rsidRPr="0094770E">
        <w:rPr>
          <w:i/>
          <w:lang w:val="pt-PT"/>
        </w:rPr>
        <w:t>Psicologia, 14</w:t>
      </w:r>
      <w:r w:rsidRPr="0094770E">
        <w:rPr>
          <w:lang w:val="pt-PT"/>
        </w:rPr>
        <w:t xml:space="preserve">(2), 285-307. </w:t>
      </w:r>
    </w:p>
    <w:p w:rsidR="00DC11BE" w:rsidRPr="0094770E" w:rsidRDefault="00DC11BE" w:rsidP="005D6333">
      <w:pPr>
        <w:pStyle w:val="EndNoteBibliography"/>
        <w:ind w:left="720" w:hanging="720"/>
        <w:rPr>
          <w:lang w:val="pt-PT"/>
        </w:rPr>
      </w:pPr>
      <w:r w:rsidRPr="0094770E">
        <w:rPr>
          <w:lang w:val="pt-PT"/>
        </w:rPr>
        <w:t>Rego, A., &amp; Carvalho, T. (2002). Motivos de sucesso, afiliação e poder: evidência confirmatória do constructo.</w:t>
      </w:r>
      <w:r w:rsidRPr="0094770E">
        <w:rPr>
          <w:i/>
          <w:lang w:val="pt-PT"/>
        </w:rPr>
        <w:t xml:space="preserve"> Psicologia: Teoria e Pesquisa, 18</w:t>
      </w:r>
      <w:r w:rsidRPr="0094770E">
        <w:rPr>
          <w:lang w:val="pt-PT"/>
        </w:rPr>
        <w:t>(1), 17-26. doi:10.1590/s0102-37722002000100003</w:t>
      </w:r>
    </w:p>
    <w:p w:rsidR="00DC11BE" w:rsidRPr="0094770E" w:rsidRDefault="00DC11BE" w:rsidP="005D6333">
      <w:pPr>
        <w:pStyle w:val="EndNoteBibliography"/>
        <w:ind w:left="720" w:hanging="720"/>
        <w:rPr>
          <w:lang w:val="pt-PT"/>
        </w:rPr>
      </w:pPr>
      <w:r w:rsidRPr="0094770E">
        <w:rPr>
          <w:lang w:val="pt-PT"/>
        </w:rPr>
        <w:t xml:space="preserve">Rego, A., &amp; Leite, E. (2003). Motivos de sucesso, afiliação e poder: um estudo de validação do constructo no Brasil. </w:t>
      </w:r>
      <w:r w:rsidRPr="0094770E">
        <w:rPr>
          <w:i/>
          <w:lang w:val="pt-PT"/>
        </w:rPr>
        <w:t>Estudos de Psicologia, 8</w:t>
      </w:r>
      <w:r w:rsidRPr="0094770E">
        <w:rPr>
          <w:lang w:val="pt-PT"/>
        </w:rPr>
        <w:t xml:space="preserve">(1), 185-191. </w:t>
      </w:r>
    </w:p>
    <w:p w:rsidR="00DC11BE" w:rsidRPr="0094770E" w:rsidRDefault="00DC11BE" w:rsidP="005D6333">
      <w:pPr>
        <w:pStyle w:val="EndNoteBibliography"/>
        <w:ind w:left="720" w:hanging="720"/>
        <w:rPr>
          <w:lang w:val="pt-PT"/>
        </w:rPr>
      </w:pPr>
      <w:r w:rsidRPr="0094770E">
        <w:rPr>
          <w:lang w:val="pt-PT"/>
        </w:rPr>
        <w:t xml:space="preserve">Rego, A., Tavares, A., Pina e Cunha, M., &amp; Cardoso, C. (2005). Os motivos de sucesso, afiliação e poder: perfis motivacionais de estudantes de graduação e pós-graduação e sua relação com níveis remuneratórios. </w:t>
      </w:r>
      <w:r w:rsidRPr="0094770E">
        <w:rPr>
          <w:i/>
          <w:lang w:val="pt-PT"/>
        </w:rPr>
        <w:t>Psicologia: Reflexão e Crítica, 18</w:t>
      </w:r>
      <w:r w:rsidRPr="0094770E">
        <w:rPr>
          <w:lang w:val="pt-PT"/>
        </w:rPr>
        <w:t>(3), 225-236. doi:10.1590/s0102-79722005000200011</w:t>
      </w:r>
    </w:p>
    <w:p w:rsidR="00DC11BE" w:rsidRPr="00095BC8" w:rsidRDefault="00DC11BE" w:rsidP="005D6333">
      <w:pPr>
        <w:pStyle w:val="EndNoteBibliography"/>
        <w:ind w:left="720" w:hanging="720"/>
      </w:pPr>
      <w:r w:rsidRPr="0094770E">
        <w:rPr>
          <w:lang w:val="pt-PT"/>
        </w:rPr>
        <w:t xml:space="preserve">Reichheld, F., &amp; Sasser Jr, W. (1990). </w:t>
      </w:r>
      <w:r w:rsidRPr="00095BC8">
        <w:t xml:space="preserve">Zero defections: Quality comes to services. </w:t>
      </w:r>
      <w:r w:rsidRPr="00095BC8">
        <w:rPr>
          <w:i/>
        </w:rPr>
        <w:t>Harvard Business Review, 68</w:t>
      </w:r>
      <w:r w:rsidRPr="00095BC8">
        <w:t xml:space="preserve">(5), 105-111. </w:t>
      </w:r>
    </w:p>
    <w:p w:rsidR="00DC11BE" w:rsidRPr="00095BC8" w:rsidRDefault="00DC11BE" w:rsidP="005D6333">
      <w:pPr>
        <w:pStyle w:val="EndNoteBibliography"/>
        <w:ind w:left="720" w:hanging="720"/>
      </w:pPr>
      <w:r w:rsidRPr="00095BC8">
        <w:t xml:space="preserve">Richins, M. (1982). An Investigation of Consumers' Attitudes Toward Complaining. </w:t>
      </w:r>
      <w:r w:rsidRPr="00095BC8">
        <w:rPr>
          <w:i/>
        </w:rPr>
        <w:t>NA - Advances in Consumer Research, 9</w:t>
      </w:r>
      <w:r w:rsidRPr="00095BC8">
        <w:t xml:space="preserve">, 502-506. </w:t>
      </w:r>
    </w:p>
    <w:p w:rsidR="00DC11BE" w:rsidRPr="00095BC8" w:rsidRDefault="00DC11BE" w:rsidP="005D6333">
      <w:pPr>
        <w:pStyle w:val="EndNoteBibliography"/>
        <w:ind w:left="720" w:hanging="720"/>
      </w:pPr>
      <w:r w:rsidRPr="00095BC8">
        <w:t xml:space="preserve">Robbins, S., &amp; Judge, T. (2004). </w:t>
      </w:r>
      <w:r w:rsidRPr="00095BC8">
        <w:rPr>
          <w:i/>
        </w:rPr>
        <w:t>Comportamiento organizacional</w:t>
      </w:r>
      <w:r w:rsidRPr="00095BC8">
        <w:t xml:space="preserve"> (Javier Enríquez Brito, Trans. 13 ed.). Naucalpan de Juárez: Pearson Educación de México, S.A. .</w:t>
      </w:r>
    </w:p>
    <w:p w:rsidR="00DC11BE" w:rsidRPr="00095BC8" w:rsidRDefault="00DC11BE" w:rsidP="005D6333">
      <w:pPr>
        <w:pStyle w:val="EndNoteBibliography"/>
        <w:ind w:left="720" w:hanging="720"/>
      </w:pPr>
      <w:r w:rsidRPr="0094770E">
        <w:rPr>
          <w:lang w:val="pt-PT"/>
        </w:rPr>
        <w:t xml:space="preserve">Rocha, J. (2010). </w:t>
      </w:r>
      <w:r w:rsidRPr="0094770E">
        <w:rPr>
          <w:i/>
          <w:lang w:val="pt-PT"/>
        </w:rPr>
        <w:t>Gestão de Recursos Humanos na Administração Pública</w:t>
      </w:r>
      <w:r w:rsidRPr="0094770E">
        <w:rPr>
          <w:lang w:val="pt-PT"/>
        </w:rPr>
        <w:t xml:space="preserve">. </w:t>
      </w:r>
      <w:r w:rsidRPr="00095BC8">
        <w:t>Lisboa: Escolar Editora.</w:t>
      </w:r>
    </w:p>
    <w:p w:rsidR="00DC11BE" w:rsidRPr="00095BC8" w:rsidRDefault="00DC11BE" w:rsidP="005D6333">
      <w:pPr>
        <w:pStyle w:val="EndNoteBibliography"/>
        <w:ind w:left="720" w:hanging="720"/>
      </w:pPr>
      <w:r w:rsidRPr="00095BC8">
        <w:t xml:space="preserve">Ruyter, K., &amp; Wetzels, M. (2000). Customer equity considerations in service recovery: a cross-industry perspective. </w:t>
      </w:r>
      <w:r w:rsidRPr="00095BC8">
        <w:rPr>
          <w:i/>
        </w:rPr>
        <w:t>International Journal of Service Industry Management, 11</w:t>
      </w:r>
      <w:r w:rsidRPr="00095BC8">
        <w:t xml:space="preserve">(1), 91-108. </w:t>
      </w:r>
    </w:p>
    <w:p w:rsidR="00DC11BE" w:rsidRPr="00095BC8" w:rsidRDefault="00DC11BE" w:rsidP="005D6333">
      <w:pPr>
        <w:pStyle w:val="EndNoteBibliography"/>
        <w:ind w:left="720" w:hanging="720"/>
      </w:pPr>
      <w:r w:rsidRPr="00095BC8">
        <w:t xml:space="preserve">Ryan, R., &amp; Deci, E. (2000). Self-determination theory and the facilitation of intrinsic motivation, social development, and well-being. </w:t>
      </w:r>
      <w:r w:rsidRPr="00095BC8">
        <w:rPr>
          <w:i/>
        </w:rPr>
        <w:t>American Psychological Association, Inc, 55</w:t>
      </w:r>
      <w:r w:rsidRPr="00095BC8">
        <w:t>(1), 68-78. doi:10.1037/0003-066x.55.1.68</w:t>
      </w:r>
    </w:p>
    <w:p w:rsidR="00DC11BE" w:rsidRPr="00095BC8" w:rsidRDefault="00DC11BE" w:rsidP="005D6333">
      <w:pPr>
        <w:pStyle w:val="EndNoteBibliography"/>
        <w:ind w:left="720" w:hanging="720"/>
      </w:pPr>
      <w:r w:rsidRPr="00095BC8">
        <w:lastRenderedPageBreak/>
        <w:t xml:space="preserve">Sabharwal, N., Soch, H., &amp; Kaur, H. (2010). Are we satisfied with incompetent services? A scale development approach for service recovery. </w:t>
      </w:r>
      <w:r w:rsidRPr="00095BC8">
        <w:rPr>
          <w:i/>
        </w:rPr>
        <w:t>Journal of Services Research, 10</w:t>
      </w:r>
      <w:r w:rsidRPr="00095BC8">
        <w:t xml:space="preserve">(1), 125-142. </w:t>
      </w:r>
    </w:p>
    <w:p w:rsidR="00DC11BE" w:rsidRPr="00095BC8" w:rsidRDefault="00DC11BE" w:rsidP="005D6333">
      <w:pPr>
        <w:pStyle w:val="EndNoteBibliography"/>
        <w:ind w:left="720" w:hanging="720"/>
      </w:pPr>
      <w:r w:rsidRPr="0094770E">
        <w:rPr>
          <w:lang w:val="pt-PT"/>
        </w:rPr>
        <w:t xml:space="preserve">Salanova, M., Agut, S., &amp; Peiro, J. (2005). </w:t>
      </w:r>
      <w:r w:rsidRPr="00095BC8">
        <w:t xml:space="preserve">Linking organizational resources and work engagement to employee performance and customer loyalty: the mediation of service climate. </w:t>
      </w:r>
      <w:r w:rsidRPr="00095BC8">
        <w:rPr>
          <w:i/>
        </w:rPr>
        <w:t>Journal of Applied Psychology, 90</w:t>
      </w:r>
      <w:r w:rsidRPr="00095BC8">
        <w:t>(6), 1217-1227. doi:10.1037/0021-9010.90.6.1217</w:t>
      </w:r>
    </w:p>
    <w:p w:rsidR="00DC11BE" w:rsidRPr="00095BC8" w:rsidRDefault="00DC11BE" w:rsidP="005D6333">
      <w:pPr>
        <w:pStyle w:val="EndNoteBibliography"/>
        <w:ind w:left="720" w:hanging="720"/>
      </w:pPr>
      <w:r w:rsidRPr="00095BC8">
        <w:t xml:space="preserve">Sanchez, A., Aragon, I., &amp; Valle, R. (2003). Effects of training on business results. </w:t>
      </w:r>
      <w:r w:rsidRPr="00095BC8">
        <w:rPr>
          <w:i/>
        </w:rPr>
        <w:t>International Journal of Human Resource Management, 14</w:t>
      </w:r>
      <w:r w:rsidRPr="00095BC8">
        <w:t>(6), 956-980. doi:10.1080/0958519032000106164</w:t>
      </w:r>
    </w:p>
    <w:p w:rsidR="00DC11BE" w:rsidRPr="00095BC8" w:rsidRDefault="00DC11BE" w:rsidP="005D6333">
      <w:pPr>
        <w:pStyle w:val="EndNoteBibliography"/>
        <w:ind w:left="720" w:hanging="720"/>
      </w:pPr>
      <w:r w:rsidRPr="00095BC8">
        <w:t xml:space="preserve">Schneider, B., &amp; Bowen, D. (1995). </w:t>
      </w:r>
      <w:r w:rsidRPr="00095BC8">
        <w:rPr>
          <w:i/>
        </w:rPr>
        <w:t>Winning the Service Game</w:t>
      </w:r>
      <w:r w:rsidRPr="00095BC8">
        <w:t>. Boston: Harvard BusinessSchool Press.</w:t>
      </w:r>
    </w:p>
    <w:p w:rsidR="00DC11BE" w:rsidRPr="00095BC8" w:rsidRDefault="00DC11BE" w:rsidP="005D6333">
      <w:pPr>
        <w:pStyle w:val="EndNoteBibliography"/>
        <w:ind w:left="720" w:hanging="720"/>
      </w:pPr>
      <w:r w:rsidRPr="00095BC8">
        <w:t xml:space="preserve">Schneider, B., &amp; Schneider, J. (1994). Biodata: An organizational focus. In G. S. Stokes, M. D. Mumford, &amp; W. A. Owens (Eds.), </w:t>
      </w:r>
      <w:r w:rsidRPr="00095BC8">
        <w:rPr>
          <w:i/>
        </w:rPr>
        <w:t>Biodata handbook: Theory research and useof biographical information in selection and performance prediction</w:t>
      </w:r>
      <w:r w:rsidRPr="00095BC8">
        <w:t xml:space="preserve"> (pp. 423-450). PaloAlto, CA: Consulting Psychologists Press, Inc.</w:t>
      </w:r>
    </w:p>
    <w:p w:rsidR="00DC11BE" w:rsidRPr="00095BC8" w:rsidRDefault="00DC11BE" w:rsidP="005D6333">
      <w:pPr>
        <w:pStyle w:val="EndNoteBibliography"/>
        <w:ind w:left="720" w:hanging="720"/>
      </w:pPr>
      <w:r w:rsidRPr="00095BC8">
        <w:t xml:space="preserve">Shoichet, B., McGovern, S., Wei, B., &amp; Irwin, J. (2002). Lead discovery using molecular docking. </w:t>
      </w:r>
      <w:r w:rsidRPr="00095BC8">
        <w:rPr>
          <w:i/>
        </w:rPr>
        <w:t>Current Opinion in Chemical Biology, 6</w:t>
      </w:r>
      <w:r w:rsidRPr="00095BC8">
        <w:t xml:space="preserve">(4), 439-446. </w:t>
      </w:r>
    </w:p>
    <w:p w:rsidR="00DC11BE" w:rsidRPr="00095BC8" w:rsidRDefault="00DC11BE" w:rsidP="005D6333">
      <w:pPr>
        <w:pStyle w:val="EndNoteBibliography"/>
        <w:ind w:left="720" w:hanging="720"/>
      </w:pPr>
      <w:r w:rsidRPr="00095BC8">
        <w:t xml:space="preserve">Silverblatt, R. (2010). In search of workplace happiness. </w:t>
      </w:r>
      <w:r w:rsidRPr="00095BC8">
        <w:rPr>
          <w:i/>
        </w:rPr>
        <w:t>US News World Report, 147</w:t>
      </w:r>
      <w:r w:rsidRPr="00095BC8">
        <w:t xml:space="preserve">(5), 32-34. </w:t>
      </w:r>
    </w:p>
    <w:p w:rsidR="00DC11BE" w:rsidRPr="00095BC8" w:rsidRDefault="00DC11BE" w:rsidP="005D6333">
      <w:pPr>
        <w:pStyle w:val="EndNoteBibliography"/>
        <w:ind w:left="720" w:hanging="720"/>
      </w:pPr>
      <w:r w:rsidRPr="00095BC8">
        <w:t xml:space="preserve">Simon, H. (1976). </w:t>
      </w:r>
      <w:r w:rsidRPr="00095BC8">
        <w:rPr>
          <w:i/>
        </w:rPr>
        <w:t>Administrative behavior</w:t>
      </w:r>
      <w:r w:rsidRPr="00095BC8">
        <w:t xml:space="preserve"> (3 ed.). New York: The Free Press.</w:t>
      </w:r>
    </w:p>
    <w:p w:rsidR="00DC11BE" w:rsidRPr="00095BC8" w:rsidRDefault="00DC11BE" w:rsidP="005D6333">
      <w:pPr>
        <w:pStyle w:val="EndNoteBibliography"/>
        <w:ind w:left="720" w:hanging="720"/>
      </w:pPr>
      <w:r w:rsidRPr="00095BC8">
        <w:t xml:space="preserve">Singh, J. (1990). Voice, exit, and negative word-of-mouth behaviors: An investigation across three service categories. </w:t>
      </w:r>
      <w:r w:rsidRPr="00095BC8">
        <w:rPr>
          <w:i/>
        </w:rPr>
        <w:t>Journal of the Academy of Marketing Science, 18</w:t>
      </w:r>
      <w:r w:rsidRPr="00095BC8">
        <w:t>(1), 1-15. doi:10.1007/bf02729758</w:t>
      </w:r>
    </w:p>
    <w:p w:rsidR="00DC11BE" w:rsidRPr="0094770E" w:rsidRDefault="00DC11BE" w:rsidP="005D6333">
      <w:pPr>
        <w:pStyle w:val="EndNoteBibliography"/>
        <w:ind w:left="720" w:hanging="720"/>
        <w:rPr>
          <w:lang w:val="pt-PT"/>
        </w:rPr>
      </w:pPr>
      <w:r w:rsidRPr="00095BC8">
        <w:t xml:space="preserve">Siqueira, M., &amp; Padovam, V. (2008). </w:t>
      </w:r>
      <w:r w:rsidRPr="0094770E">
        <w:rPr>
          <w:lang w:val="pt-PT"/>
        </w:rPr>
        <w:t xml:space="preserve">Bases teóricas de bem-estar subjetivo, bem-estar psicológico e bem-estar no trabalho. </w:t>
      </w:r>
      <w:r w:rsidRPr="0094770E">
        <w:rPr>
          <w:i/>
          <w:lang w:val="pt-PT"/>
        </w:rPr>
        <w:t>Psicologia: Teoria e Pesquisa, 24</w:t>
      </w:r>
      <w:r w:rsidRPr="0094770E">
        <w:rPr>
          <w:lang w:val="pt-PT"/>
        </w:rPr>
        <w:t>(2), 201-209. doi:10.1590/s0102-37722008000200010</w:t>
      </w:r>
    </w:p>
    <w:p w:rsidR="00DC11BE" w:rsidRPr="00095BC8" w:rsidRDefault="00DC11BE" w:rsidP="005D6333">
      <w:pPr>
        <w:pStyle w:val="EndNoteBibliography"/>
        <w:ind w:left="720" w:hanging="720"/>
      </w:pPr>
      <w:r w:rsidRPr="0094770E">
        <w:rPr>
          <w:lang w:val="pt-PT"/>
        </w:rPr>
        <w:t xml:space="preserve">Sirianni, N., Bitner, M., Brown, S., &amp; Mandel, N. (2013). </w:t>
      </w:r>
      <w:r w:rsidRPr="00095BC8">
        <w:t xml:space="preserve">Branded Service Encounters: Strategically Aligning Employee Behavior with the Brand Positioning. </w:t>
      </w:r>
      <w:r w:rsidRPr="00095BC8">
        <w:rPr>
          <w:i/>
        </w:rPr>
        <w:t>Journal of Marketing, 77</w:t>
      </w:r>
      <w:r w:rsidRPr="00095BC8">
        <w:t>(6), 108-123. doi:10.1509/jm.11.0485</w:t>
      </w:r>
    </w:p>
    <w:p w:rsidR="00DC11BE" w:rsidRPr="00095BC8" w:rsidRDefault="00DC11BE" w:rsidP="005D6333">
      <w:pPr>
        <w:pStyle w:val="EndNoteBibliography"/>
        <w:ind w:left="720" w:hanging="720"/>
      </w:pPr>
      <w:r w:rsidRPr="00095BC8">
        <w:t xml:space="preserve">Smart, G. (1998). The Art and Science of Human Capital Valuation. </w:t>
      </w:r>
      <w:r w:rsidRPr="00095BC8">
        <w:rPr>
          <w:i/>
        </w:rPr>
        <w:t>Custom Corporate Education Programs Designed with Solutions in Mind for Positive Long-term Change</w:t>
      </w:r>
      <w:r w:rsidRPr="00095BC8">
        <w:t xml:space="preserve">, 1-24. Retrieved from </w:t>
      </w:r>
      <w:r w:rsidRPr="00095BC8">
        <w:rPr>
          <w:rStyle w:val="Hiperligao"/>
          <w:color w:val="auto"/>
          <w:u w:val="none"/>
        </w:rPr>
        <w:t>https://www.bigspeak.com/wp-content/uploads/2014/07/Geoff-Smart_Horizontal-Human-Capita-Valuation.pdf</w:t>
      </w:r>
    </w:p>
    <w:p w:rsidR="00DC11BE" w:rsidRPr="00095BC8" w:rsidRDefault="00DC11BE" w:rsidP="005D6333">
      <w:pPr>
        <w:pStyle w:val="EndNoteBibliography"/>
        <w:ind w:left="720" w:hanging="720"/>
      </w:pPr>
      <w:r w:rsidRPr="00095BC8">
        <w:t xml:space="preserve">Smith, C., &amp; Ellsworth, P. (1985). Patterns of cognitive appraisal in emotion. </w:t>
      </w:r>
      <w:r w:rsidRPr="00095BC8">
        <w:rPr>
          <w:i/>
        </w:rPr>
        <w:t>Journal of Personality and Social Psychology, 48</w:t>
      </w:r>
      <w:r w:rsidRPr="00095BC8">
        <w:t>(4), 813-838. doi:10.1037/0022-3514.48.4.813</w:t>
      </w:r>
    </w:p>
    <w:p w:rsidR="00DC11BE" w:rsidRPr="00095BC8" w:rsidRDefault="00DC11BE" w:rsidP="005D6333">
      <w:pPr>
        <w:pStyle w:val="EndNoteBibliography"/>
        <w:ind w:left="720" w:hanging="720"/>
      </w:pPr>
      <w:r w:rsidRPr="00095BC8">
        <w:t xml:space="preserve">Smith, P., Kendall, L., &amp; Hulin, C. (1969). </w:t>
      </w:r>
      <w:r w:rsidRPr="00095BC8">
        <w:rPr>
          <w:i/>
        </w:rPr>
        <w:t>The measurement of satisfaction in work and retirement: A strategy for the study of attitudes</w:t>
      </w:r>
      <w:r w:rsidRPr="00095BC8">
        <w:t>. Chicago, IL.: Rand McNally.</w:t>
      </w:r>
    </w:p>
    <w:p w:rsidR="00DC11BE" w:rsidRPr="00095BC8" w:rsidRDefault="00DC11BE" w:rsidP="005D6333">
      <w:pPr>
        <w:pStyle w:val="EndNoteBibliography"/>
        <w:ind w:left="720" w:hanging="720"/>
      </w:pPr>
      <w:r w:rsidRPr="00095BC8">
        <w:t xml:space="preserve">Soderlund, M., &amp; Rosengren, S. (2008). Revisiting the smiling service worker and customer satisfaction. </w:t>
      </w:r>
      <w:r w:rsidRPr="00095BC8">
        <w:rPr>
          <w:i/>
        </w:rPr>
        <w:t>International Journal of Service Industry Management, 19</w:t>
      </w:r>
      <w:r w:rsidRPr="00095BC8">
        <w:t>(5), 552-574. doi:10.1108/09564230810903460</w:t>
      </w:r>
    </w:p>
    <w:p w:rsidR="00DC11BE" w:rsidRPr="00095BC8" w:rsidRDefault="00DC11BE" w:rsidP="005D6333">
      <w:pPr>
        <w:pStyle w:val="EndNoteBibliography"/>
        <w:ind w:left="720" w:hanging="720"/>
      </w:pPr>
      <w:r w:rsidRPr="00095BC8">
        <w:t xml:space="preserve">Spagnoli, P., Caetano, A., &amp; Santos, S. (2012). Satisfaction with job aspects: Do patterns change over time? </w:t>
      </w:r>
      <w:r w:rsidRPr="00095BC8">
        <w:rPr>
          <w:i/>
        </w:rPr>
        <w:t>Journal of Business Research, 65</w:t>
      </w:r>
      <w:r w:rsidRPr="00095BC8">
        <w:t>(5), 609-616. doi:10.1016/j.jbusres.2011.02.048</w:t>
      </w:r>
    </w:p>
    <w:p w:rsidR="00DC11BE" w:rsidRPr="00095BC8" w:rsidRDefault="00DC11BE" w:rsidP="005D6333">
      <w:pPr>
        <w:pStyle w:val="EndNoteBibliography"/>
        <w:ind w:left="720" w:hanging="720"/>
      </w:pPr>
      <w:r w:rsidRPr="00095BC8">
        <w:t xml:space="preserve">Sparks, B., &amp; McColl-Kennedy, J. (2001). Justice strategy options for increased customer satisfaction in a services recovery setting. </w:t>
      </w:r>
      <w:r w:rsidRPr="00095BC8">
        <w:rPr>
          <w:i/>
        </w:rPr>
        <w:t>Journal of Business Research, 54</w:t>
      </w:r>
      <w:r w:rsidRPr="00095BC8">
        <w:t>(3), 209-218. doi:10.1016/S0148-2963(00)00120-X</w:t>
      </w:r>
    </w:p>
    <w:p w:rsidR="00DC11BE" w:rsidRPr="00095BC8" w:rsidRDefault="00DC11BE" w:rsidP="005D6333">
      <w:pPr>
        <w:pStyle w:val="EndNoteBibliography"/>
        <w:ind w:left="720" w:hanging="720"/>
      </w:pPr>
      <w:r w:rsidRPr="00095BC8">
        <w:t xml:space="preserve">Spector, P. (1997). </w:t>
      </w:r>
      <w:r w:rsidRPr="00095BC8">
        <w:rPr>
          <w:i/>
        </w:rPr>
        <w:t>Job satisfaction: Application, assessment, cause, and consequences</w:t>
      </w:r>
      <w:r w:rsidRPr="00095BC8">
        <w:t>. Thousand Oaks, CA: SAGE Books.</w:t>
      </w:r>
    </w:p>
    <w:p w:rsidR="00DC11BE" w:rsidRPr="00095BC8" w:rsidRDefault="00DC11BE" w:rsidP="005D6333">
      <w:pPr>
        <w:pStyle w:val="EndNoteBibliography"/>
        <w:ind w:left="720" w:hanging="720"/>
      </w:pPr>
      <w:r w:rsidRPr="00095BC8">
        <w:lastRenderedPageBreak/>
        <w:t xml:space="preserve">Spreng, R., Harrell, G., &amp; Mackoy, R. (1995). Service recovery: Impact on satisfaction and intentions. </w:t>
      </w:r>
      <w:r w:rsidRPr="00095BC8">
        <w:rPr>
          <w:i/>
        </w:rPr>
        <w:t>Journal of Services Marketing, 9</w:t>
      </w:r>
      <w:r w:rsidRPr="00095BC8">
        <w:t>(1), 15-23. doi:</w:t>
      </w:r>
      <w:r w:rsidRPr="00095BC8">
        <w:rPr>
          <w:rStyle w:val="Hiperligao"/>
          <w:color w:val="auto"/>
          <w:u w:val="none"/>
        </w:rPr>
        <w:t>https://doi.org/10.1108/08876049510079853</w:t>
      </w:r>
    </w:p>
    <w:p w:rsidR="00DC11BE" w:rsidRPr="00095BC8" w:rsidRDefault="00DC11BE" w:rsidP="005D6333">
      <w:pPr>
        <w:pStyle w:val="EndNoteBibliography"/>
        <w:ind w:left="720" w:hanging="720"/>
      </w:pPr>
      <w:r w:rsidRPr="00095BC8">
        <w:t xml:space="preserve">Springer, G. (2011). A Study of Job Motivation, Satisfaction, and Performance among Bank Employees. </w:t>
      </w:r>
      <w:r w:rsidRPr="00095BC8">
        <w:rPr>
          <w:i/>
        </w:rPr>
        <w:t>Journal of Global Business Issues, 5</w:t>
      </w:r>
      <w:r w:rsidRPr="00095BC8">
        <w:t xml:space="preserve">(1), 29-42. </w:t>
      </w:r>
    </w:p>
    <w:p w:rsidR="00DC11BE" w:rsidRPr="00095BC8" w:rsidRDefault="00DC11BE" w:rsidP="005D6333">
      <w:pPr>
        <w:pStyle w:val="EndNoteBibliography"/>
        <w:ind w:left="720" w:hanging="720"/>
      </w:pPr>
      <w:r w:rsidRPr="00095BC8">
        <w:t xml:space="preserve">Srivastava, S., &amp; Kakkar, D. (2008). Estimation of motivation using entropy. </w:t>
      </w:r>
      <w:r w:rsidRPr="00095BC8">
        <w:rPr>
          <w:i/>
        </w:rPr>
        <w:t>Journal of Business Economics and Management, 9</w:t>
      </w:r>
      <w:r w:rsidRPr="00095BC8">
        <w:t xml:space="preserve">(1), 53-56. </w:t>
      </w:r>
    </w:p>
    <w:p w:rsidR="00DC11BE" w:rsidRPr="00095BC8" w:rsidRDefault="00DC11BE" w:rsidP="005D6333">
      <w:pPr>
        <w:pStyle w:val="EndNoteBibliography"/>
        <w:ind w:left="720" w:hanging="720"/>
      </w:pPr>
      <w:r w:rsidRPr="00095BC8">
        <w:t xml:space="preserve">Stauss, B. (2002). The dimensions of complaint satisfaction: process and outcome complaint satisfaction versus cold fact and warm act complaint satisfaction. </w:t>
      </w:r>
      <w:r w:rsidRPr="00095BC8">
        <w:rPr>
          <w:i/>
        </w:rPr>
        <w:t>Managing Service Quality, 12</w:t>
      </w:r>
      <w:r w:rsidRPr="00095BC8">
        <w:t xml:space="preserve">(3), 173-183. </w:t>
      </w:r>
    </w:p>
    <w:p w:rsidR="00DC11BE" w:rsidRPr="00095BC8" w:rsidRDefault="00DC11BE" w:rsidP="005D6333">
      <w:pPr>
        <w:pStyle w:val="EndNoteBibliography"/>
        <w:ind w:left="720" w:hanging="720"/>
      </w:pPr>
      <w:r w:rsidRPr="00095BC8">
        <w:t xml:space="preserve">Steers, R., &amp; Porter, L. (1991). </w:t>
      </w:r>
      <w:r w:rsidRPr="00095BC8">
        <w:rPr>
          <w:i/>
        </w:rPr>
        <w:t>Motivation and work behavior (5th ed</w:t>
      </w:r>
      <w:r w:rsidRPr="00095BC8">
        <w:t xml:space="preserve"> (5 ed.). New York: McGrawHill.</w:t>
      </w:r>
    </w:p>
    <w:p w:rsidR="00DC11BE" w:rsidRPr="00095BC8" w:rsidRDefault="00DC11BE" w:rsidP="005D6333">
      <w:pPr>
        <w:pStyle w:val="EndNoteBibliography"/>
        <w:ind w:left="720" w:hanging="720"/>
      </w:pPr>
      <w:r w:rsidRPr="00095BC8">
        <w:t xml:space="preserve">Stephens, N., &amp; Gwinner, K. (1998). Why Don't Some People Complain? A Cognitive-Emotive Process Model of Consumer Complaint Behavior. </w:t>
      </w:r>
      <w:r w:rsidRPr="00095BC8">
        <w:rPr>
          <w:i/>
        </w:rPr>
        <w:t>Journal of the Academy of Marketing Science, 26</w:t>
      </w:r>
      <w:r w:rsidRPr="00095BC8">
        <w:t>(3), 172-189. doi:10.1177/0092070398263001</w:t>
      </w:r>
    </w:p>
    <w:p w:rsidR="00DC11BE" w:rsidRPr="00095BC8" w:rsidRDefault="00DC11BE" w:rsidP="005D6333">
      <w:pPr>
        <w:pStyle w:val="EndNoteBibliography"/>
        <w:ind w:left="720" w:hanging="720"/>
      </w:pPr>
      <w:r w:rsidRPr="00095BC8">
        <w:t>Su</w:t>
      </w:r>
      <w:r w:rsidRPr="00095BC8">
        <w:rPr>
          <w:rFonts w:ascii="Times New Roman" w:hAnsi="Times New Roman" w:cs="Times New Roman"/>
        </w:rPr>
        <w:t>‐</w:t>
      </w:r>
      <w:r w:rsidRPr="00095BC8">
        <w:t>Chao, C., &amp; Ming</w:t>
      </w:r>
      <w:r w:rsidRPr="00095BC8">
        <w:rPr>
          <w:rFonts w:ascii="Times New Roman" w:hAnsi="Times New Roman" w:cs="Times New Roman"/>
        </w:rPr>
        <w:t>‐</w:t>
      </w:r>
      <w:r w:rsidRPr="00095BC8">
        <w:t>Shing, L. (2007). A study on relationshipamong  leadership, organizational culture, the operation of learning organization and employees</w:t>
      </w:r>
      <w:r w:rsidRPr="00095BC8">
        <w:rPr>
          <w:rFonts w:cs="Garamond"/>
        </w:rPr>
        <w:t>’</w:t>
      </w:r>
      <w:r w:rsidRPr="00095BC8">
        <w:t xml:space="preserve"> job satisfaction. </w:t>
      </w:r>
      <w:r w:rsidRPr="00095BC8">
        <w:rPr>
          <w:i/>
        </w:rPr>
        <w:t>The Learning Organization, 14</w:t>
      </w:r>
      <w:r w:rsidRPr="00095BC8">
        <w:t xml:space="preserve">(2), 155-185. </w:t>
      </w:r>
    </w:p>
    <w:p w:rsidR="00A1322D" w:rsidRPr="00095BC8" w:rsidRDefault="00A1322D" w:rsidP="005D6333">
      <w:pPr>
        <w:pStyle w:val="EndNoteBibliography"/>
        <w:ind w:left="720" w:hanging="720"/>
      </w:pPr>
      <w:r w:rsidRPr="00095BC8">
        <w:t xml:space="preserve">Tax, S., Brown, S., &amp; Chandrashekaran, M. (1998). Customer evaluations of service complaint experiences: Implications for relationship marketing. </w:t>
      </w:r>
      <w:r w:rsidRPr="00095BC8">
        <w:rPr>
          <w:i/>
        </w:rPr>
        <w:t>Journal of Marketing, 62</w:t>
      </w:r>
      <w:r w:rsidRPr="00095BC8">
        <w:t>(2), 60-76. doi:10.2307/1252161</w:t>
      </w:r>
    </w:p>
    <w:p w:rsidR="00A1322D" w:rsidRPr="00095BC8" w:rsidRDefault="00A1322D" w:rsidP="005D6333">
      <w:pPr>
        <w:pStyle w:val="EndNoteBibliography"/>
        <w:ind w:left="720" w:hanging="720"/>
      </w:pPr>
      <w:r w:rsidRPr="00095BC8">
        <w:t xml:space="preserve">Tribett, C., &amp; Rush, R. (1984). Theories of Motivation: A Broader Perspective. </w:t>
      </w:r>
      <w:r w:rsidRPr="00095BC8">
        <w:rPr>
          <w:i/>
        </w:rPr>
        <w:t>ASQ: The Global Voice of Quality Progress. QUALITY PROGRESS, 17</w:t>
      </w:r>
      <w:r w:rsidRPr="00095BC8">
        <w:t xml:space="preserve">(4), 38-43. </w:t>
      </w:r>
    </w:p>
    <w:p w:rsidR="00A1322D" w:rsidRPr="00095BC8" w:rsidRDefault="00A1322D" w:rsidP="00A1322D">
      <w:pPr>
        <w:pStyle w:val="EndNoteBibliography"/>
        <w:ind w:left="720" w:hanging="720"/>
      </w:pPr>
      <w:r w:rsidRPr="00095BC8">
        <w:t xml:space="preserve">Tronvoll, B. (2007). Complainer characteristics when exit is closed. </w:t>
      </w:r>
      <w:r w:rsidRPr="00095BC8">
        <w:rPr>
          <w:i/>
        </w:rPr>
        <w:t>International Journal of Service Industry Management,, 18</w:t>
      </w:r>
      <w:r w:rsidRPr="00095BC8">
        <w:t>(1), 25-51. doi:10.1108/09564230710732885</w:t>
      </w:r>
    </w:p>
    <w:p w:rsidR="00A1322D" w:rsidRPr="0094770E" w:rsidRDefault="00A1322D" w:rsidP="005D6333">
      <w:pPr>
        <w:pStyle w:val="EndNoteBibliography"/>
        <w:ind w:left="720" w:hanging="720"/>
        <w:rPr>
          <w:lang w:val="pt-PT"/>
        </w:rPr>
      </w:pPr>
      <w:r w:rsidRPr="00095BC8">
        <w:t xml:space="preserve">Tsai, W. (2001). Determinants and consequences of employee displayed positive emotions. </w:t>
      </w:r>
      <w:r w:rsidRPr="0094770E">
        <w:rPr>
          <w:i/>
          <w:lang w:val="pt-PT"/>
        </w:rPr>
        <w:t>Journal of Management, 27</w:t>
      </w:r>
      <w:r w:rsidRPr="0094770E">
        <w:rPr>
          <w:lang w:val="pt-PT"/>
        </w:rPr>
        <w:t>(4), 497-512. doi:10.1177/014920630102700406</w:t>
      </w:r>
    </w:p>
    <w:p w:rsidR="00A1322D" w:rsidRPr="00095BC8" w:rsidRDefault="00A1322D" w:rsidP="005D6333">
      <w:pPr>
        <w:pStyle w:val="EndNoteBibliography"/>
        <w:ind w:left="720" w:hanging="720"/>
      </w:pPr>
      <w:r w:rsidRPr="0094770E">
        <w:rPr>
          <w:rFonts w:cstheme="minorHAnsi"/>
          <w:lang w:val="pt-PT"/>
        </w:rPr>
        <w:t xml:space="preserve">Tuckman, B. (2000). </w:t>
      </w:r>
      <w:r w:rsidRPr="0094770E">
        <w:rPr>
          <w:rFonts w:cstheme="minorHAnsi"/>
          <w:i/>
          <w:lang w:val="pt-PT"/>
        </w:rPr>
        <w:t>Manual de investigação em educação: Como conceber e realizar o processo de investigação em educação</w:t>
      </w:r>
      <w:r w:rsidRPr="0094770E">
        <w:rPr>
          <w:rFonts w:cstheme="minorHAnsi"/>
          <w:lang w:val="pt-PT"/>
        </w:rPr>
        <w:t xml:space="preserve">. </w:t>
      </w:r>
      <w:r w:rsidRPr="00095BC8">
        <w:rPr>
          <w:rFonts w:cstheme="minorHAnsi"/>
        </w:rPr>
        <w:t>Lisboa: Fundação Calouste Gulbenkian.</w:t>
      </w:r>
    </w:p>
    <w:p w:rsidR="00A1322D" w:rsidRPr="00095BC8" w:rsidRDefault="00A1322D" w:rsidP="005D6333">
      <w:pPr>
        <w:pStyle w:val="EndNoteBibliography"/>
        <w:ind w:left="720" w:hanging="720"/>
      </w:pPr>
      <w:r w:rsidRPr="00095BC8">
        <w:t xml:space="preserve">van Dolen, W., Ruyter, K., &amp; Lemmink, J. (2004). An empirical assessment of the influence of customer emotions and contact employee performance on encounter and relationship satisfaction. </w:t>
      </w:r>
      <w:r w:rsidRPr="00095BC8">
        <w:rPr>
          <w:i/>
        </w:rPr>
        <w:t>Journal of Business Research, 57</w:t>
      </w:r>
      <w:r w:rsidRPr="00095BC8">
        <w:t>(4), 437-444. doi:10.1016/s0148-2963(02)00277-1</w:t>
      </w:r>
    </w:p>
    <w:p w:rsidR="00DC11BE" w:rsidRPr="00095BC8" w:rsidRDefault="00DC11BE" w:rsidP="005D6333">
      <w:pPr>
        <w:pStyle w:val="EndNoteBibliography"/>
        <w:ind w:left="720" w:hanging="720"/>
      </w:pPr>
      <w:r w:rsidRPr="00095BC8">
        <w:t xml:space="preserve">van Kleef, G. (2014). Understanding the positive and negative effects of emotional expressions in organizations: EASI does it. </w:t>
      </w:r>
      <w:r w:rsidRPr="00095BC8">
        <w:rPr>
          <w:i/>
        </w:rPr>
        <w:t>Human Relations, 67</w:t>
      </w:r>
      <w:r w:rsidRPr="00095BC8">
        <w:t>(9), 1145-1164. doi:10.1177/0018726713510329</w:t>
      </w:r>
    </w:p>
    <w:p w:rsidR="00DC11BE" w:rsidRPr="00095BC8" w:rsidRDefault="00DC11BE" w:rsidP="005D6333">
      <w:pPr>
        <w:pStyle w:val="EndNoteBibliography"/>
        <w:ind w:left="720" w:hanging="720"/>
      </w:pPr>
      <w:r w:rsidRPr="00095BC8">
        <w:t xml:space="preserve">Van Maanen, J., &amp; Kunda, G. (1989). Real feelings : Emotional expression and organizational culture. In B. Staw &amp; L. Cummings (Eds.), </w:t>
      </w:r>
      <w:r w:rsidRPr="00095BC8">
        <w:rPr>
          <w:i/>
        </w:rPr>
        <w:t>Research in Organizational Behavior</w:t>
      </w:r>
      <w:r w:rsidRPr="00095BC8">
        <w:t xml:space="preserve"> (Vol. 11, pp. 43-103).</w:t>
      </w:r>
    </w:p>
    <w:p w:rsidR="00DC11BE" w:rsidRPr="00095BC8" w:rsidRDefault="00DC11BE" w:rsidP="005D6333">
      <w:pPr>
        <w:pStyle w:val="EndNoteBibliography"/>
        <w:ind w:left="720" w:hanging="720"/>
      </w:pPr>
      <w:r w:rsidRPr="00095BC8">
        <w:t xml:space="preserve">Verhoef, P., Lemon, K., Parasuraman, A., Roggeveen, A., Tsiros, M., &amp; Schlesinger, L. (2009). Customer Experience Creation: Determinants, Dynamics and Management Strategies. </w:t>
      </w:r>
      <w:r w:rsidRPr="00095BC8">
        <w:rPr>
          <w:i/>
        </w:rPr>
        <w:t>Journal of Retailing, 85</w:t>
      </w:r>
      <w:r w:rsidRPr="00095BC8">
        <w:t>(1), 31-41. doi:10.1016/j.jretai.2008.11.001</w:t>
      </w:r>
    </w:p>
    <w:p w:rsidR="00DC11BE" w:rsidRPr="00095BC8" w:rsidRDefault="00DC11BE" w:rsidP="005D6333">
      <w:pPr>
        <w:pStyle w:val="EndNoteBibliography"/>
        <w:ind w:left="720" w:hanging="720"/>
      </w:pPr>
      <w:r w:rsidRPr="00095BC8">
        <w:t xml:space="preserve">Vitell, S., &amp; Davis, D. (1990). Ethical Beliefs of Mis Professionals - the Frequency and Opportunity for Unethical Behavior. </w:t>
      </w:r>
      <w:r w:rsidRPr="00095BC8">
        <w:rPr>
          <w:i/>
        </w:rPr>
        <w:t>Journal of Business Ethics, 9</w:t>
      </w:r>
      <w:r w:rsidRPr="00095BC8">
        <w:t>(1), 63-70. doi:10.1007/Bf00382565</w:t>
      </w:r>
    </w:p>
    <w:p w:rsidR="00DC11BE" w:rsidRPr="00095BC8" w:rsidRDefault="00DC11BE" w:rsidP="005D6333">
      <w:pPr>
        <w:pStyle w:val="EndNoteBibliography"/>
        <w:ind w:left="720" w:hanging="720"/>
      </w:pPr>
      <w:r w:rsidRPr="00095BC8">
        <w:t xml:space="preserve">Wangenheim, F., Evanschitzky, H., &amp; Wunderlich, M. (2007). Does the employee–customer satisfaction link hold for all employee groups? </w:t>
      </w:r>
      <w:r w:rsidRPr="00095BC8">
        <w:rPr>
          <w:i/>
        </w:rPr>
        <w:t>Journal of Business Research, 60</w:t>
      </w:r>
      <w:r w:rsidRPr="00095BC8">
        <w:t>(7), 690-697. doi:10.1016/j.jbusres.2007.02.019</w:t>
      </w:r>
    </w:p>
    <w:p w:rsidR="00DC11BE" w:rsidRPr="00095BC8" w:rsidRDefault="00DC11BE" w:rsidP="005D6333">
      <w:pPr>
        <w:pStyle w:val="EndNoteBibliography"/>
        <w:ind w:left="720" w:hanging="720"/>
      </w:pPr>
      <w:r w:rsidRPr="00095BC8">
        <w:lastRenderedPageBreak/>
        <w:t xml:space="preserve">Watson, D., Clark, L., &amp; Tellegen, A. (1988). Development and validation of brief measures of positive and negative affect: the PANAS scales. </w:t>
      </w:r>
      <w:r w:rsidRPr="00095BC8">
        <w:rPr>
          <w:i/>
        </w:rPr>
        <w:t>Journal of Personality and Social Psychology, 54</w:t>
      </w:r>
      <w:r w:rsidRPr="00095BC8">
        <w:t>(6), 1063-1070. doi:10.1037//0022-3514.54.6.1063</w:t>
      </w:r>
    </w:p>
    <w:p w:rsidR="00DC11BE" w:rsidRPr="00095BC8" w:rsidRDefault="00DC11BE" w:rsidP="005D6333">
      <w:pPr>
        <w:pStyle w:val="EndNoteBibliography"/>
        <w:ind w:left="720" w:hanging="720"/>
      </w:pPr>
      <w:r w:rsidRPr="00095BC8">
        <w:t xml:space="preserve">Wirtz, J., &amp; Jerger, C. (2016). Managing service employees: literature review, expert opinions, and research directions. </w:t>
      </w:r>
      <w:r w:rsidRPr="00095BC8">
        <w:rPr>
          <w:i/>
        </w:rPr>
        <w:t>Service Industries Journal, 36</w:t>
      </w:r>
      <w:r w:rsidRPr="00095BC8">
        <w:t>(15-16), 757-788. doi:10.1080/02642069.2016.1278432</w:t>
      </w:r>
    </w:p>
    <w:p w:rsidR="00DC11BE" w:rsidRPr="00095BC8" w:rsidRDefault="00DC11BE" w:rsidP="005D6333">
      <w:pPr>
        <w:pStyle w:val="EndNoteBibliography"/>
        <w:ind w:left="720" w:hanging="720"/>
      </w:pPr>
      <w:r w:rsidRPr="00095BC8">
        <w:t xml:space="preserve">Wirtz, J., &amp; Mattila, A. (2004). Consumer responses to compensation, speed of recovery and apology after a service failure. </w:t>
      </w:r>
      <w:r w:rsidRPr="00095BC8">
        <w:rPr>
          <w:i/>
        </w:rPr>
        <w:t>International Journal of Service Industry Management, 15</w:t>
      </w:r>
      <w:r w:rsidRPr="00095BC8">
        <w:t>(2), 150-166. doi:10.1108/09564230410532484</w:t>
      </w:r>
    </w:p>
    <w:p w:rsidR="00DC11BE" w:rsidRPr="00095BC8" w:rsidRDefault="00DC11BE" w:rsidP="005D6333">
      <w:pPr>
        <w:pStyle w:val="EndNoteBibliography"/>
        <w:ind w:left="720" w:hanging="720"/>
      </w:pPr>
      <w:r w:rsidRPr="00095BC8">
        <w:t xml:space="preserve">Wong, A. (2005). Affective service display and customer mood. </w:t>
      </w:r>
      <w:r w:rsidRPr="00095BC8">
        <w:rPr>
          <w:i/>
        </w:rPr>
        <w:t>Journal of Service Research, 8</w:t>
      </w:r>
      <w:r w:rsidRPr="00095BC8">
        <w:t>(2), 117-130. doi:10.1177/1094670505279341</w:t>
      </w:r>
    </w:p>
    <w:p w:rsidR="00DC11BE" w:rsidRPr="00095BC8" w:rsidRDefault="00DC11BE" w:rsidP="005D6333">
      <w:pPr>
        <w:pStyle w:val="EndNoteBibliography"/>
        <w:ind w:left="720" w:hanging="720"/>
      </w:pPr>
      <w:r w:rsidRPr="00095BC8">
        <w:t xml:space="preserve">Woolfolk, A. (2010). </w:t>
      </w:r>
      <w:r w:rsidRPr="00095BC8">
        <w:rPr>
          <w:i/>
        </w:rPr>
        <w:t>Educational psychology</w:t>
      </w:r>
      <w:r w:rsidRPr="00095BC8">
        <w:t xml:space="preserve"> (11 ed.). Columbus, OH: Pearson: Merrill.</w:t>
      </w:r>
    </w:p>
    <w:p w:rsidR="00DC11BE" w:rsidRPr="00095BC8" w:rsidRDefault="00DC11BE" w:rsidP="005D6333">
      <w:pPr>
        <w:pStyle w:val="EndNoteBibliography"/>
        <w:ind w:left="720" w:hanging="720"/>
      </w:pPr>
      <w:r w:rsidRPr="00095BC8">
        <w:t xml:space="preserve">Wright, T., &amp; Cropanzano, R. (2004). The Role of Psychological Well-Being in Job Performance: A Fresh Look at an Age-Old Quest. </w:t>
      </w:r>
      <w:r w:rsidRPr="00095BC8">
        <w:rPr>
          <w:i/>
        </w:rPr>
        <w:t>Organizational Dynamics, 33</w:t>
      </w:r>
      <w:r w:rsidRPr="00095BC8">
        <w:t>(4), 338-351. doi:</w:t>
      </w:r>
      <w:r w:rsidRPr="00095BC8">
        <w:rPr>
          <w:rStyle w:val="Hiperligao"/>
          <w:color w:val="auto"/>
          <w:u w:val="none"/>
        </w:rPr>
        <w:t>https://doi.org/10.1016/j.orgdyn.2004.09.002</w:t>
      </w:r>
    </w:p>
    <w:p w:rsidR="00DC11BE" w:rsidRPr="00095BC8" w:rsidRDefault="00DC11BE" w:rsidP="005D6333">
      <w:pPr>
        <w:pStyle w:val="EndNoteBibliography"/>
        <w:ind w:left="720" w:hanging="720"/>
      </w:pPr>
      <w:r w:rsidRPr="00095BC8">
        <w:t xml:space="preserve">Yoshida, H., Date, I., Shingo, T., Fujiwara, K., Kobayashi, K., Miyoshi, Y., &amp; Ohmoto, T. (2003). Stereotactic transplantation of a dopamine-producing capsule into the striatum for treatment of Parkinson disease: a preclinical primate study. </w:t>
      </w:r>
      <w:r w:rsidRPr="00095BC8">
        <w:rPr>
          <w:i/>
        </w:rPr>
        <w:t>Journal of Neurosurgery, 98</w:t>
      </w:r>
      <w:r w:rsidRPr="00095BC8">
        <w:t>(4), 874-881. doi:10.3171/jns.2003.98.4.0874</w:t>
      </w:r>
    </w:p>
    <w:p w:rsidR="00DC11BE" w:rsidRPr="00095BC8" w:rsidRDefault="00DC11BE" w:rsidP="005D6333">
      <w:pPr>
        <w:pStyle w:val="EndNoteBibliography"/>
        <w:ind w:left="720" w:hanging="720"/>
      </w:pPr>
      <w:r w:rsidRPr="00095BC8">
        <w:t xml:space="preserve">Zalewska, A. (1999). Job Satisfaction and Importance of Work Aspects Related to Predominant Values and Reactivity. </w:t>
      </w:r>
      <w:r w:rsidRPr="00095BC8">
        <w:rPr>
          <w:i/>
        </w:rPr>
        <w:t>International Journal of Occupational Safety and Ergonomics, 5</w:t>
      </w:r>
      <w:r w:rsidRPr="00095BC8">
        <w:t xml:space="preserve">(4), 485-511. </w:t>
      </w:r>
    </w:p>
    <w:p w:rsidR="00DC11BE" w:rsidRPr="00095BC8" w:rsidRDefault="00DC11BE" w:rsidP="005D6333">
      <w:pPr>
        <w:pStyle w:val="EndNoteBibliography"/>
        <w:ind w:left="720" w:hanging="720"/>
      </w:pPr>
      <w:r w:rsidRPr="00095BC8">
        <w:t xml:space="preserve">Zeithaml, V., &amp; Bitner, M. (1996). </w:t>
      </w:r>
      <w:r w:rsidRPr="00095BC8">
        <w:rPr>
          <w:i/>
        </w:rPr>
        <w:t>Services Marketing</w:t>
      </w:r>
      <w:r w:rsidRPr="00095BC8">
        <w:t>. New York: McGraw Hill.</w:t>
      </w:r>
    </w:p>
    <w:p w:rsidR="00DC11BE" w:rsidRPr="00095BC8" w:rsidRDefault="00DC11BE" w:rsidP="005D6333">
      <w:pPr>
        <w:pStyle w:val="EndNoteBibliography"/>
        <w:ind w:left="720" w:hanging="720"/>
      </w:pPr>
      <w:r w:rsidRPr="0094770E">
        <w:rPr>
          <w:lang w:val="pt-PT"/>
        </w:rPr>
        <w:t xml:space="preserve">Zeithaml, V., &amp; Bitner, M. (2003). </w:t>
      </w:r>
      <w:r w:rsidRPr="0094770E">
        <w:rPr>
          <w:i/>
          <w:lang w:val="pt-PT"/>
        </w:rPr>
        <w:t>Marketing de serviços: a empresa com foco no cliente</w:t>
      </w:r>
      <w:r w:rsidRPr="0094770E">
        <w:rPr>
          <w:lang w:val="pt-PT"/>
        </w:rPr>
        <w:t xml:space="preserve">. </w:t>
      </w:r>
      <w:r w:rsidRPr="00095BC8">
        <w:t>Porto Alegre: Bookman.</w:t>
      </w:r>
    </w:p>
    <w:p w:rsidR="00DC11BE" w:rsidRPr="00095BC8" w:rsidRDefault="00DC11BE" w:rsidP="005D6333">
      <w:pPr>
        <w:pStyle w:val="EndNoteBibliography"/>
        <w:ind w:left="720" w:hanging="720"/>
      </w:pPr>
      <w:r w:rsidRPr="00095BC8">
        <w:t xml:space="preserve">Zeithaml, V., Parasuraman, A., &amp; Berry, L. (1985). Problems and Strategies in Services Marketing. </w:t>
      </w:r>
      <w:r w:rsidRPr="00095BC8">
        <w:rPr>
          <w:i/>
        </w:rPr>
        <w:t>Journal of Marketing, 49</w:t>
      </w:r>
      <w:r w:rsidRPr="00095BC8">
        <w:t>(2), 33-46. doi:10.2307/1251563</w:t>
      </w:r>
    </w:p>
    <w:p w:rsidR="00DC11BE" w:rsidRPr="00095BC8" w:rsidRDefault="00DC11BE" w:rsidP="005D6333">
      <w:pPr>
        <w:pStyle w:val="EndNoteBibliography"/>
        <w:ind w:left="720" w:hanging="720"/>
      </w:pPr>
      <w:r w:rsidRPr="00095BC8">
        <w:t xml:space="preserve">Zharov, V., Kim, J., Curiel, D., &amp; Everts, M. (2005). Self-assembling nanoclusters in living systems: application for integrated photothermal nanodiagnostics and nanotherapy. </w:t>
      </w:r>
      <w:r w:rsidRPr="00095BC8">
        <w:rPr>
          <w:i/>
        </w:rPr>
        <w:t>Nanomedicine: nanotechnology, biology, and medicine, 1</w:t>
      </w:r>
      <w:r w:rsidRPr="00095BC8">
        <w:t>(4), 326-334. doi:10.1016/j.nano.2005.10.006</w:t>
      </w:r>
    </w:p>
    <w:p w:rsidR="00DC11BE" w:rsidRPr="00095BC8" w:rsidRDefault="00DC11BE" w:rsidP="005D6333">
      <w:pPr>
        <w:pStyle w:val="EndNoteBibliography"/>
        <w:ind w:left="720" w:hanging="720"/>
      </w:pPr>
      <w:r w:rsidRPr="00095BC8">
        <w:t xml:space="preserve">Ziglar, Z. (2020). Zig Ziglar Quotes. Retrieved from </w:t>
      </w:r>
      <w:r w:rsidRPr="00095BC8">
        <w:rPr>
          <w:rStyle w:val="Hiperligao"/>
          <w:color w:val="auto"/>
          <w:u w:val="none"/>
        </w:rPr>
        <w:t>https://www.brainyquote.com/quotes/zig_ziglar_387369</w:t>
      </w:r>
    </w:p>
    <w:p w:rsidR="00DC11BE" w:rsidRPr="00095BC8" w:rsidRDefault="00DC11BE" w:rsidP="004E3707">
      <w:pPr>
        <w:rPr>
          <w:rFonts w:ascii="Garamond" w:hAnsi="Garamond"/>
          <w:sz w:val="24"/>
          <w:szCs w:val="24"/>
          <w:lang w:val="en-US"/>
        </w:rPr>
      </w:pPr>
    </w:p>
    <w:p w:rsidR="00DC11BE" w:rsidRPr="00095BC8" w:rsidRDefault="00DC11BE" w:rsidP="004E3707">
      <w:pPr>
        <w:rPr>
          <w:rFonts w:ascii="Garamond" w:hAnsi="Garamond"/>
          <w:sz w:val="24"/>
          <w:szCs w:val="24"/>
          <w:lang w:val="en-US"/>
        </w:rPr>
      </w:pPr>
    </w:p>
    <w:p w:rsidR="00DC11BE" w:rsidRPr="00095BC8" w:rsidRDefault="00DC11BE" w:rsidP="004E3707">
      <w:pPr>
        <w:rPr>
          <w:rFonts w:ascii="Garamond" w:hAnsi="Garamond"/>
          <w:sz w:val="24"/>
          <w:szCs w:val="24"/>
          <w:lang w:val="en-US"/>
        </w:rPr>
      </w:pPr>
    </w:p>
    <w:p w:rsidR="00DC11BE" w:rsidRPr="00095BC8" w:rsidRDefault="00DC11BE" w:rsidP="004E3707">
      <w:pPr>
        <w:rPr>
          <w:rFonts w:ascii="Garamond" w:hAnsi="Garamond"/>
          <w:sz w:val="24"/>
          <w:szCs w:val="24"/>
          <w:lang w:val="en-US"/>
        </w:rPr>
      </w:pPr>
    </w:p>
    <w:p w:rsidR="00DC11BE" w:rsidRPr="00095BC8" w:rsidRDefault="00DC11BE" w:rsidP="004E3707">
      <w:pPr>
        <w:rPr>
          <w:rFonts w:ascii="Garamond" w:hAnsi="Garamond"/>
          <w:sz w:val="24"/>
          <w:szCs w:val="24"/>
          <w:lang w:val="en-US"/>
        </w:rPr>
      </w:pPr>
    </w:p>
    <w:p w:rsidR="00DC11BE" w:rsidRPr="00095BC8" w:rsidRDefault="00DC11BE" w:rsidP="004E3707">
      <w:pPr>
        <w:rPr>
          <w:rFonts w:ascii="Garamond" w:hAnsi="Garamond"/>
          <w:sz w:val="24"/>
          <w:szCs w:val="24"/>
          <w:lang w:val="en-US"/>
        </w:rPr>
      </w:pPr>
    </w:p>
    <w:p w:rsidR="00DC11BE" w:rsidRPr="00095BC8" w:rsidRDefault="00DC11BE" w:rsidP="004E3707">
      <w:pPr>
        <w:rPr>
          <w:rFonts w:ascii="Garamond" w:hAnsi="Garamond"/>
          <w:sz w:val="24"/>
          <w:szCs w:val="24"/>
          <w:lang w:val="en-US"/>
        </w:rPr>
      </w:pPr>
    </w:p>
    <w:p w:rsidR="00DC11BE" w:rsidRPr="00095BC8" w:rsidRDefault="00DC11BE" w:rsidP="004E3707">
      <w:pPr>
        <w:rPr>
          <w:rFonts w:ascii="Garamond" w:hAnsi="Garamond"/>
          <w:sz w:val="24"/>
          <w:szCs w:val="24"/>
          <w:lang w:val="en-US"/>
        </w:rPr>
      </w:pPr>
    </w:p>
    <w:p w:rsidR="00DC11BE" w:rsidRPr="0094770E" w:rsidRDefault="00DC11BE" w:rsidP="00A32A19">
      <w:pPr>
        <w:pStyle w:val="Nivel1"/>
      </w:pPr>
      <w:bookmarkStart w:id="95" w:name="_Toc37177070"/>
      <w:bookmarkStart w:id="96" w:name="_Toc46678990"/>
      <w:proofErr w:type="spellStart"/>
      <w:r w:rsidRPr="0094770E">
        <w:lastRenderedPageBreak/>
        <w:t>Anexos</w:t>
      </w:r>
      <w:bookmarkEnd w:id="95"/>
      <w:bookmarkEnd w:id="96"/>
      <w:proofErr w:type="spellEnd"/>
    </w:p>
    <w:p w:rsidR="00DC11BE" w:rsidRPr="0094770E" w:rsidRDefault="00DC11BE" w:rsidP="007C204C">
      <w:pPr>
        <w:pStyle w:val="CorpoTexto"/>
      </w:pPr>
      <w:r w:rsidRPr="0094770E">
        <w:rPr>
          <w:noProof/>
          <w:lang w:eastAsia="pt-PT"/>
        </w:rPr>
        <w:drawing>
          <wp:inline distT="0" distB="0" distL="0" distR="0" wp14:anchorId="2A60D298" wp14:editId="5F7BC870">
            <wp:extent cx="5266055" cy="2950688"/>
            <wp:effectExtent l="0" t="0" r="0" b="254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1850" t="27565" r="22381" b="16859"/>
                    <a:stretch/>
                  </pic:blipFill>
                  <pic:spPr bwMode="auto">
                    <a:xfrm>
                      <a:off x="0" y="0"/>
                      <a:ext cx="5276217" cy="2956382"/>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drawing>
          <wp:inline distT="0" distB="0" distL="0" distR="0" wp14:anchorId="2AC56BDF" wp14:editId="72C81529">
            <wp:extent cx="5410200" cy="2670858"/>
            <wp:effectExtent l="0" t="0" r="0" b="0"/>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522" t="30747" r="22733" b="20310"/>
                    <a:stretch/>
                  </pic:blipFill>
                  <pic:spPr bwMode="auto">
                    <a:xfrm>
                      <a:off x="0" y="0"/>
                      <a:ext cx="5417804" cy="2674612"/>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lastRenderedPageBreak/>
        <w:drawing>
          <wp:inline distT="0" distB="0" distL="0" distR="0" wp14:anchorId="00E0CD38" wp14:editId="4B2D929E">
            <wp:extent cx="5391150" cy="3883136"/>
            <wp:effectExtent l="0" t="0" r="0" b="3175"/>
            <wp:docPr id="1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344" t="26668" r="25203" b="8701"/>
                    <a:stretch/>
                  </pic:blipFill>
                  <pic:spPr bwMode="auto">
                    <a:xfrm>
                      <a:off x="0" y="0"/>
                      <a:ext cx="5398561" cy="3888474"/>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drawing>
          <wp:inline distT="0" distB="0" distL="0" distR="0" wp14:anchorId="2E5E96DC" wp14:editId="7DCE4498">
            <wp:extent cx="5324475" cy="4255303"/>
            <wp:effectExtent l="0" t="0" r="0" b="0"/>
            <wp:docPr id="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7167" t="25414" r="28907" b="12151"/>
                    <a:stretch/>
                  </pic:blipFill>
                  <pic:spPr bwMode="auto">
                    <a:xfrm>
                      <a:off x="0" y="0"/>
                      <a:ext cx="5332751" cy="4261917"/>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lastRenderedPageBreak/>
        <w:drawing>
          <wp:inline distT="0" distB="0" distL="0" distR="0" wp14:anchorId="6D2A70C7" wp14:editId="10358259">
            <wp:extent cx="4517050" cy="4019107"/>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6638" t="22591" r="28555" b="6504"/>
                    <a:stretch/>
                  </pic:blipFill>
                  <pic:spPr bwMode="auto">
                    <a:xfrm>
                      <a:off x="0" y="0"/>
                      <a:ext cx="4534844" cy="4034940"/>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rPr>
          <w:noProof/>
          <w:lang w:eastAsia="pt-PT"/>
        </w:rPr>
      </w:pPr>
      <w:r w:rsidRPr="0094770E">
        <w:rPr>
          <w:noProof/>
          <w:lang w:eastAsia="pt-PT"/>
        </w:rPr>
        <w:drawing>
          <wp:inline distT="0" distB="0" distL="0" distR="0" wp14:anchorId="6FD65424" wp14:editId="0C66D1AE">
            <wp:extent cx="4263656" cy="3789917"/>
            <wp:effectExtent l="0" t="0" r="381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8754" t="24158" r="31554" b="13093"/>
                    <a:stretch/>
                  </pic:blipFill>
                  <pic:spPr bwMode="auto">
                    <a:xfrm>
                      <a:off x="0" y="0"/>
                      <a:ext cx="4287318" cy="3810950"/>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lastRenderedPageBreak/>
        <w:drawing>
          <wp:inline distT="0" distB="0" distL="0" distR="0" wp14:anchorId="5F86C990" wp14:editId="50EF92D8">
            <wp:extent cx="5195471" cy="5071731"/>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8755" t="22764" r="30272" b="6101"/>
                    <a:stretch/>
                  </pic:blipFill>
                  <pic:spPr bwMode="auto">
                    <a:xfrm>
                      <a:off x="0" y="0"/>
                      <a:ext cx="5211711" cy="5087584"/>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drawing>
          <wp:inline distT="0" distB="0" distL="0" distR="0" wp14:anchorId="11E15A23" wp14:editId="0D4BB940">
            <wp:extent cx="5166995" cy="2414956"/>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8760" t="52295" r="30071" b="13484"/>
                    <a:stretch/>
                  </pic:blipFill>
                  <pic:spPr bwMode="auto">
                    <a:xfrm>
                      <a:off x="0" y="0"/>
                      <a:ext cx="5180968" cy="2421487"/>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rPr>
          <w:noProof/>
          <w:lang w:eastAsia="pt-PT"/>
        </w:rPr>
      </w:pPr>
      <w:r w:rsidRPr="0094770E">
        <w:rPr>
          <w:noProof/>
          <w:lang w:eastAsia="pt-PT"/>
        </w:rPr>
        <w:lastRenderedPageBreak/>
        <w:drawing>
          <wp:inline distT="0" distB="0" distL="0" distR="0" wp14:anchorId="2D0E7922" wp14:editId="1F49DFA0">
            <wp:extent cx="4572000" cy="368237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8760" t="34672" r="29673" b="5784"/>
                    <a:stretch/>
                  </pic:blipFill>
                  <pic:spPr bwMode="auto">
                    <a:xfrm>
                      <a:off x="0" y="0"/>
                      <a:ext cx="4588226" cy="3695442"/>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drawing>
          <wp:inline distT="0" distB="0" distL="0" distR="0" wp14:anchorId="7014C188" wp14:editId="67517863">
            <wp:extent cx="4072270" cy="4436975"/>
            <wp:effectExtent l="0" t="0" r="4445"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8563" t="22064" r="34024" b="5437"/>
                    <a:stretch/>
                  </pic:blipFill>
                  <pic:spPr bwMode="auto">
                    <a:xfrm>
                      <a:off x="0" y="0"/>
                      <a:ext cx="4089083" cy="4455294"/>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lastRenderedPageBreak/>
        <w:drawing>
          <wp:inline distT="0" distB="0" distL="0" distR="0" wp14:anchorId="3B846314" wp14:editId="60D9CC6E">
            <wp:extent cx="4113386" cy="4529470"/>
            <wp:effectExtent l="0" t="0" r="1905"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957" t="22064" r="34024" b="5437"/>
                    <a:stretch/>
                  </pic:blipFill>
                  <pic:spPr bwMode="auto">
                    <a:xfrm>
                      <a:off x="0" y="0"/>
                      <a:ext cx="4125937" cy="4543291"/>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drawing>
          <wp:inline distT="0" distB="0" distL="0" distR="0" wp14:anchorId="1E8493D2" wp14:editId="5F279C6E">
            <wp:extent cx="4305935" cy="331510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569" t="22764" r="32035" b="23292"/>
                    <a:stretch/>
                  </pic:blipFill>
                  <pic:spPr bwMode="auto">
                    <a:xfrm>
                      <a:off x="0" y="0"/>
                      <a:ext cx="4321768" cy="3327290"/>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lastRenderedPageBreak/>
        <w:drawing>
          <wp:inline distT="0" distB="0" distL="0" distR="0" wp14:anchorId="0DA90A32" wp14:editId="28F8D8A9">
            <wp:extent cx="4613831" cy="40043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8763" t="27667" r="34024" b="14892"/>
                    <a:stretch/>
                  </pic:blipFill>
                  <pic:spPr bwMode="auto">
                    <a:xfrm>
                      <a:off x="0" y="0"/>
                      <a:ext cx="4643524" cy="4030080"/>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drawing>
          <wp:inline distT="0" distB="0" distL="0" distR="0" wp14:anchorId="6D9CA395" wp14:editId="2D3C8351">
            <wp:extent cx="4880345" cy="3918534"/>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8559" t="24873" r="31469" b="18048"/>
                    <a:stretch/>
                  </pic:blipFill>
                  <pic:spPr bwMode="auto">
                    <a:xfrm>
                      <a:off x="0" y="0"/>
                      <a:ext cx="4902113" cy="3936012"/>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lastRenderedPageBreak/>
        <w:drawing>
          <wp:inline distT="0" distB="0" distL="0" distR="0" wp14:anchorId="05867B64" wp14:editId="13387150">
            <wp:extent cx="5337545" cy="52038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9161" t="24165" r="31244" b="7178"/>
                    <a:stretch/>
                  </pic:blipFill>
                  <pic:spPr bwMode="auto">
                    <a:xfrm>
                      <a:off x="0" y="0"/>
                      <a:ext cx="5356705" cy="5222561"/>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drawing>
          <wp:inline distT="0" distB="0" distL="0" distR="0" wp14:anchorId="775FD690" wp14:editId="32B73D9C">
            <wp:extent cx="3955312" cy="2664005"/>
            <wp:effectExtent l="0" t="0" r="762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9348" t="26617" r="42288" b="39407"/>
                    <a:stretch/>
                  </pic:blipFill>
                  <pic:spPr bwMode="auto">
                    <a:xfrm>
                      <a:off x="0" y="0"/>
                      <a:ext cx="3982095" cy="2682044"/>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pPr>
      <w:r w:rsidRPr="0094770E">
        <w:rPr>
          <w:noProof/>
          <w:lang w:eastAsia="pt-PT"/>
        </w:rPr>
        <w:lastRenderedPageBreak/>
        <w:drawing>
          <wp:inline distT="0" distB="0" distL="0" distR="0" wp14:anchorId="3AC367B5" wp14:editId="756E6304">
            <wp:extent cx="4326472" cy="3572540"/>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9545" t="34328" r="37549" b="17347"/>
                    <a:stretch/>
                  </pic:blipFill>
                  <pic:spPr bwMode="auto">
                    <a:xfrm>
                      <a:off x="0" y="0"/>
                      <a:ext cx="4345554" cy="3588297"/>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rPr>
          <w:noProof/>
          <w:lang w:eastAsia="pt-PT"/>
        </w:rPr>
      </w:pPr>
    </w:p>
    <w:p w:rsidR="00DC11BE" w:rsidRPr="0094770E" w:rsidRDefault="00DC11BE" w:rsidP="007C204C">
      <w:pPr>
        <w:pStyle w:val="CorpoTexto"/>
      </w:pPr>
      <w:r w:rsidRPr="0094770E">
        <w:rPr>
          <w:noProof/>
          <w:lang w:eastAsia="pt-PT"/>
        </w:rPr>
        <w:drawing>
          <wp:inline distT="0" distB="0" distL="0" distR="0" wp14:anchorId="26D98F9C" wp14:editId="03671098">
            <wp:extent cx="3908720" cy="4242391"/>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8553" t="29770" r="39144" b="7876"/>
                    <a:stretch/>
                  </pic:blipFill>
                  <pic:spPr bwMode="auto">
                    <a:xfrm>
                      <a:off x="0" y="0"/>
                      <a:ext cx="3926751" cy="4261961"/>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7C204C">
      <w:pPr>
        <w:pStyle w:val="CorpoTexto"/>
        <w:rPr>
          <w:noProof/>
          <w:lang w:eastAsia="pt-PT"/>
        </w:rPr>
      </w:pPr>
    </w:p>
    <w:p w:rsidR="00DC11BE" w:rsidRPr="0094770E" w:rsidRDefault="00DC11BE" w:rsidP="007C204C">
      <w:pPr>
        <w:pStyle w:val="CorpoTexto"/>
      </w:pPr>
      <w:r w:rsidRPr="0094770E">
        <w:rPr>
          <w:noProof/>
          <w:lang w:eastAsia="pt-PT"/>
        </w:rPr>
        <w:drawing>
          <wp:inline distT="0" distB="0" distL="0" distR="0" wp14:anchorId="23F43E2F" wp14:editId="6C0255EE">
            <wp:extent cx="5022194" cy="1180214"/>
            <wp:effectExtent l="0" t="0" r="762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8751" t="40276" r="31860" b="43261"/>
                    <a:stretch/>
                  </pic:blipFill>
                  <pic:spPr bwMode="auto">
                    <a:xfrm>
                      <a:off x="0" y="0"/>
                      <a:ext cx="5060875" cy="1189304"/>
                    </a:xfrm>
                    <a:prstGeom prst="rect">
                      <a:avLst/>
                    </a:prstGeom>
                    <a:ln>
                      <a:noFill/>
                    </a:ln>
                    <a:extLst>
                      <a:ext uri="{53640926-AAD7-44D8-BBD7-CCE9431645EC}">
                        <a14:shadowObscured xmlns:a14="http://schemas.microsoft.com/office/drawing/2010/main"/>
                      </a:ext>
                    </a:extLst>
                  </pic:spPr>
                </pic:pic>
              </a:graphicData>
            </a:graphic>
          </wp:inline>
        </w:drawing>
      </w:r>
    </w:p>
    <w:p w:rsidR="00DC11BE" w:rsidRPr="0094770E" w:rsidRDefault="00DC11BE" w:rsidP="004E3707">
      <w:pPr>
        <w:rPr>
          <w:rFonts w:ascii="Garamond" w:hAnsi="Garamond"/>
          <w:sz w:val="24"/>
          <w:szCs w:val="24"/>
        </w:rPr>
      </w:pPr>
    </w:p>
    <w:p w:rsidR="00DC11BE" w:rsidRPr="0094770E" w:rsidRDefault="00DC11BE" w:rsidP="004E3707"/>
    <w:p w:rsidR="000F5ADA" w:rsidRPr="0094770E" w:rsidRDefault="000F5ADA"/>
    <w:sectPr w:rsidR="000F5ADA" w:rsidRPr="0094770E" w:rsidSect="004E3707">
      <w:footerReference w:type="default" r:id="rId37"/>
      <w:pgSz w:w="11906" w:h="16838"/>
      <w:pgMar w:top="1701" w:right="1418" w:bottom="1701" w:left="1985"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C7698" w:rsidRDefault="007C7698">
      <w:pPr>
        <w:spacing w:line="240" w:lineRule="auto"/>
      </w:pPr>
      <w:r>
        <w:separator/>
      </w:r>
    </w:p>
    <w:p w:rsidR="007C7698" w:rsidRDefault="007C7698"/>
  </w:endnote>
  <w:endnote w:type="continuationSeparator" w:id="0">
    <w:p w:rsidR="007C7698" w:rsidRDefault="007C7698">
      <w:pPr>
        <w:spacing w:line="240" w:lineRule="auto"/>
      </w:pPr>
      <w:r>
        <w:continuationSeparator/>
      </w:r>
    </w:p>
    <w:p w:rsidR="007C7698" w:rsidRDefault="007C7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5197980"/>
      <w:docPartObj>
        <w:docPartGallery w:val="Page Numbers (Bottom of Page)"/>
        <w:docPartUnique/>
      </w:docPartObj>
    </w:sdtPr>
    <w:sdtEndPr>
      <w:rPr>
        <w:noProof/>
      </w:rPr>
    </w:sdtEndPr>
    <w:sdtContent>
      <w:p w:rsidR="005905A3" w:rsidRDefault="005905A3">
        <w:pPr>
          <w:pStyle w:val="Rodap"/>
          <w:jc w:val="right"/>
        </w:pPr>
        <w:r>
          <w:fldChar w:fldCharType="begin"/>
        </w:r>
        <w:r>
          <w:instrText xml:space="preserve"> PAGE   \* MERGEFORMAT </w:instrText>
        </w:r>
        <w:r>
          <w:fldChar w:fldCharType="separate"/>
        </w:r>
        <w:r>
          <w:rPr>
            <w:noProof/>
          </w:rPr>
          <w:t>1</w:t>
        </w:r>
        <w:r>
          <w:rPr>
            <w:noProof/>
          </w:rPr>
          <w:fldChar w:fldCharType="end"/>
        </w:r>
      </w:p>
    </w:sdtContent>
  </w:sdt>
  <w:p w:rsidR="005905A3" w:rsidRDefault="005905A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6030288"/>
      <w:docPartObj>
        <w:docPartGallery w:val="Page Numbers (Bottom of Page)"/>
        <w:docPartUnique/>
      </w:docPartObj>
    </w:sdtPr>
    <w:sdtEndPr>
      <w:rPr>
        <w:noProof/>
      </w:rPr>
    </w:sdtEndPr>
    <w:sdtContent>
      <w:p w:rsidR="005905A3" w:rsidRDefault="005905A3">
        <w:pPr>
          <w:pStyle w:val="Rodap"/>
          <w:jc w:val="right"/>
        </w:pPr>
        <w:r>
          <w:fldChar w:fldCharType="begin"/>
        </w:r>
        <w:r>
          <w:instrText xml:space="preserve"> PAGE   \* MERGEFORMAT </w:instrText>
        </w:r>
        <w:r>
          <w:fldChar w:fldCharType="separate"/>
        </w:r>
        <w:r>
          <w:rPr>
            <w:noProof/>
          </w:rPr>
          <w:t>28</w:t>
        </w:r>
        <w:r>
          <w:rPr>
            <w:noProof/>
          </w:rPr>
          <w:fldChar w:fldCharType="end"/>
        </w:r>
      </w:p>
    </w:sdtContent>
  </w:sdt>
  <w:p w:rsidR="005905A3" w:rsidRDefault="005905A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C7698" w:rsidRDefault="007C7698">
      <w:pPr>
        <w:spacing w:line="240" w:lineRule="auto"/>
      </w:pPr>
      <w:r>
        <w:separator/>
      </w:r>
    </w:p>
    <w:p w:rsidR="007C7698" w:rsidRDefault="007C7698"/>
  </w:footnote>
  <w:footnote w:type="continuationSeparator" w:id="0">
    <w:p w:rsidR="007C7698" w:rsidRDefault="007C7698">
      <w:pPr>
        <w:spacing w:line="240" w:lineRule="auto"/>
      </w:pPr>
      <w:r>
        <w:continuationSeparator/>
      </w:r>
    </w:p>
    <w:p w:rsidR="007C7698" w:rsidRDefault="007C76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E1DE1"/>
    <w:multiLevelType w:val="hybridMultilevel"/>
    <w:tmpl w:val="FA60C9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200F29D6"/>
    <w:multiLevelType w:val="hybridMultilevel"/>
    <w:tmpl w:val="47E80D1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378B1809"/>
    <w:multiLevelType w:val="multilevel"/>
    <w:tmpl w:val="E068A962"/>
    <w:lvl w:ilvl="0">
      <w:start w:val="1"/>
      <w:numFmt w:val="decimal"/>
      <w:pStyle w:val="Nvel3"/>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5EF65904"/>
    <w:multiLevelType w:val="multilevel"/>
    <w:tmpl w:val="715C35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6E5948"/>
    <w:multiLevelType w:val="multilevel"/>
    <w:tmpl w:val="ADC2654E"/>
    <w:lvl w:ilvl="0">
      <w:start w:val="1"/>
      <w:numFmt w:val="decimal"/>
      <w:pStyle w:val="Nivel1"/>
      <w:lvlText w:val="%1"/>
      <w:lvlJc w:val="left"/>
      <w:pPr>
        <w:ind w:left="1080" w:hanging="360"/>
      </w:pPr>
      <w:rPr>
        <w:rFonts w:hint="default"/>
      </w:rPr>
    </w:lvl>
    <w:lvl w:ilvl="1">
      <w:start w:val="1"/>
      <w:numFmt w:val="decimal"/>
      <w:pStyle w:val="Nvel2"/>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69BF02B5"/>
    <w:multiLevelType w:val="multilevel"/>
    <w:tmpl w:val="D3866E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6AB57230"/>
    <w:multiLevelType w:val="hybridMultilevel"/>
    <w:tmpl w:val="E07223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793E11CE"/>
    <w:multiLevelType w:val="hybridMultilevel"/>
    <w:tmpl w:val="617E93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7"/>
  </w:num>
  <w:num w:numId="5">
    <w:abstractNumId w:val="2"/>
  </w:num>
  <w:num w:numId="6">
    <w:abstractNumId w:val="3"/>
  </w:num>
  <w:num w:numId="7">
    <w:abstractNumId w:val="2"/>
  </w:num>
  <w:num w:numId="8">
    <w:abstractNumId w:val="2"/>
  </w:num>
  <w:num w:numId="9">
    <w:abstractNumId w:val="2"/>
  </w:num>
  <w:num w:numId="10">
    <w:abstractNumId w:val="2"/>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1"/>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C11BE"/>
    <w:rsid w:val="0000286C"/>
    <w:rsid w:val="00014A2D"/>
    <w:rsid w:val="000210FF"/>
    <w:rsid w:val="00041A9C"/>
    <w:rsid w:val="00050136"/>
    <w:rsid w:val="00054ABE"/>
    <w:rsid w:val="0005787B"/>
    <w:rsid w:val="00075659"/>
    <w:rsid w:val="000761CD"/>
    <w:rsid w:val="00095BC8"/>
    <w:rsid w:val="000A4D1F"/>
    <w:rsid w:val="000A617E"/>
    <w:rsid w:val="000A68BA"/>
    <w:rsid w:val="000C380C"/>
    <w:rsid w:val="000D1374"/>
    <w:rsid w:val="000D5927"/>
    <w:rsid w:val="000D65DA"/>
    <w:rsid w:val="000F0B4C"/>
    <w:rsid w:val="000F5ADA"/>
    <w:rsid w:val="00152A45"/>
    <w:rsid w:val="00154E17"/>
    <w:rsid w:val="00182811"/>
    <w:rsid w:val="001C750F"/>
    <w:rsid w:val="001E3C26"/>
    <w:rsid w:val="00242CEC"/>
    <w:rsid w:val="002A394C"/>
    <w:rsid w:val="002C09BA"/>
    <w:rsid w:val="002F05A8"/>
    <w:rsid w:val="002F1DEC"/>
    <w:rsid w:val="00320CA4"/>
    <w:rsid w:val="00346AFE"/>
    <w:rsid w:val="003A4860"/>
    <w:rsid w:val="003C0D94"/>
    <w:rsid w:val="003D2DC5"/>
    <w:rsid w:val="00412DC1"/>
    <w:rsid w:val="00415A67"/>
    <w:rsid w:val="00423CAA"/>
    <w:rsid w:val="00430925"/>
    <w:rsid w:val="00430D8D"/>
    <w:rsid w:val="0045067E"/>
    <w:rsid w:val="00461A94"/>
    <w:rsid w:val="004A3D42"/>
    <w:rsid w:val="004A4173"/>
    <w:rsid w:val="004B172D"/>
    <w:rsid w:val="004E0B72"/>
    <w:rsid w:val="004E3707"/>
    <w:rsid w:val="004F1A53"/>
    <w:rsid w:val="00516CF9"/>
    <w:rsid w:val="00555BF3"/>
    <w:rsid w:val="00564850"/>
    <w:rsid w:val="005905A3"/>
    <w:rsid w:val="00594C20"/>
    <w:rsid w:val="0059615C"/>
    <w:rsid w:val="005C5E61"/>
    <w:rsid w:val="005D6333"/>
    <w:rsid w:val="005F5B88"/>
    <w:rsid w:val="00603397"/>
    <w:rsid w:val="0060346C"/>
    <w:rsid w:val="0062687C"/>
    <w:rsid w:val="00631ECC"/>
    <w:rsid w:val="00636D2C"/>
    <w:rsid w:val="006425F7"/>
    <w:rsid w:val="00643822"/>
    <w:rsid w:val="00686D8C"/>
    <w:rsid w:val="00694B5C"/>
    <w:rsid w:val="006D2E5A"/>
    <w:rsid w:val="006D67DD"/>
    <w:rsid w:val="006F2570"/>
    <w:rsid w:val="006F2B20"/>
    <w:rsid w:val="00702025"/>
    <w:rsid w:val="00706314"/>
    <w:rsid w:val="00710114"/>
    <w:rsid w:val="0073103A"/>
    <w:rsid w:val="00766663"/>
    <w:rsid w:val="00772CD4"/>
    <w:rsid w:val="007833E5"/>
    <w:rsid w:val="0078455B"/>
    <w:rsid w:val="007A3302"/>
    <w:rsid w:val="007A58B2"/>
    <w:rsid w:val="007B420B"/>
    <w:rsid w:val="007C204C"/>
    <w:rsid w:val="007C7698"/>
    <w:rsid w:val="007E0D4E"/>
    <w:rsid w:val="007E3498"/>
    <w:rsid w:val="007E6B17"/>
    <w:rsid w:val="00802EA7"/>
    <w:rsid w:val="008118AE"/>
    <w:rsid w:val="0081324A"/>
    <w:rsid w:val="00833A3F"/>
    <w:rsid w:val="00835AAC"/>
    <w:rsid w:val="00862447"/>
    <w:rsid w:val="00877D89"/>
    <w:rsid w:val="00891A7E"/>
    <w:rsid w:val="008948A0"/>
    <w:rsid w:val="00896C9F"/>
    <w:rsid w:val="008E6E1D"/>
    <w:rsid w:val="0093360D"/>
    <w:rsid w:val="00934000"/>
    <w:rsid w:val="009433A5"/>
    <w:rsid w:val="0094770E"/>
    <w:rsid w:val="00954C85"/>
    <w:rsid w:val="00966AA1"/>
    <w:rsid w:val="00977640"/>
    <w:rsid w:val="00984FA2"/>
    <w:rsid w:val="009D42AA"/>
    <w:rsid w:val="009F6572"/>
    <w:rsid w:val="009F6B04"/>
    <w:rsid w:val="00A1322D"/>
    <w:rsid w:val="00A21E99"/>
    <w:rsid w:val="00A32A19"/>
    <w:rsid w:val="00A451D9"/>
    <w:rsid w:val="00A52BFE"/>
    <w:rsid w:val="00A5335E"/>
    <w:rsid w:val="00A775C1"/>
    <w:rsid w:val="00AA66F1"/>
    <w:rsid w:val="00AC1306"/>
    <w:rsid w:val="00AD213A"/>
    <w:rsid w:val="00AE6458"/>
    <w:rsid w:val="00B04D1B"/>
    <w:rsid w:val="00B300A9"/>
    <w:rsid w:val="00B739DA"/>
    <w:rsid w:val="00B812F2"/>
    <w:rsid w:val="00B90901"/>
    <w:rsid w:val="00BB7BAF"/>
    <w:rsid w:val="00BC4745"/>
    <w:rsid w:val="00BE291C"/>
    <w:rsid w:val="00BF2693"/>
    <w:rsid w:val="00C267B4"/>
    <w:rsid w:val="00C40A67"/>
    <w:rsid w:val="00C74CB1"/>
    <w:rsid w:val="00C93E25"/>
    <w:rsid w:val="00CA2633"/>
    <w:rsid w:val="00CA2F2E"/>
    <w:rsid w:val="00CD411E"/>
    <w:rsid w:val="00CE0756"/>
    <w:rsid w:val="00CE365D"/>
    <w:rsid w:val="00D06AED"/>
    <w:rsid w:val="00D41349"/>
    <w:rsid w:val="00D4135D"/>
    <w:rsid w:val="00D46F56"/>
    <w:rsid w:val="00D5459C"/>
    <w:rsid w:val="00D77886"/>
    <w:rsid w:val="00D87C4E"/>
    <w:rsid w:val="00D952E8"/>
    <w:rsid w:val="00DC11BE"/>
    <w:rsid w:val="00DD63A6"/>
    <w:rsid w:val="00E115BA"/>
    <w:rsid w:val="00E355FB"/>
    <w:rsid w:val="00E4681B"/>
    <w:rsid w:val="00E647C1"/>
    <w:rsid w:val="00EA7A95"/>
    <w:rsid w:val="00F31213"/>
    <w:rsid w:val="00F34783"/>
    <w:rsid w:val="00F57A2D"/>
    <w:rsid w:val="00F6283A"/>
    <w:rsid w:val="00F86255"/>
    <w:rsid w:val="00F870BA"/>
    <w:rsid w:val="00FA7FC5"/>
    <w:rsid w:val="00FB373C"/>
    <w:rsid w:val="00FC2E07"/>
    <w:rsid w:val="00FC6DF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9C1E"/>
  <w15:chartTrackingRefBased/>
  <w15:docId w15:val="{DE6C126E-C861-471A-BC60-268AFA1B2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4"/>
        <w:szCs w:val="22"/>
        <w:lang w:val="pt-P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1BE"/>
    <w:rPr>
      <w:rFonts w:asciiTheme="minorHAnsi" w:hAnsiTheme="minorHAnsi"/>
      <w:sz w:val="22"/>
    </w:rPr>
  </w:style>
  <w:style w:type="paragraph" w:styleId="Ttulo1">
    <w:name w:val="heading 1"/>
    <w:aliases w:val="Nível 1"/>
    <w:basedOn w:val="Normal"/>
    <w:next w:val="Normal"/>
    <w:link w:val="Ttulo1Carter"/>
    <w:autoRedefine/>
    <w:uiPriority w:val="9"/>
    <w:qFormat/>
    <w:rsid w:val="00CE365D"/>
    <w:pPr>
      <w:keepNext/>
      <w:keepLines/>
      <w:outlineLvl w:val="0"/>
    </w:pPr>
    <w:rPr>
      <w:rFonts w:ascii="Garamond" w:eastAsiaTheme="majorEastAsia" w:hAnsi="Garamond" w:cstheme="majorBidi"/>
      <w:b/>
      <w:sz w:val="24"/>
      <w:szCs w:val="32"/>
    </w:rPr>
  </w:style>
  <w:style w:type="paragraph" w:styleId="Ttulo2">
    <w:name w:val="heading 2"/>
    <w:basedOn w:val="Normal"/>
    <w:next w:val="Normal"/>
    <w:link w:val="Ttulo2Carter"/>
    <w:uiPriority w:val="9"/>
    <w:semiHidden/>
    <w:unhideWhenUsed/>
    <w:qFormat/>
    <w:rsid w:val="00DC11B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ter"/>
    <w:uiPriority w:val="9"/>
    <w:semiHidden/>
    <w:unhideWhenUsed/>
    <w:qFormat/>
    <w:rsid w:val="00DC11B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ter"/>
    <w:uiPriority w:val="9"/>
    <w:semiHidden/>
    <w:unhideWhenUsed/>
    <w:qFormat/>
    <w:rsid w:val="0070631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aliases w:val="Nível 1 Caráter"/>
    <w:basedOn w:val="Tipodeletrapredefinidodopargrafo"/>
    <w:link w:val="Ttulo1"/>
    <w:uiPriority w:val="9"/>
    <w:rsid w:val="00CE365D"/>
    <w:rPr>
      <w:rFonts w:ascii="Garamond" w:eastAsiaTheme="majorEastAsia" w:hAnsi="Garamond" w:cstheme="majorBidi"/>
      <w:b/>
      <w:szCs w:val="32"/>
    </w:rPr>
  </w:style>
  <w:style w:type="character" w:customStyle="1" w:styleId="Ttulo2Carter">
    <w:name w:val="Título 2 Caráter"/>
    <w:basedOn w:val="Tipodeletrapredefinidodopargrafo"/>
    <w:link w:val="Ttulo2"/>
    <w:uiPriority w:val="9"/>
    <w:semiHidden/>
    <w:rsid w:val="00DC11BE"/>
    <w:rPr>
      <w:rFonts w:asciiTheme="majorHAnsi" w:eastAsiaTheme="majorEastAsia" w:hAnsiTheme="majorHAnsi" w:cstheme="majorBidi"/>
      <w:color w:val="2E74B5" w:themeColor="accent1" w:themeShade="BF"/>
      <w:sz w:val="26"/>
      <w:szCs w:val="26"/>
    </w:rPr>
  </w:style>
  <w:style w:type="character" w:customStyle="1" w:styleId="Ttulo3Carter">
    <w:name w:val="Título 3 Caráter"/>
    <w:basedOn w:val="Tipodeletrapredefinidodopargrafo"/>
    <w:link w:val="Ttulo3"/>
    <w:uiPriority w:val="9"/>
    <w:semiHidden/>
    <w:rsid w:val="00DC11BE"/>
    <w:rPr>
      <w:rFonts w:asciiTheme="majorHAnsi" w:eastAsiaTheme="majorEastAsia" w:hAnsiTheme="majorHAnsi" w:cstheme="majorBidi"/>
      <w:color w:val="1F4D78" w:themeColor="accent1" w:themeShade="7F"/>
      <w:szCs w:val="24"/>
    </w:rPr>
  </w:style>
  <w:style w:type="paragraph" w:customStyle="1" w:styleId="Titulo">
    <w:name w:val="Titulo"/>
    <w:basedOn w:val="Normal"/>
    <w:rsid w:val="00DC11BE"/>
    <w:pPr>
      <w:widowControl w:val="0"/>
      <w:spacing w:before="160" w:line="240" w:lineRule="auto"/>
    </w:pPr>
    <w:rPr>
      <w:rFonts w:ascii="Garamond" w:eastAsia="Garamond" w:hAnsi="Garamond" w:cs="Garamond"/>
      <w:kern w:val="1"/>
      <w:sz w:val="28"/>
      <w:szCs w:val="28"/>
      <w:lang w:val="en-GB" w:eastAsia="pt-PT"/>
    </w:rPr>
  </w:style>
  <w:style w:type="paragraph" w:customStyle="1" w:styleId="NomeAluno">
    <w:name w:val="Nome Aluno"/>
    <w:basedOn w:val="Titulo"/>
    <w:rsid w:val="00DC11BE"/>
    <w:rPr>
      <w:b/>
      <w:sz w:val="24"/>
      <w:szCs w:val="24"/>
    </w:rPr>
  </w:style>
  <w:style w:type="paragraph" w:customStyle="1" w:styleId="Sub-Titulo1">
    <w:name w:val="Sub-Titulo 1"/>
    <w:basedOn w:val="Normal"/>
    <w:rsid w:val="00DC11BE"/>
    <w:pPr>
      <w:spacing w:before="160" w:line="240" w:lineRule="auto"/>
    </w:pPr>
    <w:rPr>
      <w:rFonts w:ascii="Garamond" w:eastAsia="Garamond" w:hAnsi="Garamond" w:cs="Garamond"/>
      <w:sz w:val="24"/>
      <w:szCs w:val="24"/>
      <w:lang w:eastAsia="pt-PT"/>
    </w:rPr>
  </w:style>
  <w:style w:type="paragraph" w:customStyle="1" w:styleId="Sub-Titulo2">
    <w:name w:val="Sub-Titulo 2"/>
    <w:basedOn w:val="Sub-Titulo1"/>
    <w:rsid w:val="00DC11BE"/>
    <w:pPr>
      <w:spacing w:before="80"/>
    </w:pPr>
  </w:style>
  <w:style w:type="paragraph" w:customStyle="1" w:styleId="Orientadores">
    <w:name w:val="Orientadores"/>
    <w:basedOn w:val="Sub-Titulo2"/>
    <w:rsid w:val="00DC11BE"/>
    <w:pPr>
      <w:spacing w:before="0" w:line="288" w:lineRule="auto"/>
    </w:pPr>
    <w:rPr>
      <w:b/>
    </w:rPr>
  </w:style>
  <w:style w:type="paragraph" w:customStyle="1" w:styleId="CorpoTexto">
    <w:name w:val="Corpo Texto"/>
    <w:basedOn w:val="Normal"/>
    <w:link w:val="CorpoTextoChar"/>
    <w:qFormat/>
    <w:rsid w:val="00D77886"/>
    <w:pPr>
      <w:spacing w:after="120"/>
    </w:pPr>
    <w:rPr>
      <w:rFonts w:ascii="Garamond" w:hAnsi="Garamond"/>
      <w:sz w:val="24"/>
    </w:rPr>
  </w:style>
  <w:style w:type="paragraph" w:customStyle="1" w:styleId="Nivel1">
    <w:name w:val="Nivel 1"/>
    <w:basedOn w:val="Ttulo1"/>
    <w:link w:val="Nivel1Carter"/>
    <w:autoRedefine/>
    <w:qFormat/>
    <w:rsid w:val="005C5E61"/>
    <w:pPr>
      <w:numPr>
        <w:numId w:val="13"/>
      </w:numPr>
      <w:spacing w:after="240"/>
      <w:ind w:left="357" w:hanging="357"/>
    </w:pPr>
    <w:rPr>
      <w:rFonts w:cs="Times New Roman"/>
      <w:sz w:val="28"/>
      <w:szCs w:val="28"/>
      <w:lang w:val="en-US"/>
    </w:rPr>
  </w:style>
  <w:style w:type="character" w:customStyle="1" w:styleId="Nivel1Carter">
    <w:name w:val="Nivel 1 Caráter"/>
    <w:basedOn w:val="Tipodeletrapredefinidodopargrafo"/>
    <w:link w:val="Nivel1"/>
    <w:rsid w:val="005C5E61"/>
    <w:rPr>
      <w:rFonts w:ascii="Garamond" w:eastAsiaTheme="majorEastAsia" w:hAnsi="Garamond" w:cs="Times New Roman"/>
      <w:b/>
      <w:sz w:val="28"/>
      <w:szCs w:val="28"/>
      <w:lang w:val="en-US"/>
    </w:rPr>
  </w:style>
  <w:style w:type="paragraph" w:styleId="Cabealhodondice">
    <w:name w:val="TOC Heading"/>
    <w:basedOn w:val="Ttulo1"/>
    <w:next w:val="Normal"/>
    <w:uiPriority w:val="39"/>
    <w:unhideWhenUsed/>
    <w:qFormat/>
    <w:rsid w:val="00DC11BE"/>
    <w:pPr>
      <w:outlineLvl w:val="9"/>
    </w:pPr>
    <w:rPr>
      <w:lang w:val="en-US"/>
    </w:rPr>
  </w:style>
  <w:style w:type="paragraph" w:styleId="Cabealho">
    <w:name w:val="header"/>
    <w:basedOn w:val="Normal"/>
    <w:link w:val="CabealhoCarter"/>
    <w:uiPriority w:val="99"/>
    <w:unhideWhenUsed/>
    <w:rsid w:val="00DC11BE"/>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DC11BE"/>
    <w:rPr>
      <w:rFonts w:asciiTheme="minorHAnsi" w:hAnsiTheme="minorHAnsi"/>
      <w:sz w:val="22"/>
    </w:rPr>
  </w:style>
  <w:style w:type="paragraph" w:styleId="Rodap">
    <w:name w:val="footer"/>
    <w:basedOn w:val="Normal"/>
    <w:link w:val="RodapCarter"/>
    <w:uiPriority w:val="99"/>
    <w:unhideWhenUsed/>
    <w:rsid w:val="00DC11BE"/>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DC11BE"/>
    <w:rPr>
      <w:rFonts w:asciiTheme="minorHAnsi" w:hAnsiTheme="minorHAnsi"/>
      <w:sz w:val="22"/>
    </w:rPr>
  </w:style>
  <w:style w:type="paragraph" w:customStyle="1" w:styleId="Nvel3">
    <w:name w:val="Nível 3"/>
    <w:basedOn w:val="Ttulo1"/>
    <w:next w:val="Nivel1"/>
    <w:link w:val="Nvel3Carter"/>
    <w:autoRedefine/>
    <w:qFormat/>
    <w:rsid w:val="00FC2E07"/>
    <w:pPr>
      <w:numPr>
        <w:numId w:val="5"/>
      </w:numPr>
    </w:pPr>
    <w:rPr>
      <w:color w:val="000000" w:themeColor="text1"/>
      <w:sz w:val="28"/>
    </w:rPr>
  </w:style>
  <w:style w:type="paragraph" w:styleId="ndice1">
    <w:name w:val="toc 1"/>
    <w:basedOn w:val="Normal"/>
    <w:next w:val="Normal"/>
    <w:autoRedefine/>
    <w:uiPriority w:val="39"/>
    <w:unhideWhenUsed/>
    <w:rsid w:val="005905A3"/>
    <w:pPr>
      <w:tabs>
        <w:tab w:val="left" w:pos="3458"/>
        <w:tab w:val="right" w:leader="dot" w:pos="8493"/>
      </w:tabs>
      <w:spacing w:before="120"/>
      <w:jc w:val="left"/>
    </w:pPr>
    <w:rPr>
      <w:b/>
      <w:bCs/>
      <w:i/>
      <w:iCs/>
      <w:sz w:val="24"/>
      <w:szCs w:val="24"/>
    </w:rPr>
  </w:style>
  <w:style w:type="paragraph" w:styleId="ndice2">
    <w:name w:val="toc 2"/>
    <w:basedOn w:val="Normal"/>
    <w:next w:val="Normal"/>
    <w:autoRedefine/>
    <w:uiPriority w:val="39"/>
    <w:unhideWhenUsed/>
    <w:rsid w:val="00DC11BE"/>
    <w:pPr>
      <w:spacing w:before="120"/>
      <w:ind w:left="220"/>
      <w:jc w:val="left"/>
    </w:pPr>
    <w:rPr>
      <w:b/>
      <w:bCs/>
    </w:rPr>
  </w:style>
  <w:style w:type="paragraph" w:styleId="ndice3">
    <w:name w:val="toc 3"/>
    <w:basedOn w:val="Normal"/>
    <w:next w:val="Normal"/>
    <w:autoRedefine/>
    <w:uiPriority w:val="39"/>
    <w:unhideWhenUsed/>
    <w:rsid w:val="00DC11BE"/>
    <w:pPr>
      <w:ind w:left="440"/>
      <w:jc w:val="left"/>
    </w:pPr>
    <w:rPr>
      <w:sz w:val="20"/>
      <w:szCs w:val="20"/>
    </w:rPr>
  </w:style>
  <w:style w:type="character" w:styleId="Hiperligao">
    <w:name w:val="Hyperlink"/>
    <w:basedOn w:val="Tipodeletrapredefinidodopargrafo"/>
    <w:uiPriority w:val="99"/>
    <w:unhideWhenUsed/>
    <w:rsid w:val="00DC11BE"/>
    <w:rPr>
      <w:color w:val="0563C1" w:themeColor="hyperlink"/>
      <w:u w:val="single"/>
    </w:rPr>
  </w:style>
  <w:style w:type="paragraph" w:styleId="PargrafodaLista">
    <w:name w:val="List Paragraph"/>
    <w:basedOn w:val="Normal"/>
    <w:link w:val="PargrafodaListaCarter"/>
    <w:uiPriority w:val="34"/>
    <w:qFormat/>
    <w:rsid w:val="00DC11BE"/>
    <w:pPr>
      <w:ind w:left="720"/>
      <w:contextualSpacing/>
    </w:pPr>
  </w:style>
  <w:style w:type="paragraph" w:customStyle="1" w:styleId="Nvel22">
    <w:name w:val="Nível 22"/>
    <w:basedOn w:val="Sub-Titulo1"/>
    <w:link w:val="Nvel22Char"/>
    <w:autoRedefine/>
    <w:rsid w:val="00050136"/>
    <w:pPr>
      <w:spacing w:line="360" w:lineRule="auto"/>
    </w:pPr>
    <w:rPr>
      <w:bCs/>
      <w:sz w:val="20"/>
      <w:szCs w:val="20"/>
    </w:rPr>
  </w:style>
  <w:style w:type="paragraph" w:styleId="Subttulo">
    <w:name w:val="Subtitle"/>
    <w:basedOn w:val="Normal"/>
    <w:next w:val="Normal"/>
    <w:link w:val="SubttuloCarter"/>
    <w:uiPriority w:val="11"/>
    <w:qFormat/>
    <w:rsid w:val="00DC11BE"/>
    <w:pPr>
      <w:numPr>
        <w:ilvl w:val="1"/>
      </w:numPr>
    </w:pPr>
    <w:rPr>
      <w:rFonts w:eastAsiaTheme="minorEastAsia"/>
      <w:color w:val="5A5A5A" w:themeColor="text1" w:themeTint="A5"/>
      <w:spacing w:val="15"/>
    </w:rPr>
  </w:style>
  <w:style w:type="character" w:customStyle="1" w:styleId="SubttuloCarter">
    <w:name w:val="Subtítulo Caráter"/>
    <w:basedOn w:val="Tipodeletrapredefinidodopargrafo"/>
    <w:link w:val="Subttulo"/>
    <w:uiPriority w:val="11"/>
    <w:rsid w:val="00DC11BE"/>
    <w:rPr>
      <w:rFonts w:asciiTheme="minorHAnsi" w:eastAsiaTheme="minorEastAsia" w:hAnsiTheme="minorHAnsi"/>
      <w:color w:val="5A5A5A" w:themeColor="text1" w:themeTint="A5"/>
      <w:spacing w:val="15"/>
      <w:sz w:val="22"/>
    </w:rPr>
  </w:style>
  <w:style w:type="character" w:customStyle="1" w:styleId="PargrafodaListaCarter">
    <w:name w:val="Parágrafo da Lista Caráter"/>
    <w:basedOn w:val="Tipodeletrapredefinidodopargrafo"/>
    <w:link w:val="PargrafodaLista"/>
    <w:uiPriority w:val="34"/>
    <w:rsid w:val="00DC11BE"/>
    <w:rPr>
      <w:rFonts w:asciiTheme="minorHAnsi" w:hAnsiTheme="minorHAnsi"/>
      <w:sz w:val="22"/>
    </w:rPr>
  </w:style>
  <w:style w:type="character" w:customStyle="1" w:styleId="Nvel22Char">
    <w:name w:val="Nível 22 Char"/>
    <w:basedOn w:val="PargrafodaListaCarter"/>
    <w:link w:val="Nvel22"/>
    <w:rsid w:val="00050136"/>
    <w:rPr>
      <w:rFonts w:ascii="Garamond" w:eastAsia="Garamond" w:hAnsi="Garamond" w:cs="Garamond"/>
      <w:bCs/>
      <w:sz w:val="20"/>
      <w:szCs w:val="20"/>
      <w:lang w:eastAsia="pt-PT"/>
    </w:rPr>
  </w:style>
  <w:style w:type="paragraph" w:customStyle="1" w:styleId="CTITULO">
    <w:name w:val="CTITULO"/>
    <w:basedOn w:val="Normal"/>
    <w:link w:val="CTITULOChar"/>
    <w:rsid w:val="00DC11BE"/>
    <w:rPr>
      <w:rFonts w:ascii="Times New Roman" w:hAnsi="Times New Roman" w:cs="Times New Roman"/>
      <w:b/>
      <w:sz w:val="24"/>
      <w:szCs w:val="24"/>
    </w:rPr>
  </w:style>
  <w:style w:type="character" w:customStyle="1" w:styleId="CTITULOChar">
    <w:name w:val="CTITULO Char"/>
    <w:basedOn w:val="Tipodeletrapredefinidodopargrafo"/>
    <w:link w:val="CTITULO"/>
    <w:rsid w:val="00DC11BE"/>
    <w:rPr>
      <w:rFonts w:ascii="Times New Roman" w:hAnsi="Times New Roman" w:cs="Times New Roman"/>
      <w:b/>
      <w:szCs w:val="24"/>
    </w:rPr>
  </w:style>
  <w:style w:type="paragraph" w:styleId="Legenda">
    <w:name w:val="caption"/>
    <w:basedOn w:val="Normal"/>
    <w:next w:val="Normal"/>
    <w:uiPriority w:val="35"/>
    <w:unhideWhenUsed/>
    <w:qFormat/>
    <w:rsid w:val="00DC11BE"/>
    <w:pPr>
      <w:spacing w:after="200" w:line="240" w:lineRule="auto"/>
    </w:pPr>
    <w:rPr>
      <w:i/>
      <w:iCs/>
      <w:color w:val="44546A" w:themeColor="text2"/>
      <w:sz w:val="18"/>
      <w:szCs w:val="18"/>
    </w:rPr>
  </w:style>
  <w:style w:type="table" w:styleId="TabelacomGrelha">
    <w:name w:val="Table Grid"/>
    <w:basedOn w:val="Tabelanormal"/>
    <w:uiPriority w:val="39"/>
    <w:rsid w:val="00DC11BE"/>
    <w:pPr>
      <w:spacing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vel2">
    <w:name w:val="Nível 2"/>
    <w:basedOn w:val="Nivel1"/>
    <w:next w:val="Nvel22"/>
    <w:autoRedefine/>
    <w:qFormat/>
    <w:rsid w:val="00DD63A6"/>
    <w:pPr>
      <w:numPr>
        <w:ilvl w:val="1"/>
      </w:numPr>
    </w:pPr>
  </w:style>
  <w:style w:type="paragraph" w:styleId="Textodenotaderodap">
    <w:name w:val="footnote text"/>
    <w:basedOn w:val="Normal"/>
    <w:link w:val="TextodenotaderodapCarter"/>
    <w:semiHidden/>
    <w:rsid w:val="00DC11BE"/>
    <w:pPr>
      <w:spacing w:line="240" w:lineRule="auto"/>
    </w:pPr>
    <w:rPr>
      <w:rFonts w:ascii="Times New Roman" w:eastAsia="Times New Roman" w:hAnsi="Times New Roman" w:cs="Times New Roman"/>
      <w:sz w:val="20"/>
      <w:szCs w:val="20"/>
      <w:lang w:val="en-US" w:eastAsia="pt-PT"/>
    </w:rPr>
  </w:style>
  <w:style w:type="character" w:customStyle="1" w:styleId="TextodenotaderodapCarter">
    <w:name w:val="Texto de nota de rodapé Caráter"/>
    <w:basedOn w:val="Tipodeletrapredefinidodopargrafo"/>
    <w:link w:val="Textodenotaderodap"/>
    <w:semiHidden/>
    <w:rsid w:val="00DC11BE"/>
    <w:rPr>
      <w:rFonts w:ascii="Times New Roman" w:eastAsia="Times New Roman" w:hAnsi="Times New Roman" w:cs="Times New Roman"/>
      <w:sz w:val="20"/>
      <w:szCs w:val="20"/>
      <w:lang w:val="en-US" w:eastAsia="pt-PT"/>
    </w:rPr>
  </w:style>
  <w:style w:type="character" w:styleId="Refdenotaderodap">
    <w:name w:val="footnote reference"/>
    <w:semiHidden/>
    <w:rsid w:val="00DC11BE"/>
    <w:rPr>
      <w:vertAlign w:val="superscript"/>
    </w:rPr>
  </w:style>
  <w:style w:type="paragraph" w:customStyle="1" w:styleId="EndNoteBibliography">
    <w:name w:val="EndNote Bibliography"/>
    <w:basedOn w:val="Normal"/>
    <w:link w:val="EndNoteBibliographyChar"/>
    <w:rsid w:val="00DC11BE"/>
    <w:pPr>
      <w:spacing w:line="240" w:lineRule="auto"/>
    </w:pPr>
    <w:rPr>
      <w:rFonts w:ascii="Garamond" w:hAnsi="Garamond" w:cs="Calibri"/>
      <w:noProof/>
      <w:sz w:val="24"/>
      <w:szCs w:val="24"/>
      <w:lang w:val="en-US"/>
    </w:rPr>
  </w:style>
  <w:style w:type="character" w:customStyle="1" w:styleId="EndNoteBibliographyChar">
    <w:name w:val="EndNote Bibliography Char"/>
    <w:basedOn w:val="CTITULOChar"/>
    <w:link w:val="EndNoteBibliography"/>
    <w:rsid w:val="00DC11BE"/>
    <w:rPr>
      <w:rFonts w:ascii="Garamond" w:hAnsi="Garamond" w:cs="Calibri"/>
      <w:b w:val="0"/>
      <w:noProof/>
      <w:szCs w:val="24"/>
      <w:lang w:val="en-US"/>
    </w:rPr>
  </w:style>
  <w:style w:type="paragraph" w:customStyle="1" w:styleId="EndNoteBibliographyTitle">
    <w:name w:val="EndNote Bibliography Title"/>
    <w:basedOn w:val="Normal"/>
    <w:link w:val="EndNoteBibliographyTitleChar"/>
    <w:rsid w:val="00DC11BE"/>
    <w:pPr>
      <w:jc w:val="center"/>
    </w:pPr>
    <w:rPr>
      <w:rFonts w:ascii="Garamond" w:hAnsi="Garamond" w:cs="Calibri"/>
      <w:noProof/>
      <w:sz w:val="24"/>
      <w:lang w:val="en-US"/>
    </w:rPr>
  </w:style>
  <w:style w:type="character" w:customStyle="1" w:styleId="CorpoTextoChar">
    <w:name w:val="Corpo Texto Char"/>
    <w:basedOn w:val="Tipodeletrapredefinidodopargrafo"/>
    <w:link w:val="CorpoTexto"/>
    <w:rsid w:val="00D77886"/>
    <w:rPr>
      <w:rFonts w:ascii="Garamond" w:hAnsi="Garamond"/>
    </w:rPr>
  </w:style>
  <w:style w:type="character" w:customStyle="1" w:styleId="EndNoteBibliographyTitleChar">
    <w:name w:val="EndNote Bibliography Title Char"/>
    <w:basedOn w:val="CorpoTextoChar"/>
    <w:link w:val="EndNoteBibliographyTitle"/>
    <w:rsid w:val="00DC11BE"/>
    <w:rPr>
      <w:rFonts w:ascii="Garamond" w:hAnsi="Garamond" w:cs="Calibri"/>
      <w:noProof/>
      <w:lang w:val="en-US"/>
    </w:rPr>
  </w:style>
  <w:style w:type="paragraph" w:styleId="ndicedeilustraes">
    <w:name w:val="table of figures"/>
    <w:basedOn w:val="Normal"/>
    <w:next w:val="Normal"/>
    <w:uiPriority w:val="99"/>
    <w:unhideWhenUsed/>
    <w:rsid w:val="00DC11BE"/>
  </w:style>
  <w:style w:type="paragraph" w:customStyle="1" w:styleId="Default">
    <w:name w:val="Default"/>
    <w:rsid w:val="00DC11BE"/>
    <w:pPr>
      <w:autoSpaceDE w:val="0"/>
      <w:autoSpaceDN w:val="0"/>
      <w:adjustRightInd w:val="0"/>
      <w:spacing w:line="240" w:lineRule="auto"/>
      <w:jc w:val="left"/>
    </w:pPr>
    <w:rPr>
      <w:rFonts w:ascii="Arial" w:hAnsi="Arial" w:cs="Arial"/>
      <w:color w:val="000000"/>
      <w:szCs w:val="24"/>
    </w:rPr>
  </w:style>
  <w:style w:type="paragraph" w:styleId="Textodebalo">
    <w:name w:val="Balloon Text"/>
    <w:basedOn w:val="Normal"/>
    <w:link w:val="TextodebaloCarter"/>
    <w:uiPriority w:val="99"/>
    <w:semiHidden/>
    <w:unhideWhenUsed/>
    <w:rsid w:val="00415A67"/>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415A67"/>
    <w:rPr>
      <w:rFonts w:ascii="Segoe UI" w:hAnsi="Segoe UI" w:cs="Segoe UI"/>
      <w:sz w:val="18"/>
      <w:szCs w:val="18"/>
    </w:rPr>
  </w:style>
  <w:style w:type="paragraph" w:styleId="ndice4">
    <w:name w:val="toc 4"/>
    <w:basedOn w:val="Normal"/>
    <w:next w:val="Normal"/>
    <w:autoRedefine/>
    <w:uiPriority w:val="39"/>
    <w:semiHidden/>
    <w:unhideWhenUsed/>
    <w:rsid w:val="00B812F2"/>
    <w:pPr>
      <w:ind w:left="660"/>
      <w:jc w:val="left"/>
    </w:pPr>
    <w:rPr>
      <w:sz w:val="20"/>
      <w:szCs w:val="20"/>
    </w:rPr>
  </w:style>
  <w:style w:type="paragraph" w:styleId="ndice5">
    <w:name w:val="toc 5"/>
    <w:basedOn w:val="Normal"/>
    <w:next w:val="Normal"/>
    <w:autoRedefine/>
    <w:uiPriority w:val="39"/>
    <w:semiHidden/>
    <w:unhideWhenUsed/>
    <w:rsid w:val="00B812F2"/>
    <w:pPr>
      <w:ind w:left="880"/>
      <w:jc w:val="left"/>
    </w:pPr>
    <w:rPr>
      <w:sz w:val="20"/>
      <w:szCs w:val="20"/>
    </w:rPr>
  </w:style>
  <w:style w:type="paragraph" w:styleId="ndice6">
    <w:name w:val="toc 6"/>
    <w:basedOn w:val="Normal"/>
    <w:next w:val="Normal"/>
    <w:autoRedefine/>
    <w:uiPriority w:val="39"/>
    <w:semiHidden/>
    <w:unhideWhenUsed/>
    <w:rsid w:val="00B812F2"/>
    <w:pPr>
      <w:ind w:left="1100"/>
      <w:jc w:val="left"/>
    </w:pPr>
    <w:rPr>
      <w:sz w:val="20"/>
      <w:szCs w:val="20"/>
    </w:rPr>
  </w:style>
  <w:style w:type="paragraph" w:styleId="ndice7">
    <w:name w:val="toc 7"/>
    <w:basedOn w:val="Normal"/>
    <w:next w:val="Normal"/>
    <w:autoRedefine/>
    <w:uiPriority w:val="39"/>
    <w:semiHidden/>
    <w:unhideWhenUsed/>
    <w:rsid w:val="00B812F2"/>
    <w:pPr>
      <w:ind w:left="1320"/>
      <w:jc w:val="left"/>
    </w:pPr>
    <w:rPr>
      <w:sz w:val="20"/>
      <w:szCs w:val="20"/>
    </w:rPr>
  </w:style>
  <w:style w:type="paragraph" w:styleId="ndice8">
    <w:name w:val="toc 8"/>
    <w:basedOn w:val="Normal"/>
    <w:next w:val="Normal"/>
    <w:autoRedefine/>
    <w:uiPriority w:val="39"/>
    <w:semiHidden/>
    <w:unhideWhenUsed/>
    <w:rsid w:val="00B812F2"/>
    <w:pPr>
      <w:ind w:left="1540"/>
      <w:jc w:val="left"/>
    </w:pPr>
    <w:rPr>
      <w:sz w:val="20"/>
      <w:szCs w:val="20"/>
    </w:rPr>
  </w:style>
  <w:style w:type="paragraph" w:styleId="ndice9">
    <w:name w:val="toc 9"/>
    <w:basedOn w:val="Normal"/>
    <w:next w:val="Normal"/>
    <w:autoRedefine/>
    <w:uiPriority w:val="39"/>
    <w:semiHidden/>
    <w:unhideWhenUsed/>
    <w:rsid w:val="00B812F2"/>
    <w:pPr>
      <w:ind w:left="1760"/>
      <w:jc w:val="left"/>
    </w:pPr>
    <w:rPr>
      <w:sz w:val="20"/>
      <w:szCs w:val="20"/>
    </w:rPr>
  </w:style>
  <w:style w:type="character" w:customStyle="1" w:styleId="Nvel3Carter">
    <w:name w:val="Nível 3 Caráter"/>
    <w:basedOn w:val="Ttulo1Carter"/>
    <w:link w:val="Nvel3"/>
    <w:rsid w:val="00FC2E07"/>
    <w:rPr>
      <w:rFonts w:ascii="Garamond" w:eastAsiaTheme="majorEastAsia" w:hAnsi="Garamond" w:cstheme="majorBidi"/>
      <w:b/>
      <w:color w:val="000000" w:themeColor="text1"/>
      <w:sz w:val="28"/>
      <w:szCs w:val="32"/>
    </w:rPr>
  </w:style>
  <w:style w:type="character" w:customStyle="1" w:styleId="Ttulo4Carter">
    <w:name w:val="Título 4 Caráter"/>
    <w:basedOn w:val="Tipodeletrapredefinidodopargrafo"/>
    <w:link w:val="Ttulo4"/>
    <w:uiPriority w:val="9"/>
    <w:semiHidden/>
    <w:rsid w:val="00706314"/>
    <w:rPr>
      <w:rFonts w:asciiTheme="majorHAnsi" w:eastAsiaTheme="majorEastAsia" w:hAnsiTheme="majorHAnsi" w:cstheme="majorBidi"/>
      <w:i/>
      <w:iCs/>
      <w:color w:val="2E74B5" w:themeColor="accent1" w:themeShade="BF"/>
      <w:sz w:val="22"/>
    </w:rPr>
  </w:style>
  <w:style w:type="character" w:styleId="RefernciaDiscreta">
    <w:name w:val="Subtle Reference"/>
    <w:basedOn w:val="Tipodeletrapredefinidodopargrafo"/>
    <w:uiPriority w:val="31"/>
    <w:qFormat/>
    <w:rsid w:val="005905A3"/>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Liv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lha_de_C_lculo_do_Microsoft_Excel.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Folha_de_C_lculo_do_Microsoft_Excel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Folha_de_C_lculo_do_Microsoft_Excel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Folha_de_C_lculo_do_Microsoft_Excel3.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package" Target="../embeddings/Folha_de_C_lculo_do_Microsoft_Excel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Garamond" panose="02020404030301010803" pitchFamily="18" charset="0"/>
                <a:ea typeface="+mn-ea"/>
                <a:cs typeface="+mn-cs"/>
              </a:defRPr>
            </a:pPr>
            <a:r>
              <a:rPr lang="en-US" b="1"/>
              <a:t>FUNÇÕES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Garamond" panose="02020404030301010803" pitchFamily="18" charset="0"/>
              <a:ea typeface="+mn-ea"/>
              <a:cs typeface="+mn-cs"/>
            </a:defRPr>
          </a:pPr>
          <a:endParaRPr lang="pt-PT"/>
        </a:p>
      </c:txPr>
    </c:title>
    <c:autoTitleDeleted val="0"/>
    <c:plotArea>
      <c:layout/>
      <c:pieChart>
        <c:varyColors val="1"/>
        <c:ser>
          <c:idx val="0"/>
          <c:order val="0"/>
          <c:spPr>
            <a:solidFill>
              <a:schemeClr val="bg2">
                <a:lumMod val="50000"/>
              </a:schemeClr>
            </a:solidFill>
          </c:spPr>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0220-DB46-A777-C70E6F5772CA}"/>
              </c:ext>
            </c:extLst>
          </c:dPt>
          <c:dPt>
            <c:idx val="1"/>
            <c:bubble3D val="0"/>
            <c:spPr>
              <a:solidFill>
                <a:schemeClr val="bg2">
                  <a:lumMod val="50000"/>
                </a:schemeClr>
              </a:solidFill>
              <a:ln w="19050">
                <a:solidFill>
                  <a:schemeClr val="lt1"/>
                </a:solidFill>
              </a:ln>
              <a:effectLst/>
            </c:spPr>
            <c:extLst>
              <c:ext xmlns:c16="http://schemas.microsoft.com/office/drawing/2014/chart" uri="{C3380CC4-5D6E-409C-BE32-E72D297353CC}">
                <c16:uniqueId val="{00000003-0220-DB46-A777-C70E6F5772CA}"/>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Folha1!$C$7:$C$8</c:f>
              <c:strCache>
                <c:ptCount val="2"/>
                <c:pt idx="0">
                  <c:v>Não exerce/Não Exerceu funções de contacto direto com o cliente</c:v>
                </c:pt>
                <c:pt idx="1">
                  <c:v>Exerce/Exerceu funções de contacto direto com o cliente</c:v>
                </c:pt>
              </c:strCache>
            </c:strRef>
          </c:cat>
          <c:val>
            <c:numRef>
              <c:f>Folha1!$D$7:$D$8</c:f>
              <c:numCache>
                <c:formatCode>0%</c:formatCode>
                <c:ptCount val="2"/>
                <c:pt idx="0">
                  <c:v>0.23</c:v>
                </c:pt>
                <c:pt idx="1">
                  <c:v>0.77</c:v>
                </c:pt>
              </c:numCache>
            </c:numRef>
          </c:val>
          <c:extLst>
            <c:ext xmlns:c16="http://schemas.microsoft.com/office/drawing/2014/chart" uri="{C3380CC4-5D6E-409C-BE32-E72D297353CC}">
              <c16:uniqueId val="{00000004-0220-DB46-A777-C70E6F5772CA}"/>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52614619981013"/>
          <c:y val="0.82855353710707402"/>
          <c:w val="0.69949870627873656"/>
          <c:h val="0.17144646289292578"/>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showDLblsOverMax val="0"/>
  </c:chart>
  <c:spPr>
    <a:solidFill>
      <a:schemeClr val="bg1"/>
    </a:solidFill>
    <a:ln w="9525" cap="flat" cmpd="sng" algn="ctr">
      <a:solidFill>
        <a:schemeClr val="tx1"/>
      </a:solidFill>
      <a:round/>
    </a:ln>
    <a:effectLst/>
  </c:spPr>
  <c:txPr>
    <a:bodyPr/>
    <a:lstStyle/>
    <a:p>
      <a:pPr>
        <a:defRPr b="1">
          <a:latin typeface="Garamond" panose="02020404030301010803" pitchFamily="18" charset="0"/>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Garamond" panose="02020404030301010803" pitchFamily="18" charset="0"/>
                <a:ea typeface="+mn-ea"/>
                <a:cs typeface="+mn-cs"/>
              </a:defRPr>
            </a:pPr>
            <a:r>
              <a:rPr lang="en-US" b="1"/>
              <a:t>SEXO</a:t>
            </a:r>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Garamond" panose="02020404030301010803" pitchFamily="18" charset="0"/>
              <a:ea typeface="+mn-ea"/>
              <a:cs typeface="+mn-cs"/>
            </a:defRPr>
          </a:pPr>
          <a:endParaRPr lang="pt-PT"/>
        </a:p>
      </c:txPr>
    </c:title>
    <c:autoTitleDeleted val="0"/>
    <c:plotArea>
      <c:layout/>
      <c:barChart>
        <c:barDir val="col"/>
        <c:grouping val="clustered"/>
        <c:varyColors val="0"/>
        <c:ser>
          <c:idx val="0"/>
          <c:order val="0"/>
          <c:tx>
            <c:strRef>
              <c:f>Folha1!$B$82</c:f>
              <c:strCache>
                <c:ptCount val="1"/>
                <c:pt idx="0">
                  <c:v>%</c:v>
                </c:pt>
              </c:strCache>
            </c:strRef>
          </c:tx>
          <c:spPr>
            <a:solidFill>
              <a:schemeClr val="bg1">
                <a:lumMod val="50000"/>
              </a:schemeClr>
            </a:solidFill>
            <a:ln w="19050">
              <a:solidFill>
                <a:schemeClr val="tx1"/>
              </a:solidFill>
            </a:ln>
            <a:effectLst/>
          </c:spPr>
          <c:invertIfNegative val="0"/>
          <c:dPt>
            <c:idx val="0"/>
            <c:invertIfNegative val="0"/>
            <c:bubble3D val="0"/>
            <c:spPr>
              <a:solidFill>
                <a:schemeClr val="bg1">
                  <a:lumMod val="50000"/>
                </a:schemeClr>
              </a:solidFill>
              <a:ln w="19050">
                <a:solidFill>
                  <a:schemeClr val="tx1"/>
                </a:solidFill>
              </a:ln>
              <a:effectLst/>
            </c:spPr>
            <c:extLst>
              <c:ext xmlns:c16="http://schemas.microsoft.com/office/drawing/2014/chart" uri="{C3380CC4-5D6E-409C-BE32-E72D297353CC}">
                <c16:uniqueId val="{00000001-F3DC-2946-8659-7F1FA8BC3A54}"/>
              </c:ext>
            </c:extLst>
          </c:dPt>
          <c:dPt>
            <c:idx val="1"/>
            <c:invertIfNegative val="0"/>
            <c:bubble3D val="0"/>
            <c:spPr>
              <a:solidFill>
                <a:schemeClr val="bg1">
                  <a:lumMod val="50000"/>
                </a:schemeClr>
              </a:solidFill>
              <a:ln w="19050">
                <a:solidFill>
                  <a:schemeClr val="tx1"/>
                </a:solidFill>
              </a:ln>
              <a:effectLst/>
            </c:spPr>
            <c:extLst>
              <c:ext xmlns:c16="http://schemas.microsoft.com/office/drawing/2014/chart" uri="{C3380CC4-5D6E-409C-BE32-E72D297353CC}">
                <c16:uniqueId val="{00000003-F3DC-2946-8659-7F1FA8BC3A54}"/>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Folha1!$A$83:$A$84</c:f>
              <c:strCache>
                <c:ptCount val="2"/>
                <c:pt idx="0">
                  <c:v>Feminino</c:v>
                </c:pt>
                <c:pt idx="1">
                  <c:v>Masculino</c:v>
                </c:pt>
              </c:strCache>
            </c:strRef>
          </c:cat>
          <c:val>
            <c:numRef>
              <c:f>Folha1!$B$83:$B$84</c:f>
              <c:numCache>
                <c:formatCode>0.0%</c:formatCode>
                <c:ptCount val="2"/>
                <c:pt idx="0">
                  <c:v>0.64700000000000002</c:v>
                </c:pt>
                <c:pt idx="1">
                  <c:v>0.35299999999999998</c:v>
                </c:pt>
              </c:numCache>
            </c:numRef>
          </c:val>
          <c:extLst>
            <c:ext xmlns:c16="http://schemas.microsoft.com/office/drawing/2014/chart" uri="{C3380CC4-5D6E-409C-BE32-E72D297353CC}">
              <c16:uniqueId val="{00000004-F3DC-2946-8659-7F1FA8BC3A54}"/>
            </c:ext>
          </c:extLst>
        </c:ser>
        <c:dLbls>
          <c:showLegendKey val="0"/>
          <c:showVal val="0"/>
          <c:showCatName val="0"/>
          <c:showSerName val="0"/>
          <c:showPercent val="0"/>
          <c:showBubbleSize val="0"/>
        </c:dLbls>
        <c:gapWidth val="100"/>
        <c:axId val="-1696415936"/>
        <c:axId val="-1696413216"/>
      </c:barChart>
      <c:catAx>
        <c:axId val="-16964159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pt-PT"/>
          </a:p>
        </c:txPr>
        <c:crossAx val="-1696413216"/>
        <c:crosses val="autoZero"/>
        <c:auto val="1"/>
        <c:lblAlgn val="ctr"/>
        <c:lblOffset val="100"/>
        <c:noMultiLvlLbl val="0"/>
      </c:catAx>
      <c:valAx>
        <c:axId val="-16964132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Garamond" panose="02020404030301010803" pitchFamily="18" charset="0"/>
                <a:ea typeface="+mn-ea"/>
                <a:cs typeface="+mn-cs"/>
              </a:defRPr>
            </a:pPr>
            <a:endParaRPr lang="pt-PT"/>
          </a:p>
        </c:txPr>
        <c:crossAx val="-1696415936"/>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tx1"/>
      </a:solidFill>
      <a:round/>
    </a:ln>
    <a:effectLst/>
  </c:spPr>
  <c:txPr>
    <a:bodyPr/>
    <a:lstStyle/>
    <a:p>
      <a:pPr>
        <a:defRPr sz="1100">
          <a:solidFill>
            <a:sysClr val="windowText" lastClr="000000"/>
          </a:solidFill>
          <a:latin typeface="Garamond" panose="02020404030301010803" pitchFamily="18" charset="0"/>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320" b="1" i="0" u="none" strike="noStrike" kern="1200" spc="0" baseline="0">
                <a:solidFill>
                  <a:schemeClr val="tx1">
                    <a:lumMod val="65000"/>
                    <a:lumOff val="35000"/>
                  </a:schemeClr>
                </a:solidFill>
                <a:latin typeface="Garamond" panose="02020404030301010803" pitchFamily="18" charset="0"/>
                <a:ea typeface="+mn-ea"/>
                <a:cs typeface="+mn-cs"/>
              </a:defRPr>
            </a:pPr>
            <a:r>
              <a:rPr lang="en-US" b="1"/>
              <a:t>SITUAÇÃO PROFISSIONAL</a:t>
            </a:r>
          </a:p>
        </c:rich>
      </c:tx>
      <c:layout>
        <c:manualLayout>
          <c:xMode val="edge"/>
          <c:yMode val="edge"/>
          <c:x val="0.38997791117694447"/>
          <c:y val="1.8518518518518517E-2"/>
        </c:manualLayout>
      </c:layout>
      <c:overlay val="0"/>
      <c:spPr>
        <a:noFill/>
        <a:ln>
          <a:noFill/>
        </a:ln>
        <a:effectLst/>
      </c:spPr>
      <c:txPr>
        <a:bodyPr rot="0" spcFirstLastPara="1" vertOverflow="ellipsis" vert="horz" wrap="square" anchor="ctr" anchorCtr="1"/>
        <a:lstStyle/>
        <a:p>
          <a:pPr algn="ctr">
            <a:defRPr sz="1320" b="1" i="0" u="none" strike="noStrike" kern="1200" spc="0" baseline="0">
              <a:solidFill>
                <a:schemeClr val="tx1">
                  <a:lumMod val="65000"/>
                  <a:lumOff val="35000"/>
                </a:schemeClr>
              </a:solidFill>
              <a:latin typeface="Garamond" panose="02020404030301010803" pitchFamily="18" charset="0"/>
              <a:ea typeface="+mn-ea"/>
              <a:cs typeface="+mn-cs"/>
            </a:defRPr>
          </a:pPr>
          <a:endParaRPr lang="pt-PT"/>
        </a:p>
      </c:txPr>
    </c:title>
    <c:autoTitleDeleted val="0"/>
    <c:plotArea>
      <c:layout>
        <c:manualLayout>
          <c:layoutTarget val="inner"/>
          <c:xMode val="edge"/>
          <c:yMode val="edge"/>
          <c:x val="0.49678454504141045"/>
          <c:y val="0.17366988369215541"/>
          <c:w val="0.49145840868831325"/>
          <c:h val="0.76198960653303638"/>
        </c:manualLayout>
      </c:layout>
      <c:barChart>
        <c:barDir val="bar"/>
        <c:grouping val="clustered"/>
        <c:varyColors val="0"/>
        <c:ser>
          <c:idx val="0"/>
          <c:order val="0"/>
          <c:tx>
            <c:strRef>
              <c:f>Folha1!$B$26</c:f>
              <c:strCache>
                <c:ptCount val="1"/>
                <c:pt idx="0">
                  <c:v>% </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Folha1!$A$27:$A$32</c:f>
              <c:strCache>
                <c:ptCount val="6"/>
                <c:pt idx="0">
                  <c:v>Estudante</c:v>
                </c:pt>
                <c:pt idx="1">
                  <c:v>Trabalhador independente/empresário</c:v>
                </c:pt>
                <c:pt idx="2">
                  <c:v>Trabalhador por conta de outrem</c:v>
                </c:pt>
                <c:pt idx="3">
                  <c:v>Reformado/Pensionista</c:v>
                </c:pt>
                <c:pt idx="4">
                  <c:v>Desempregado</c:v>
                </c:pt>
                <c:pt idx="5">
                  <c:v>Outra</c:v>
                </c:pt>
              </c:strCache>
            </c:strRef>
          </c:cat>
          <c:val>
            <c:numRef>
              <c:f>Folha1!$B$27:$B$32</c:f>
              <c:numCache>
                <c:formatCode>0.0%</c:formatCode>
                <c:ptCount val="6"/>
                <c:pt idx="0">
                  <c:v>2.4E-2</c:v>
                </c:pt>
                <c:pt idx="1">
                  <c:v>0.159</c:v>
                </c:pt>
                <c:pt idx="2">
                  <c:v>0.76400000000000001</c:v>
                </c:pt>
                <c:pt idx="3">
                  <c:v>1.4E-2</c:v>
                </c:pt>
                <c:pt idx="4">
                  <c:v>2.4E-2</c:v>
                </c:pt>
                <c:pt idx="5">
                  <c:v>1.4E-2</c:v>
                </c:pt>
              </c:numCache>
            </c:numRef>
          </c:val>
          <c:extLst>
            <c:ext xmlns:c16="http://schemas.microsoft.com/office/drawing/2014/chart" uri="{C3380CC4-5D6E-409C-BE32-E72D297353CC}">
              <c16:uniqueId val="{00000000-24E1-7642-8A79-4B6984AA5B48}"/>
            </c:ext>
          </c:extLst>
        </c:ser>
        <c:dLbls>
          <c:showLegendKey val="0"/>
          <c:showVal val="0"/>
          <c:showCatName val="0"/>
          <c:showSerName val="0"/>
          <c:showPercent val="0"/>
          <c:showBubbleSize val="0"/>
        </c:dLbls>
        <c:gapWidth val="182"/>
        <c:axId val="-1696412128"/>
        <c:axId val="-1696409408"/>
      </c:barChart>
      <c:catAx>
        <c:axId val="-1696412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1696409408"/>
        <c:crosses val="autoZero"/>
        <c:auto val="1"/>
        <c:lblAlgn val="ctr"/>
        <c:lblOffset val="100"/>
        <c:noMultiLvlLbl val="0"/>
      </c:catAx>
      <c:valAx>
        <c:axId val="-1696409408"/>
        <c:scaling>
          <c:orientation val="minMax"/>
          <c:min val="0"/>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696412128"/>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tx1"/>
      </a:solidFill>
      <a:round/>
    </a:ln>
    <a:effectLst/>
  </c:spPr>
  <c:txPr>
    <a:bodyPr/>
    <a:lstStyle/>
    <a:p>
      <a:pPr>
        <a:defRPr sz="1100">
          <a:latin typeface="Garamond" panose="02020404030301010803" pitchFamily="18" charset="0"/>
        </a:defRPr>
      </a:pPr>
      <a:endParaRPr lang="pt-P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Garamond" panose="02020404030301010803" pitchFamily="18" charset="0"/>
                <a:ea typeface="+mn-ea"/>
                <a:cs typeface="+mn-cs"/>
              </a:defRPr>
            </a:pPr>
            <a:r>
              <a:rPr lang="en-US" b="1">
                <a:solidFill>
                  <a:schemeClr val="tx1"/>
                </a:solidFill>
              </a:rPr>
              <a:t>SETOR DE ATIVIDADE</a:t>
            </a:r>
          </a:p>
        </c:rich>
      </c:tx>
      <c:layout>
        <c:manualLayout>
          <c:xMode val="edge"/>
          <c:yMode val="edge"/>
          <c:x val="0.34718044619422572"/>
          <c:y val="2.777777777777777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Garamond" panose="02020404030301010803" pitchFamily="18" charset="0"/>
              <a:ea typeface="+mn-ea"/>
              <a:cs typeface="+mn-cs"/>
            </a:defRPr>
          </a:pPr>
          <a:endParaRPr lang="pt-PT"/>
        </a:p>
      </c:txPr>
    </c:title>
    <c:autoTitleDeleted val="0"/>
    <c:plotArea>
      <c:layout/>
      <c:barChart>
        <c:barDir val="bar"/>
        <c:grouping val="clustered"/>
        <c:varyColors val="0"/>
        <c:ser>
          <c:idx val="0"/>
          <c:order val="0"/>
          <c:tx>
            <c:strRef>
              <c:f>Folha1!$B$65</c:f>
              <c:strCache>
                <c:ptCount val="1"/>
                <c:pt idx="0">
                  <c:v>%</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Folha1!$A$66:$A$74</c:f>
              <c:strCache>
                <c:ptCount val="9"/>
                <c:pt idx="0">
                  <c:v>Comércio</c:v>
                </c:pt>
                <c:pt idx="1">
                  <c:v>Telecomunicações</c:v>
                </c:pt>
                <c:pt idx="2">
                  <c:v>Restauração</c:v>
                </c:pt>
                <c:pt idx="3">
                  <c:v>Alojamento</c:v>
                </c:pt>
                <c:pt idx="4">
                  <c:v>Educação</c:v>
                </c:pt>
                <c:pt idx="5">
                  <c:v>Saúde</c:v>
                </c:pt>
                <c:pt idx="6">
                  <c:v>Serviços financeiros e seguros</c:v>
                </c:pt>
                <c:pt idx="7">
                  <c:v>Água, Eletricidade, Gás, Serviços postais</c:v>
                </c:pt>
                <c:pt idx="8">
                  <c:v>Transportes</c:v>
                </c:pt>
              </c:strCache>
            </c:strRef>
          </c:cat>
          <c:val>
            <c:numRef>
              <c:f>Folha1!$B$66:$B$74</c:f>
              <c:numCache>
                <c:formatCode>0.0%</c:formatCode>
                <c:ptCount val="9"/>
                <c:pt idx="0">
                  <c:v>0.36499999999999999</c:v>
                </c:pt>
                <c:pt idx="1">
                  <c:v>5.8000000000000003E-2</c:v>
                </c:pt>
                <c:pt idx="2">
                  <c:v>5.8000000000000003E-2</c:v>
                </c:pt>
                <c:pt idx="3">
                  <c:v>0.01</c:v>
                </c:pt>
                <c:pt idx="4">
                  <c:v>9.0999999999999998E-2</c:v>
                </c:pt>
                <c:pt idx="5">
                  <c:v>0.14399999999999999</c:v>
                </c:pt>
                <c:pt idx="6">
                  <c:v>0.16800000000000001</c:v>
                </c:pt>
                <c:pt idx="7">
                  <c:v>0.01</c:v>
                </c:pt>
                <c:pt idx="8">
                  <c:v>9.6000000000000002E-2</c:v>
                </c:pt>
              </c:numCache>
            </c:numRef>
          </c:val>
          <c:extLst>
            <c:ext xmlns:c16="http://schemas.microsoft.com/office/drawing/2014/chart" uri="{C3380CC4-5D6E-409C-BE32-E72D297353CC}">
              <c16:uniqueId val="{00000000-C725-9D40-9896-34F15BDB2DB1}"/>
            </c:ext>
          </c:extLst>
        </c:ser>
        <c:dLbls>
          <c:showLegendKey val="0"/>
          <c:showVal val="0"/>
          <c:showCatName val="0"/>
          <c:showSerName val="0"/>
          <c:showPercent val="0"/>
          <c:showBubbleSize val="0"/>
        </c:dLbls>
        <c:gapWidth val="182"/>
        <c:axId val="-1696402336"/>
        <c:axId val="-1696413760"/>
      </c:barChart>
      <c:catAx>
        <c:axId val="-1696402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Garamond" panose="02020404030301010803" pitchFamily="18" charset="0"/>
                <a:ea typeface="+mn-ea"/>
                <a:cs typeface="+mn-cs"/>
              </a:defRPr>
            </a:pPr>
            <a:endParaRPr lang="pt-PT"/>
          </a:p>
        </c:txPr>
        <c:crossAx val="-1696413760"/>
        <c:crosses val="autoZero"/>
        <c:auto val="1"/>
        <c:lblAlgn val="ctr"/>
        <c:lblOffset val="100"/>
        <c:noMultiLvlLbl val="0"/>
      </c:catAx>
      <c:valAx>
        <c:axId val="-1696413760"/>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69640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a:latin typeface="Garamond" panose="02020404030301010803" pitchFamily="18" charset="0"/>
        </a:defRPr>
      </a:pPr>
      <a:endParaRPr lang="pt-P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093927982322364E-2"/>
          <c:y val="0.14681690140845072"/>
          <c:w val="0.90279740230099692"/>
          <c:h val="0.49677786127356488"/>
        </c:manualLayout>
      </c:layout>
      <c:barChart>
        <c:barDir val="col"/>
        <c:grouping val="clustered"/>
        <c:varyColors val="0"/>
        <c:ser>
          <c:idx val="0"/>
          <c:order val="0"/>
          <c:tx>
            <c:strRef>
              <c:f>Folha1!$B$113</c:f>
              <c:strCache>
                <c:ptCount val="1"/>
                <c:pt idx="0">
                  <c:v>Muito ligeiramente ou nada</c:v>
                </c:pt>
              </c:strCache>
            </c:strRef>
          </c:tx>
          <c:spPr>
            <a:solidFill>
              <a:schemeClr val="bg1">
                <a:lumMod val="85000"/>
              </a:schemeClr>
            </a:solidFill>
            <a:ln>
              <a:noFill/>
            </a:ln>
            <a:effectLst/>
          </c:spPr>
          <c:invertIfNegative val="0"/>
          <c:cat>
            <c:strRef>
              <c:f>Folha1!$A$114:$A$120</c:f>
              <c:strCache>
                <c:ptCount val="7"/>
                <c:pt idx="0">
                  <c:v>Atento</c:v>
                </c:pt>
                <c:pt idx="1">
                  <c:v>Excitado</c:v>
                </c:pt>
                <c:pt idx="2">
                  <c:v>Orgulhoso</c:v>
                </c:pt>
                <c:pt idx="3">
                  <c:v>Forte</c:v>
                </c:pt>
                <c:pt idx="4">
                  <c:v>Divertido</c:v>
                </c:pt>
                <c:pt idx="5">
                  <c:v>Simpático</c:v>
                </c:pt>
                <c:pt idx="6">
                  <c:v>Satisfeito</c:v>
                </c:pt>
              </c:strCache>
            </c:strRef>
          </c:cat>
          <c:val>
            <c:numRef>
              <c:f>Folha1!$B$114:$B$120</c:f>
              <c:numCache>
                <c:formatCode>0.0%</c:formatCode>
                <c:ptCount val="7"/>
                <c:pt idx="0">
                  <c:v>2.9000000000000001E-2</c:v>
                </c:pt>
                <c:pt idx="1">
                  <c:v>0.39400000000000002</c:v>
                </c:pt>
                <c:pt idx="2">
                  <c:v>0.36099999999999999</c:v>
                </c:pt>
                <c:pt idx="3">
                  <c:v>0.19700000000000001</c:v>
                </c:pt>
                <c:pt idx="4">
                  <c:v>0.59099999999999997</c:v>
                </c:pt>
                <c:pt idx="5">
                  <c:v>0.16300000000000001</c:v>
                </c:pt>
                <c:pt idx="6">
                  <c:v>0.46600000000000003</c:v>
                </c:pt>
              </c:numCache>
            </c:numRef>
          </c:val>
          <c:extLst>
            <c:ext xmlns:c16="http://schemas.microsoft.com/office/drawing/2014/chart" uri="{C3380CC4-5D6E-409C-BE32-E72D297353CC}">
              <c16:uniqueId val="{00000000-BC2C-FB4C-9446-6F99CA64531E}"/>
            </c:ext>
          </c:extLst>
        </c:ser>
        <c:ser>
          <c:idx val="1"/>
          <c:order val="1"/>
          <c:tx>
            <c:strRef>
              <c:f>Folha1!$C$113</c:f>
              <c:strCache>
                <c:ptCount val="1"/>
                <c:pt idx="0">
                  <c:v>Um pouco</c:v>
                </c:pt>
              </c:strCache>
            </c:strRef>
          </c:tx>
          <c:spPr>
            <a:solidFill>
              <a:schemeClr val="bg1">
                <a:lumMod val="65000"/>
              </a:schemeClr>
            </a:solidFill>
            <a:ln>
              <a:noFill/>
            </a:ln>
            <a:effectLst/>
          </c:spPr>
          <c:invertIfNegative val="0"/>
          <c:cat>
            <c:strRef>
              <c:f>Folha1!$A$114:$A$120</c:f>
              <c:strCache>
                <c:ptCount val="7"/>
                <c:pt idx="0">
                  <c:v>Atento</c:v>
                </c:pt>
                <c:pt idx="1">
                  <c:v>Excitado</c:v>
                </c:pt>
                <c:pt idx="2">
                  <c:v>Orgulhoso</c:v>
                </c:pt>
                <c:pt idx="3">
                  <c:v>Forte</c:v>
                </c:pt>
                <c:pt idx="4">
                  <c:v>Divertido</c:v>
                </c:pt>
                <c:pt idx="5">
                  <c:v>Simpático</c:v>
                </c:pt>
                <c:pt idx="6">
                  <c:v>Satisfeito</c:v>
                </c:pt>
              </c:strCache>
            </c:strRef>
          </c:cat>
          <c:val>
            <c:numRef>
              <c:f>Folha1!$C$114:$C$120</c:f>
              <c:numCache>
                <c:formatCode>0.0%</c:formatCode>
                <c:ptCount val="7"/>
                <c:pt idx="0">
                  <c:v>7.6999999999999999E-2</c:v>
                </c:pt>
                <c:pt idx="1">
                  <c:v>0.188</c:v>
                </c:pt>
                <c:pt idx="2">
                  <c:v>0.188</c:v>
                </c:pt>
                <c:pt idx="3">
                  <c:v>0.17299999999999999</c:v>
                </c:pt>
                <c:pt idx="4">
                  <c:v>0.14899999999999999</c:v>
                </c:pt>
                <c:pt idx="5">
                  <c:v>0.14899999999999999</c:v>
                </c:pt>
                <c:pt idx="6">
                  <c:v>0.20200000000000001</c:v>
                </c:pt>
              </c:numCache>
            </c:numRef>
          </c:val>
          <c:extLst>
            <c:ext xmlns:c16="http://schemas.microsoft.com/office/drawing/2014/chart" uri="{C3380CC4-5D6E-409C-BE32-E72D297353CC}">
              <c16:uniqueId val="{00000001-BC2C-FB4C-9446-6F99CA64531E}"/>
            </c:ext>
          </c:extLst>
        </c:ser>
        <c:ser>
          <c:idx val="2"/>
          <c:order val="2"/>
          <c:tx>
            <c:strRef>
              <c:f>Folha1!$D$113</c:f>
              <c:strCache>
                <c:ptCount val="1"/>
                <c:pt idx="0">
                  <c:v>Moderadamente</c:v>
                </c:pt>
              </c:strCache>
            </c:strRef>
          </c:tx>
          <c:spPr>
            <a:solidFill>
              <a:schemeClr val="bg1">
                <a:lumMod val="50000"/>
              </a:schemeClr>
            </a:solidFill>
            <a:ln>
              <a:noFill/>
            </a:ln>
            <a:effectLst/>
          </c:spPr>
          <c:invertIfNegative val="0"/>
          <c:cat>
            <c:strRef>
              <c:f>Folha1!$A$114:$A$120</c:f>
              <c:strCache>
                <c:ptCount val="7"/>
                <c:pt idx="0">
                  <c:v>Atento</c:v>
                </c:pt>
                <c:pt idx="1">
                  <c:v>Excitado</c:v>
                </c:pt>
                <c:pt idx="2">
                  <c:v>Orgulhoso</c:v>
                </c:pt>
                <c:pt idx="3">
                  <c:v>Forte</c:v>
                </c:pt>
                <c:pt idx="4">
                  <c:v>Divertido</c:v>
                </c:pt>
                <c:pt idx="5">
                  <c:v>Simpático</c:v>
                </c:pt>
                <c:pt idx="6">
                  <c:v>Satisfeito</c:v>
                </c:pt>
              </c:strCache>
            </c:strRef>
          </c:cat>
          <c:val>
            <c:numRef>
              <c:f>Folha1!$D$114:$D$120</c:f>
              <c:numCache>
                <c:formatCode>0.0%</c:formatCode>
                <c:ptCount val="7"/>
                <c:pt idx="0">
                  <c:v>0.183</c:v>
                </c:pt>
                <c:pt idx="1">
                  <c:v>0.221</c:v>
                </c:pt>
                <c:pt idx="2">
                  <c:v>0.255</c:v>
                </c:pt>
                <c:pt idx="3">
                  <c:v>0.308</c:v>
                </c:pt>
                <c:pt idx="4">
                  <c:v>0.16800000000000001</c:v>
                </c:pt>
                <c:pt idx="5">
                  <c:v>0.255</c:v>
                </c:pt>
                <c:pt idx="6">
                  <c:v>0.19700000000000001</c:v>
                </c:pt>
              </c:numCache>
            </c:numRef>
          </c:val>
          <c:extLst>
            <c:ext xmlns:c16="http://schemas.microsoft.com/office/drawing/2014/chart" uri="{C3380CC4-5D6E-409C-BE32-E72D297353CC}">
              <c16:uniqueId val="{00000002-BC2C-FB4C-9446-6F99CA64531E}"/>
            </c:ext>
          </c:extLst>
        </c:ser>
        <c:ser>
          <c:idx val="3"/>
          <c:order val="3"/>
          <c:tx>
            <c:strRef>
              <c:f>Folha1!$E$113</c:f>
              <c:strCache>
                <c:ptCount val="1"/>
                <c:pt idx="0">
                  <c:v>Bastante</c:v>
                </c:pt>
              </c:strCache>
            </c:strRef>
          </c:tx>
          <c:spPr>
            <a:solidFill>
              <a:schemeClr val="bg2">
                <a:lumMod val="50000"/>
              </a:schemeClr>
            </a:solidFill>
            <a:ln>
              <a:noFill/>
            </a:ln>
            <a:effectLst/>
          </c:spPr>
          <c:invertIfNegative val="0"/>
          <c:cat>
            <c:strRef>
              <c:f>Folha1!$A$114:$A$120</c:f>
              <c:strCache>
                <c:ptCount val="7"/>
                <c:pt idx="0">
                  <c:v>Atento</c:v>
                </c:pt>
                <c:pt idx="1">
                  <c:v>Excitado</c:v>
                </c:pt>
                <c:pt idx="2">
                  <c:v>Orgulhoso</c:v>
                </c:pt>
                <c:pt idx="3">
                  <c:v>Forte</c:v>
                </c:pt>
                <c:pt idx="4">
                  <c:v>Divertido</c:v>
                </c:pt>
                <c:pt idx="5">
                  <c:v>Simpático</c:v>
                </c:pt>
                <c:pt idx="6">
                  <c:v>Satisfeito</c:v>
                </c:pt>
              </c:strCache>
            </c:strRef>
          </c:cat>
          <c:val>
            <c:numRef>
              <c:f>Folha1!$E$114:$E$120</c:f>
              <c:numCache>
                <c:formatCode>0.0%</c:formatCode>
                <c:ptCount val="7"/>
                <c:pt idx="0">
                  <c:v>0.48599999999999999</c:v>
                </c:pt>
                <c:pt idx="1">
                  <c:v>0.16300000000000001</c:v>
                </c:pt>
                <c:pt idx="2">
                  <c:v>0.16300000000000001</c:v>
                </c:pt>
                <c:pt idx="3">
                  <c:v>0.26900000000000002</c:v>
                </c:pt>
                <c:pt idx="4">
                  <c:v>7.1999999999999995E-2</c:v>
                </c:pt>
                <c:pt idx="5">
                  <c:v>0.28799999999999998</c:v>
                </c:pt>
                <c:pt idx="6">
                  <c:v>0.111</c:v>
                </c:pt>
              </c:numCache>
            </c:numRef>
          </c:val>
          <c:extLst>
            <c:ext xmlns:c16="http://schemas.microsoft.com/office/drawing/2014/chart" uri="{C3380CC4-5D6E-409C-BE32-E72D297353CC}">
              <c16:uniqueId val="{00000003-BC2C-FB4C-9446-6F99CA64531E}"/>
            </c:ext>
          </c:extLst>
        </c:ser>
        <c:ser>
          <c:idx val="4"/>
          <c:order val="4"/>
          <c:tx>
            <c:strRef>
              <c:f>Folha1!$F$113</c:f>
              <c:strCache>
                <c:ptCount val="1"/>
                <c:pt idx="0">
                  <c:v>Extremamente</c:v>
                </c:pt>
              </c:strCache>
            </c:strRef>
          </c:tx>
          <c:spPr>
            <a:solidFill>
              <a:schemeClr val="tx2">
                <a:lumMod val="75000"/>
              </a:schemeClr>
            </a:solidFill>
            <a:ln>
              <a:noFill/>
            </a:ln>
            <a:effectLst/>
          </c:spPr>
          <c:invertIfNegative val="0"/>
          <c:cat>
            <c:strRef>
              <c:f>Folha1!$A$114:$A$120</c:f>
              <c:strCache>
                <c:ptCount val="7"/>
                <c:pt idx="0">
                  <c:v>Atento</c:v>
                </c:pt>
                <c:pt idx="1">
                  <c:v>Excitado</c:v>
                </c:pt>
                <c:pt idx="2">
                  <c:v>Orgulhoso</c:v>
                </c:pt>
                <c:pt idx="3">
                  <c:v>Forte</c:v>
                </c:pt>
                <c:pt idx="4">
                  <c:v>Divertido</c:v>
                </c:pt>
                <c:pt idx="5">
                  <c:v>Simpático</c:v>
                </c:pt>
                <c:pt idx="6">
                  <c:v>Satisfeito</c:v>
                </c:pt>
              </c:strCache>
            </c:strRef>
          </c:cat>
          <c:val>
            <c:numRef>
              <c:f>Folha1!$F$114:$F$120</c:f>
              <c:numCache>
                <c:formatCode>0.0%</c:formatCode>
                <c:ptCount val="7"/>
                <c:pt idx="0">
                  <c:v>0.22600000000000001</c:v>
                </c:pt>
                <c:pt idx="1">
                  <c:v>3.4000000000000002E-2</c:v>
                </c:pt>
                <c:pt idx="2">
                  <c:v>3.4000000000000002E-2</c:v>
                </c:pt>
                <c:pt idx="3">
                  <c:v>5.2999999999999999E-2</c:v>
                </c:pt>
                <c:pt idx="4">
                  <c:v>1.9E-2</c:v>
                </c:pt>
                <c:pt idx="5">
                  <c:v>0.14399999999999999</c:v>
                </c:pt>
                <c:pt idx="6">
                  <c:v>2.4E-2</c:v>
                </c:pt>
              </c:numCache>
            </c:numRef>
          </c:val>
          <c:extLst>
            <c:ext xmlns:c16="http://schemas.microsoft.com/office/drawing/2014/chart" uri="{C3380CC4-5D6E-409C-BE32-E72D297353CC}">
              <c16:uniqueId val="{00000004-BC2C-FB4C-9446-6F99CA64531E}"/>
            </c:ext>
          </c:extLst>
        </c:ser>
        <c:dLbls>
          <c:showLegendKey val="0"/>
          <c:showVal val="0"/>
          <c:showCatName val="0"/>
          <c:showSerName val="0"/>
          <c:showPercent val="0"/>
          <c:showBubbleSize val="0"/>
        </c:dLbls>
        <c:gapWidth val="150"/>
        <c:axId val="-1696401792"/>
        <c:axId val="-1696412672"/>
      </c:barChart>
      <c:catAx>
        <c:axId val="-169640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1696412672"/>
        <c:crosses val="autoZero"/>
        <c:auto val="1"/>
        <c:lblAlgn val="ctr"/>
        <c:lblOffset val="100"/>
        <c:noMultiLvlLbl val="0"/>
      </c:catAx>
      <c:valAx>
        <c:axId val="-1696412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1696401792"/>
        <c:crosses val="autoZero"/>
        <c:crossBetween val="between"/>
      </c:valAx>
      <c:spPr>
        <a:noFill/>
        <a:ln>
          <a:noFill/>
        </a:ln>
        <a:effectLst/>
      </c:spPr>
    </c:plotArea>
    <c:legend>
      <c:legendPos val="b"/>
      <c:layout>
        <c:manualLayout>
          <c:xMode val="edge"/>
          <c:yMode val="edge"/>
          <c:x val="5.2320185614849191E-2"/>
          <c:y val="0.74220091440182889"/>
          <c:w val="0.89999990609402802"/>
          <c:h val="0.2347640287052725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latin typeface="Garamond" panose="02020404030301010803" pitchFamily="18" charset="0"/>
        </a:defRPr>
      </a:pPr>
      <a:endParaRPr lang="pt-PT"/>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Folha1!$B$150</c:f>
              <c:strCache>
                <c:ptCount val="1"/>
                <c:pt idx="0">
                  <c:v>Muito ligeiramente ou nada</c:v>
                </c:pt>
              </c:strCache>
            </c:strRef>
          </c:tx>
          <c:spPr>
            <a:solidFill>
              <a:schemeClr val="bg2">
                <a:lumMod val="50000"/>
              </a:schemeClr>
            </a:solidFill>
            <a:ln>
              <a:noFill/>
            </a:ln>
            <a:effectLst/>
          </c:spPr>
          <c:invertIfNegative val="0"/>
          <c:cat>
            <c:strRef>
              <c:f>Folha1!$A$151:$A$163</c:f>
              <c:strCache>
                <c:ptCount val="13"/>
                <c:pt idx="0">
                  <c:v>Cansado</c:v>
                </c:pt>
                <c:pt idx="1">
                  <c:v>Desanimado</c:v>
                </c:pt>
                <c:pt idx="2">
                  <c:v>Perturbado</c:v>
                </c:pt>
                <c:pt idx="3">
                  <c:v>Zangado</c:v>
                </c:pt>
                <c:pt idx="4">
                  <c:v>Desrespeito</c:v>
                </c:pt>
                <c:pt idx="5">
                  <c:v>Repulsa</c:v>
                </c:pt>
                <c:pt idx="6">
                  <c:v>Zangado consigo mesmo</c:v>
                </c:pt>
                <c:pt idx="7">
                  <c:v>Amedrontado</c:v>
                </c:pt>
                <c:pt idx="8">
                  <c:v>Culpado</c:v>
                </c:pt>
                <c:pt idx="9">
                  <c:v>Trémulo</c:v>
                </c:pt>
                <c:pt idx="10">
                  <c:v>Rejeitado</c:v>
                </c:pt>
                <c:pt idx="11">
                  <c:v>Tímido</c:v>
                </c:pt>
                <c:pt idx="12">
                  <c:v>Surpreendido</c:v>
                </c:pt>
              </c:strCache>
            </c:strRef>
          </c:cat>
          <c:val>
            <c:numRef>
              <c:f>Folha1!$B$151:$B$163</c:f>
              <c:numCache>
                <c:formatCode>0.0%</c:formatCode>
                <c:ptCount val="13"/>
                <c:pt idx="0">
                  <c:v>0.216</c:v>
                </c:pt>
                <c:pt idx="1">
                  <c:v>0.21199999999999999</c:v>
                </c:pt>
                <c:pt idx="2">
                  <c:v>0.245</c:v>
                </c:pt>
                <c:pt idx="3">
                  <c:v>0.22600000000000001</c:v>
                </c:pt>
                <c:pt idx="4">
                  <c:v>0.32400000000000001</c:v>
                </c:pt>
                <c:pt idx="5">
                  <c:v>0.45369999999999999</c:v>
                </c:pt>
                <c:pt idx="6">
                  <c:v>0.49</c:v>
                </c:pt>
                <c:pt idx="7">
                  <c:v>0.56699999999999995</c:v>
                </c:pt>
                <c:pt idx="8">
                  <c:v>0.57699999999999996</c:v>
                </c:pt>
                <c:pt idx="9">
                  <c:v>0.54300000000000004</c:v>
                </c:pt>
                <c:pt idx="10">
                  <c:v>0.60599999999999998</c:v>
                </c:pt>
                <c:pt idx="11">
                  <c:v>0.55800000000000005</c:v>
                </c:pt>
                <c:pt idx="12">
                  <c:v>0.23599999999999999</c:v>
                </c:pt>
              </c:numCache>
            </c:numRef>
          </c:val>
          <c:extLst>
            <c:ext xmlns:c16="http://schemas.microsoft.com/office/drawing/2014/chart" uri="{C3380CC4-5D6E-409C-BE32-E72D297353CC}">
              <c16:uniqueId val="{00000000-A156-A943-942A-7BCA054B721A}"/>
            </c:ext>
          </c:extLst>
        </c:ser>
        <c:ser>
          <c:idx val="1"/>
          <c:order val="1"/>
          <c:tx>
            <c:strRef>
              <c:f>Folha1!$C$150</c:f>
              <c:strCache>
                <c:ptCount val="1"/>
                <c:pt idx="0">
                  <c:v>Um pouco</c:v>
                </c:pt>
              </c:strCache>
            </c:strRef>
          </c:tx>
          <c:spPr>
            <a:solidFill>
              <a:schemeClr val="bg1">
                <a:lumMod val="65000"/>
              </a:schemeClr>
            </a:solidFill>
            <a:ln>
              <a:noFill/>
            </a:ln>
            <a:effectLst/>
          </c:spPr>
          <c:invertIfNegative val="0"/>
          <c:cat>
            <c:strRef>
              <c:f>Folha1!$A$151:$A$163</c:f>
              <c:strCache>
                <c:ptCount val="13"/>
                <c:pt idx="0">
                  <c:v>Cansado</c:v>
                </c:pt>
                <c:pt idx="1">
                  <c:v>Desanimado</c:v>
                </c:pt>
                <c:pt idx="2">
                  <c:v>Perturbado</c:v>
                </c:pt>
                <c:pt idx="3">
                  <c:v>Zangado</c:v>
                </c:pt>
                <c:pt idx="4">
                  <c:v>Desrespeito</c:v>
                </c:pt>
                <c:pt idx="5">
                  <c:v>Repulsa</c:v>
                </c:pt>
                <c:pt idx="6">
                  <c:v>Zangado consigo mesmo</c:v>
                </c:pt>
                <c:pt idx="7">
                  <c:v>Amedrontado</c:v>
                </c:pt>
                <c:pt idx="8">
                  <c:v>Culpado</c:v>
                </c:pt>
                <c:pt idx="9">
                  <c:v>Trémulo</c:v>
                </c:pt>
                <c:pt idx="10">
                  <c:v>Rejeitado</c:v>
                </c:pt>
                <c:pt idx="11">
                  <c:v>Tímido</c:v>
                </c:pt>
                <c:pt idx="12">
                  <c:v>Surpreendido</c:v>
                </c:pt>
              </c:strCache>
            </c:strRef>
          </c:cat>
          <c:val>
            <c:numRef>
              <c:f>Folha1!$C$151:$C$163</c:f>
              <c:numCache>
                <c:formatCode>0.0%</c:formatCode>
                <c:ptCount val="13"/>
                <c:pt idx="0">
                  <c:v>0.317</c:v>
                </c:pt>
                <c:pt idx="1">
                  <c:v>0.33200000000000002</c:v>
                </c:pt>
                <c:pt idx="2">
                  <c:v>0.26900000000000002</c:v>
                </c:pt>
                <c:pt idx="3">
                  <c:v>0.255</c:v>
                </c:pt>
                <c:pt idx="4">
                  <c:v>0.22700000000000001</c:v>
                </c:pt>
                <c:pt idx="5">
                  <c:v>0.26340000000000002</c:v>
                </c:pt>
                <c:pt idx="6">
                  <c:v>0.24</c:v>
                </c:pt>
                <c:pt idx="7">
                  <c:v>0.27400000000000002</c:v>
                </c:pt>
                <c:pt idx="8">
                  <c:v>0.245</c:v>
                </c:pt>
                <c:pt idx="9">
                  <c:v>0.255</c:v>
                </c:pt>
                <c:pt idx="10">
                  <c:v>0.245</c:v>
                </c:pt>
                <c:pt idx="11">
                  <c:v>0.26</c:v>
                </c:pt>
                <c:pt idx="12">
                  <c:v>0.27400000000000002</c:v>
                </c:pt>
              </c:numCache>
            </c:numRef>
          </c:val>
          <c:extLst>
            <c:ext xmlns:c16="http://schemas.microsoft.com/office/drawing/2014/chart" uri="{C3380CC4-5D6E-409C-BE32-E72D297353CC}">
              <c16:uniqueId val="{00000001-A156-A943-942A-7BCA054B721A}"/>
            </c:ext>
          </c:extLst>
        </c:ser>
        <c:ser>
          <c:idx val="2"/>
          <c:order val="2"/>
          <c:tx>
            <c:strRef>
              <c:f>Folha1!$D$150</c:f>
              <c:strCache>
                <c:ptCount val="1"/>
                <c:pt idx="0">
                  <c:v>Moderadamente</c:v>
                </c:pt>
              </c:strCache>
            </c:strRef>
          </c:tx>
          <c:spPr>
            <a:solidFill>
              <a:schemeClr val="accent3"/>
            </a:solidFill>
            <a:ln>
              <a:noFill/>
            </a:ln>
            <a:effectLst/>
          </c:spPr>
          <c:invertIfNegative val="0"/>
          <c:cat>
            <c:strRef>
              <c:f>Folha1!$A$151:$A$163</c:f>
              <c:strCache>
                <c:ptCount val="13"/>
                <c:pt idx="0">
                  <c:v>Cansado</c:v>
                </c:pt>
                <c:pt idx="1">
                  <c:v>Desanimado</c:v>
                </c:pt>
                <c:pt idx="2">
                  <c:v>Perturbado</c:v>
                </c:pt>
                <c:pt idx="3">
                  <c:v>Zangado</c:v>
                </c:pt>
                <c:pt idx="4">
                  <c:v>Desrespeito</c:v>
                </c:pt>
                <c:pt idx="5">
                  <c:v>Repulsa</c:v>
                </c:pt>
                <c:pt idx="6">
                  <c:v>Zangado consigo mesmo</c:v>
                </c:pt>
                <c:pt idx="7">
                  <c:v>Amedrontado</c:v>
                </c:pt>
                <c:pt idx="8">
                  <c:v>Culpado</c:v>
                </c:pt>
                <c:pt idx="9">
                  <c:v>Trémulo</c:v>
                </c:pt>
                <c:pt idx="10">
                  <c:v>Rejeitado</c:v>
                </c:pt>
                <c:pt idx="11">
                  <c:v>Tímido</c:v>
                </c:pt>
                <c:pt idx="12">
                  <c:v>Surpreendido</c:v>
                </c:pt>
              </c:strCache>
            </c:strRef>
          </c:cat>
          <c:val>
            <c:numRef>
              <c:f>Folha1!$D$151:$D$163</c:f>
              <c:numCache>
                <c:formatCode>0.0%</c:formatCode>
                <c:ptCount val="13"/>
                <c:pt idx="0">
                  <c:v>0.28399999999999997</c:v>
                </c:pt>
                <c:pt idx="1">
                  <c:v>0.255</c:v>
                </c:pt>
                <c:pt idx="2">
                  <c:v>0.28799999999999998</c:v>
                </c:pt>
                <c:pt idx="3">
                  <c:v>0.308</c:v>
                </c:pt>
                <c:pt idx="4">
                  <c:v>0.246</c:v>
                </c:pt>
                <c:pt idx="5">
                  <c:v>0.16800000000000001</c:v>
                </c:pt>
                <c:pt idx="6">
                  <c:v>0.188</c:v>
                </c:pt>
                <c:pt idx="7">
                  <c:v>0.10100000000000001</c:v>
                </c:pt>
                <c:pt idx="8">
                  <c:v>0.125</c:v>
                </c:pt>
                <c:pt idx="9">
                  <c:v>0.13</c:v>
                </c:pt>
                <c:pt idx="10">
                  <c:v>9.0999999999999998E-2</c:v>
                </c:pt>
                <c:pt idx="11">
                  <c:v>0.115</c:v>
                </c:pt>
                <c:pt idx="12">
                  <c:v>0.28799999999999998</c:v>
                </c:pt>
              </c:numCache>
            </c:numRef>
          </c:val>
          <c:extLst>
            <c:ext xmlns:c16="http://schemas.microsoft.com/office/drawing/2014/chart" uri="{C3380CC4-5D6E-409C-BE32-E72D297353CC}">
              <c16:uniqueId val="{00000002-A156-A943-942A-7BCA054B721A}"/>
            </c:ext>
          </c:extLst>
        </c:ser>
        <c:ser>
          <c:idx val="3"/>
          <c:order val="3"/>
          <c:tx>
            <c:strRef>
              <c:f>Folha1!$E$150</c:f>
              <c:strCache>
                <c:ptCount val="1"/>
                <c:pt idx="0">
                  <c:v>Bastante</c:v>
                </c:pt>
              </c:strCache>
            </c:strRef>
          </c:tx>
          <c:spPr>
            <a:solidFill>
              <a:schemeClr val="bg1">
                <a:lumMod val="50000"/>
              </a:schemeClr>
            </a:solidFill>
            <a:ln>
              <a:noFill/>
            </a:ln>
            <a:effectLst/>
          </c:spPr>
          <c:invertIfNegative val="0"/>
          <c:cat>
            <c:strRef>
              <c:f>Folha1!$A$151:$A$163</c:f>
              <c:strCache>
                <c:ptCount val="13"/>
                <c:pt idx="0">
                  <c:v>Cansado</c:v>
                </c:pt>
                <c:pt idx="1">
                  <c:v>Desanimado</c:v>
                </c:pt>
                <c:pt idx="2">
                  <c:v>Perturbado</c:v>
                </c:pt>
                <c:pt idx="3">
                  <c:v>Zangado</c:v>
                </c:pt>
                <c:pt idx="4">
                  <c:v>Desrespeito</c:v>
                </c:pt>
                <c:pt idx="5">
                  <c:v>Repulsa</c:v>
                </c:pt>
                <c:pt idx="6">
                  <c:v>Zangado consigo mesmo</c:v>
                </c:pt>
                <c:pt idx="7">
                  <c:v>Amedrontado</c:v>
                </c:pt>
                <c:pt idx="8">
                  <c:v>Culpado</c:v>
                </c:pt>
                <c:pt idx="9">
                  <c:v>Trémulo</c:v>
                </c:pt>
                <c:pt idx="10">
                  <c:v>Rejeitado</c:v>
                </c:pt>
                <c:pt idx="11">
                  <c:v>Tímido</c:v>
                </c:pt>
                <c:pt idx="12">
                  <c:v>Surpreendido</c:v>
                </c:pt>
              </c:strCache>
            </c:strRef>
          </c:cat>
          <c:val>
            <c:numRef>
              <c:f>Folha1!$E$151:$E$163</c:f>
              <c:numCache>
                <c:formatCode>0.0%</c:formatCode>
                <c:ptCount val="13"/>
                <c:pt idx="0">
                  <c:v>0.16300000000000001</c:v>
                </c:pt>
                <c:pt idx="1">
                  <c:v>0.159</c:v>
                </c:pt>
                <c:pt idx="2">
                  <c:v>0.14399999999999999</c:v>
                </c:pt>
                <c:pt idx="3">
                  <c:v>0.14899999999999999</c:v>
                </c:pt>
                <c:pt idx="4">
                  <c:v>0.14499999999999999</c:v>
                </c:pt>
                <c:pt idx="5">
                  <c:v>8.6999999999999994E-2</c:v>
                </c:pt>
                <c:pt idx="6">
                  <c:v>5.8000000000000003E-2</c:v>
                </c:pt>
                <c:pt idx="7">
                  <c:v>4.2999999999999997E-2</c:v>
                </c:pt>
                <c:pt idx="8">
                  <c:v>3.7999999999999999E-2</c:v>
                </c:pt>
                <c:pt idx="9">
                  <c:v>6.3E-2</c:v>
                </c:pt>
                <c:pt idx="10">
                  <c:v>4.2999999999999997E-2</c:v>
                </c:pt>
                <c:pt idx="11">
                  <c:v>5.2999999999999999E-2</c:v>
                </c:pt>
                <c:pt idx="12">
                  <c:v>0.154</c:v>
                </c:pt>
              </c:numCache>
            </c:numRef>
          </c:val>
          <c:extLst>
            <c:ext xmlns:c16="http://schemas.microsoft.com/office/drawing/2014/chart" uri="{C3380CC4-5D6E-409C-BE32-E72D297353CC}">
              <c16:uniqueId val="{00000003-A156-A943-942A-7BCA054B721A}"/>
            </c:ext>
          </c:extLst>
        </c:ser>
        <c:ser>
          <c:idx val="4"/>
          <c:order val="4"/>
          <c:tx>
            <c:strRef>
              <c:f>Folha1!$F$150</c:f>
              <c:strCache>
                <c:ptCount val="1"/>
                <c:pt idx="0">
                  <c:v>Extremamente</c:v>
                </c:pt>
              </c:strCache>
            </c:strRef>
          </c:tx>
          <c:spPr>
            <a:solidFill>
              <a:schemeClr val="bg2">
                <a:lumMod val="10000"/>
              </a:schemeClr>
            </a:solidFill>
            <a:ln>
              <a:noFill/>
            </a:ln>
            <a:effectLst/>
          </c:spPr>
          <c:invertIfNegative val="0"/>
          <c:cat>
            <c:strRef>
              <c:f>Folha1!$A$151:$A$163</c:f>
              <c:strCache>
                <c:ptCount val="13"/>
                <c:pt idx="0">
                  <c:v>Cansado</c:v>
                </c:pt>
                <c:pt idx="1">
                  <c:v>Desanimado</c:v>
                </c:pt>
                <c:pt idx="2">
                  <c:v>Perturbado</c:v>
                </c:pt>
                <c:pt idx="3">
                  <c:v>Zangado</c:v>
                </c:pt>
                <c:pt idx="4">
                  <c:v>Desrespeito</c:v>
                </c:pt>
                <c:pt idx="5">
                  <c:v>Repulsa</c:v>
                </c:pt>
                <c:pt idx="6">
                  <c:v>Zangado consigo mesmo</c:v>
                </c:pt>
                <c:pt idx="7">
                  <c:v>Amedrontado</c:v>
                </c:pt>
                <c:pt idx="8">
                  <c:v>Culpado</c:v>
                </c:pt>
                <c:pt idx="9">
                  <c:v>Trémulo</c:v>
                </c:pt>
                <c:pt idx="10">
                  <c:v>Rejeitado</c:v>
                </c:pt>
                <c:pt idx="11">
                  <c:v>Tímido</c:v>
                </c:pt>
                <c:pt idx="12">
                  <c:v>Surpreendido</c:v>
                </c:pt>
              </c:strCache>
            </c:strRef>
          </c:cat>
          <c:val>
            <c:numRef>
              <c:f>Folha1!$F$151:$F$163</c:f>
              <c:numCache>
                <c:formatCode>0.0%</c:formatCode>
                <c:ptCount val="13"/>
                <c:pt idx="0">
                  <c:v>1.9E-2</c:v>
                </c:pt>
                <c:pt idx="1">
                  <c:v>4.2999999999999997E-2</c:v>
                </c:pt>
                <c:pt idx="2">
                  <c:v>5.2999999999999999E-2</c:v>
                </c:pt>
                <c:pt idx="3">
                  <c:v>6.3E-2</c:v>
                </c:pt>
                <c:pt idx="4">
                  <c:v>5.8000000000000003E-2</c:v>
                </c:pt>
                <c:pt idx="5">
                  <c:v>2.4E-2</c:v>
                </c:pt>
                <c:pt idx="6">
                  <c:v>2.4E-2</c:v>
                </c:pt>
                <c:pt idx="7">
                  <c:v>1.4E-2</c:v>
                </c:pt>
                <c:pt idx="8">
                  <c:v>1.4E-2</c:v>
                </c:pt>
                <c:pt idx="9">
                  <c:v>0.01</c:v>
                </c:pt>
                <c:pt idx="10">
                  <c:v>1.4E-2</c:v>
                </c:pt>
                <c:pt idx="11">
                  <c:v>1.4E-2</c:v>
                </c:pt>
                <c:pt idx="12">
                  <c:v>4.8000000000000001E-2</c:v>
                </c:pt>
              </c:numCache>
            </c:numRef>
          </c:val>
          <c:extLst>
            <c:ext xmlns:c16="http://schemas.microsoft.com/office/drawing/2014/chart" uri="{C3380CC4-5D6E-409C-BE32-E72D297353CC}">
              <c16:uniqueId val="{00000004-A156-A943-942A-7BCA054B721A}"/>
            </c:ext>
          </c:extLst>
        </c:ser>
        <c:dLbls>
          <c:showLegendKey val="0"/>
          <c:showVal val="0"/>
          <c:showCatName val="0"/>
          <c:showSerName val="0"/>
          <c:showPercent val="0"/>
          <c:showBubbleSize val="0"/>
        </c:dLbls>
        <c:gapWidth val="150"/>
        <c:overlap val="100"/>
        <c:axId val="-1696406144"/>
        <c:axId val="-1696408864"/>
      </c:barChart>
      <c:catAx>
        <c:axId val="-1696406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1696408864"/>
        <c:crosses val="autoZero"/>
        <c:auto val="1"/>
        <c:lblAlgn val="ctr"/>
        <c:lblOffset val="100"/>
        <c:noMultiLvlLbl val="0"/>
      </c:catAx>
      <c:valAx>
        <c:axId val="-16964088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169640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latin typeface="Garamond" panose="02020404030301010803" pitchFamily="18" charset="0"/>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0.7146</cdr:x>
      <cdr:y>0.54037</cdr:y>
    </cdr:from>
    <cdr:to>
      <cdr:x>0.74891</cdr:x>
      <cdr:y>0.59006</cdr:y>
    </cdr:to>
    <cdr:cxnSp macro="">
      <cdr:nvCxnSpPr>
        <cdr:cNvPr id="2" name="Conexão reta unidirecional 1"/>
        <cdr:cNvCxnSpPr/>
      </cdr:nvCxnSpPr>
      <cdr:spPr>
        <a:xfrm xmlns:a="http://schemas.openxmlformats.org/drawingml/2006/main">
          <a:off x="4165600" y="1657350"/>
          <a:ext cx="200025" cy="152400"/>
        </a:xfrm>
        <a:prstGeom xmlns:a="http://schemas.openxmlformats.org/drawingml/2006/main" prst="straightConnector1">
          <a:avLst/>
        </a:prstGeom>
        <a:ln xmlns:a="http://schemas.openxmlformats.org/drawingml/2006/main" w="38100">
          <a:solidFill>
            <a:schemeClr val="tx1"/>
          </a:solidFill>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0.45316</cdr:x>
      <cdr:y>0.51863</cdr:y>
    </cdr:from>
    <cdr:to>
      <cdr:x>0.48747</cdr:x>
      <cdr:y>0.56832</cdr:y>
    </cdr:to>
    <cdr:cxnSp macro="">
      <cdr:nvCxnSpPr>
        <cdr:cNvPr id="3" name="Conexão reta unidirecional 2"/>
        <cdr:cNvCxnSpPr/>
      </cdr:nvCxnSpPr>
      <cdr:spPr>
        <a:xfrm xmlns:a="http://schemas.openxmlformats.org/drawingml/2006/main">
          <a:off x="2641600" y="1590675"/>
          <a:ext cx="200025" cy="152400"/>
        </a:xfrm>
        <a:prstGeom xmlns:a="http://schemas.openxmlformats.org/drawingml/2006/main" prst="straightConnector1">
          <a:avLst/>
        </a:prstGeom>
        <a:ln xmlns:a="http://schemas.openxmlformats.org/drawingml/2006/main" w="38100">
          <a:solidFill>
            <a:schemeClr val="tx1"/>
          </a:solidFill>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2DAF5-1C5E-4922-852E-2729E2965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100</Pages>
  <Words>28262</Words>
  <Characters>152616</Characters>
  <Application>Microsoft Office Word</Application>
  <DocSecurity>0</DocSecurity>
  <Lines>1271</Lines>
  <Paragraphs>361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Pereira</dc:creator>
  <cp:keywords/>
  <dc:description/>
  <cp:lastModifiedBy>Hugo Ferreira</cp:lastModifiedBy>
  <cp:revision>3</cp:revision>
  <cp:lastPrinted>2020-07-25T15:01:00Z</cp:lastPrinted>
  <dcterms:created xsi:type="dcterms:W3CDTF">2020-07-26T17:14:00Z</dcterms:created>
  <dcterms:modified xsi:type="dcterms:W3CDTF">2020-07-26T18:49:00Z</dcterms:modified>
</cp:coreProperties>
</file>