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824FE" w14:textId="4FF26DE6" w:rsidR="00E871B5" w:rsidRPr="00703704" w:rsidRDefault="00E871B5" w:rsidP="00E871B5">
      <w:pPr>
        <w:pStyle w:val="Estilo16ptNegritoCentradoAntes24ptoDepois66pto"/>
        <w:spacing w:after="960"/>
        <w:rPr>
          <w:lang w:val="en-US"/>
        </w:rPr>
      </w:pPr>
      <w:r w:rsidRPr="00703704">
        <w:rPr>
          <w:lang w:val="en-US"/>
        </w:rPr>
        <w:t>Faculty of Engineering of Univer</w:t>
      </w:r>
      <w:r>
        <w:rPr>
          <w:lang w:val="en-US"/>
        </w:rPr>
        <w:t>si</w:t>
      </w:r>
      <w:r w:rsidRPr="00703704">
        <w:rPr>
          <w:lang w:val="en-US"/>
        </w:rPr>
        <w:t>ty of Porto</w:t>
      </w:r>
    </w:p>
    <w:p w14:paraId="79703388" w14:textId="77777777" w:rsidR="00E871B5" w:rsidRPr="00703704" w:rsidRDefault="00E871B5" w:rsidP="00E871B5">
      <w:pPr>
        <w:autoSpaceDE w:val="0"/>
        <w:autoSpaceDN w:val="0"/>
        <w:adjustRightInd w:val="0"/>
        <w:jc w:val="center"/>
        <w:rPr>
          <w:rFonts w:cs="Arial"/>
          <w:sz w:val="44"/>
          <w:szCs w:val="44"/>
          <w:lang w:val="en-US"/>
        </w:rPr>
      </w:pPr>
    </w:p>
    <w:p w14:paraId="6075F3FF" w14:textId="77777777" w:rsidR="00E871B5" w:rsidRPr="00703704" w:rsidRDefault="00E871B5" w:rsidP="00E871B5">
      <w:pPr>
        <w:autoSpaceDE w:val="0"/>
        <w:autoSpaceDN w:val="0"/>
        <w:adjustRightInd w:val="0"/>
        <w:jc w:val="center"/>
        <w:rPr>
          <w:rFonts w:cs="Arial"/>
          <w:sz w:val="44"/>
          <w:szCs w:val="44"/>
          <w:lang w:val="en-US"/>
        </w:rPr>
      </w:pPr>
      <w:r w:rsidRPr="00703704">
        <w:rPr>
          <w:rFonts w:cs="Arial"/>
          <w:noProof/>
          <w:sz w:val="44"/>
          <w:szCs w:val="44"/>
          <w:lang w:val="pt-PT" w:eastAsia="pt-PT"/>
        </w:rPr>
        <w:drawing>
          <wp:inline distT="0" distB="0" distL="0" distR="0" wp14:anchorId="5B0ACAD9" wp14:editId="4814BD00">
            <wp:extent cx="2895600" cy="1003300"/>
            <wp:effectExtent l="0" t="0" r="0" b="0"/>
            <wp:docPr id="3" name="Imagem 3" descr="D:\E\JMS\FEUP\Logo\Cores oficiais\logótipo com cores oficia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JMS\FEUP\Logo\Cores oficiais\logótipo com cores oficiai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5600" cy="1003300"/>
                    </a:xfrm>
                    <a:prstGeom prst="rect">
                      <a:avLst/>
                    </a:prstGeom>
                    <a:noFill/>
                    <a:ln>
                      <a:noFill/>
                    </a:ln>
                  </pic:spPr>
                </pic:pic>
              </a:graphicData>
            </a:graphic>
          </wp:inline>
        </w:drawing>
      </w:r>
    </w:p>
    <w:p w14:paraId="281E66C3" w14:textId="77777777" w:rsidR="00E871B5" w:rsidRPr="00703704" w:rsidRDefault="00E871B5" w:rsidP="00E871B5">
      <w:pPr>
        <w:autoSpaceDE w:val="0"/>
        <w:autoSpaceDN w:val="0"/>
        <w:adjustRightInd w:val="0"/>
        <w:jc w:val="center"/>
        <w:rPr>
          <w:rFonts w:cs="Arial"/>
          <w:sz w:val="44"/>
          <w:szCs w:val="44"/>
          <w:lang w:val="en-US"/>
        </w:rPr>
      </w:pPr>
    </w:p>
    <w:p w14:paraId="31591A9C" w14:textId="77777777" w:rsidR="00E871B5" w:rsidRPr="00703704" w:rsidRDefault="00E871B5" w:rsidP="00E871B5">
      <w:pPr>
        <w:pStyle w:val="Titulo"/>
        <w:spacing w:before="1320"/>
        <w:jc w:val="center"/>
        <w:rPr>
          <w:lang w:val="en-US"/>
        </w:rPr>
      </w:pPr>
      <w:r w:rsidRPr="00703704">
        <w:rPr>
          <w:lang w:val="en-US"/>
        </w:rPr>
        <w:t>The Interaction between Trends, Challenges and Digital Technologies in the Agri-Food Sector</w:t>
      </w:r>
    </w:p>
    <w:p w14:paraId="425EAF5C" w14:textId="77777777" w:rsidR="00E871B5" w:rsidRPr="008F069E" w:rsidRDefault="00E871B5" w:rsidP="00E871B5">
      <w:pPr>
        <w:pStyle w:val="Estilo14ptCentradoDepois30pto"/>
      </w:pPr>
      <w:r w:rsidRPr="008F069E">
        <w:t>Joep van der Wal</w:t>
      </w:r>
    </w:p>
    <w:p w14:paraId="457A2A59" w14:textId="77777777" w:rsidR="00E871B5" w:rsidRPr="009B7181" w:rsidRDefault="00E871B5" w:rsidP="00E871B5">
      <w:pPr>
        <w:autoSpaceDE w:val="0"/>
        <w:autoSpaceDN w:val="0"/>
        <w:adjustRightInd w:val="0"/>
        <w:spacing w:after="2040"/>
        <w:jc w:val="center"/>
        <w:rPr>
          <w:rFonts w:cs="Arial"/>
          <w:smallCaps/>
        </w:rPr>
      </w:pPr>
      <w:r w:rsidRPr="009B7181">
        <w:rPr>
          <w:rFonts w:cs="Arial"/>
          <w:smallCaps/>
        </w:rPr>
        <w:t>MASTER THESIS</w:t>
      </w:r>
    </w:p>
    <w:p w14:paraId="7AB76E92" w14:textId="77777777" w:rsidR="00E871B5" w:rsidRPr="00703704" w:rsidRDefault="00E871B5" w:rsidP="00E871B5">
      <w:pPr>
        <w:autoSpaceDE w:val="0"/>
        <w:autoSpaceDN w:val="0"/>
        <w:adjustRightInd w:val="0"/>
        <w:jc w:val="center"/>
        <w:rPr>
          <w:rFonts w:cs="Arial"/>
          <w:lang w:val="en-US"/>
        </w:rPr>
      </w:pPr>
      <w:r w:rsidRPr="00703704">
        <w:rPr>
          <w:rFonts w:cs="Arial"/>
          <w:lang w:val="en-US"/>
        </w:rPr>
        <w:t>Master in Innovation and Technological Entrepreneurship</w:t>
      </w:r>
    </w:p>
    <w:p w14:paraId="6A19D9DD" w14:textId="77777777" w:rsidR="00E871B5" w:rsidRPr="00703704" w:rsidRDefault="00E871B5" w:rsidP="00E871B5">
      <w:pPr>
        <w:autoSpaceDE w:val="0"/>
        <w:autoSpaceDN w:val="0"/>
        <w:adjustRightInd w:val="0"/>
        <w:jc w:val="center"/>
        <w:rPr>
          <w:rFonts w:cs="Arial"/>
          <w:lang w:val="en-US"/>
        </w:rPr>
      </w:pPr>
    </w:p>
    <w:p w14:paraId="7CC7D2D1" w14:textId="77777777" w:rsidR="00E871B5" w:rsidRPr="00703704" w:rsidRDefault="00E871B5" w:rsidP="00E871B5">
      <w:pPr>
        <w:autoSpaceDE w:val="0"/>
        <w:autoSpaceDN w:val="0"/>
        <w:adjustRightInd w:val="0"/>
        <w:jc w:val="center"/>
        <w:rPr>
          <w:rFonts w:cs="Arial"/>
          <w:lang w:val="en-US"/>
        </w:rPr>
      </w:pPr>
    </w:p>
    <w:p w14:paraId="18EF8C79" w14:textId="77777777" w:rsidR="00E871B5" w:rsidRPr="00703704" w:rsidRDefault="00E871B5" w:rsidP="00E871B5">
      <w:pPr>
        <w:autoSpaceDE w:val="0"/>
        <w:autoSpaceDN w:val="0"/>
        <w:adjustRightInd w:val="0"/>
        <w:jc w:val="center"/>
        <w:rPr>
          <w:rFonts w:cs="Arial"/>
          <w:lang w:val="en-US"/>
        </w:rPr>
      </w:pPr>
      <w:r w:rsidRPr="00703704">
        <w:rPr>
          <w:rFonts w:cs="Arial"/>
          <w:lang w:val="en-US"/>
        </w:rPr>
        <w:t>Supervisor: Alexandra Xavier</w:t>
      </w:r>
    </w:p>
    <w:p w14:paraId="6A62CC60" w14:textId="77777777" w:rsidR="00E871B5" w:rsidRPr="00703704" w:rsidRDefault="00E871B5" w:rsidP="00E871B5">
      <w:pPr>
        <w:jc w:val="center"/>
        <w:rPr>
          <w:lang w:val="en-US"/>
        </w:rPr>
      </w:pPr>
    </w:p>
    <w:p w14:paraId="0B829FD1" w14:textId="5330D991" w:rsidR="00AB127F" w:rsidRPr="009B7181" w:rsidRDefault="00E871B5" w:rsidP="00B96EE4">
      <w:pPr>
        <w:ind w:left="3600"/>
        <w:rPr>
          <w:lang w:val="en-US"/>
        </w:rPr>
        <w:sectPr w:rsidR="00AB127F" w:rsidRPr="009B7181" w:rsidSect="008D2B6D">
          <w:headerReference w:type="even" r:id="rId9"/>
          <w:headerReference w:type="default" r:id="rId10"/>
          <w:footerReference w:type="even" r:id="rId11"/>
          <w:footerReference w:type="default" r:id="rId12"/>
          <w:headerReference w:type="first" r:id="rId13"/>
          <w:footerReference w:type="first" r:id="rId14"/>
          <w:type w:val="evenPage"/>
          <w:pgSz w:w="11907" w:h="16840" w:code="9"/>
          <w:pgMar w:top="1418" w:right="1418" w:bottom="1418" w:left="1985" w:header="142" w:footer="720" w:gutter="0"/>
          <w:pgNumType w:fmt="lowerRoman"/>
          <w:cols w:space="720"/>
          <w:titlePg/>
        </w:sectPr>
      </w:pPr>
      <w:r w:rsidRPr="009B7181">
        <w:rPr>
          <w:lang w:val="en-US"/>
        </w:rPr>
        <w:t>June 20</w:t>
      </w:r>
      <w:r w:rsidR="00645359">
        <w:rPr>
          <w:lang w:val="en-US"/>
        </w:rPr>
        <w:t>19</w:t>
      </w:r>
    </w:p>
    <w:p w14:paraId="295FAD83" w14:textId="4650FDA2" w:rsidR="00641118" w:rsidRPr="0048196F" w:rsidRDefault="00641118" w:rsidP="00745A20">
      <w:pPr>
        <w:pStyle w:val="Heading2"/>
        <w:numPr>
          <w:ilvl w:val="0"/>
          <w:numId w:val="0"/>
        </w:numPr>
        <w:rPr>
          <w:lang w:val="en-US"/>
        </w:rPr>
      </w:pPr>
      <w:r w:rsidRPr="0048196F">
        <w:rPr>
          <w:lang w:val="en-US"/>
        </w:rPr>
        <w:lastRenderedPageBreak/>
        <w:br w:type="page"/>
      </w:r>
      <w:bookmarkStart w:id="0" w:name="abstract"/>
      <w:bookmarkStart w:id="1" w:name="_Toc200969667"/>
      <w:bookmarkStart w:id="2" w:name="_Toc200969786"/>
      <w:bookmarkStart w:id="3" w:name="_Toc14347298"/>
      <w:bookmarkEnd w:id="0"/>
      <w:r w:rsidRPr="0048196F">
        <w:rPr>
          <w:lang w:val="en-US"/>
        </w:rPr>
        <w:lastRenderedPageBreak/>
        <w:t>Abstract</w:t>
      </w:r>
      <w:bookmarkEnd w:id="1"/>
      <w:bookmarkEnd w:id="2"/>
      <w:bookmarkEnd w:id="3"/>
    </w:p>
    <w:p w14:paraId="23B3441A" w14:textId="77777777" w:rsidR="00634236" w:rsidRDefault="00634236" w:rsidP="00634236">
      <w:pPr>
        <w:spacing w:line="360" w:lineRule="auto"/>
        <w:rPr>
          <w:lang w:val="en-US"/>
        </w:rPr>
      </w:pPr>
      <w:r w:rsidRPr="0048196F">
        <w:rPr>
          <w:lang w:val="en-US"/>
        </w:rPr>
        <w:t xml:space="preserve">In order to feed the </w:t>
      </w:r>
      <w:r>
        <w:rPr>
          <w:lang w:val="en-US"/>
        </w:rPr>
        <w:t>world’s growing demand for food,</w:t>
      </w:r>
      <w:r w:rsidRPr="0048196F">
        <w:rPr>
          <w:lang w:val="en-US"/>
        </w:rPr>
        <w:t xml:space="preserve"> the agri-food sector is required to take part in the digital revolution. The current developments surrounding digital technologies are great and diverse, increasing the difficulties of decision making in the innovation process. This research assists innovation related activities by increasing understanding of valuable interactions between trends</w:t>
      </w:r>
      <w:r>
        <w:rPr>
          <w:lang w:val="en-US"/>
        </w:rPr>
        <w:t>, challenges</w:t>
      </w:r>
      <w:r w:rsidRPr="0048196F">
        <w:rPr>
          <w:lang w:val="en-US"/>
        </w:rPr>
        <w:t xml:space="preserve"> and technologies</w:t>
      </w:r>
      <w:r>
        <w:rPr>
          <w:lang w:val="en-US"/>
        </w:rPr>
        <w:t xml:space="preserve"> in the European Agri-Food sector, with a holistic view. This understanding, and a hierarchization of trends based on an expert survey are summarized </w:t>
      </w:r>
      <w:r w:rsidRPr="0048196F">
        <w:rPr>
          <w:lang w:val="en-US"/>
        </w:rPr>
        <w:t>in</w:t>
      </w:r>
      <w:r>
        <w:rPr>
          <w:lang w:val="en-US"/>
        </w:rPr>
        <w:t xml:space="preserve"> a visual trend map. Additionally, this research aims to support the </w:t>
      </w:r>
      <w:r w:rsidRPr="0048196F">
        <w:rPr>
          <w:lang w:val="en-US"/>
        </w:rPr>
        <w:t xml:space="preserve">uptake of </w:t>
      </w:r>
      <w:r>
        <w:rPr>
          <w:lang w:val="en-US"/>
        </w:rPr>
        <w:t>technology by presenting a Digitech Value chain</w:t>
      </w:r>
      <w:r w:rsidRPr="0048196F">
        <w:rPr>
          <w:lang w:val="en-US"/>
        </w:rPr>
        <w:t xml:space="preserve">, </w:t>
      </w:r>
      <w:r>
        <w:rPr>
          <w:lang w:val="en-US"/>
        </w:rPr>
        <w:t>showcasing</w:t>
      </w:r>
      <w:r w:rsidRPr="0048196F">
        <w:rPr>
          <w:lang w:val="en-US"/>
        </w:rPr>
        <w:t xml:space="preserve"> some of the applications digital technologies have </w:t>
      </w:r>
      <w:r>
        <w:rPr>
          <w:lang w:val="en-US"/>
        </w:rPr>
        <w:t>to offer in the</w:t>
      </w:r>
      <w:r w:rsidRPr="0048196F">
        <w:rPr>
          <w:lang w:val="en-US"/>
        </w:rPr>
        <w:t xml:space="preserve"> short to medium term future. </w:t>
      </w:r>
    </w:p>
    <w:p w14:paraId="6F4AD56F" w14:textId="2C1CB085" w:rsidR="00D40EA5" w:rsidRDefault="008E2C26" w:rsidP="00060DC0">
      <w:pPr>
        <w:spacing w:line="360" w:lineRule="auto"/>
        <w:rPr>
          <w:i/>
          <w:iCs/>
          <w:lang w:val="en-US"/>
        </w:rPr>
      </w:pPr>
      <w:r>
        <w:rPr>
          <w:lang w:val="en-US"/>
        </w:rPr>
        <w:t xml:space="preserve">Keywords: </w:t>
      </w:r>
      <w:r w:rsidRPr="00B92A9F">
        <w:rPr>
          <w:i/>
          <w:iCs/>
          <w:lang w:val="en-US"/>
        </w:rPr>
        <w:t xml:space="preserve">Innovation, Megatrends, Drivers of Change, Trend Map, </w:t>
      </w:r>
      <w:r w:rsidR="00B92A9F">
        <w:rPr>
          <w:i/>
          <w:iCs/>
          <w:lang w:val="en-US"/>
        </w:rPr>
        <w:t xml:space="preserve">Digitech </w:t>
      </w:r>
      <w:r w:rsidRPr="00B92A9F">
        <w:rPr>
          <w:i/>
          <w:iCs/>
          <w:lang w:val="en-US"/>
        </w:rPr>
        <w:t>Value Chain</w:t>
      </w:r>
    </w:p>
    <w:p w14:paraId="3C2A6EE5" w14:textId="724DA716" w:rsidR="00D40EA5" w:rsidRPr="00D40EA5" w:rsidRDefault="00D40EA5" w:rsidP="00D40EA5">
      <w:pPr>
        <w:pStyle w:val="Heading2"/>
        <w:numPr>
          <w:ilvl w:val="0"/>
          <w:numId w:val="0"/>
        </w:numPr>
        <w:ind w:left="576" w:hanging="576"/>
      </w:pPr>
      <w:r w:rsidRPr="00D40EA5">
        <w:t>Resumo</w:t>
      </w:r>
    </w:p>
    <w:p w14:paraId="5772C689" w14:textId="33987110" w:rsidR="00D40EA5" w:rsidRPr="00D40EA5" w:rsidRDefault="00D40EA5" w:rsidP="00D40EA5">
      <w:pPr>
        <w:spacing w:line="360" w:lineRule="auto"/>
        <w:rPr>
          <w:lang w:val="pt-PT"/>
        </w:rPr>
      </w:pPr>
      <w:r w:rsidRPr="00D40EA5">
        <w:rPr>
          <w:lang w:val="pt-PT"/>
        </w:rPr>
        <w:t>Para suportar a crescente procura mundial de alimentos, o setor agroalimentar é desafiado a participar na revolução digital. O desenvolvimento atual das tecnologias digitais é elevado e diversificado, aumentando assim a complexidade da tomada de decisão nos processos de inovação.  Assumindo uma visão holística, este trabalho de investigação pretende suportar as atividades de inovação, apresentando uma visão holística das interações entre as tendências, desafios e oportunidades tecnológicas, no setor europeu do agroalimentar. A analise e seleção das tendências foi suportada por um processo de validação, através da aplicação de um questionário a especialistas do setor e apresentadas visualmente sobre a forma de um " Mapa de Tendências".  Adicionalmente, este trabalho de investigação pretende contribuir para a adoção de tecnologias digitais, com a apresentação de uma "</w:t>
      </w:r>
      <w:r w:rsidRPr="00D40EA5">
        <w:rPr>
          <w:i/>
          <w:iCs/>
          <w:lang w:val="pt-PT"/>
        </w:rPr>
        <w:t>Digitech Value Chain</w:t>
      </w:r>
      <w:r w:rsidRPr="00D40EA5">
        <w:rPr>
          <w:lang w:val="pt-PT"/>
        </w:rPr>
        <w:t>" na qual se mapeiam oportunidades de aplicação de tecnologias digitais a curto médio e longo prazo ao longo da cadeia de valor.</w:t>
      </w:r>
    </w:p>
    <w:p w14:paraId="06A8F09C" w14:textId="77777777" w:rsidR="00D40EA5" w:rsidRPr="00D40EA5" w:rsidRDefault="00D40EA5" w:rsidP="00D40EA5">
      <w:pPr>
        <w:spacing w:line="360" w:lineRule="auto"/>
        <w:rPr>
          <w:lang w:val="pt-PT"/>
        </w:rPr>
      </w:pPr>
      <w:r w:rsidRPr="00D40EA5">
        <w:rPr>
          <w:lang w:val="pt-PT"/>
        </w:rPr>
        <w:t xml:space="preserve">Palavras-chave: </w:t>
      </w:r>
      <w:r w:rsidRPr="00D40EA5">
        <w:rPr>
          <w:i/>
          <w:iCs/>
          <w:lang w:val="pt-PT"/>
        </w:rPr>
        <w:t>Inovação, Megatendências de Inovação, Fatores de Mudança, Mapa de Tendências, Digfitech Value Chain</w:t>
      </w:r>
    </w:p>
    <w:p w14:paraId="693111E1" w14:textId="77777777" w:rsidR="00D40EA5" w:rsidRPr="00AB00BD" w:rsidRDefault="00D40EA5" w:rsidP="00D40EA5">
      <w:pPr>
        <w:spacing w:line="360" w:lineRule="auto"/>
        <w:rPr>
          <w:i/>
          <w:iCs/>
          <w:lang w:val="pt-PT"/>
        </w:rPr>
      </w:pPr>
    </w:p>
    <w:p w14:paraId="676BDE5B" w14:textId="77777777" w:rsidR="00D40EA5" w:rsidRPr="00AB00BD" w:rsidRDefault="00D40EA5" w:rsidP="00060DC0">
      <w:pPr>
        <w:spacing w:line="360" w:lineRule="auto"/>
        <w:rPr>
          <w:i/>
          <w:iCs/>
          <w:lang w:val="pt-PT"/>
        </w:rPr>
      </w:pPr>
    </w:p>
    <w:p w14:paraId="5A3DBDBF" w14:textId="0DA52946" w:rsidR="00E871B5" w:rsidRPr="00AB00BD" w:rsidRDefault="00E871B5" w:rsidP="00060DC0">
      <w:pPr>
        <w:spacing w:line="360" w:lineRule="auto"/>
        <w:rPr>
          <w:lang w:val="pt-PT"/>
        </w:rPr>
      </w:pPr>
    </w:p>
    <w:p w14:paraId="47898FC2" w14:textId="016A27A9" w:rsidR="00641118" w:rsidRPr="00AB00BD" w:rsidRDefault="00641118" w:rsidP="00641118">
      <w:pPr>
        <w:autoSpaceDE w:val="0"/>
        <w:autoSpaceDN w:val="0"/>
        <w:adjustRightInd w:val="0"/>
        <w:rPr>
          <w:rFonts w:cs="Arial,Bold"/>
          <w:bCs/>
          <w:color w:val="000000"/>
          <w:lang w:val="pt-PT"/>
        </w:rPr>
      </w:pPr>
      <w:bookmarkStart w:id="4" w:name="agradecimentos"/>
      <w:bookmarkStart w:id="5" w:name="_Toc32733497"/>
      <w:bookmarkStart w:id="6" w:name="_Toc110319560"/>
      <w:bookmarkEnd w:id="4"/>
    </w:p>
    <w:p w14:paraId="035CD6C7" w14:textId="77777777" w:rsidR="00641118" w:rsidRPr="00AB00BD" w:rsidRDefault="00641118" w:rsidP="00641118">
      <w:pPr>
        <w:autoSpaceDE w:val="0"/>
        <w:autoSpaceDN w:val="0"/>
        <w:adjustRightInd w:val="0"/>
        <w:rPr>
          <w:rFonts w:cs="Arial,Bold"/>
          <w:bCs/>
          <w:color w:val="000000"/>
          <w:lang w:val="pt-PT"/>
        </w:rPr>
      </w:pPr>
    </w:p>
    <w:p w14:paraId="1BA846D8" w14:textId="77777777" w:rsidR="00641118" w:rsidRPr="00AB00BD" w:rsidRDefault="00641118" w:rsidP="00641118">
      <w:pPr>
        <w:autoSpaceDE w:val="0"/>
        <w:autoSpaceDN w:val="0"/>
        <w:adjustRightInd w:val="0"/>
        <w:rPr>
          <w:rFonts w:cs="Arial,Bold"/>
          <w:bCs/>
          <w:color w:val="000000"/>
          <w:lang w:val="pt-PT"/>
        </w:rPr>
      </w:pPr>
    </w:p>
    <w:p w14:paraId="21B288F0" w14:textId="77777777" w:rsidR="00641118" w:rsidRPr="00AB00BD" w:rsidRDefault="00641118" w:rsidP="00641118">
      <w:pPr>
        <w:autoSpaceDE w:val="0"/>
        <w:autoSpaceDN w:val="0"/>
        <w:adjustRightInd w:val="0"/>
        <w:rPr>
          <w:rFonts w:cs="Arial,Bold"/>
          <w:bCs/>
          <w:color w:val="000000"/>
          <w:lang w:val="pt-PT"/>
        </w:rPr>
      </w:pPr>
    </w:p>
    <w:p w14:paraId="593C2911" w14:textId="77777777" w:rsidR="00641118" w:rsidRPr="00AB00BD" w:rsidRDefault="00641118" w:rsidP="00641118">
      <w:pPr>
        <w:autoSpaceDE w:val="0"/>
        <w:autoSpaceDN w:val="0"/>
        <w:adjustRightInd w:val="0"/>
        <w:rPr>
          <w:rFonts w:cs="Arial,Bold"/>
          <w:bCs/>
          <w:color w:val="000000"/>
          <w:lang w:val="pt-PT"/>
        </w:rPr>
      </w:pPr>
    </w:p>
    <w:p w14:paraId="74004EC2" w14:textId="77777777" w:rsidR="00641118" w:rsidRPr="00AB00BD" w:rsidRDefault="00641118" w:rsidP="00B31276">
      <w:pPr>
        <w:autoSpaceDE w:val="0"/>
        <w:autoSpaceDN w:val="0"/>
        <w:adjustRightInd w:val="0"/>
        <w:rPr>
          <w:rFonts w:cs="Arial,Bold"/>
          <w:b/>
          <w:bCs/>
          <w:color w:val="000000"/>
          <w:lang w:val="pt-PT"/>
        </w:rPr>
      </w:pPr>
    </w:p>
    <w:bookmarkEnd w:id="5"/>
    <w:bookmarkEnd w:id="6"/>
    <w:p w14:paraId="4ADA63A9" w14:textId="77777777" w:rsidR="00641118" w:rsidRPr="00AB00BD" w:rsidRDefault="00641118" w:rsidP="00493872">
      <w:pPr>
        <w:rPr>
          <w:lang w:val="pt-PT"/>
        </w:rPr>
      </w:pPr>
    </w:p>
    <w:p w14:paraId="79ED0C66" w14:textId="72E1FB72" w:rsidR="00AB4CAE" w:rsidRPr="00AB00BD" w:rsidRDefault="00AB4CAE" w:rsidP="00AB4CAE">
      <w:pPr>
        <w:pStyle w:val="frontmatterheadingstyle"/>
        <w:rPr>
          <w:lang w:val="pt-PT"/>
        </w:rPr>
      </w:pPr>
      <w:bookmarkStart w:id="7" w:name="índice"/>
      <w:bookmarkStart w:id="8" w:name="_Toc32733499"/>
      <w:bookmarkStart w:id="9" w:name="_Toc110319561"/>
      <w:bookmarkStart w:id="10" w:name="_Toc200969669"/>
      <w:bookmarkStart w:id="11" w:name="_Toc200969788"/>
      <w:bookmarkEnd w:id="7"/>
    </w:p>
    <w:p w14:paraId="627847D6" w14:textId="77777777" w:rsidR="00D40EA5" w:rsidRPr="00AB00BD" w:rsidRDefault="00D40EA5" w:rsidP="00AB4CAE">
      <w:pPr>
        <w:pStyle w:val="frontmatterheadingstyle"/>
        <w:rPr>
          <w:lang w:val="pt-PT"/>
        </w:rPr>
      </w:pPr>
    </w:p>
    <w:p w14:paraId="593BDA91" w14:textId="77777777" w:rsidR="00AB4CAE" w:rsidRPr="00AB00BD" w:rsidRDefault="00AB4CAE" w:rsidP="00AB4CAE">
      <w:pPr>
        <w:pStyle w:val="frontmatterheadingstyle"/>
        <w:rPr>
          <w:bCs/>
          <w:lang w:val="pt-PT"/>
        </w:rPr>
      </w:pPr>
    </w:p>
    <w:p w14:paraId="4E045E45" w14:textId="1601AC4E" w:rsidR="00AB4CAE" w:rsidRPr="00AB4CAE" w:rsidRDefault="00AB4CAE" w:rsidP="00AB4CAE">
      <w:pPr>
        <w:pStyle w:val="frontmatterheadingstyle"/>
        <w:rPr>
          <w:bCs/>
          <w:lang w:val="en-US"/>
        </w:rPr>
      </w:pPr>
      <w:bookmarkStart w:id="12" w:name="_Toc14347299"/>
      <w:r w:rsidRPr="00AB4CAE">
        <w:rPr>
          <w:bCs/>
          <w:lang w:val="en-US"/>
        </w:rPr>
        <w:t>Acknowledgements</w:t>
      </w:r>
      <w:bookmarkEnd w:id="12"/>
    </w:p>
    <w:p w14:paraId="18A15329" w14:textId="77777777" w:rsidR="00AB4CAE" w:rsidRPr="00AB4CAE" w:rsidRDefault="00AB4CAE" w:rsidP="00AB4CAE">
      <w:pPr>
        <w:spacing w:line="360" w:lineRule="auto"/>
        <w:rPr>
          <w:lang w:val="en-US"/>
        </w:rPr>
      </w:pPr>
      <w:r w:rsidRPr="00AB4CAE">
        <w:rPr>
          <w:lang w:val="en-US"/>
        </w:rPr>
        <w:t xml:space="preserve">I would like to thank the individuals who guided and assisted me in the research and preparation of this thesis. Alexandra Xavier, supervisor of this thesis and internship at INESCTEC, always available and actively involved by sharing invaluable insights and knowledge along every step of the way. Sara Neves, project participant of INESCTEC has contributed greatly by adding professionalism to the work and valuable contributions in lengthy discussions. I would like to thank the participants of the survey for their expertise and crucial feedback. Finally, João José Ferreira, coordinator of the master program, who has shaped my knowledge of, and spiked my interest in innovation and entrepreneurship since the very beginning of my arrival in Portugal.  </w:t>
      </w:r>
    </w:p>
    <w:p w14:paraId="1B69F06D" w14:textId="77777777" w:rsidR="005F76EC" w:rsidRPr="0048196F" w:rsidRDefault="005F76EC" w:rsidP="004352FD">
      <w:pPr>
        <w:pStyle w:val="frontmatterheadingstyle"/>
        <w:rPr>
          <w:lang w:val="en-US"/>
        </w:rPr>
      </w:pPr>
    </w:p>
    <w:p w14:paraId="14C48C3C" w14:textId="77777777" w:rsidR="005F76EC" w:rsidRPr="0048196F" w:rsidRDefault="005F76EC" w:rsidP="004352FD">
      <w:pPr>
        <w:pStyle w:val="frontmatterheadingstyle"/>
        <w:rPr>
          <w:lang w:val="en-US"/>
        </w:rPr>
      </w:pPr>
    </w:p>
    <w:p w14:paraId="09E39179" w14:textId="77777777" w:rsidR="005F76EC" w:rsidRPr="0048196F" w:rsidRDefault="005F76EC" w:rsidP="004352FD">
      <w:pPr>
        <w:pStyle w:val="frontmatterheadingstyle"/>
        <w:rPr>
          <w:lang w:val="en-US"/>
        </w:rPr>
      </w:pPr>
    </w:p>
    <w:p w14:paraId="7F02E2D6" w14:textId="77777777" w:rsidR="00AB4CAE" w:rsidRDefault="00AB4CAE" w:rsidP="004352FD">
      <w:pPr>
        <w:pStyle w:val="frontmatterheadingstyle"/>
        <w:rPr>
          <w:lang w:val="en-US"/>
        </w:rPr>
      </w:pPr>
      <w:bookmarkStart w:id="13" w:name="_Toc10924237"/>
      <w:bookmarkEnd w:id="8"/>
      <w:bookmarkEnd w:id="9"/>
      <w:bookmarkEnd w:id="10"/>
      <w:bookmarkEnd w:id="11"/>
    </w:p>
    <w:p w14:paraId="2347D3D5" w14:textId="77777777" w:rsidR="00AB4CAE" w:rsidRDefault="00AB4CAE" w:rsidP="004352FD">
      <w:pPr>
        <w:pStyle w:val="frontmatterheadingstyle"/>
        <w:rPr>
          <w:lang w:val="en-US"/>
        </w:rPr>
      </w:pPr>
    </w:p>
    <w:p w14:paraId="44752C87" w14:textId="77777777" w:rsidR="00AB4CAE" w:rsidRDefault="00AB4CAE" w:rsidP="004352FD">
      <w:pPr>
        <w:pStyle w:val="frontmatterheadingstyle"/>
        <w:rPr>
          <w:lang w:val="en-US"/>
        </w:rPr>
      </w:pPr>
    </w:p>
    <w:p w14:paraId="74B4DF20" w14:textId="77777777" w:rsidR="00AB4CAE" w:rsidRDefault="00AB4CAE" w:rsidP="004352FD">
      <w:pPr>
        <w:pStyle w:val="frontmatterheadingstyle"/>
        <w:rPr>
          <w:lang w:val="en-US"/>
        </w:rPr>
      </w:pPr>
    </w:p>
    <w:p w14:paraId="1D43B12E" w14:textId="77777777" w:rsidR="00AB4CAE" w:rsidRDefault="00AB4CAE" w:rsidP="004352FD">
      <w:pPr>
        <w:pStyle w:val="frontmatterheadingstyle"/>
        <w:rPr>
          <w:lang w:val="en-US"/>
        </w:rPr>
      </w:pPr>
    </w:p>
    <w:p w14:paraId="5FABB08B" w14:textId="77777777" w:rsidR="00AB4CAE" w:rsidRDefault="00AB4CAE" w:rsidP="004352FD">
      <w:pPr>
        <w:pStyle w:val="frontmatterheadingstyle"/>
        <w:rPr>
          <w:lang w:val="en-US"/>
        </w:rPr>
      </w:pPr>
    </w:p>
    <w:p w14:paraId="372E158C" w14:textId="48F0F9CB" w:rsidR="00493872" w:rsidRPr="0048196F" w:rsidRDefault="00745A20" w:rsidP="004352FD">
      <w:pPr>
        <w:pStyle w:val="frontmatterheadingstyle"/>
        <w:rPr>
          <w:lang w:val="en-US"/>
        </w:rPr>
      </w:pPr>
      <w:bookmarkStart w:id="14" w:name="_Toc14347300"/>
      <w:r w:rsidRPr="0048196F">
        <w:rPr>
          <w:lang w:val="en-US"/>
        </w:rPr>
        <w:t>Table of Contents</w:t>
      </w:r>
      <w:bookmarkEnd w:id="13"/>
      <w:bookmarkEnd w:id="14"/>
    </w:p>
    <w:p w14:paraId="5B79DC0F" w14:textId="02D8E4D2" w:rsidR="00634236" w:rsidRPr="00634236" w:rsidRDefault="00A01E71">
      <w:pPr>
        <w:pStyle w:val="TOC2"/>
        <w:rPr>
          <w:rFonts w:asciiTheme="minorHAnsi" w:eastAsiaTheme="minorEastAsia" w:hAnsiTheme="minorHAnsi" w:cstheme="minorBidi"/>
          <w:noProof/>
          <w:lang w:val="en-US"/>
        </w:rPr>
      </w:pPr>
      <w:r w:rsidRPr="0048196F">
        <w:rPr>
          <w:lang w:val="en-US"/>
        </w:rPr>
        <w:fldChar w:fldCharType="begin"/>
      </w:r>
      <w:r w:rsidRPr="0048196F">
        <w:rPr>
          <w:lang w:val="en-US"/>
        </w:rPr>
        <w:instrText xml:space="preserve"> TOC \o "1-3" \t "frontmatterheading style;1;Seccao;2" </w:instrText>
      </w:r>
      <w:r w:rsidRPr="0048196F">
        <w:rPr>
          <w:lang w:val="en-US"/>
        </w:rPr>
        <w:fldChar w:fldCharType="separate"/>
      </w:r>
      <w:r w:rsidR="00634236" w:rsidRPr="006D4E27">
        <w:rPr>
          <w:noProof/>
          <w:lang w:val="en-US"/>
        </w:rPr>
        <w:t>Abstract</w:t>
      </w:r>
      <w:r w:rsidR="00634236" w:rsidRPr="00634236">
        <w:rPr>
          <w:noProof/>
          <w:lang w:val="en-US"/>
        </w:rPr>
        <w:tab/>
      </w:r>
      <w:r w:rsidR="00634236">
        <w:rPr>
          <w:noProof/>
        </w:rPr>
        <w:fldChar w:fldCharType="begin"/>
      </w:r>
      <w:r w:rsidR="00634236" w:rsidRPr="00634236">
        <w:rPr>
          <w:noProof/>
          <w:lang w:val="en-US"/>
        </w:rPr>
        <w:instrText xml:space="preserve"> PAGEREF _Toc14347298 \h </w:instrText>
      </w:r>
      <w:r w:rsidR="00634236">
        <w:rPr>
          <w:noProof/>
        </w:rPr>
      </w:r>
      <w:r w:rsidR="00634236">
        <w:rPr>
          <w:noProof/>
        </w:rPr>
        <w:fldChar w:fldCharType="separate"/>
      </w:r>
      <w:r w:rsidR="00634236" w:rsidRPr="00634236">
        <w:rPr>
          <w:noProof/>
          <w:lang w:val="en-US"/>
        </w:rPr>
        <w:t>iii</w:t>
      </w:r>
      <w:r w:rsidR="00634236">
        <w:rPr>
          <w:noProof/>
        </w:rPr>
        <w:fldChar w:fldCharType="end"/>
      </w:r>
    </w:p>
    <w:p w14:paraId="6CFC1911" w14:textId="23663EDA" w:rsidR="00634236" w:rsidRPr="00634236" w:rsidRDefault="00634236">
      <w:pPr>
        <w:pStyle w:val="TOC1"/>
        <w:rPr>
          <w:rFonts w:asciiTheme="minorHAnsi" w:eastAsiaTheme="minorEastAsia" w:hAnsiTheme="minorHAnsi" w:cstheme="minorBidi"/>
          <w:b w:val="0"/>
          <w:sz w:val="24"/>
          <w:lang w:val="en-US"/>
        </w:rPr>
      </w:pPr>
      <w:r w:rsidRPr="006D4E27">
        <w:rPr>
          <w:bCs/>
          <w:lang w:val="en-US"/>
        </w:rPr>
        <w:t>Acknowledgements</w:t>
      </w:r>
      <w:r w:rsidRPr="00634236">
        <w:rPr>
          <w:lang w:val="en-US"/>
        </w:rPr>
        <w:tab/>
      </w:r>
      <w:r>
        <w:fldChar w:fldCharType="begin"/>
      </w:r>
      <w:r w:rsidRPr="00634236">
        <w:rPr>
          <w:lang w:val="en-US"/>
        </w:rPr>
        <w:instrText xml:space="preserve"> PAGEREF _Toc14347299 \h </w:instrText>
      </w:r>
      <w:r>
        <w:fldChar w:fldCharType="separate"/>
      </w:r>
      <w:r w:rsidRPr="00634236">
        <w:rPr>
          <w:lang w:val="en-US"/>
        </w:rPr>
        <w:t>v</w:t>
      </w:r>
      <w:r>
        <w:fldChar w:fldCharType="end"/>
      </w:r>
    </w:p>
    <w:p w14:paraId="1E5A976A" w14:textId="388BD0CF" w:rsidR="00634236" w:rsidRPr="00634236" w:rsidRDefault="00634236">
      <w:pPr>
        <w:pStyle w:val="TOC1"/>
        <w:rPr>
          <w:rFonts w:asciiTheme="minorHAnsi" w:eastAsiaTheme="minorEastAsia" w:hAnsiTheme="minorHAnsi" w:cstheme="minorBidi"/>
          <w:b w:val="0"/>
          <w:sz w:val="24"/>
          <w:lang w:val="en-US"/>
        </w:rPr>
      </w:pPr>
      <w:r w:rsidRPr="006D4E27">
        <w:rPr>
          <w:lang w:val="en-US"/>
        </w:rPr>
        <w:t>Table of Contents</w:t>
      </w:r>
      <w:r w:rsidRPr="00634236">
        <w:rPr>
          <w:lang w:val="en-US"/>
        </w:rPr>
        <w:tab/>
      </w:r>
      <w:r>
        <w:fldChar w:fldCharType="begin"/>
      </w:r>
      <w:r w:rsidRPr="00634236">
        <w:rPr>
          <w:lang w:val="en-US"/>
        </w:rPr>
        <w:instrText xml:space="preserve"> PAGEREF _Toc14347300 \h </w:instrText>
      </w:r>
      <w:r>
        <w:fldChar w:fldCharType="separate"/>
      </w:r>
      <w:r w:rsidRPr="00634236">
        <w:rPr>
          <w:lang w:val="en-US"/>
        </w:rPr>
        <w:t>vii</w:t>
      </w:r>
      <w:r>
        <w:fldChar w:fldCharType="end"/>
      </w:r>
    </w:p>
    <w:p w14:paraId="146F8943" w14:textId="207D8C5B" w:rsidR="00634236" w:rsidRPr="00634236" w:rsidRDefault="00634236">
      <w:pPr>
        <w:pStyle w:val="TOC1"/>
        <w:rPr>
          <w:rFonts w:asciiTheme="minorHAnsi" w:eastAsiaTheme="minorEastAsia" w:hAnsiTheme="minorHAnsi" w:cstheme="minorBidi"/>
          <w:b w:val="0"/>
          <w:sz w:val="24"/>
          <w:lang w:val="en-US"/>
        </w:rPr>
      </w:pPr>
      <w:r w:rsidRPr="006D4E27">
        <w:rPr>
          <w:lang w:val="en-US"/>
        </w:rPr>
        <w:t>List of tables</w:t>
      </w:r>
      <w:r w:rsidRPr="00634236">
        <w:rPr>
          <w:lang w:val="en-US"/>
        </w:rPr>
        <w:tab/>
      </w:r>
      <w:r>
        <w:fldChar w:fldCharType="begin"/>
      </w:r>
      <w:r w:rsidRPr="00634236">
        <w:rPr>
          <w:lang w:val="en-US"/>
        </w:rPr>
        <w:instrText xml:space="preserve"> PAGEREF _Toc14347301 \h </w:instrText>
      </w:r>
      <w:r>
        <w:fldChar w:fldCharType="separate"/>
      </w:r>
      <w:r w:rsidRPr="00634236">
        <w:rPr>
          <w:lang w:val="en-US"/>
        </w:rPr>
        <w:t>ix</w:t>
      </w:r>
      <w:r>
        <w:fldChar w:fldCharType="end"/>
      </w:r>
    </w:p>
    <w:p w14:paraId="15F19B52" w14:textId="50668B9B" w:rsidR="00634236" w:rsidRPr="00634236" w:rsidRDefault="00634236">
      <w:pPr>
        <w:pStyle w:val="TOC1"/>
        <w:rPr>
          <w:rFonts w:asciiTheme="minorHAnsi" w:eastAsiaTheme="minorEastAsia" w:hAnsiTheme="minorHAnsi" w:cstheme="minorBidi"/>
          <w:b w:val="0"/>
          <w:sz w:val="24"/>
          <w:lang w:val="en-US"/>
        </w:rPr>
      </w:pPr>
      <w:r w:rsidRPr="006D4E27">
        <w:rPr>
          <w:lang w:val="en-US"/>
        </w:rPr>
        <w:t>List of figures</w:t>
      </w:r>
      <w:r w:rsidRPr="00634236">
        <w:rPr>
          <w:lang w:val="en-US"/>
        </w:rPr>
        <w:tab/>
      </w:r>
      <w:r>
        <w:fldChar w:fldCharType="begin"/>
      </w:r>
      <w:r w:rsidRPr="00634236">
        <w:rPr>
          <w:lang w:val="en-US"/>
        </w:rPr>
        <w:instrText xml:space="preserve"> PAGEREF _Toc14347302 \h </w:instrText>
      </w:r>
      <w:r>
        <w:fldChar w:fldCharType="separate"/>
      </w:r>
      <w:r w:rsidRPr="00634236">
        <w:rPr>
          <w:lang w:val="en-US"/>
        </w:rPr>
        <w:t>x</w:t>
      </w:r>
      <w:r>
        <w:fldChar w:fldCharType="end"/>
      </w:r>
    </w:p>
    <w:p w14:paraId="70E0534E" w14:textId="77805370" w:rsidR="00634236" w:rsidRPr="00634236" w:rsidRDefault="00634236">
      <w:pPr>
        <w:pStyle w:val="TOC1"/>
        <w:tabs>
          <w:tab w:val="left" w:pos="539"/>
        </w:tabs>
        <w:rPr>
          <w:rFonts w:asciiTheme="minorHAnsi" w:eastAsiaTheme="minorEastAsia" w:hAnsiTheme="minorHAnsi" w:cstheme="minorBidi"/>
          <w:b w:val="0"/>
          <w:sz w:val="24"/>
          <w:lang w:val="en-US"/>
        </w:rPr>
      </w:pPr>
      <w:r w:rsidRPr="006D4E27">
        <w:rPr>
          <w:lang w:val="en-US"/>
        </w:rPr>
        <w:t>1</w:t>
      </w:r>
      <w:r w:rsidRPr="00634236">
        <w:rPr>
          <w:rFonts w:asciiTheme="minorHAnsi" w:eastAsiaTheme="minorEastAsia" w:hAnsiTheme="minorHAnsi" w:cstheme="minorBidi"/>
          <w:b w:val="0"/>
          <w:sz w:val="24"/>
          <w:lang w:val="en-US"/>
        </w:rPr>
        <w:tab/>
      </w:r>
      <w:r w:rsidRPr="006D4E27">
        <w:rPr>
          <w:lang w:val="en-US"/>
        </w:rPr>
        <w:t>Introduction</w:t>
      </w:r>
      <w:r w:rsidRPr="00634236">
        <w:rPr>
          <w:lang w:val="en-US"/>
        </w:rPr>
        <w:tab/>
      </w:r>
      <w:r>
        <w:fldChar w:fldCharType="begin"/>
      </w:r>
      <w:r w:rsidRPr="00634236">
        <w:rPr>
          <w:lang w:val="en-US"/>
        </w:rPr>
        <w:instrText xml:space="preserve"> PAGEREF _Toc14347303 \h </w:instrText>
      </w:r>
      <w:r>
        <w:fldChar w:fldCharType="separate"/>
      </w:r>
      <w:r w:rsidRPr="00634236">
        <w:rPr>
          <w:lang w:val="en-US"/>
        </w:rPr>
        <w:t>1</w:t>
      </w:r>
      <w:r>
        <w:fldChar w:fldCharType="end"/>
      </w:r>
    </w:p>
    <w:p w14:paraId="68E8D237" w14:textId="0ACBB463" w:rsidR="00634236" w:rsidRPr="00634236" w:rsidRDefault="00634236">
      <w:pPr>
        <w:pStyle w:val="TOC2"/>
        <w:rPr>
          <w:rFonts w:asciiTheme="minorHAnsi" w:eastAsiaTheme="minorEastAsia" w:hAnsiTheme="minorHAnsi" w:cstheme="minorBidi"/>
          <w:noProof/>
          <w:lang w:val="en-US"/>
        </w:rPr>
      </w:pPr>
      <w:r w:rsidRPr="006D4E27">
        <w:rPr>
          <w:noProof/>
          <w:lang w:val="en-US"/>
        </w:rPr>
        <w:t>1.1</w:t>
      </w:r>
      <w:r w:rsidRPr="00634236">
        <w:rPr>
          <w:rFonts w:asciiTheme="minorHAnsi" w:eastAsiaTheme="minorEastAsia" w:hAnsiTheme="minorHAnsi" w:cstheme="minorBidi"/>
          <w:noProof/>
          <w:lang w:val="en-US"/>
        </w:rPr>
        <w:tab/>
      </w:r>
      <w:r w:rsidRPr="006D4E27">
        <w:rPr>
          <w:noProof/>
          <w:lang w:val="en-US"/>
        </w:rPr>
        <w:t>The DIVA project</w:t>
      </w:r>
      <w:r w:rsidRPr="00634236">
        <w:rPr>
          <w:noProof/>
          <w:lang w:val="en-US"/>
        </w:rPr>
        <w:tab/>
      </w:r>
      <w:r>
        <w:rPr>
          <w:noProof/>
        </w:rPr>
        <w:fldChar w:fldCharType="begin"/>
      </w:r>
      <w:r w:rsidRPr="00634236">
        <w:rPr>
          <w:noProof/>
          <w:lang w:val="en-US"/>
        </w:rPr>
        <w:instrText xml:space="preserve"> PAGEREF _Toc14347304 \h </w:instrText>
      </w:r>
      <w:r>
        <w:rPr>
          <w:noProof/>
        </w:rPr>
      </w:r>
      <w:r>
        <w:rPr>
          <w:noProof/>
        </w:rPr>
        <w:fldChar w:fldCharType="separate"/>
      </w:r>
      <w:r w:rsidRPr="00634236">
        <w:rPr>
          <w:noProof/>
          <w:lang w:val="en-US"/>
        </w:rPr>
        <w:t>2</w:t>
      </w:r>
      <w:r>
        <w:rPr>
          <w:noProof/>
        </w:rPr>
        <w:fldChar w:fldCharType="end"/>
      </w:r>
    </w:p>
    <w:p w14:paraId="46D583FD" w14:textId="77E052AF" w:rsidR="00634236" w:rsidRPr="00634236" w:rsidRDefault="00634236">
      <w:pPr>
        <w:pStyle w:val="TOC2"/>
        <w:rPr>
          <w:rFonts w:asciiTheme="minorHAnsi" w:eastAsiaTheme="minorEastAsia" w:hAnsiTheme="minorHAnsi" w:cstheme="minorBidi"/>
          <w:noProof/>
          <w:lang w:val="en-US"/>
        </w:rPr>
      </w:pPr>
      <w:r w:rsidRPr="006D4E27">
        <w:rPr>
          <w:noProof/>
          <w:lang w:val="en-US"/>
        </w:rPr>
        <w:t>1.2</w:t>
      </w:r>
      <w:r w:rsidRPr="00634236">
        <w:rPr>
          <w:rFonts w:asciiTheme="minorHAnsi" w:eastAsiaTheme="minorEastAsia" w:hAnsiTheme="minorHAnsi" w:cstheme="minorBidi"/>
          <w:noProof/>
          <w:lang w:val="en-US"/>
        </w:rPr>
        <w:tab/>
      </w:r>
      <w:r w:rsidRPr="006D4E27">
        <w:rPr>
          <w:noProof/>
          <w:lang w:val="en-US"/>
        </w:rPr>
        <w:t>Motivation</w:t>
      </w:r>
      <w:r w:rsidRPr="00634236">
        <w:rPr>
          <w:noProof/>
          <w:lang w:val="en-US"/>
        </w:rPr>
        <w:tab/>
      </w:r>
      <w:r>
        <w:rPr>
          <w:noProof/>
        </w:rPr>
        <w:fldChar w:fldCharType="begin"/>
      </w:r>
      <w:r w:rsidRPr="00634236">
        <w:rPr>
          <w:noProof/>
          <w:lang w:val="en-US"/>
        </w:rPr>
        <w:instrText xml:space="preserve"> PAGEREF _Toc14347305 \h </w:instrText>
      </w:r>
      <w:r>
        <w:rPr>
          <w:noProof/>
        </w:rPr>
      </w:r>
      <w:r>
        <w:rPr>
          <w:noProof/>
        </w:rPr>
        <w:fldChar w:fldCharType="separate"/>
      </w:r>
      <w:r w:rsidRPr="00634236">
        <w:rPr>
          <w:noProof/>
          <w:lang w:val="en-US"/>
        </w:rPr>
        <w:t>2</w:t>
      </w:r>
      <w:r>
        <w:rPr>
          <w:noProof/>
        </w:rPr>
        <w:fldChar w:fldCharType="end"/>
      </w:r>
    </w:p>
    <w:p w14:paraId="08354BFE" w14:textId="57A17158" w:rsidR="00634236" w:rsidRPr="00634236" w:rsidRDefault="00634236">
      <w:pPr>
        <w:pStyle w:val="TOC2"/>
        <w:rPr>
          <w:rFonts w:asciiTheme="minorHAnsi" w:eastAsiaTheme="minorEastAsia" w:hAnsiTheme="minorHAnsi" w:cstheme="minorBidi"/>
          <w:noProof/>
          <w:lang w:val="en-US"/>
        </w:rPr>
      </w:pPr>
      <w:r w:rsidRPr="006D4E27">
        <w:rPr>
          <w:noProof/>
          <w:lang w:val="en-US"/>
        </w:rPr>
        <w:t>1.3</w:t>
      </w:r>
      <w:r w:rsidRPr="00634236">
        <w:rPr>
          <w:rFonts w:asciiTheme="minorHAnsi" w:eastAsiaTheme="minorEastAsia" w:hAnsiTheme="minorHAnsi" w:cstheme="minorBidi"/>
          <w:noProof/>
          <w:lang w:val="en-US"/>
        </w:rPr>
        <w:tab/>
      </w:r>
      <w:r w:rsidRPr="006D4E27">
        <w:rPr>
          <w:noProof/>
          <w:lang w:val="en-US"/>
        </w:rPr>
        <w:t>Objective</w:t>
      </w:r>
      <w:r w:rsidRPr="00634236">
        <w:rPr>
          <w:noProof/>
          <w:lang w:val="en-US"/>
        </w:rPr>
        <w:tab/>
      </w:r>
      <w:r>
        <w:rPr>
          <w:noProof/>
        </w:rPr>
        <w:fldChar w:fldCharType="begin"/>
      </w:r>
      <w:r w:rsidRPr="00634236">
        <w:rPr>
          <w:noProof/>
          <w:lang w:val="en-US"/>
        </w:rPr>
        <w:instrText xml:space="preserve"> PAGEREF _Toc14347306 \h </w:instrText>
      </w:r>
      <w:r>
        <w:rPr>
          <w:noProof/>
        </w:rPr>
      </w:r>
      <w:r>
        <w:rPr>
          <w:noProof/>
        </w:rPr>
        <w:fldChar w:fldCharType="separate"/>
      </w:r>
      <w:r w:rsidRPr="00634236">
        <w:rPr>
          <w:noProof/>
          <w:lang w:val="en-US"/>
        </w:rPr>
        <w:t>3</w:t>
      </w:r>
      <w:r>
        <w:rPr>
          <w:noProof/>
        </w:rPr>
        <w:fldChar w:fldCharType="end"/>
      </w:r>
    </w:p>
    <w:p w14:paraId="7FB102E5" w14:textId="106D8F56" w:rsidR="00634236" w:rsidRPr="00634236" w:rsidRDefault="00634236">
      <w:pPr>
        <w:pStyle w:val="TOC2"/>
        <w:rPr>
          <w:rFonts w:asciiTheme="minorHAnsi" w:eastAsiaTheme="minorEastAsia" w:hAnsiTheme="minorHAnsi" w:cstheme="minorBidi"/>
          <w:noProof/>
          <w:lang w:val="en-US"/>
        </w:rPr>
      </w:pPr>
      <w:r w:rsidRPr="006D4E27">
        <w:rPr>
          <w:noProof/>
          <w:lang w:val="en-US"/>
        </w:rPr>
        <w:t>1.4</w:t>
      </w:r>
      <w:r w:rsidRPr="00634236">
        <w:rPr>
          <w:rFonts w:asciiTheme="minorHAnsi" w:eastAsiaTheme="minorEastAsia" w:hAnsiTheme="minorHAnsi" w:cstheme="minorBidi"/>
          <w:noProof/>
          <w:lang w:val="en-US"/>
        </w:rPr>
        <w:tab/>
      </w:r>
      <w:r w:rsidRPr="006D4E27">
        <w:rPr>
          <w:noProof/>
          <w:lang w:val="en-US"/>
        </w:rPr>
        <w:t>Research questions</w:t>
      </w:r>
      <w:r w:rsidRPr="00634236">
        <w:rPr>
          <w:noProof/>
          <w:lang w:val="en-US"/>
        </w:rPr>
        <w:tab/>
      </w:r>
      <w:r>
        <w:rPr>
          <w:noProof/>
        </w:rPr>
        <w:fldChar w:fldCharType="begin"/>
      </w:r>
      <w:r w:rsidRPr="00634236">
        <w:rPr>
          <w:noProof/>
          <w:lang w:val="en-US"/>
        </w:rPr>
        <w:instrText xml:space="preserve"> PAGEREF _Toc14347307 \h </w:instrText>
      </w:r>
      <w:r>
        <w:rPr>
          <w:noProof/>
        </w:rPr>
      </w:r>
      <w:r>
        <w:rPr>
          <w:noProof/>
        </w:rPr>
        <w:fldChar w:fldCharType="separate"/>
      </w:r>
      <w:r w:rsidRPr="00634236">
        <w:rPr>
          <w:noProof/>
          <w:lang w:val="en-US"/>
        </w:rPr>
        <w:t>3</w:t>
      </w:r>
      <w:r>
        <w:rPr>
          <w:noProof/>
        </w:rPr>
        <w:fldChar w:fldCharType="end"/>
      </w:r>
    </w:p>
    <w:p w14:paraId="44C9112A" w14:textId="693A3BE6" w:rsidR="00634236" w:rsidRPr="00634236" w:rsidRDefault="00634236">
      <w:pPr>
        <w:pStyle w:val="TOC2"/>
        <w:rPr>
          <w:rFonts w:asciiTheme="minorHAnsi" w:eastAsiaTheme="minorEastAsia" w:hAnsiTheme="minorHAnsi" w:cstheme="minorBidi"/>
          <w:noProof/>
          <w:lang w:val="en-US"/>
        </w:rPr>
      </w:pPr>
      <w:r w:rsidRPr="006D4E27">
        <w:rPr>
          <w:noProof/>
          <w:lang w:val="en-US"/>
        </w:rPr>
        <w:t>1.5</w:t>
      </w:r>
      <w:r w:rsidRPr="00634236">
        <w:rPr>
          <w:rFonts w:asciiTheme="minorHAnsi" w:eastAsiaTheme="minorEastAsia" w:hAnsiTheme="minorHAnsi" w:cstheme="minorBidi"/>
          <w:noProof/>
          <w:lang w:val="en-US"/>
        </w:rPr>
        <w:tab/>
      </w:r>
      <w:r w:rsidRPr="006D4E27">
        <w:rPr>
          <w:noProof/>
          <w:lang w:val="en-US"/>
        </w:rPr>
        <w:t>Research Methodology and Design</w:t>
      </w:r>
      <w:r w:rsidRPr="00634236">
        <w:rPr>
          <w:noProof/>
          <w:lang w:val="en-US"/>
        </w:rPr>
        <w:tab/>
      </w:r>
      <w:r>
        <w:rPr>
          <w:noProof/>
        </w:rPr>
        <w:fldChar w:fldCharType="begin"/>
      </w:r>
      <w:r w:rsidRPr="00634236">
        <w:rPr>
          <w:noProof/>
          <w:lang w:val="en-US"/>
        </w:rPr>
        <w:instrText xml:space="preserve"> PAGEREF _Toc14347308 \h </w:instrText>
      </w:r>
      <w:r>
        <w:rPr>
          <w:noProof/>
        </w:rPr>
      </w:r>
      <w:r>
        <w:rPr>
          <w:noProof/>
        </w:rPr>
        <w:fldChar w:fldCharType="separate"/>
      </w:r>
      <w:r w:rsidRPr="00634236">
        <w:rPr>
          <w:noProof/>
          <w:lang w:val="en-US"/>
        </w:rPr>
        <w:t>3</w:t>
      </w:r>
      <w:r>
        <w:rPr>
          <w:noProof/>
        </w:rPr>
        <w:fldChar w:fldCharType="end"/>
      </w:r>
    </w:p>
    <w:p w14:paraId="70A44967" w14:textId="40262C06" w:rsidR="00634236" w:rsidRPr="00634236" w:rsidRDefault="00634236">
      <w:pPr>
        <w:pStyle w:val="TOC1"/>
        <w:tabs>
          <w:tab w:val="left" w:pos="539"/>
        </w:tabs>
        <w:rPr>
          <w:rFonts w:asciiTheme="minorHAnsi" w:eastAsiaTheme="minorEastAsia" w:hAnsiTheme="minorHAnsi" w:cstheme="minorBidi"/>
          <w:b w:val="0"/>
          <w:sz w:val="24"/>
          <w:lang w:val="en-US"/>
        </w:rPr>
      </w:pPr>
      <w:r w:rsidRPr="006D4E27">
        <w:rPr>
          <w:lang w:val="en-US"/>
        </w:rPr>
        <w:t>2</w:t>
      </w:r>
      <w:r w:rsidRPr="00634236">
        <w:rPr>
          <w:rFonts w:asciiTheme="minorHAnsi" w:eastAsiaTheme="minorEastAsia" w:hAnsiTheme="minorHAnsi" w:cstheme="minorBidi"/>
          <w:b w:val="0"/>
          <w:sz w:val="24"/>
          <w:lang w:val="en-US"/>
        </w:rPr>
        <w:tab/>
      </w:r>
      <w:r w:rsidRPr="006D4E27">
        <w:rPr>
          <w:lang w:val="en-US"/>
        </w:rPr>
        <w:t>Literature Review</w:t>
      </w:r>
      <w:r w:rsidRPr="00634236">
        <w:rPr>
          <w:lang w:val="en-US"/>
        </w:rPr>
        <w:tab/>
      </w:r>
      <w:r>
        <w:fldChar w:fldCharType="begin"/>
      </w:r>
      <w:r w:rsidRPr="00634236">
        <w:rPr>
          <w:lang w:val="en-US"/>
        </w:rPr>
        <w:instrText xml:space="preserve"> PAGEREF _Toc14347309 \h </w:instrText>
      </w:r>
      <w:r>
        <w:fldChar w:fldCharType="separate"/>
      </w:r>
      <w:r w:rsidRPr="00634236">
        <w:rPr>
          <w:lang w:val="en-US"/>
        </w:rPr>
        <w:t>6</w:t>
      </w:r>
      <w:r>
        <w:fldChar w:fldCharType="end"/>
      </w:r>
    </w:p>
    <w:p w14:paraId="69A0E9C1" w14:textId="6BF9A26A" w:rsidR="00634236" w:rsidRPr="00634236" w:rsidRDefault="00634236">
      <w:pPr>
        <w:pStyle w:val="TOC2"/>
        <w:rPr>
          <w:rFonts w:asciiTheme="minorHAnsi" w:eastAsiaTheme="minorEastAsia" w:hAnsiTheme="minorHAnsi" w:cstheme="minorBidi"/>
          <w:noProof/>
          <w:lang w:val="en-US"/>
        </w:rPr>
      </w:pPr>
      <w:r w:rsidRPr="006D4E27">
        <w:rPr>
          <w:noProof/>
          <w:lang w:val="en-US"/>
        </w:rPr>
        <w:t>2.1</w:t>
      </w:r>
      <w:r w:rsidRPr="00634236">
        <w:rPr>
          <w:rFonts w:asciiTheme="minorHAnsi" w:eastAsiaTheme="minorEastAsia" w:hAnsiTheme="minorHAnsi" w:cstheme="minorBidi"/>
          <w:noProof/>
          <w:lang w:val="en-US"/>
        </w:rPr>
        <w:tab/>
      </w:r>
      <w:r w:rsidRPr="006D4E27">
        <w:rPr>
          <w:noProof/>
          <w:lang w:val="en-US"/>
        </w:rPr>
        <w:t>Introduction</w:t>
      </w:r>
      <w:r w:rsidRPr="00634236">
        <w:rPr>
          <w:noProof/>
          <w:lang w:val="en-US"/>
        </w:rPr>
        <w:tab/>
      </w:r>
      <w:r>
        <w:rPr>
          <w:noProof/>
        </w:rPr>
        <w:fldChar w:fldCharType="begin"/>
      </w:r>
      <w:r w:rsidRPr="00634236">
        <w:rPr>
          <w:noProof/>
          <w:lang w:val="en-US"/>
        </w:rPr>
        <w:instrText xml:space="preserve"> PAGEREF _Toc14347310 \h </w:instrText>
      </w:r>
      <w:r>
        <w:rPr>
          <w:noProof/>
        </w:rPr>
      </w:r>
      <w:r>
        <w:rPr>
          <w:noProof/>
        </w:rPr>
        <w:fldChar w:fldCharType="separate"/>
      </w:r>
      <w:r w:rsidRPr="00634236">
        <w:rPr>
          <w:noProof/>
          <w:lang w:val="en-US"/>
        </w:rPr>
        <w:t>6</w:t>
      </w:r>
      <w:r>
        <w:rPr>
          <w:noProof/>
        </w:rPr>
        <w:fldChar w:fldCharType="end"/>
      </w:r>
    </w:p>
    <w:p w14:paraId="5D347C56" w14:textId="65811FA0" w:rsidR="00634236" w:rsidRPr="00634236" w:rsidRDefault="00634236">
      <w:pPr>
        <w:pStyle w:val="TOC2"/>
        <w:rPr>
          <w:rFonts w:asciiTheme="minorHAnsi" w:eastAsiaTheme="minorEastAsia" w:hAnsiTheme="minorHAnsi" w:cstheme="minorBidi"/>
          <w:noProof/>
          <w:lang w:val="en-US"/>
        </w:rPr>
      </w:pPr>
      <w:r w:rsidRPr="006D4E27">
        <w:rPr>
          <w:noProof/>
          <w:lang w:val="en-US"/>
        </w:rPr>
        <w:t>2.2</w:t>
      </w:r>
      <w:r w:rsidRPr="00634236">
        <w:rPr>
          <w:rFonts w:asciiTheme="minorHAnsi" w:eastAsiaTheme="minorEastAsia" w:hAnsiTheme="minorHAnsi" w:cstheme="minorBidi"/>
          <w:noProof/>
          <w:lang w:val="en-US"/>
        </w:rPr>
        <w:tab/>
      </w:r>
      <w:r w:rsidRPr="006D4E27">
        <w:rPr>
          <w:noProof/>
          <w:lang w:val="en-US"/>
        </w:rPr>
        <w:t>LR 1: Main concepts</w:t>
      </w:r>
      <w:r w:rsidRPr="00634236">
        <w:rPr>
          <w:noProof/>
          <w:lang w:val="en-US"/>
        </w:rPr>
        <w:tab/>
      </w:r>
      <w:r>
        <w:rPr>
          <w:noProof/>
        </w:rPr>
        <w:fldChar w:fldCharType="begin"/>
      </w:r>
      <w:r w:rsidRPr="00634236">
        <w:rPr>
          <w:noProof/>
          <w:lang w:val="en-US"/>
        </w:rPr>
        <w:instrText xml:space="preserve"> PAGEREF _Toc14347311 \h </w:instrText>
      </w:r>
      <w:r>
        <w:rPr>
          <w:noProof/>
        </w:rPr>
      </w:r>
      <w:r>
        <w:rPr>
          <w:noProof/>
        </w:rPr>
        <w:fldChar w:fldCharType="separate"/>
      </w:r>
      <w:r w:rsidRPr="00634236">
        <w:rPr>
          <w:noProof/>
          <w:lang w:val="en-US"/>
        </w:rPr>
        <w:t>9</w:t>
      </w:r>
      <w:r>
        <w:rPr>
          <w:noProof/>
        </w:rPr>
        <w:fldChar w:fldCharType="end"/>
      </w:r>
    </w:p>
    <w:p w14:paraId="4192C64F" w14:textId="7188CCCA"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2.2.1</w:t>
      </w:r>
      <w:r w:rsidRPr="00634236">
        <w:rPr>
          <w:rFonts w:asciiTheme="minorHAnsi" w:eastAsiaTheme="minorEastAsia" w:hAnsiTheme="minorHAnsi" w:cstheme="minorBidi"/>
          <w:noProof/>
          <w:lang w:val="en-US"/>
        </w:rPr>
        <w:tab/>
      </w:r>
      <w:r w:rsidRPr="006D4E27">
        <w:rPr>
          <w:noProof/>
          <w:lang w:val="en-US"/>
        </w:rPr>
        <w:t>Foresight</w:t>
      </w:r>
      <w:r w:rsidRPr="00634236">
        <w:rPr>
          <w:noProof/>
          <w:lang w:val="en-US"/>
        </w:rPr>
        <w:tab/>
      </w:r>
      <w:r>
        <w:rPr>
          <w:noProof/>
        </w:rPr>
        <w:fldChar w:fldCharType="begin"/>
      </w:r>
      <w:r w:rsidRPr="00634236">
        <w:rPr>
          <w:noProof/>
          <w:lang w:val="en-US"/>
        </w:rPr>
        <w:instrText xml:space="preserve"> PAGEREF _Toc14347312 \h </w:instrText>
      </w:r>
      <w:r>
        <w:rPr>
          <w:noProof/>
        </w:rPr>
      </w:r>
      <w:r>
        <w:rPr>
          <w:noProof/>
        </w:rPr>
        <w:fldChar w:fldCharType="separate"/>
      </w:r>
      <w:r w:rsidRPr="00634236">
        <w:rPr>
          <w:noProof/>
          <w:lang w:val="en-US"/>
        </w:rPr>
        <w:t>9</w:t>
      </w:r>
      <w:r>
        <w:rPr>
          <w:noProof/>
        </w:rPr>
        <w:fldChar w:fldCharType="end"/>
      </w:r>
    </w:p>
    <w:p w14:paraId="36CEA116" w14:textId="5C95BD2F"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2.2.2</w:t>
      </w:r>
      <w:r w:rsidRPr="00634236">
        <w:rPr>
          <w:rFonts w:asciiTheme="minorHAnsi" w:eastAsiaTheme="minorEastAsia" w:hAnsiTheme="minorHAnsi" w:cstheme="minorBidi"/>
          <w:noProof/>
          <w:lang w:val="en-US"/>
        </w:rPr>
        <w:tab/>
      </w:r>
      <w:r w:rsidRPr="006D4E27">
        <w:rPr>
          <w:noProof/>
          <w:lang w:val="en-US"/>
        </w:rPr>
        <w:t>Trend</w:t>
      </w:r>
      <w:r w:rsidRPr="00634236">
        <w:rPr>
          <w:noProof/>
          <w:lang w:val="en-US"/>
        </w:rPr>
        <w:tab/>
      </w:r>
      <w:r>
        <w:rPr>
          <w:noProof/>
        </w:rPr>
        <w:fldChar w:fldCharType="begin"/>
      </w:r>
      <w:r w:rsidRPr="00634236">
        <w:rPr>
          <w:noProof/>
          <w:lang w:val="en-US"/>
        </w:rPr>
        <w:instrText xml:space="preserve"> PAGEREF _Toc14347313 \h </w:instrText>
      </w:r>
      <w:r>
        <w:rPr>
          <w:noProof/>
        </w:rPr>
      </w:r>
      <w:r>
        <w:rPr>
          <w:noProof/>
        </w:rPr>
        <w:fldChar w:fldCharType="separate"/>
      </w:r>
      <w:r w:rsidRPr="00634236">
        <w:rPr>
          <w:noProof/>
          <w:lang w:val="en-US"/>
        </w:rPr>
        <w:t>9</w:t>
      </w:r>
      <w:r>
        <w:rPr>
          <w:noProof/>
        </w:rPr>
        <w:fldChar w:fldCharType="end"/>
      </w:r>
    </w:p>
    <w:p w14:paraId="3006A169" w14:textId="75AB4991"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2.2.3</w:t>
      </w:r>
      <w:r w:rsidRPr="00634236">
        <w:rPr>
          <w:rFonts w:asciiTheme="minorHAnsi" w:eastAsiaTheme="minorEastAsia" w:hAnsiTheme="minorHAnsi" w:cstheme="minorBidi"/>
          <w:noProof/>
          <w:lang w:val="en-US"/>
        </w:rPr>
        <w:tab/>
      </w:r>
      <w:r w:rsidRPr="006D4E27">
        <w:rPr>
          <w:noProof/>
          <w:lang w:val="en-US"/>
        </w:rPr>
        <w:t>Drivers of change</w:t>
      </w:r>
      <w:r w:rsidRPr="00634236">
        <w:rPr>
          <w:noProof/>
          <w:lang w:val="en-US"/>
        </w:rPr>
        <w:tab/>
      </w:r>
      <w:r>
        <w:rPr>
          <w:noProof/>
        </w:rPr>
        <w:fldChar w:fldCharType="begin"/>
      </w:r>
      <w:r w:rsidRPr="00634236">
        <w:rPr>
          <w:noProof/>
          <w:lang w:val="en-US"/>
        </w:rPr>
        <w:instrText xml:space="preserve"> PAGEREF _Toc14347314 \h </w:instrText>
      </w:r>
      <w:r>
        <w:rPr>
          <w:noProof/>
        </w:rPr>
      </w:r>
      <w:r>
        <w:rPr>
          <w:noProof/>
        </w:rPr>
        <w:fldChar w:fldCharType="separate"/>
      </w:r>
      <w:r w:rsidRPr="00634236">
        <w:rPr>
          <w:noProof/>
          <w:lang w:val="en-US"/>
        </w:rPr>
        <w:t>10</w:t>
      </w:r>
      <w:r>
        <w:rPr>
          <w:noProof/>
        </w:rPr>
        <w:fldChar w:fldCharType="end"/>
      </w:r>
    </w:p>
    <w:p w14:paraId="096AF983" w14:textId="59F33A10"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2.2.4</w:t>
      </w:r>
      <w:r w:rsidRPr="00634236">
        <w:rPr>
          <w:rFonts w:asciiTheme="minorHAnsi" w:eastAsiaTheme="minorEastAsia" w:hAnsiTheme="minorHAnsi" w:cstheme="minorBidi"/>
          <w:noProof/>
          <w:lang w:val="en-US"/>
        </w:rPr>
        <w:tab/>
      </w:r>
      <w:r w:rsidRPr="006D4E27">
        <w:rPr>
          <w:noProof/>
          <w:lang w:val="en-US"/>
        </w:rPr>
        <w:t>Trend Map</w:t>
      </w:r>
      <w:r w:rsidRPr="00634236">
        <w:rPr>
          <w:noProof/>
          <w:lang w:val="en-US"/>
        </w:rPr>
        <w:tab/>
      </w:r>
      <w:r>
        <w:rPr>
          <w:noProof/>
        </w:rPr>
        <w:fldChar w:fldCharType="begin"/>
      </w:r>
      <w:r w:rsidRPr="00634236">
        <w:rPr>
          <w:noProof/>
          <w:lang w:val="en-US"/>
        </w:rPr>
        <w:instrText xml:space="preserve"> PAGEREF _Toc14347315 \h </w:instrText>
      </w:r>
      <w:r>
        <w:rPr>
          <w:noProof/>
        </w:rPr>
      </w:r>
      <w:r>
        <w:rPr>
          <w:noProof/>
        </w:rPr>
        <w:fldChar w:fldCharType="separate"/>
      </w:r>
      <w:r w:rsidRPr="00634236">
        <w:rPr>
          <w:noProof/>
          <w:lang w:val="en-US"/>
        </w:rPr>
        <w:t>10</w:t>
      </w:r>
      <w:r>
        <w:rPr>
          <w:noProof/>
        </w:rPr>
        <w:fldChar w:fldCharType="end"/>
      </w:r>
    </w:p>
    <w:p w14:paraId="67F2CB30" w14:textId="59A8CEBF" w:rsidR="00634236" w:rsidRPr="00634236" w:rsidRDefault="00634236">
      <w:pPr>
        <w:pStyle w:val="TOC2"/>
        <w:rPr>
          <w:rFonts w:asciiTheme="minorHAnsi" w:eastAsiaTheme="minorEastAsia" w:hAnsiTheme="minorHAnsi" w:cstheme="minorBidi"/>
          <w:noProof/>
          <w:lang w:val="en-US"/>
        </w:rPr>
      </w:pPr>
      <w:r w:rsidRPr="006D4E27">
        <w:rPr>
          <w:noProof/>
          <w:lang w:val="en-US"/>
        </w:rPr>
        <w:t>2.3</w:t>
      </w:r>
      <w:r w:rsidRPr="00634236">
        <w:rPr>
          <w:rFonts w:asciiTheme="minorHAnsi" w:eastAsiaTheme="minorEastAsia" w:hAnsiTheme="minorHAnsi" w:cstheme="minorBidi"/>
          <w:noProof/>
          <w:lang w:val="en-US"/>
        </w:rPr>
        <w:tab/>
      </w:r>
      <w:r w:rsidRPr="006D4E27">
        <w:rPr>
          <w:noProof/>
          <w:lang w:val="en-US"/>
        </w:rPr>
        <w:t>LR2: Identification and analysis of external pressures on the agri-food sector based on literature review</w:t>
      </w:r>
      <w:r w:rsidRPr="00634236">
        <w:rPr>
          <w:noProof/>
          <w:lang w:val="en-US"/>
        </w:rPr>
        <w:tab/>
      </w:r>
      <w:r>
        <w:rPr>
          <w:noProof/>
        </w:rPr>
        <w:fldChar w:fldCharType="begin"/>
      </w:r>
      <w:r w:rsidRPr="00634236">
        <w:rPr>
          <w:noProof/>
          <w:lang w:val="en-US"/>
        </w:rPr>
        <w:instrText xml:space="preserve"> PAGEREF _Toc14347316 \h </w:instrText>
      </w:r>
      <w:r>
        <w:rPr>
          <w:noProof/>
        </w:rPr>
      </w:r>
      <w:r>
        <w:rPr>
          <w:noProof/>
        </w:rPr>
        <w:fldChar w:fldCharType="separate"/>
      </w:r>
      <w:r w:rsidRPr="00634236">
        <w:rPr>
          <w:noProof/>
          <w:lang w:val="en-US"/>
        </w:rPr>
        <w:t>12</w:t>
      </w:r>
      <w:r>
        <w:rPr>
          <w:noProof/>
        </w:rPr>
        <w:fldChar w:fldCharType="end"/>
      </w:r>
    </w:p>
    <w:p w14:paraId="6869DDE8" w14:textId="64C7BC1E"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2.3.1</w:t>
      </w:r>
      <w:r w:rsidRPr="00634236">
        <w:rPr>
          <w:rFonts w:asciiTheme="minorHAnsi" w:eastAsiaTheme="minorEastAsia" w:hAnsiTheme="minorHAnsi" w:cstheme="minorBidi"/>
          <w:noProof/>
          <w:lang w:val="en-US"/>
        </w:rPr>
        <w:tab/>
      </w:r>
      <w:r w:rsidRPr="006D4E27">
        <w:rPr>
          <w:noProof/>
          <w:lang w:val="en-US"/>
        </w:rPr>
        <w:t>Megatrends</w:t>
      </w:r>
      <w:r w:rsidRPr="00634236">
        <w:rPr>
          <w:noProof/>
          <w:lang w:val="en-US"/>
        </w:rPr>
        <w:tab/>
      </w:r>
      <w:r>
        <w:rPr>
          <w:noProof/>
        </w:rPr>
        <w:fldChar w:fldCharType="begin"/>
      </w:r>
      <w:r w:rsidRPr="00634236">
        <w:rPr>
          <w:noProof/>
          <w:lang w:val="en-US"/>
        </w:rPr>
        <w:instrText xml:space="preserve"> PAGEREF _Toc14347317 \h </w:instrText>
      </w:r>
      <w:r>
        <w:rPr>
          <w:noProof/>
        </w:rPr>
      </w:r>
      <w:r>
        <w:rPr>
          <w:noProof/>
        </w:rPr>
        <w:fldChar w:fldCharType="separate"/>
      </w:r>
      <w:r w:rsidRPr="00634236">
        <w:rPr>
          <w:noProof/>
          <w:lang w:val="en-US"/>
        </w:rPr>
        <w:t>13</w:t>
      </w:r>
      <w:r>
        <w:rPr>
          <w:noProof/>
        </w:rPr>
        <w:fldChar w:fldCharType="end"/>
      </w:r>
    </w:p>
    <w:p w14:paraId="4072F595" w14:textId="10041CC0"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2.3.2</w:t>
      </w:r>
      <w:r w:rsidRPr="00634236">
        <w:rPr>
          <w:rFonts w:asciiTheme="minorHAnsi" w:eastAsiaTheme="minorEastAsia" w:hAnsiTheme="minorHAnsi" w:cstheme="minorBidi"/>
          <w:noProof/>
          <w:lang w:val="en-US"/>
        </w:rPr>
        <w:tab/>
      </w:r>
      <w:r w:rsidRPr="006D4E27">
        <w:rPr>
          <w:noProof/>
          <w:lang w:val="en-US"/>
        </w:rPr>
        <w:t>Challenges</w:t>
      </w:r>
      <w:r w:rsidRPr="00634236">
        <w:rPr>
          <w:noProof/>
          <w:lang w:val="en-US"/>
        </w:rPr>
        <w:tab/>
      </w:r>
      <w:r>
        <w:rPr>
          <w:noProof/>
        </w:rPr>
        <w:fldChar w:fldCharType="begin"/>
      </w:r>
      <w:r w:rsidRPr="00634236">
        <w:rPr>
          <w:noProof/>
          <w:lang w:val="en-US"/>
        </w:rPr>
        <w:instrText xml:space="preserve"> PAGEREF _Toc14347318 \h </w:instrText>
      </w:r>
      <w:r>
        <w:rPr>
          <w:noProof/>
        </w:rPr>
      </w:r>
      <w:r>
        <w:rPr>
          <w:noProof/>
        </w:rPr>
        <w:fldChar w:fldCharType="separate"/>
      </w:r>
      <w:r w:rsidRPr="00634236">
        <w:rPr>
          <w:noProof/>
          <w:lang w:val="en-US"/>
        </w:rPr>
        <w:t>15</w:t>
      </w:r>
      <w:r>
        <w:rPr>
          <w:noProof/>
        </w:rPr>
        <w:fldChar w:fldCharType="end"/>
      </w:r>
    </w:p>
    <w:p w14:paraId="154428FA" w14:textId="1F27D4B8" w:rsidR="00634236" w:rsidRPr="00634236" w:rsidRDefault="00634236">
      <w:pPr>
        <w:pStyle w:val="TOC2"/>
        <w:rPr>
          <w:rFonts w:asciiTheme="minorHAnsi" w:eastAsiaTheme="minorEastAsia" w:hAnsiTheme="minorHAnsi" w:cstheme="minorBidi"/>
          <w:noProof/>
          <w:lang w:val="en-US"/>
        </w:rPr>
      </w:pPr>
      <w:r w:rsidRPr="006D4E27">
        <w:rPr>
          <w:noProof/>
          <w:lang w:val="en-US"/>
        </w:rPr>
        <w:t>2.4</w:t>
      </w:r>
      <w:r w:rsidRPr="00634236">
        <w:rPr>
          <w:rFonts w:asciiTheme="minorHAnsi" w:eastAsiaTheme="minorEastAsia" w:hAnsiTheme="minorHAnsi" w:cstheme="minorBidi"/>
          <w:noProof/>
          <w:lang w:val="en-US"/>
        </w:rPr>
        <w:tab/>
      </w:r>
      <w:r w:rsidRPr="006D4E27">
        <w:rPr>
          <w:noProof/>
          <w:lang w:val="en-US"/>
        </w:rPr>
        <w:t>LR3: Drivers of change and Trends</w:t>
      </w:r>
      <w:r w:rsidRPr="00634236">
        <w:rPr>
          <w:noProof/>
          <w:lang w:val="en-US"/>
        </w:rPr>
        <w:tab/>
      </w:r>
      <w:r>
        <w:rPr>
          <w:noProof/>
        </w:rPr>
        <w:fldChar w:fldCharType="begin"/>
      </w:r>
      <w:r w:rsidRPr="00634236">
        <w:rPr>
          <w:noProof/>
          <w:lang w:val="en-US"/>
        </w:rPr>
        <w:instrText xml:space="preserve"> PAGEREF _Toc14347319 \h </w:instrText>
      </w:r>
      <w:r>
        <w:rPr>
          <w:noProof/>
        </w:rPr>
      </w:r>
      <w:r>
        <w:rPr>
          <w:noProof/>
        </w:rPr>
        <w:fldChar w:fldCharType="separate"/>
      </w:r>
      <w:r w:rsidRPr="00634236">
        <w:rPr>
          <w:noProof/>
          <w:lang w:val="en-US"/>
        </w:rPr>
        <w:t>17</w:t>
      </w:r>
      <w:r>
        <w:rPr>
          <w:noProof/>
        </w:rPr>
        <w:fldChar w:fldCharType="end"/>
      </w:r>
    </w:p>
    <w:p w14:paraId="72E4BC1C" w14:textId="66A934B3"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2.4.1</w:t>
      </w:r>
      <w:r w:rsidRPr="00634236">
        <w:rPr>
          <w:rFonts w:asciiTheme="minorHAnsi" w:eastAsiaTheme="minorEastAsia" w:hAnsiTheme="minorHAnsi" w:cstheme="minorBidi"/>
          <w:noProof/>
          <w:lang w:val="en-US"/>
        </w:rPr>
        <w:tab/>
      </w:r>
      <w:r w:rsidRPr="006D4E27">
        <w:rPr>
          <w:noProof/>
          <w:lang w:val="en-US"/>
        </w:rPr>
        <w:t>Drivers of Change</w:t>
      </w:r>
      <w:r w:rsidRPr="00634236">
        <w:rPr>
          <w:noProof/>
          <w:lang w:val="en-US"/>
        </w:rPr>
        <w:tab/>
      </w:r>
      <w:r>
        <w:rPr>
          <w:noProof/>
        </w:rPr>
        <w:fldChar w:fldCharType="begin"/>
      </w:r>
      <w:r w:rsidRPr="00634236">
        <w:rPr>
          <w:noProof/>
          <w:lang w:val="en-US"/>
        </w:rPr>
        <w:instrText xml:space="preserve"> PAGEREF _Toc14347320 \h </w:instrText>
      </w:r>
      <w:r>
        <w:rPr>
          <w:noProof/>
        </w:rPr>
      </w:r>
      <w:r>
        <w:rPr>
          <w:noProof/>
        </w:rPr>
        <w:fldChar w:fldCharType="separate"/>
      </w:r>
      <w:r w:rsidRPr="00634236">
        <w:rPr>
          <w:noProof/>
          <w:lang w:val="en-US"/>
        </w:rPr>
        <w:t>17</w:t>
      </w:r>
      <w:r>
        <w:rPr>
          <w:noProof/>
        </w:rPr>
        <w:fldChar w:fldCharType="end"/>
      </w:r>
    </w:p>
    <w:p w14:paraId="4C116E57" w14:textId="57888738" w:rsidR="00634236" w:rsidRPr="00634236" w:rsidRDefault="00634236">
      <w:pPr>
        <w:pStyle w:val="TOC3"/>
        <w:rPr>
          <w:rFonts w:asciiTheme="minorHAnsi" w:eastAsiaTheme="minorEastAsia" w:hAnsiTheme="minorHAnsi" w:cstheme="minorBidi"/>
          <w:noProof/>
          <w:lang w:val="en-US"/>
        </w:rPr>
      </w:pPr>
      <w:r w:rsidRPr="006D4E27">
        <w:rPr>
          <w:bCs/>
          <w:iCs/>
          <w:noProof/>
          <w:lang w:val="en-US"/>
        </w:rPr>
        <w:t>Political instability</w:t>
      </w:r>
      <w:r w:rsidRPr="00634236">
        <w:rPr>
          <w:noProof/>
          <w:lang w:val="en-US"/>
        </w:rPr>
        <w:tab/>
      </w:r>
      <w:r>
        <w:rPr>
          <w:noProof/>
        </w:rPr>
        <w:fldChar w:fldCharType="begin"/>
      </w:r>
      <w:r w:rsidRPr="00634236">
        <w:rPr>
          <w:noProof/>
          <w:lang w:val="en-US"/>
        </w:rPr>
        <w:instrText xml:space="preserve"> PAGEREF _Toc14347321 \h </w:instrText>
      </w:r>
      <w:r>
        <w:rPr>
          <w:noProof/>
        </w:rPr>
      </w:r>
      <w:r>
        <w:rPr>
          <w:noProof/>
        </w:rPr>
        <w:fldChar w:fldCharType="separate"/>
      </w:r>
      <w:r w:rsidRPr="00634236">
        <w:rPr>
          <w:noProof/>
          <w:lang w:val="en-US"/>
        </w:rPr>
        <w:t>18</w:t>
      </w:r>
      <w:r>
        <w:rPr>
          <w:noProof/>
        </w:rPr>
        <w:fldChar w:fldCharType="end"/>
      </w:r>
    </w:p>
    <w:p w14:paraId="53C2D64C" w14:textId="0327B6E6" w:rsidR="00634236" w:rsidRPr="00634236" w:rsidRDefault="00634236">
      <w:pPr>
        <w:pStyle w:val="TOC3"/>
        <w:rPr>
          <w:rFonts w:asciiTheme="minorHAnsi" w:eastAsiaTheme="minorEastAsia" w:hAnsiTheme="minorHAnsi" w:cstheme="minorBidi"/>
          <w:noProof/>
          <w:lang w:val="en-US"/>
        </w:rPr>
      </w:pPr>
      <w:r w:rsidRPr="006D4E27">
        <w:rPr>
          <w:bCs/>
          <w:iCs/>
          <w:noProof/>
          <w:lang w:val="en-US"/>
        </w:rPr>
        <w:t>Technological Legislation</w:t>
      </w:r>
      <w:r w:rsidRPr="00634236">
        <w:rPr>
          <w:noProof/>
          <w:lang w:val="en-US"/>
        </w:rPr>
        <w:tab/>
      </w:r>
      <w:r>
        <w:rPr>
          <w:noProof/>
        </w:rPr>
        <w:fldChar w:fldCharType="begin"/>
      </w:r>
      <w:r w:rsidRPr="00634236">
        <w:rPr>
          <w:noProof/>
          <w:lang w:val="en-US"/>
        </w:rPr>
        <w:instrText xml:space="preserve"> PAGEREF _Toc14347322 \h </w:instrText>
      </w:r>
      <w:r>
        <w:rPr>
          <w:noProof/>
        </w:rPr>
      </w:r>
      <w:r>
        <w:rPr>
          <w:noProof/>
        </w:rPr>
        <w:fldChar w:fldCharType="separate"/>
      </w:r>
      <w:r w:rsidRPr="00634236">
        <w:rPr>
          <w:noProof/>
          <w:lang w:val="en-US"/>
        </w:rPr>
        <w:t>19</w:t>
      </w:r>
      <w:r>
        <w:rPr>
          <w:noProof/>
        </w:rPr>
        <w:fldChar w:fldCharType="end"/>
      </w:r>
    </w:p>
    <w:p w14:paraId="74A40184" w14:textId="5DF43BA6" w:rsidR="00634236" w:rsidRPr="00634236" w:rsidRDefault="00634236">
      <w:pPr>
        <w:pStyle w:val="TOC3"/>
        <w:rPr>
          <w:rFonts w:asciiTheme="minorHAnsi" w:eastAsiaTheme="minorEastAsia" w:hAnsiTheme="minorHAnsi" w:cstheme="minorBidi"/>
          <w:noProof/>
          <w:lang w:val="en-US"/>
        </w:rPr>
      </w:pPr>
      <w:r w:rsidRPr="006D4E27">
        <w:rPr>
          <w:bCs/>
          <w:iCs/>
          <w:noProof/>
          <w:lang w:val="en-US"/>
        </w:rPr>
        <w:t>Changing Patterns of Consumer Demand</w:t>
      </w:r>
      <w:r w:rsidRPr="00634236">
        <w:rPr>
          <w:noProof/>
          <w:lang w:val="en-US"/>
        </w:rPr>
        <w:tab/>
      </w:r>
      <w:r>
        <w:rPr>
          <w:noProof/>
        </w:rPr>
        <w:fldChar w:fldCharType="begin"/>
      </w:r>
      <w:r w:rsidRPr="00634236">
        <w:rPr>
          <w:noProof/>
          <w:lang w:val="en-US"/>
        </w:rPr>
        <w:instrText xml:space="preserve"> PAGEREF _Toc14347323 \h </w:instrText>
      </w:r>
      <w:r>
        <w:rPr>
          <w:noProof/>
        </w:rPr>
      </w:r>
      <w:r>
        <w:rPr>
          <w:noProof/>
        </w:rPr>
        <w:fldChar w:fldCharType="separate"/>
      </w:r>
      <w:r w:rsidRPr="00634236">
        <w:rPr>
          <w:noProof/>
          <w:lang w:val="en-US"/>
        </w:rPr>
        <w:t>19</w:t>
      </w:r>
      <w:r>
        <w:rPr>
          <w:noProof/>
        </w:rPr>
        <w:fldChar w:fldCharType="end"/>
      </w:r>
    </w:p>
    <w:p w14:paraId="52DB11F9" w14:textId="2EDB14C5"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2.4.2</w:t>
      </w:r>
      <w:r w:rsidRPr="00634236">
        <w:rPr>
          <w:rFonts w:asciiTheme="minorHAnsi" w:eastAsiaTheme="minorEastAsia" w:hAnsiTheme="minorHAnsi" w:cstheme="minorBidi"/>
          <w:noProof/>
          <w:lang w:val="en-US"/>
        </w:rPr>
        <w:tab/>
      </w:r>
      <w:r w:rsidRPr="006D4E27">
        <w:rPr>
          <w:noProof/>
          <w:lang w:val="en-US"/>
        </w:rPr>
        <w:t>Trends</w:t>
      </w:r>
      <w:r w:rsidRPr="00634236">
        <w:rPr>
          <w:noProof/>
          <w:lang w:val="en-US"/>
        </w:rPr>
        <w:tab/>
      </w:r>
      <w:r>
        <w:rPr>
          <w:noProof/>
        </w:rPr>
        <w:fldChar w:fldCharType="begin"/>
      </w:r>
      <w:r w:rsidRPr="00634236">
        <w:rPr>
          <w:noProof/>
          <w:lang w:val="en-US"/>
        </w:rPr>
        <w:instrText xml:space="preserve"> PAGEREF _Toc14347324 \h </w:instrText>
      </w:r>
      <w:r>
        <w:rPr>
          <w:noProof/>
        </w:rPr>
      </w:r>
      <w:r>
        <w:rPr>
          <w:noProof/>
        </w:rPr>
        <w:fldChar w:fldCharType="separate"/>
      </w:r>
      <w:r w:rsidRPr="00634236">
        <w:rPr>
          <w:noProof/>
          <w:lang w:val="en-US"/>
        </w:rPr>
        <w:t>20</w:t>
      </w:r>
      <w:r>
        <w:rPr>
          <w:noProof/>
        </w:rPr>
        <w:fldChar w:fldCharType="end"/>
      </w:r>
    </w:p>
    <w:p w14:paraId="394D6263" w14:textId="00716F92" w:rsidR="00634236" w:rsidRPr="00634236" w:rsidRDefault="00634236">
      <w:pPr>
        <w:pStyle w:val="TOC1"/>
        <w:tabs>
          <w:tab w:val="left" w:pos="539"/>
        </w:tabs>
        <w:rPr>
          <w:rFonts w:asciiTheme="minorHAnsi" w:eastAsiaTheme="minorEastAsia" w:hAnsiTheme="minorHAnsi" w:cstheme="minorBidi"/>
          <w:b w:val="0"/>
          <w:sz w:val="24"/>
          <w:lang w:val="en-US"/>
        </w:rPr>
      </w:pPr>
      <w:r w:rsidRPr="006D4E27">
        <w:rPr>
          <w:lang w:val="en-US"/>
        </w:rPr>
        <w:t>3</w:t>
      </w:r>
      <w:r w:rsidRPr="00634236">
        <w:rPr>
          <w:rFonts w:asciiTheme="minorHAnsi" w:eastAsiaTheme="minorEastAsia" w:hAnsiTheme="minorHAnsi" w:cstheme="minorBidi"/>
          <w:b w:val="0"/>
          <w:sz w:val="24"/>
          <w:lang w:val="en-US"/>
        </w:rPr>
        <w:tab/>
      </w:r>
      <w:r w:rsidRPr="006D4E27">
        <w:rPr>
          <w:lang w:val="en-US"/>
        </w:rPr>
        <w:t>Development Phase 1</w:t>
      </w:r>
      <w:r w:rsidRPr="00634236">
        <w:rPr>
          <w:lang w:val="en-US"/>
        </w:rPr>
        <w:tab/>
      </w:r>
      <w:r>
        <w:fldChar w:fldCharType="begin"/>
      </w:r>
      <w:r w:rsidRPr="00634236">
        <w:rPr>
          <w:lang w:val="en-US"/>
        </w:rPr>
        <w:instrText xml:space="preserve"> PAGEREF _Toc14347325 \h </w:instrText>
      </w:r>
      <w:r>
        <w:fldChar w:fldCharType="separate"/>
      </w:r>
      <w:r w:rsidRPr="00634236">
        <w:rPr>
          <w:lang w:val="en-US"/>
        </w:rPr>
        <w:t>21</w:t>
      </w:r>
      <w:r>
        <w:fldChar w:fldCharType="end"/>
      </w:r>
    </w:p>
    <w:p w14:paraId="68C43D24" w14:textId="7CF11432" w:rsidR="00634236" w:rsidRPr="00634236" w:rsidRDefault="00634236">
      <w:pPr>
        <w:pStyle w:val="TOC2"/>
        <w:rPr>
          <w:rFonts w:asciiTheme="minorHAnsi" w:eastAsiaTheme="minorEastAsia" w:hAnsiTheme="minorHAnsi" w:cstheme="minorBidi"/>
          <w:noProof/>
          <w:lang w:val="en-US"/>
        </w:rPr>
      </w:pPr>
      <w:r w:rsidRPr="006D4E27">
        <w:rPr>
          <w:noProof/>
          <w:lang w:val="en-US"/>
        </w:rPr>
        <w:t>3.1</w:t>
      </w:r>
      <w:r w:rsidRPr="00634236">
        <w:rPr>
          <w:rFonts w:asciiTheme="minorHAnsi" w:eastAsiaTheme="minorEastAsia" w:hAnsiTheme="minorHAnsi" w:cstheme="minorBidi"/>
          <w:noProof/>
          <w:lang w:val="en-US"/>
        </w:rPr>
        <w:tab/>
      </w:r>
      <w:r w:rsidRPr="006D4E27">
        <w:rPr>
          <w:noProof/>
          <w:lang w:val="en-US"/>
        </w:rPr>
        <w:t>Survey design</w:t>
      </w:r>
      <w:r w:rsidRPr="00634236">
        <w:rPr>
          <w:noProof/>
          <w:lang w:val="en-US"/>
        </w:rPr>
        <w:tab/>
      </w:r>
      <w:r>
        <w:rPr>
          <w:noProof/>
        </w:rPr>
        <w:fldChar w:fldCharType="begin"/>
      </w:r>
      <w:r w:rsidRPr="00634236">
        <w:rPr>
          <w:noProof/>
          <w:lang w:val="en-US"/>
        </w:rPr>
        <w:instrText xml:space="preserve"> PAGEREF _Toc14347326 \h </w:instrText>
      </w:r>
      <w:r>
        <w:rPr>
          <w:noProof/>
        </w:rPr>
      </w:r>
      <w:r>
        <w:rPr>
          <w:noProof/>
        </w:rPr>
        <w:fldChar w:fldCharType="separate"/>
      </w:r>
      <w:r w:rsidRPr="00634236">
        <w:rPr>
          <w:noProof/>
          <w:lang w:val="en-US"/>
        </w:rPr>
        <w:t>21</w:t>
      </w:r>
      <w:r>
        <w:rPr>
          <w:noProof/>
        </w:rPr>
        <w:fldChar w:fldCharType="end"/>
      </w:r>
    </w:p>
    <w:p w14:paraId="4B6A6B5D" w14:textId="31DC7936" w:rsidR="00634236" w:rsidRPr="00634236" w:rsidRDefault="00634236">
      <w:pPr>
        <w:pStyle w:val="TOC2"/>
        <w:rPr>
          <w:rFonts w:asciiTheme="minorHAnsi" w:eastAsiaTheme="minorEastAsia" w:hAnsiTheme="minorHAnsi" w:cstheme="minorBidi"/>
          <w:noProof/>
          <w:lang w:val="en-US"/>
        </w:rPr>
      </w:pPr>
      <w:r w:rsidRPr="006D4E27">
        <w:rPr>
          <w:noProof/>
          <w:lang w:val="en-US"/>
        </w:rPr>
        <w:t>3.2</w:t>
      </w:r>
      <w:r w:rsidRPr="00634236">
        <w:rPr>
          <w:rFonts w:asciiTheme="minorHAnsi" w:eastAsiaTheme="minorEastAsia" w:hAnsiTheme="minorHAnsi" w:cstheme="minorBidi"/>
          <w:noProof/>
          <w:lang w:val="en-US"/>
        </w:rPr>
        <w:tab/>
      </w:r>
      <w:r w:rsidRPr="006D4E27">
        <w:rPr>
          <w:noProof/>
          <w:lang w:val="en-US"/>
        </w:rPr>
        <w:t>Experts</w:t>
      </w:r>
      <w:r w:rsidRPr="00634236">
        <w:rPr>
          <w:noProof/>
          <w:lang w:val="en-US"/>
        </w:rPr>
        <w:tab/>
      </w:r>
      <w:r>
        <w:rPr>
          <w:noProof/>
        </w:rPr>
        <w:fldChar w:fldCharType="begin"/>
      </w:r>
      <w:r w:rsidRPr="00634236">
        <w:rPr>
          <w:noProof/>
          <w:lang w:val="en-US"/>
        </w:rPr>
        <w:instrText xml:space="preserve"> PAGEREF _Toc14347327 \h </w:instrText>
      </w:r>
      <w:r>
        <w:rPr>
          <w:noProof/>
        </w:rPr>
      </w:r>
      <w:r>
        <w:rPr>
          <w:noProof/>
        </w:rPr>
        <w:fldChar w:fldCharType="separate"/>
      </w:r>
      <w:r w:rsidRPr="00634236">
        <w:rPr>
          <w:noProof/>
          <w:lang w:val="en-US"/>
        </w:rPr>
        <w:t>21</w:t>
      </w:r>
      <w:r>
        <w:rPr>
          <w:noProof/>
        </w:rPr>
        <w:fldChar w:fldCharType="end"/>
      </w:r>
    </w:p>
    <w:p w14:paraId="4CA5AE18" w14:textId="0B5D5D93" w:rsidR="00634236" w:rsidRPr="00634236" w:rsidRDefault="00634236">
      <w:pPr>
        <w:pStyle w:val="TOC2"/>
        <w:rPr>
          <w:rFonts w:asciiTheme="minorHAnsi" w:eastAsiaTheme="minorEastAsia" w:hAnsiTheme="minorHAnsi" w:cstheme="minorBidi"/>
          <w:noProof/>
          <w:lang w:val="en-US"/>
        </w:rPr>
      </w:pPr>
      <w:r w:rsidRPr="006D4E27">
        <w:rPr>
          <w:noProof/>
          <w:lang w:val="en-US"/>
        </w:rPr>
        <w:t>3.3</w:t>
      </w:r>
      <w:r w:rsidRPr="00634236">
        <w:rPr>
          <w:rFonts w:asciiTheme="minorHAnsi" w:eastAsiaTheme="minorEastAsia" w:hAnsiTheme="minorHAnsi" w:cstheme="minorBidi"/>
          <w:noProof/>
          <w:lang w:val="en-US"/>
        </w:rPr>
        <w:tab/>
      </w:r>
      <w:r w:rsidRPr="006D4E27">
        <w:rPr>
          <w:noProof/>
          <w:lang w:val="en-US"/>
        </w:rPr>
        <w:t>Results</w:t>
      </w:r>
      <w:r w:rsidRPr="00634236">
        <w:rPr>
          <w:noProof/>
          <w:lang w:val="en-US"/>
        </w:rPr>
        <w:tab/>
      </w:r>
      <w:r>
        <w:rPr>
          <w:noProof/>
        </w:rPr>
        <w:fldChar w:fldCharType="begin"/>
      </w:r>
      <w:r w:rsidRPr="00634236">
        <w:rPr>
          <w:noProof/>
          <w:lang w:val="en-US"/>
        </w:rPr>
        <w:instrText xml:space="preserve"> PAGEREF _Toc14347328 \h </w:instrText>
      </w:r>
      <w:r>
        <w:rPr>
          <w:noProof/>
        </w:rPr>
      </w:r>
      <w:r>
        <w:rPr>
          <w:noProof/>
        </w:rPr>
        <w:fldChar w:fldCharType="separate"/>
      </w:r>
      <w:r w:rsidRPr="00634236">
        <w:rPr>
          <w:noProof/>
          <w:lang w:val="en-US"/>
        </w:rPr>
        <w:t>23</w:t>
      </w:r>
      <w:r>
        <w:rPr>
          <w:noProof/>
        </w:rPr>
        <w:fldChar w:fldCharType="end"/>
      </w:r>
    </w:p>
    <w:p w14:paraId="0B14AA5C" w14:textId="53424497" w:rsidR="00634236" w:rsidRPr="00634236" w:rsidRDefault="00634236">
      <w:pPr>
        <w:pStyle w:val="TOC2"/>
        <w:rPr>
          <w:rFonts w:asciiTheme="minorHAnsi" w:eastAsiaTheme="minorEastAsia" w:hAnsiTheme="minorHAnsi" w:cstheme="minorBidi"/>
          <w:noProof/>
          <w:lang w:val="en-US"/>
        </w:rPr>
      </w:pPr>
      <w:r w:rsidRPr="006D4E27">
        <w:rPr>
          <w:noProof/>
          <w:lang w:val="en-US"/>
        </w:rPr>
        <w:t>3.4</w:t>
      </w:r>
      <w:r w:rsidRPr="00634236">
        <w:rPr>
          <w:rFonts w:asciiTheme="minorHAnsi" w:eastAsiaTheme="minorEastAsia" w:hAnsiTheme="minorHAnsi" w:cstheme="minorBidi"/>
          <w:noProof/>
          <w:lang w:val="en-US"/>
        </w:rPr>
        <w:tab/>
      </w:r>
      <w:r w:rsidRPr="006D4E27">
        <w:rPr>
          <w:noProof/>
          <w:lang w:val="en-US"/>
        </w:rPr>
        <w:t>Centered scanning of trends: Top 6</w:t>
      </w:r>
      <w:r w:rsidRPr="00634236">
        <w:rPr>
          <w:noProof/>
          <w:lang w:val="en-US"/>
        </w:rPr>
        <w:tab/>
      </w:r>
      <w:r>
        <w:rPr>
          <w:noProof/>
        </w:rPr>
        <w:fldChar w:fldCharType="begin"/>
      </w:r>
      <w:r w:rsidRPr="00634236">
        <w:rPr>
          <w:noProof/>
          <w:lang w:val="en-US"/>
        </w:rPr>
        <w:instrText xml:space="preserve"> PAGEREF _Toc14347329 \h </w:instrText>
      </w:r>
      <w:r>
        <w:rPr>
          <w:noProof/>
        </w:rPr>
      </w:r>
      <w:r>
        <w:rPr>
          <w:noProof/>
        </w:rPr>
        <w:fldChar w:fldCharType="separate"/>
      </w:r>
      <w:r w:rsidRPr="00634236">
        <w:rPr>
          <w:noProof/>
          <w:lang w:val="en-US"/>
        </w:rPr>
        <w:t>28</w:t>
      </w:r>
      <w:r>
        <w:rPr>
          <w:noProof/>
        </w:rPr>
        <w:fldChar w:fldCharType="end"/>
      </w:r>
    </w:p>
    <w:p w14:paraId="32D84485" w14:textId="75683ED3"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3.4.1</w:t>
      </w:r>
      <w:r w:rsidRPr="00634236">
        <w:rPr>
          <w:rFonts w:asciiTheme="minorHAnsi" w:eastAsiaTheme="minorEastAsia" w:hAnsiTheme="minorHAnsi" w:cstheme="minorBidi"/>
          <w:noProof/>
          <w:lang w:val="en-US"/>
        </w:rPr>
        <w:tab/>
      </w:r>
      <w:r w:rsidRPr="006D4E27">
        <w:rPr>
          <w:noProof/>
          <w:lang w:val="en-US"/>
        </w:rPr>
        <w:t>Data Economy</w:t>
      </w:r>
      <w:r w:rsidRPr="00634236">
        <w:rPr>
          <w:noProof/>
          <w:lang w:val="en-US"/>
        </w:rPr>
        <w:tab/>
      </w:r>
      <w:r>
        <w:rPr>
          <w:noProof/>
        </w:rPr>
        <w:fldChar w:fldCharType="begin"/>
      </w:r>
      <w:r w:rsidRPr="00634236">
        <w:rPr>
          <w:noProof/>
          <w:lang w:val="en-US"/>
        </w:rPr>
        <w:instrText xml:space="preserve"> PAGEREF _Toc14347330 \h </w:instrText>
      </w:r>
      <w:r>
        <w:rPr>
          <w:noProof/>
        </w:rPr>
      </w:r>
      <w:r>
        <w:rPr>
          <w:noProof/>
        </w:rPr>
        <w:fldChar w:fldCharType="separate"/>
      </w:r>
      <w:r w:rsidRPr="00634236">
        <w:rPr>
          <w:noProof/>
          <w:lang w:val="en-US"/>
        </w:rPr>
        <w:t>29</w:t>
      </w:r>
      <w:r>
        <w:rPr>
          <w:noProof/>
        </w:rPr>
        <w:fldChar w:fldCharType="end"/>
      </w:r>
    </w:p>
    <w:p w14:paraId="2DC96587" w14:textId="2D4995B7"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3.4.2</w:t>
      </w:r>
      <w:r w:rsidRPr="00634236">
        <w:rPr>
          <w:rFonts w:asciiTheme="minorHAnsi" w:eastAsiaTheme="minorEastAsia" w:hAnsiTheme="minorHAnsi" w:cstheme="minorBidi"/>
          <w:noProof/>
          <w:lang w:val="en-US"/>
        </w:rPr>
        <w:tab/>
      </w:r>
      <w:r w:rsidRPr="006D4E27">
        <w:rPr>
          <w:noProof/>
          <w:lang w:val="en-US"/>
        </w:rPr>
        <w:t>Digital Economy</w:t>
      </w:r>
      <w:r w:rsidRPr="00634236">
        <w:rPr>
          <w:noProof/>
          <w:lang w:val="en-US"/>
        </w:rPr>
        <w:tab/>
      </w:r>
      <w:r>
        <w:rPr>
          <w:noProof/>
        </w:rPr>
        <w:fldChar w:fldCharType="begin"/>
      </w:r>
      <w:r w:rsidRPr="00634236">
        <w:rPr>
          <w:noProof/>
          <w:lang w:val="en-US"/>
        </w:rPr>
        <w:instrText xml:space="preserve"> PAGEREF _Toc14347331 \h </w:instrText>
      </w:r>
      <w:r>
        <w:rPr>
          <w:noProof/>
        </w:rPr>
      </w:r>
      <w:r>
        <w:rPr>
          <w:noProof/>
        </w:rPr>
        <w:fldChar w:fldCharType="separate"/>
      </w:r>
      <w:r w:rsidRPr="00634236">
        <w:rPr>
          <w:noProof/>
          <w:lang w:val="en-US"/>
        </w:rPr>
        <w:t>31</w:t>
      </w:r>
      <w:r>
        <w:rPr>
          <w:noProof/>
        </w:rPr>
        <w:fldChar w:fldCharType="end"/>
      </w:r>
    </w:p>
    <w:p w14:paraId="2248C343" w14:textId="07DB66D9"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3.4.3</w:t>
      </w:r>
      <w:r w:rsidRPr="00634236">
        <w:rPr>
          <w:rFonts w:asciiTheme="minorHAnsi" w:eastAsiaTheme="minorEastAsia" w:hAnsiTheme="minorHAnsi" w:cstheme="minorBidi"/>
          <w:noProof/>
          <w:lang w:val="en-US"/>
        </w:rPr>
        <w:tab/>
      </w:r>
      <w:r w:rsidRPr="006D4E27">
        <w:rPr>
          <w:noProof/>
          <w:lang w:val="en-US"/>
        </w:rPr>
        <w:t>Circular Economy</w:t>
      </w:r>
      <w:r w:rsidRPr="00634236">
        <w:rPr>
          <w:noProof/>
          <w:lang w:val="en-US"/>
        </w:rPr>
        <w:tab/>
      </w:r>
      <w:r>
        <w:rPr>
          <w:noProof/>
        </w:rPr>
        <w:fldChar w:fldCharType="begin"/>
      </w:r>
      <w:r w:rsidRPr="00634236">
        <w:rPr>
          <w:noProof/>
          <w:lang w:val="en-US"/>
        </w:rPr>
        <w:instrText xml:space="preserve"> PAGEREF _Toc14347332 \h </w:instrText>
      </w:r>
      <w:r>
        <w:rPr>
          <w:noProof/>
        </w:rPr>
      </w:r>
      <w:r>
        <w:rPr>
          <w:noProof/>
        </w:rPr>
        <w:fldChar w:fldCharType="separate"/>
      </w:r>
      <w:r w:rsidRPr="00634236">
        <w:rPr>
          <w:noProof/>
          <w:lang w:val="en-US"/>
        </w:rPr>
        <w:t>32</w:t>
      </w:r>
      <w:r>
        <w:rPr>
          <w:noProof/>
        </w:rPr>
        <w:fldChar w:fldCharType="end"/>
      </w:r>
    </w:p>
    <w:p w14:paraId="5C77A54C" w14:textId="0EB75517"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3.4.4</w:t>
      </w:r>
      <w:r w:rsidRPr="00634236">
        <w:rPr>
          <w:rFonts w:asciiTheme="minorHAnsi" w:eastAsiaTheme="minorEastAsia" w:hAnsiTheme="minorHAnsi" w:cstheme="minorBidi"/>
          <w:noProof/>
          <w:lang w:val="en-US"/>
        </w:rPr>
        <w:tab/>
      </w:r>
      <w:r w:rsidRPr="006D4E27">
        <w:rPr>
          <w:noProof/>
          <w:lang w:val="en-US"/>
        </w:rPr>
        <w:t>On Demand Economy</w:t>
      </w:r>
      <w:r w:rsidRPr="00634236">
        <w:rPr>
          <w:noProof/>
          <w:lang w:val="en-US"/>
        </w:rPr>
        <w:tab/>
      </w:r>
      <w:r>
        <w:rPr>
          <w:noProof/>
        </w:rPr>
        <w:fldChar w:fldCharType="begin"/>
      </w:r>
      <w:r w:rsidRPr="00634236">
        <w:rPr>
          <w:noProof/>
          <w:lang w:val="en-US"/>
        </w:rPr>
        <w:instrText xml:space="preserve"> PAGEREF _Toc14347333 \h </w:instrText>
      </w:r>
      <w:r>
        <w:rPr>
          <w:noProof/>
        </w:rPr>
      </w:r>
      <w:r>
        <w:rPr>
          <w:noProof/>
        </w:rPr>
        <w:fldChar w:fldCharType="separate"/>
      </w:r>
      <w:r w:rsidRPr="00634236">
        <w:rPr>
          <w:noProof/>
          <w:lang w:val="en-US"/>
        </w:rPr>
        <w:t>34</w:t>
      </w:r>
      <w:r>
        <w:rPr>
          <w:noProof/>
        </w:rPr>
        <w:fldChar w:fldCharType="end"/>
      </w:r>
    </w:p>
    <w:p w14:paraId="750D4B25" w14:textId="424A85E4"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3.4.5</w:t>
      </w:r>
      <w:r w:rsidRPr="00634236">
        <w:rPr>
          <w:rFonts w:asciiTheme="minorHAnsi" w:eastAsiaTheme="minorEastAsia" w:hAnsiTheme="minorHAnsi" w:cstheme="minorBidi"/>
          <w:noProof/>
          <w:lang w:val="en-US"/>
        </w:rPr>
        <w:tab/>
      </w:r>
      <w:r w:rsidRPr="006D4E27">
        <w:rPr>
          <w:noProof/>
          <w:lang w:val="en-US"/>
        </w:rPr>
        <w:t>Sustainable Intensification</w:t>
      </w:r>
      <w:r w:rsidRPr="00634236">
        <w:rPr>
          <w:noProof/>
          <w:lang w:val="en-US"/>
        </w:rPr>
        <w:tab/>
      </w:r>
      <w:r>
        <w:rPr>
          <w:noProof/>
        </w:rPr>
        <w:fldChar w:fldCharType="begin"/>
      </w:r>
      <w:r w:rsidRPr="00634236">
        <w:rPr>
          <w:noProof/>
          <w:lang w:val="en-US"/>
        </w:rPr>
        <w:instrText xml:space="preserve"> PAGEREF _Toc14347334 \h </w:instrText>
      </w:r>
      <w:r>
        <w:rPr>
          <w:noProof/>
        </w:rPr>
      </w:r>
      <w:r>
        <w:rPr>
          <w:noProof/>
        </w:rPr>
        <w:fldChar w:fldCharType="separate"/>
      </w:r>
      <w:r w:rsidRPr="00634236">
        <w:rPr>
          <w:noProof/>
          <w:lang w:val="en-US"/>
        </w:rPr>
        <w:t>35</w:t>
      </w:r>
      <w:r>
        <w:rPr>
          <w:noProof/>
        </w:rPr>
        <w:fldChar w:fldCharType="end"/>
      </w:r>
    </w:p>
    <w:p w14:paraId="1A08B1EC" w14:textId="18108000"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3.4.6</w:t>
      </w:r>
      <w:r w:rsidRPr="00634236">
        <w:rPr>
          <w:rFonts w:asciiTheme="minorHAnsi" w:eastAsiaTheme="minorEastAsia" w:hAnsiTheme="minorHAnsi" w:cstheme="minorBidi"/>
          <w:noProof/>
          <w:lang w:val="en-US"/>
        </w:rPr>
        <w:tab/>
      </w:r>
      <w:r w:rsidRPr="006D4E27">
        <w:rPr>
          <w:noProof/>
          <w:lang w:val="en-US"/>
        </w:rPr>
        <w:t>Sharing Economy</w:t>
      </w:r>
      <w:r w:rsidRPr="00634236">
        <w:rPr>
          <w:noProof/>
          <w:lang w:val="en-US"/>
        </w:rPr>
        <w:tab/>
      </w:r>
      <w:r>
        <w:rPr>
          <w:noProof/>
        </w:rPr>
        <w:fldChar w:fldCharType="begin"/>
      </w:r>
      <w:r w:rsidRPr="00634236">
        <w:rPr>
          <w:noProof/>
          <w:lang w:val="en-US"/>
        </w:rPr>
        <w:instrText xml:space="preserve"> PAGEREF _Toc14347335 \h </w:instrText>
      </w:r>
      <w:r>
        <w:rPr>
          <w:noProof/>
        </w:rPr>
      </w:r>
      <w:r>
        <w:rPr>
          <w:noProof/>
        </w:rPr>
        <w:fldChar w:fldCharType="separate"/>
      </w:r>
      <w:r w:rsidRPr="00634236">
        <w:rPr>
          <w:noProof/>
          <w:lang w:val="en-US"/>
        </w:rPr>
        <w:t>37</w:t>
      </w:r>
      <w:r>
        <w:rPr>
          <w:noProof/>
        </w:rPr>
        <w:fldChar w:fldCharType="end"/>
      </w:r>
    </w:p>
    <w:p w14:paraId="5A9E585D" w14:textId="0FA820EB" w:rsidR="00634236" w:rsidRPr="00634236" w:rsidRDefault="00634236">
      <w:pPr>
        <w:pStyle w:val="TOC2"/>
        <w:rPr>
          <w:rFonts w:asciiTheme="minorHAnsi" w:eastAsiaTheme="minorEastAsia" w:hAnsiTheme="minorHAnsi" w:cstheme="minorBidi"/>
          <w:noProof/>
          <w:lang w:val="en-US"/>
        </w:rPr>
      </w:pPr>
      <w:r w:rsidRPr="006D4E27">
        <w:rPr>
          <w:noProof/>
          <w:lang w:val="en-US"/>
        </w:rPr>
        <w:t>3.5</w:t>
      </w:r>
      <w:r w:rsidRPr="00634236">
        <w:rPr>
          <w:rFonts w:asciiTheme="minorHAnsi" w:eastAsiaTheme="minorEastAsia" w:hAnsiTheme="minorHAnsi" w:cstheme="minorBidi"/>
          <w:noProof/>
          <w:lang w:val="en-US"/>
        </w:rPr>
        <w:tab/>
      </w:r>
      <w:r w:rsidRPr="006D4E27">
        <w:rPr>
          <w:noProof/>
          <w:lang w:val="en-US"/>
        </w:rPr>
        <w:t>Outcome 1: Visual Trend Map</w:t>
      </w:r>
      <w:r w:rsidRPr="00634236">
        <w:rPr>
          <w:noProof/>
          <w:lang w:val="en-US"/>
        </w:rPr>
        <w:tab/>
      </w:r>
      <w:r>
        <w:rPr>
          <w:noProof/>
        </w:rPr>
        <w:fldChar w:fldCharType="begin"/>
      </w:r>
      <w:r w:rsidRPr="00634236">
        <w:rPr>
          <w:noProof/>
          <w:lang w:val="en-US"/>
        </w:rPr>
        <w:instrText xml:space="preserve"> PAGEREF _Toc14347336 \h </w:instrText>
      </w:r>
      <w:r>
        <w:rPr>
          <w:noProof/>
        </w:rPr>
      </w:r>
      <w:r>
        <w:rPr>
          <w:noProof/>
        </w:rPr>
        <w:fldChar w:fldCharType="separate"/>
      </w:r>
      <w:r w:rsidRPr="00634236">
        <w:rPr>
          <w:noProof/>
          <w:lang w:val="en-US"/>
        </w:rPr>
        <w:t>38</w:t>
      </w:r>
      <w:r>
        <w:rPr>
          <w:noProof/>
        </w:rPr>
        <w:fldChar w:fldCharType="end"/>
      </w:r>
    </w:p>
    <w:p w14:paraId="07B0D961" w14:textId="14691D78" w:rsidR="00634236" w:rsidRPr="00634236" w:rsidRDefault="00634236">
      <w:pPr>
        <w:pStyle w:val="TOC1"/>
        <w:tabs>
          <w:tab w:val="left" w:pos="539"/>
        </w:tabs>
        <w:rPr>
          <w:rFonts w:asciiTheme="minorHAnsi" w:eastAsiaTheme="minorEastAsia" w:hAnsiTheme="minorHAnsi" w:cstheme="minorBidi"/>
          <w:b w:val="0"/>
          <w:sz w:val="24"/>
          <w:lang w:val="en-US"/>
        </w:rPr>
      </w:pPr>
      <w:r w:rsidRPr="006D4E27">
        <w:rPr>
          <w:lang w:val="en-US"/>
        </w:rPr>
        <w:t>4</w:t>
      </w:r>
      <w:r w:rsidRPr="00634236">
        <w:rPr>
          <w:rFonts w:asciiTheme="minorHAnsi" w:eastAsiaTheme="minorEastAsia" w:hAnsiTheme="minorHAnsi" w:cstheme="minorBidi"/>
          <w:b w:val="0"/>
          <w:sz w:val="24"/>
          <w:lang w:val="en-US"/>
        </w:rPr>
        <w:tab/>
      </w:r>
      <w:r w:rsidRPr="006D4E27">
        <w:rPr>
          <w:lang w:val="en-US"/>
        </w:rPr>
        <w:t>Development Phase 2</w:t>
      </w:r>
      <w:r w:rsidRPr="00634236">
        <w:rPr>
          <w:lang w:val="en-US"/>
        </w:rPr>
        <w:tab/>
      </w:r>
      <w:r>
        <w:fldChar w:fldCharType="begin"/>
      </w:r>
      <w:r w:rsidRPr="00634236">
        <w:rPr>
          <w:lang w:val="en-US"/>
        </w:rPr>
        <w:instrText xml:space="preserve"> PAGEREF _Toc14347337 \h </w:instrText>
      </w:r>
      <w:r>
        <w:fldChar w:fldCharType="separate"/>
      </w:r>
      <w:r w:rsidRPr="00634236">
        <w:rPr>
          <w:lang w:val="en-US"/>
        </w:rPr>
        <w:t>40</w:t>
      </w:r>
      <w:r>
        <w:fldChar w:fldCharType="end"/>
      </w:r>
    </w:p>
    <w:p w14:paraId="26901FCD" w14:textId="7CF6E3F9" w:rsidR="00634236" w:rsidRPr="00634236" w:rsidRDefault="00634236">
      <w:pPr>
        <w:pStyle w:val="TOC2"/>
        <w:rPr>
          <w:rFonts w:asciiTheme="minorHAnsi" w:eastAsiaTheme="minorEastAsia" w:hAnsiTheme="minorHAnsi" w:cstheme="minorBidi"/>
          <w:noProof/>
          <w:lang w:val="en-US"/>
        </w:rPr>
      </w:pPr>
      <w:r w:rsidRPr="006D4E27">
        <w:rPr>
          <w:noProof/>
          <w:lang w:val="en-US"/>
        </w:rPr>
        <w:t>4.1</w:t>
      </w:r>
      <w:r w:rsidRPr="00634236">
        <w:rPr>
          <w:rFonts w:asciiTheme="minorHAnsi" w:eastAsiaTheme="minorEastAsia" w:hAnsiTheme="minorHAnsi" w:cstheme="minorBidi"/>
          <w:noProof/>
          <w:lang w:val="en-US"/>
        </w:rPr>
        <w:tab/>
      </w:r>
      <w:r w:rsidRPr="006D4E27">
        <w:rPr>
          <w:noProof/>
          <w:lang w:val="en-US"/>
        </w:rPr>
        <w:t>DigiTech Value Chain</w:t>
      </w:r>
      <w:r w:rsidRPr="00634236">
        <w:rPr>
          <w:noProof/>
          <w:lang w:val="en-US"/>
        </w:rPr>
        <w:tab/>
      </w:r>
      <w:r>
        <w:rPr>
          <w:noProof/>
        </w:rPr>
        <w:fldChar w:fldCharType="begin"/>
      </w:r>
      <w:r w:rsidRPr="00634236">
        <w:rPr>
          <w:noProof/>
          <w:lang w:val="en-US"/>
        </w:rPr>
        <w:instrText xml:space="preserve"> PAGEREF _Toc14347338 \h </w:instrText>
      </w:r>
      <w:r>
        <w:rPr>
          <w:noProof/>
        </w:rPr>
      </w:r>
      <w:r>
        <w:rPr>
          <w:noProof/>
        </w:rPr>
        <w:fldChar w:fldCharType="separate"/>
      </w:r>
      <w:r w:rsidRPr="00634236">
        <w:rPr>
          <w:noProof/>
          <w:lang w:val="en-US"/>
        </w:rPr>
        <w:t>40</w:t>
      </w:r>
      <w:r>
        <w:rPr>
          <w:noProof/>
        </w:rPr>
        <w:fldChar w:fldCharType="end"/>
      </w:r>
    </w:p>
    <w:p w14:paraId="0220D2D8" w14:textId="0ACADB1C"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4.1.1</w:t>
      </w:r>
      <w:r w:rsidRPr="00634236">
        <w:rPr>
          <w:rFonts w:asciiTheme="minorHAnsi" w:eastAsiaTheme="minorEastAsia" w:hAnsiTheme="minorHAnsi" w:cstheme="minorBidi"/>
          <w:noProof/>
          <w:lang w:val="en-US"/>
        </w:rPr>
        <w:tab/>
      </w:r>
      <w:r w:rsidRPr="006D4E27">
        <w:rPr>
          <w:noProof/>
          <w:lang w:val="en-US"/>
        </w:rPr>
        <w:t>Benchmarking the Agri-food value chain</w:t>
      </w:r>
      <w:r w:rsidRPr="00634236">
        <w:rPr>
          <w:noProof/>
          <w:lang w:val="en-US"/>
        </w:rPr>
        <w:tab/>
      </w:r>
      <w:r>
        <w:rPr>
          <w:noProof/>
        </w:rPr>
        <w:fldChar w:fldCharType="begin"/>
      </w:r>
      <w:r w:rsidRPr="00634236">
        <w:rPr>
          <w:noProof/>
          <w:lang w:val="en-US"/>
        </w:rPr>
        <w:instrText xml:space="preserve"> PAGEREF _Toc14347339 \h </w:instrText>
      </w:r>
      <w:r>
        <w:rPr>
          <w:noProof/>
        </w:rPr>
      </w:r>
      <w:r>
        <w:rPr>
          <w:noProof/>
        </w:rPr>
        <w:fldChar w:fldCharType="separate"/>
      </w:r>
      <w:r w:rsidRPr="00634236">
        <w:rPr>
          <w:noProof/>
          <w:lang w:val="en-US"/>
        </w:rPr>
        <w:t>40</w:t>
      </w:r>
      <w:r>
        <w:rPr>
          <w:noProof/>
        </w:rPr>
        <w:fldChar w:fldCharType="end"/>
      </w:r>
    </w:p>
    <w:p w14:paraId="40455401" w14:textId="38CE312F" w:rsidR="00634236" w:rsidRPr="00634236" w:rsidRDefault="00634236">
      <w:pPr>
        <w:pStyle w:val="TOC2"/>
        <w:rPr>
          <w:rFonts w:asciiTheme="minorHAnsi" w:eastAsiaTheme="minorEastAsia" w:hAnsiTheme="minorHAnsi" w:cstheme="minorBidi"/>
          <w:noProof/>
          <w:lang w:val="en-US"/>
        </w:rPr>
      </w:pPr>
      <w:r w:rsidRPr="006D4E27">
        <w:rPr>
          <w:noProof/>
          <w:lang w:val="en-US"/>
        </w:rPr>
        <w:t>4.2</w:t>
      </w:r>
      <w:r w:rsidRPr="00634236">
        <w:rPr>
          <w:rFonts w:asciiTheme="minorHAnsi" w:eastAsiaTheme="minorEastAsia" w:hAnsiTheme="minorHAnsi" w:cstheme="minorBidi"/>
          <w:noProof/>
          <w:lang w:val="en-US"/>
        </w:rPr>
        <w:tab/>
      </w:r>
      <w:r w:rsidRPr="006D4E27">
        <w:rPr>
          <w:noProof/>
          <w:lang w:val="en-US"/>
        </w:rPr>
        <w:t>Call for challenges.</w:t>
      </w:r>
      <w:r w:rsidRPr="00634236">
        <w:rPr>
          <w:noProof/>
          <w:lang w:val="en-US"/>
        </w:rPr>
        <w:tab/>
      </w:r>
      <w:r>
        <w:rPr>
          <w:noProof/>
        </w:rPr>
        <w:fldChar w:fldCharType="begin"/>
      </w:r>
      <w:r w:rsidRPr="00634236">
        <w:rPr>
          <w:noProof/>
          <w:lang w:val="en-US"/>
        </w:rPr>
        <w:instrText xml:space="preserve"> PAGEREF _Toc14347340 \h </w:instrText>
      </w:r>
      <w:r>
        <w:rPr>
          <w:noProof/>
        </w:rPr>
      </w:r>
      <w:r>
        <w:rPr>
          <w:noProof/>
        </w:rPr>
        <w:fldChar w:fldCharType="separate"/>
      </w:r>
      <w:r w:rsidRPr="00634236">
        <w:rPr>
          <w:noProof/>
          <w:lang w:val="en-US"/>
        </w:rPr>
        <w:t>45</w:t>
      </w:r>
      <w:r>
        <w:rPr>
          <w:noProof/>
        </w:rPr>
        <w:fldChar w:fldCharType="end"/>
      </w:r>
    </w:p>
    <w:p w14:paraId="3EB4724C" w14:textId="542A9A64"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4.2.1</w:t>
      </w:r>
      <w:r w:rsidRPr="00634236">
        <w:rPr>
          <w:rFonts w:asciiTheme="minorHAnsi" w:eastAsiaTheme="minorEastAsia" w:hAnsiTheme="minorHAnsi" w:cstheme="minorBidi"/>
          <w:noProof/>
          <w:lang w:val="en-US"/>
        </w:rPr>
        <w:tab/>
      </w:r>
      <w:r w:rsidRPr="006D4E27">
        <w:rPr>
          <w:noProof/>
          <w:lang w:val="en-US"/>
        </w:rPr>
        <w:t>Technological challenges and trends</w:t>
      </w:r>
      <w:r w:rsidRPr="00634236">
        <w:rPr>
          <w:noProof/>
          <w:lang w:val="en-US"/>
        </w:rPr>
        <w:tab/>
      </w:r>
      <w:r>
        <w:rPr>
          <w:noProof/>
        </w:rPr>
        <w:fldChar w:fldCharType="begin"/>
      </w:r>
      <w:r w:rsidRPr="00634236">
        <w:rPr>
          <w:noProof/>
          <w:lang w:val="en-US"/>
        </w:rPr>
        <w:instrText xml:space="preserve"> PAGEREF _Toc14347341 \h </w:instrText>
      </w:r>
      <w:r>
        <w:rPr>
          <w:noProof/>
        </w:rPr>
      </w:r>
      <w:r>
        <w:rPr>
          <w:noProof/>
        </w:rPr>
        <w:fldChar w:fldCharType="separate"/>
      </w:r>
      <w:r w:rsidRPr="00634236">
        <w:rPr>
          <w:noProof/>
          <w:lang w:val="en-US"/>
        </w:rPr>
        <w:t>46</w:t>
      </w:r>
      <w:r>
        <w:rPr>
          <w:noProof/>
        </w:rPr>
        <w:fldChar w:fldCharType="end"/>
      </w:r>
    </w:p>
    <w:p w14:paraId="2B91A67A" w14:textId="7E24EE95" w:rsidR="00634236" w:rsidRPr="00634236" w:rsidRDefault="00634236">
      <w:pPr>
        <w:pStyle w:val="TOC3"/>
        <w:tabs>
          <w:tab w:val="left" w:pos="1080"/>
        </w:tabs>
        <w:rPr>
          <w:rFonts w:asciiTheme="minorHAnsi" w:eastAsiaTheme="minorEastAsia" w:hAnsiTheme="minorHAnsi" w:cstheme="minorBidi"/>
          <w:noProof/>
          <w:lang w:val="en-US"/>
        </w:rPr>
      </w:pPr>
      <w:r w:rsidRPr="006D4E27">
        <w:rPr>
          <w:noProof/>
          <w:lang w:val="en-US"/>
        </w:rPr>
        <w:t>4.2.2</w:t>
      </w:r>
      <w:r w:rsidRPr="00634236">
        <w:rPr>
          <w:rFonts w:asciiTheme="minorHAnsi" w:eastAsiaTheme="minorEastAsia" w:hAnsiTheme="minorHAnsi" w:cstheme="minorBidi"/>
          <w:noProof/>
          <w:lang w:val="en-US"/>
        </w:rPr>
        <w:tab/>
      </w:r>
      <w:r w:rsidRPr="006D4E27">
        <w:rPr>
          <w:noProof/>
          <w:lang w:val="en-US"/>
        </w:rPr>
        <w:t>Industry demand as validation</w:t>
      </w:r>
      <w:r w:rsidRPr="00634236">
        <w:rPr>
          <w:noProof/>
          <w:lang w:val="en-US"/>
        </w:rPr>
        <w:tab/>
      </w:r>
      <w:r>
        <w:rPr>
          <w:noProof/>
        </w:rPr>
        <w:fldChar w:fldCharType="begin"/>
      </w:r>
      <w:r w:rsidRPr="00634236">
        <w:rPr>
          <w:noProof/>
          <w:lang w:val="en-US"/>
        </w:rPr>
        <w:instrText xml:space="preserve"> PAGEREF _Toc14347342 \h </w:instrText>
      </w:r>
      <w:r>
        <w:rPr>
          <w:noProof/>
        </w:rPr>
      </w:r>
      <w:r>
        <w:rPr>
          <w:noProof/>
        </w:rPr>
        <w:fldChar w:fldCharType="separate"/>
      </w:r>
      <w:r w:rsidRPr="00634236">
        <w:rPr>
          <w:noProof/>
          <w:lang w:val="en-US"/>
        </w:rPr>
        <w:t>48</w:t>
      </w:r>
      <w:r>
        <w:rPr>
          <w:noProof/>
        </w:rPr>
        <w:fldChar w:fldCharType="end"/>
      </w:r>
    </w:p>
    <w:p w14:paraId="0DAC5A22" w14:textId="2B980065" w:rsidR="00634236" w:rsidRPr="00634236" w:rsidRDefault="00634236">
      <w:pPr>
        <w:pStyle w:val="TOC1"/>
        <w:tabs>
          <w:tab w:val="left" w:pos="539"/>
        </w:tabs>
        <w:rPr>
          <w:rFonts w:asciiTheme="minorHAnsi" w:eastAsiaTheme="minorEastAsia" w:hAnsiTheme="minorHAnsi" w:cstheme="minorBidi"/>
          <w:b w:val="0"/>
          <w:sz w:val="24"/>
          <w:lang w:val="en-US"/>
        </w:rPr>
      </w:pPr>
      <w:r w:rsidRPr="006D4E27">
        <w:rPr>
          <w:lang w:val="en-US"/>
        </w:rPr>
        <w:t>5</w:t>
      </w:r>
      <w:r w:rsidRPr="00634236">
        <w:rPr>
          <w:rFonts w:asciiTheme="minorHAnsi" w:eastAsiaTheme="minorEastAsia" w:hAnsiTheme="minorHAnsi" w:cstheme="minorBidi"/>
          <w:b w:val="0"/>
          <w:sz w:val="24"/>
          <w:lang w:val="en-US"/>
        </w:rPr>
        <w:tab/>
      </w:r>
      <w:r w:rsidRPr="006D4E27">
        <w:rPr>
          <w:lang w:val="en-US"/>
        </w:rPr>
        <w:t>Discussion and conclusion</w:t>
      </w:r>
      <w:r w:rsidRPr="00634236">
        <w:rPr>
          <w:lang w:val="en-US"/>
        </w:rPr>
        <w:tab/>
      </w:r>
      <w:r>
        <w:fldChar w:fldCharType="begin"/>
      </w:r>
      <w:r w:rsidRPr="00634236">
        <w:rPr>
          <w:lang w:val="en-US"/>
        </w:rPr>
        <w:instrText xml:space="preserve"> PAGEREF _Toc14347343 \h </w:instrText>
      </w:r>
      <w:r>
        <w:fldChar w:fldCharType="separate"/>
      </w:r>
      <w:r w:rsidRPr="00634236">
        <w:rPr>
          <w:lang w:val="en-US"/>
        </w:rPr>
        <w:t>50</w:t>
      </w:r>
      <w:r>
        <w:fldChar w:fldCharType="end"/>
      </w:r>
    </w:p>
    <w:p w14:paraId="280A8C97" w14:textId="172167E1" w:rsidR="00634236" w:rsidRPr="00634236" w:rsidRDefault="00634236">
      <w:pPr>
        <w:pStyle w:val="TOC2"/>
        <w:rPr>
          <w:rFonts w:asciiTheme="minorHAnsi" w:eastAsiaTheme="minorEastAsia" w:hAnsiTheme="minorHAnsi" w:cstheme="minorBidi"/>
          <w:noProof/>
          <w:lang w:val="en-US"/>
        </w:rPr>
      </w:pPr>
      <w:r w:rsidRPr="006D4E27">
        <w:rPr>
          <w:noProof/>
          <w:lang w:val="en-US"/>
        </w:rPr>
        <w:t>5.1</w:t>
      </w:r>
      <w:r w:rsidRPr="00634236">
        <w:rPr>
          <w:rFonts w:asciiTheme="minorHAnsi" w:eastAsiaTheme="minorEastAsia" w:hAnsiTheme="minorHAnsi" w:cstheme="minorBidi"/>
          <w:noProof/>
          <w:lang w:val="en-US"/>
        </w:rPr>
        <w:tab/>
      </w:r>
      <w:r w:rsidRPr="006D4E27">
        <w:rPr>
          <w:noProof/>
          <w:lang w:val="en-US"/>
        </w:rPr>
        <w:t>Discussion</w:t>
      </w:r>
      <w:r w:rsidRPr="00634236">
        <w:rPr>
          <w:noProof/>
          <w:lang w:val="en-US"/>
        </w:rPr>
        <w:tab/>
      </w:r>
      <w:r>
        <w:rPr>
          <w:noProof/>
        </w:rPr>
        <w:fldChar w:fldCharType="begin"/>
      </w:r>
      <w:r w:rsidRPr="00634236">
        <w:rPr>
          <w:noProof/>
          <w:lang w:val="en-US"/>
        </w:rPr>
        <w:instrText xml:space="preserve"> PAGEREF _Toc14347344 \h </w:instrText>
      </w:r>
      <w:r>
        <w:rPr>
          <w:noProof/>
        </w:rPr>
      </w:r>
      <w:r>
        <w:rPr>
          <w:noProof/>
        </w:rPr>
        <w:fldChar w:fldCharType="separate"/>
      </w:r>
      <w:r w:rsidRPr="00634236">
        <w:rPr>
          <w:noProof/>
          <w:lang w:val="en-US"/>
        </w:rPr>
        <w:t>50</w:t>
      </w:r>
      <w:r>
        <w:rPr>
          <w:noProof/>
        </w:rPr>
        <w:fldChar w:fldCharType="end"/>
      </w:r>
    </w:p>
    <w:p w14:paraId="37C04636" w14:textId="006C976E" w:rsidR="00634236" w:rsidRPr="00634236" w:rsidRDefault="00634236">
      <w:pPr>
        <w:pStyle w:val="TOC2"/>
        <w:rPr>
          <w:rFonts w:asciiTheme="minorHAnsi" w:eastAsiaTheme="minorEastAsia" w:hAnsiTheme="minorHAnsi" w:cstheme="minorBidi"/>
          <w:noProof/>
          <w:lang w:val="en-US"/>
        </w:rPr>
      </w:pPr>
      <w:r w:rsidRPr="006D4E27">
        <w:rPr>
          <w:noProof/>
          <w:lang w:val="en-US"/>
        </w:rPr>
        <w:t>5.2</w:t>
      </w:r>
      <w:r w:rsidRPr="00634236">
        <w:rPr>
          <w:rFonts w:asciiTheme="minorHAnsi" w:eastAsiaTheme="minorEastAsia" w:hAnsiTheme="minorHAnsi" w:cstheme="minorBidi"/>
          <w:noProof/>
          <w:lang w:val="en-US"/>
        </w:rPr>
        <w:tab/>
      </w:r>
      <w:r w:rsidRPr="006D4E27">
        <w:rPr>
          <w:noProof/>
          <w:lang w:val="en-US"/>
        </w:rPr>
        <w:t>Conclusion</w:t>
      </w:r>
      <w:r w:rsidRPr="00634236">
        <w:rPr>
          <w:noProof/>
          <w:lang w:val="en-US"/>
        </w:rPr>
        <w:tab/>
      </w:r>
      <w:r>
        <w:rPr>
          <w:noProof/>
        </w:rPr>
        <w:fldChar w:fldCharType="begin"/>
      </w:r>
      <w:r w:rsidRPr="00634236">
        <w:rPr>
          <w:noProof/>
          <w:lang w:val="en-US"/>
        </w:rPr>
        <w:instrText xml:space="preserve"> PAGEREF _Toc14347345 \h </w:instrText>
      </w:r>
      <w:r>
        <w:rPr>
          <w:noProof/>
        </w:rPr>
      </w:r>
      <w:r>
        <w:rPr>
          <w:noProof/>
        </w:rPr>
        <w:fldChar w:fldCharType="separate"/>
      </w:r>
      <w:r w:rsidRPr="00634236">
        <w:rPr>
          <w:noProof/>
          <w:lang w:val="en-US"/>
        </w:rPr>
        <w:t>51</w:t>
      </w:r>
      <w:r>
        <w:rPr>
          <w:noProof/>
        </w:rPr>
        <w:fldChar w:fldCharType="end"/>
      </w:r>
    </w:p>
    <w:p w14:paraId="665258C9" w14:textId="61C12C44" w:rsidR="00634236" w:rsidRPr="00634236" w:rsidRDefault="00634236">
      <w:pPr>
        <w:pStyle w:val="TOC2"/>
        <w:rPr>
          <w:rFonts w:asciiTheme="minorHAnsi" w:eastAsiaTheme="minorEastAsia" w:hAnsiTheme="minorHAnsi" w:cstheme="minorBidi"/>
          <w:noProof/>
          <w:lang w:val="en-US"/>
        </w:rPr>
      </w:pPr>
      <w:r w:rsidRPr="00634236">
        <w:rPr>
          <w:noProof/>
          <w:lang w:val="en-US"/>
        </w:rPr>
        <w:t>5.3</w:t>
      </w:r>
      <w:r w:rsidRPr="00634236">
        <w:rPr>
          <w:rFonts w:asciiTheme="minorHAnsi" w:eastAsiaTheme="minorEastAsia" w:hAnsiTheme="minorHAnsi" w:cstheme="minorBidi"/>
          <w:noProof/>
          <w:lang w:val="en-US"/>
        </w:rPr>
        <w:tab/>
      </w:r>
      <w:r w:rsidRPr="00634236">
        <w:rPr>
          <w:noProof/>
          <w:lang w:val="en-US"/>
        </w:rPr>
        <w:t>Future Research</w:t>
      </w:r>
      <w:r w:rsidRPr="00634236">
        <w:rPr>
          <w:noProof/>
          <w:lang w:val="en-US"/>
        </w:rPr>
        <w:tab/>
      </w:r>
      <w:r>
        <w:rPr>
          <w:noProof/>
        </w:rPr>
        <w:fldChar w:fldCharType="begin"/>
      </w:r>
      <w:r w:rsidRPr="00634236">
        <w:rPr>
          <w:noProof/>
          <w:lang w:val="en-US"/>
        </w:rPr>
        <w:instrText xml:space="preserve"> PAGEREF _Toc14347346 \h </w:instrText>
      </w:r>
      <w:r>
        <w:rPr>
          <w:noProof/>
        </w:rPr>
      </w:r>
      <w:r>
        <w:rPr>
          <w:noProof/>
        </w:rPr>
        <w:fldChar w:fldCharType="separate"/>
      </w:r>
      <w:r w:rsidRPr="00634236">
        <w:rPr>
          <w:noProof/>
          <w:lang w:val="en-US"/>
        </w:rPr>
        <w:t>51</w:t>
      </w:r>
      <w:r>
        <w:rPr>
          <w:noProof/>
        </w:rPr>
        <w:fldChar w:fldCharType="end"/>
      </w:r>
    </w:p>
    <w:p w14:paraId="002508B1" w14:textId="749E0B7B" w:rsidR="00634236" w:rsidRPr="00634236" w:rsidRDefault="00634236">
      <w:pPr>
        <w:pStyle w:val="TOC2"/>
        <w:rPr>
          <w:rFonts w:asciiTheme="minorHAnsi" w:eastAsiaTheme="minorEastAsia" w:hAnsiTheme="minorHAnsi" w:cstheme="minorBidi"/>
          <w:noProof/>
          <w:lang w:val="en-US"/>
        </w:rPr>
      </w:pPr>
      <w:r w:rsidRPr="00634236">
        <w:rPr>
          <w:noProof/>
          <w:lang w:val="en-US"/>
        </w:rPr>
        <w:t>5.4</w:t>
      </w:r>
      <w:r w:rsidRPr="00634236">
        <w:rPr>
          <w:rFonts w:asciiTheme="minorHAnsi" w:eastAsiaTheme="minorEastAsia" w:hAnsiTheme="minorHAnsi" w:cstheme="minorBidi"/>
          <w:noProof/>
          <w:lang w:val="en-US"/>
        </w:rPr>
        <w:tab/>
      </w:r>
      <w:r w:rsidRPr="00634236">
        <w:rPr>
          <w:noProof/>
          <w:lang w:val="en-US"/>
        </w:rPr>
        <w:t>References</w:t>
      </w:r>
      <w:r w:rsidRPr="00634236">
        <w:rPr>
          <w:noProof/>
          <w:lang w:val="en-US"/>
        </w:rPr>
        <w:tab/>
      </w:r>
      <w:r>
        <w:rPr>
          <w:noProof/>
        </w:rPr>
        <w:fldChar w:fldCharType="begin"/>
      </w:r>
      <w:r w:rsidRPr="00634236">
        <w:rPr>
          <w:noProof/>
          <w:lang w:val="en-US"/>
        </w:rPr>
        <w:instrText xml:space="preserve"> PAGEREF _Toc14347347 \h </w:instrText>
      </w:r>
      <w:r>
        <w:rPr>
          <w:noProof/>
        </w:rPr>
      </w:r>
      <w:r>
        <w:rPr>
          <w:noProof/>
        </w:rPr>
        <w:fldChar w:fldCharType="separate"/>
      </w:r>
      <w:r w:rsidRPr="00634236">
        <w:rPr>
          <w:noProof/>
          <w:lang w:val="en-US"/>
        </w:rPr>
        <w:t>52</w:t>
      </w:r>
      <w:r>
        <w:rPr>
          <w:noProof/>
        </w:rPr>
        <w:fldChar w:fldCharType="end"/>
      </w:r>
    </w:p>
    <w:p w14:paraId="27CB1078" w14:textId="5744F438" w:rsidR="00634236" w:rsidRDefault="00634236">
      <w:pPr>
        <w:pStyle w:val="TOC2"/>
        <w:rPr>
          <w:rFonts w:asciiTheme="minorHAnsi" w:eastAsiaTheme="minorEastAsia" w:hAnsiTheme="minorHAnsi" w:cstheme="minorBidi"/>
          <w:noProof/>
        </w:rPr>
      </w:pPr>
      <w:r>
        <w:rPr>
          <w:noProof/>
        </w:rPr>
        <w:t>5.5</w:t>
      </w:r>
      <w:r>
        <w:rPr>
          <w:rFonts w:asciiTheme="minorHAnsi" w:eastAsiaTheme="minorEastAsia" w:hAnsiTheme="minorHAnsi" w:cstheme="minorBidi"/>
          <w:noProof/>
        </w:rPr>
        <w:tab/>
      </w:r>
      <w:r>
        <w:rPr>
          <w:noProof/>
        </w:rPr>
        <w:t>Annex</w:t>
      </w:r>
      <w:r>
        <w:rPr>
          <w:noProof/>
        </w:rPr>
        <w:tab/>
      </w:r>
      <w:r>
        <w:rPr>
          <w:noProof/>
        </w:rPr>
        <w:fldChar w:fldCharType="begin"/>
      </w:r>
      <w:r>
        <w:rPr>
          <w:noProof/>
        </w:rPr>
        <w:instrText xml:space="preserve"> PAGEREF _Toc14347348 \h </w:instrText>
      </w:r>
      <w:r>
        <w:rPr>
          <w:noProof/>
        </w:rPr>
      </w:r>
      <w:r>
        <w:rPr>
          <w:noProof/>
        </w:rPr>
        <w:fldChar w:fldCharType="separate"/>
      </w:r>
      <w:r>
        <w:rPr>
          <w:noProof/>
        </w:rPr>
        <w:t>58</w:t>
      </w:r>
      <w:r>
        <w:rPr>
          <w:noProof/>
        </w:rPr>
        <w:fldChar w:fldCharType="end"/>
      </w:r>
    </w:p>
    <w:p w14:paraId="5117A73A" w14:textId="7674BC45" w:rsidR="00493872" w:rsidRPr="0048196F" w:rsidRDefault="00A01E71" w:rsidP="007D557D">
      <w:pPr>
        <w:pStyle w:val="TOC1"/>
        <w:rPr>
          <w:lang w:val="en-US"/>
        </w:rPr>
      </w:pPr>
      <w:r w:rsidRPr="0048196F">
        <w:rPr>
          <w:lang w:val="en-US"/>
        </w:rPr>
        <w:fldChar w:fldCharType="end"/>
      </w:r>
    </w:p>
    <w:p w14:paraId="5D8A47B1" w14:textId="3D9999DD" w:rsidR="00B95BF8" w:rsidRPr="00E54EB3" w:rsidRDefault="00012E7D" w:rsidP="009E43AA">
      <w:pPr>
        <w:pStyle w:val="frontmatterheadingstyle"/>
        <w:rPr>
          <w:lang w:val="en-US"/>
        </w:rPr>
      </w:pPr>
      <w:bookmarkStart w:id="15" w:name="listafiguras"/>
      <w:bookmarkEnd w:id="15"/>
      <w:r w:rsidRPr="00E54EB3">
        <w:rPr>
          <w:lang w:val="en-US"/>
        </w:rPr>
        <w:br w:type="page"/>
      </w:r>
      <w:bookmarkStart w:id="16" w:name="listatabelas"/>
      <w:bookmarkStart w:id="17" w:name="_Toc14347301"/>
      <w:bookmarkEnd w:id="16"/>
      <w:r w:rsidR="00971A8E" w:rsidRPr="0048196F">
        <w:rPr>
          <w:lang w:val="en-US"/>
        </w:rPr>
        <w:t>List of tables</w:t>
      </w:r>
      <w:bookmarkEnd w:id="17"/>
    </w:p>
    <w:p w14:paraId="739F862E" w14:textId="6E2D61C2" w:rsidR="00634236" w:rsidRDefault="00B95BF8">
      <w:pPr>
        <w:pStyle w:val="TableofFigures"/>
        <w:tabs>
          <w:tab w:val="right" w:leader="dot" w:pos="8494"/>
        </w:tabs>
        <w:rPr>
          <w:rFonts w:asciiTheme="minorHAnsi" w:eastAsiaTheme="minorEastAsia" w:hAnsiTheme="minorHAnsi" w:cstheme="minorBidi"/>
          <w:noProof/>
        </w:rPr>
      </w:pPr>
      <w:r>
        <w:rPr>
          <w:lang w:val="en-US"/>
        </w:rPr>
        <w:fldChar w:fldCharType="begin"/>
      </w:r>
      <w:r>
        <w:rPr>
          <w:lang w:val="en-US"/>
        </w:rPr>
        <w:instrText xml:space="preserve"> TOC \h \z \c "Table" </w:instrText>
      </w:r>
      <w:r>
        <w:rPr>
          <w:lang w:val="en-US"/>
        </w:rPr>
        <w:fldChar w:fldCharType="separate"/>
      </w:r>
      <w:hyperlink w:anchor="_Toc14347490" w:history="1">
        <w:r w:rsidR="00634236" w:rsidRPr="00D5700A">
          <w:rPr>
            <w:rStyle w:val="Hyperlink"/>
            <w:noProof/>
            <w:lang w:val="en-US"/>
          </w:rPr>
          <w:t>Table 1: Definitions of trend related terms</w:t>
        </w:r>
        <w:r w:rsidR="00634236">
          <w:rPr>
            <w:noProof/>
            <w:webHidden/>
          </w:rPr>
          <w:tab/>
        </w:r>
        <w:r w:rsidR="00634236">
          <w:rPr>
            <w:noProof/>
            <w:webHidden/>
          </w:rPr>
          <w:fldChar w:fldCharType="begin"/>
        </w:r>
        <w:r w:rsidR="00634236">
          <w:rPr>
            <w:noProof/>
            <w:webHidden/>
          </w:rPr>
          <w:instrText xml:space="preserve"> PAGEREF _Toc14347490 \h </w:instrText>
        </w:r>
        <w:r w:rsidR="00634236">
          <w:rPr>
            <w:noProof/>
            <w:webHidden/>
          </w:rPr>
        </w:r>
        <w:r w:rsidR="00634236">
          <w:rPr>
            <w:noProof/>
            <w:webHidden/>
          </w:rPr>
          <w:fldChar w:fldCharType="separate"/>
        </w:r>
        <w:r w:rsidR="00634236">
          <w:rPr>
            <w:noProof/>
            <w:webHidden/>
          </w:rPr>
          <w:t>11</w:t>
        </w:r>
        <w:r w:rsidR="00634236">
          <w:rPr>
            <w:noProof/>
            <w:webHidden/>
          </w:rPr>
          <w:fldChar w:fldCharType="end"/>
        </w:r>
      </w:hyperlink>
    </w:p>
    <w:p w14:paraId="49EB83C7" w14:textId="189164FE" w:rsidR="00634236" w:rsidRDefault="00AB00BD">
      <w:pPr>
        <w:pStyle w:val="TableofFigures"/>
        <w:tabs>
          <w:tab w:val="right" w:leader="dot" w:pos="8494"/>
        </w:tabs>
        <w:rPr>
          <w:rFonts w:asciiTheme="minorHAnsi" w:eastAsiaTheme="minorEastAsia" w:hAnsiTheme="minorHAnsi" w:cstheme="minorBidi"/>
          <w:noProof/>
        </w:rPr>
      </w:pPr>
      <w:hyperlink w:anchor="_Toc14347491" w:history="1">
        <w:r w:rsidR="00634236" w:rsidRPr="00D5700A">
          <w:rPr>
            <w:rStyle w:val="Hyperlink"/>
            <w:noProof/>
            <w:lang w:val="en-US"/>
          </w:rPr>
          <w:t>Table 2: Overview of megatrends, challenges and drivers of change</w:t>
        </w:r>
        <w:r w:rsidR="00634236">
          <w:rPr>
            <w:noProof/>
            <w:webHidden/>
          </w:rPr>
          <w:tab/>
        </w:r>
        <w:r w:rsidR="00634236">
          <w:rPr>
            <w:noProof/>
            <w:webHidden/>
          </w:rPr>
          <w:fldChar w:fldCharType="begin"/>
        </w:r>
        <w:r w:rsidR="00634236">
          <w:rPr>
            <w:noProof/>
            <w:webHidden/>
          </w:rPr>
          <w:instrText xml:space="preserve"> PAGEREF _Toc14347491 \h </w:instrText>
        </w:r>
        <w:r w:rsidR="00634236">
          <w:rPr>
            <w:noProof/>
            <w:webHidden/>
          </w:rPr>
        </w:r>
        <w:r w:rsidR="00634236">
          <w:rPr>
            <w:noProof/>
            <w:webHidden/>
          </w:rPr>
          <w:fldChar w:fldCharType="separate"/>
        </w:r>
        <w:r w:rsidR="00634236">
          <w:rPr>
            <w:noProof/>
            <w:webHidden/>
          </w:rPr>
          <w:t>12</w:t>
        </w:r>
        <w:r w:rsidR="00634236">
          <w:rPr>
            <w:noProof/>
            <w:webHidden/>
          </w:rPr>
          <w:fldChar w:fldCharType="end"/>
        </w:r>
      </w:hyperlink>
    </w:p>
    <w:p w14:paraId="6B2B46E0" w14:textId="0A843CB9" w:rsidR="00634236" w:rsidRDefault="00AB00BD">
      <w:pPr>
        <w:pStyle w:val="TableofFigures"/>
        <w:tabs>
          <w:tab w:val="right" w:leader="dot" w:pos="8494"/>
        </w:tabs>
        <w:rPr>
          <w:rFonts w:asciiTheme="minorHAnsi" w:eastAsiaTheme="minorEastAsia" w:hAnsiTheme="minorHAnsi" w:cstheme="minorBidi"/>
          <w:noProof/>
        </w:rPr>
      </w:pPr>
      <w:hyperlink w:anchor="_Toc14347492" w:history="1">
        <w:r w:rsidR="00634236" w:rsidRPr="00D5700A">
          <w:rPr>
            <w:rStyle w:val="Hyperlink"/>
            <w:noProof/>
          </w:rPr>
          <w:t>Table 3: Megatrends</w:t>
        </w:r>
        <w:r w:rsidR="00634236">
          <w:rPr>
            <w:noProof/>
            <w:webHidden/>
          </w:rPr>
          <w:tab/>
        </w:r>
        <w:r w:rsidR="00634236">
          <w:rPr>
            <w:noProof/>
            <w:webHidden/>
          </w:rPr>
          <w:fldChar w:fldCharType="begin"/>
        </w:r>
        <w:r w:rsidR="00634236">
          <w:rPr>
            <w:noProof/>
            <w:webHidden/>
          </w:rPr>
          <w:instrText xml:space="preserve"> PAGEREF _Toc14347492 \h </w:instrText>
        </w:r>
        <w:r w:rsidR="00634236">
          <w:rPr>
            <w:noProof/>
            <w:webHidden/>
          </w:rPr>
        </w:r>
        <w:r w:rsidR="00634236">
          <w:rPr>
            <w:noProof/>
            <w:webHidden/>
          </w:rPr>
          <w:fldChar w:fldCharType="separate"/>
        </w:r>
        <w:r w:rsidR="00634236">
          <w:rPr>
            <w:noProof/>
            <w:webHidden/>
          </w:rPr>
          <w:t>13</w:t>
        </w:r>
        <w:r w:rsidR="00634236">
          <w:rPr>
            <w:noProof/>
            <w:webHidden/>
          </w:rPr>
          <w:fldChar w:fldCharType="end"/>
        </w:r>
      </w:hyperlink>
    </w:p>
    <w:p w14:paraId="764AFA8E" w14:textId="6035F658" w:rsidR="00634236" w:rsidRDefault="00AB00BD">
      <w:pPr>
        <w:pStyle w:val="TableofFigures"/>
        <w:tabs>
          <w:tab w:val="right" w:leader="dot" w:pos="8494"/>
        </w:tabs>
        <w:rPr>
          <w:rFonts w:asciiTheme="minorHAnsi" w:eastAsiaTheme="minorEastAsia" w:hAnsiTheme="minorHAnsi" w:cstheme="minorBidi"/>
          <w:noProof/>
        </w:rPr>
      </w:pPr>
      <w:hyperlink w:anchor="_Toc14347493" w:history="1">
        <w:r w:rsidR="00634236" w:rsidRPr="00D5700A">
          <w:rPr>
            <w:rStyle w:val="Hyperlink"/>
            <w:noProof/>
          </w:rPr>
          <w:t>Table 4: Drivers of change</w:t>
        </w:r>
        <w:r w:rsidR="00634236">
          <w:rPr>
            <w:noProof/>
            <w:webHidden/>
          </w:rPr>
          <w:tab/>
        </w:r>
        <w:r w:rsidR="00634236">
          <w:rPr>
            <w:noProof/>
            <w:webHidden/>
          </w:rPr>
          <w:fldChar w:fldCharType="begin"/>
        </w:r>
        <w:r w:rsidR="00634236">
          <w:rPr>
            <w:noProof/>
            <w:webHidden/>
          </w:rPr>
          <w:instrText xml:space="preserve"> PAGEREF _Toc14347493 \h </w:instrText>
        </w:r>
        <w:r w:rsidR="00634236">
          <w:rPr>
            <w:noProof/>
            <w:webHidden/>
          </w:rPr>
        </w:r>
        <w:r w:rsidR="00634236">
          <w:rPr>
            <w:noProof/>
            <w:webHidden/>
          </w:rPr>
          <w:fldChar w:fldCharType="separate"/>
        </w:r>
        <w:r w:rsidR="00634236">
          <w:rPr>
            <w:noProof/>
            <w:webHidden/>
          </w:rPr>
          <w:t>18</w:t>
        </w:r>
        <w:r w:rsidR="00634236">
          <w:rPr>
            <w:noProof/>
            <w:webHidden/>
          </w:rPr>
          <w:fldChar w:fldCharType="end"/>
        </w:r>
      </w:hyperlink>
    </w:p>
    <w:p w14:paraId="357B0B1A" w14:textId="0BE1F23E" w:rsidR="00634236" w:rsidRDefault="00AB00BD">
      <w:pPr>
        <w:pStyle w:val="TableofFigures"/>
        <w:tabs>
          <w:tab w:val="right" w:leader="dot" w:pos="8494"/>
        </w:tabs>
        <w:rPr>
          <w:rFonts w:asciiTheme="minorHAnsi" w:eastAsiaTheme="minorEastAsia" w:hAnsiTheme="minorHAnsi" w:cstheme="minorBidi"/>
          <w:noProof/>
        </w:rPr>
      </w:pPr>
      <w:hyperlink w:anchor="_Toc14347494" w:history="1">
        <w:r w:rsidR="00634236" w:rsidRPr="00D5700A">
          <w:rPr>
            <w:rStyle w:val="Hyperlink"/>
            <w:noProof/>
            <w:lang w:val="en-US"/>
          </w:rPr>
          <w:t>Table 5: Organizations of participating experts</w:t>
        </w:r>
        <w:r w:rsidR="00634236">
          <w:rPr>
            <w:noProof/>
            <w:webHidden/>
          </w:rPr>
          <w:tab/>
        </w:r>
        <w:r w:rsidR="00634236">
          <w:rPr>
            <w:noProof/>
            <w:webHidden/>
          </w:rPr>
          <w:fldChar w:fldCharType="begin"/>
        </w:r>
        <w:r w:rsidR="00634236">
          <w:rPr>
            <w:noProof/>
            <w:webHidden/>
          </w:rPr>
          <w:instrText xml:space="preserve"> PAGEREF _Toc14347494 \h </w:instrText>
        </w:r>
        <w:r w:rsidR="00634236">
          <w:rPr>
            <w:noProof/>
            <w:webHidden/>
          </w:rPr>
        </w:r>
        <w:r w:rsidR="00634236">
          <w:rPr>
            <w:noProof/>
            <w:webHidden/>
          </w:rPr>
          <w:fldChar w:fldCharType="separate"/>
        </w:r>
        <w:r w:rsidR="00634236">
          <w:rPr>
            <w:noProof/>
            <w:webHidden/>
          </w:rPr>
          <w:t>22</w:t>
        </w:r>
        <w:r w:rsidR="00634236">
          <w:rPr>
            <w:noProof/>
            <w:webHidden/>
          </w:rPr>
          <w:fldChar w:fldCharType="end"/>
        </w:r>
      </w:hyperlink>
    </w:p>
    <w:p w14:paraId="4C65C57A" w14:textId="4642EC48" w:rsidR="00634236" w:rsidRDefault="00AB00BD">
      <w:pPr>
        <w:pStyle w:val="TableofFigures"/>
        <w:tabs>
          <w:tab w:val="right" w:leader="dot" w:pos="8494"/>
        </w:tabs>
        <w:rPr>
          <w:rFonts w:asciiTheme="minorHAnsi" w:eastAsiaTheme="minorEastAsia" w:hAnsiTheme="minorHAnsi" w:cstheme="minorBidi"/>
          <w:noProof/>
        </w:rPr>
      </w:pPr>
      <w:hyperlink w:anchor="_Toc14347495" w:history="1">
        <w:r w:rsidR="00634236" w:rsidRPr="00D5700A">
          <w:rPr>
            <w:rStyle w:val="Hyperlink"/>
            <w:noProof/>
            <w:lang w:val="en-US"/>
          </w:rPr>
          <w:t>Table 6: Trends and final descriptions</w:t>
        </w:r>
        <w:r w:rsidR="00634236">
          <w:rPr>
            <w:noProof/>
            <w:webHidden/>
          </w:rPr>
          <w:tab/>
        </w:r>
        <w:r w:rsidR="00634236">
          <w:rPr>
            <w:noProof/>
            <w:webHidden/>
          </w:rPr>
          <w:fldChar w:fldCharType="begin"/>
        </w:r>
        <w:r w:rsidR="00634236">
          <w:rPr>
            <w:noProof/>
            <w:webHidden/>
          </w:rPr>
          <w:instrText xml:space="preserve"> PAGEREF _Toc14347495 \h </w:instrText>
        </w:r>
        <w:r w:rsidR="00634236">
          <w:rPr>
            <w:noProof/>
            <w:webHidden/>
          </w:rPr>
        </w:r>
        <w:r w:rsidR="00634236">
          <w:rPr>
            <w:noProof/>
            <w:webHidden/>
          </w:rPr>
          <w:fldChar w:fldCharType="separate"/>
        </w:r>
        <w:r w:rsidR="00634236">
          <w:rPr>
            <w:noProof/>
            <w:webHidden/>
          </w:rPr>
          <w:t>24</w:t>
        </w:r>
        <w:r w:rsidR="00634236">
          <w:rPr>
            <w:noProof/>
            <w:webHidden/>
          </w:rPr>
          <w:fldChar w:fldCharType="end"/>
        </w:r>
      </w:hyperlink>
    </w:p>
    <w:p w14:paraId="7755BBC6" w14:textId="159E90FC" w:rsidR="00634236" w:rsidRDefault="00AB00BD">
      <w:pPr>
        <w:pStyle w:val="TableofFigures"/>
        <w:tabs>
          <w:tab w:val="right" w:leader="dot" w:pos="8494"/>
        </w:tabs>
        <w:rPr>
          <w:rFonts w:asciiTheme="minorHAnsi" w:eastAsiaTheme="minorEastAsia" w:hAnsiTheme="minorHAnsi" w:cstheme="minorBidi"/>
          <w:noProof/>
        </w:rPr>
      </w:pPr>
      <w:hyperlink w:anchor="_Toc14347496" w:history="1">
        <w:r w:rsidR="00634236" w:rsidRPr="00D5700A">
          <w:rPr>
            <w:rStyle w:val="Hyperlink"/>
            <w:noProof/>
            <w:lang w:val="en-US"/>
          </w:rPr>
          <w:t>Table 7: Visualization framework adapted from Burkhard (2005)</w:t>
        </w:r>
        <w:r w:rsidR="00634236">
          <w:rPr>
            <w:noProof/>
            <w:webHidden/>
          </w:rPr>
          <w:tab/>
        </w:r>
        <w:r w:rsidR="00634236">
          <w:rPr>
            <w:noProof/>
            <w:webHidden/>
          </w:rPr>
          <w:fldChar w:fldCharType="begin"/>
        </w:r>
        <w:r w:rsidR="00634236">
          <w:rPr>
            <w:noProof/>
            <w:webHidden/>
          </w:rPr>
          <w:instrText xml:space="preserve"> PAGEREF _Toc14347496 \h </w:instrText>
        </w:r>
        <w:r w:rsidR="00634236">
          <w:rPr>
            <w:noProof/>
            <w:webHidden/>
          </w:rPr>
        </w:r>
        <w:r w:rsidR="00634236">
          <w:rPr>
            <w:noProof/>
            <w:webHidden/>
          </w:rPr>
          <w:fldChar w:fldCharType="separate"/>
        </w:r>
        <w:r w:rsidR="00634236">
          <w:rPr>
            <w:noProof/>
            <w:webHidden/>
          </w:rPr>
          <w:t>39</w:t>
        </w:r>
        <w:r w:rsidR="00634236">
          <w:rPr>
            <w:noProof/>
            <w:webHidden/>
          </w:rPr>
          <w:fldChar w:fldCharType="end"/>
        </w:r>
      </w:hyperlink>
    </w:p>
    <w:p w14:paraId="2F118EB2" w14:textId="7692DFD2" w:rsidR="00634236" w:rsidRDefault="00AB00BD">
      <w:pPr>
        <w:pStyle w:val="TableofFigures"/>
        <w:tabs>
          <w:tab w:val="right" w:leader="dot" w:pos="8494"/>
        </w:tabs>
        <w:rPr>
          <w:rFonts w:asciiTheme="minorHAnsi" w:eastAsiaTheme="minorEastAsia" w:hAnsiTheme="minorHAnsi" w:cstheme="minorBidi"/>
          <w:noProof/>
        </w:rPr>
      </w:pPr>
      <w:hyperlink w:anchor="_Toc14347497" w:history="1">
        <w:r w:rsidR="00634236" w:rsidRPr="00D5700A">
          <w:rPr>
            <w:rStyle w:val="Hyperlink"/>
            <w:noProof/>
            <w:lang w:val="en-US"/>
          </w:rPr>
          <w:t>Table 8: Applications of digital technologies, listed by activity of the value chain</w:t>
        </w:r>
        <w:r w:rsidR="00634236">
          <w:rPr>
            <w:noProof/>
            <w:webHidden/>
          </w:rPr>
          <w:tab/>
        </w:r>
        <w:r w:rsidR="00634236">
          <w:rPr>
            <w:noProof/>
            <w:webHidden/>
          </w:rPr>
          <w:fldChar w:fldCharType="begin"/>
        </w:r>
        <w:r w:rsidR="00634236">
          <w:rPr>
            <w:noProof/>
            <w:webHidden/>
          </w:rPr>
          <w:instrText xml:space="preserve"> PAGEREF _Toc14347497 \h </w:instrText>
        </w:r>
        <w:r w:rsidR="00634236">
          <w:rPr>
            <w:noProof/>
            <w:webHidden/>
          </w:rPr>
        </w:r>
        <w:r w:rsidR="00634236">
          <w:rPr>
            <w:noProof/>
            <w:webHidden/>
          </w:rPr>
          <w:fldChar w:fldCharType="separate"/>
        </w:r>
        <w:r w:rsidR="00634236">
          <w:rPr>
            <w:noProof/>
            <w:webHidden/>
          </w:rPr>
          <w:t>42</w:t>
        </w:r>
        <w:r w:rsidR="00634236">
          <w:rPr>
            <w:noProof/>
            <w:webHidden/>
          </w:rPr>
          <w:fldChar w:fldCharType="end"/>
        </w:r>
      </w:hyperlink>
    </w:p>
    <w:p w14:paraId="4F9C0E91" w14:textId="3003CD41" w:rsidR="00634236" w:rsidRDefault="00AB00BD">
      <w:pPr>
        <w:pStyle w:val="TableofFigures"/>
        <w:tabs>
          <w:tab w:val="right" w:leader="dot" w:pos="8494"/>
        </w:tabs>
        <w:rPr>
          <w:rFonts w:asciiTheme="minorHAnsi" w:eastAsiaTheme="minorEastAsia" w:hAnsiTheme="minorHAnsi" w:cstheme="minorBidi"/>
          <w:noProof/>
        </w:rPr>
      </w:pPr>
      <w:hyperlink w:anchor="_Toc14347498" w:history="1">
        <w:r w:rsidR="00634236" w:rsidRPr="00D5700A">
          <w:rPr>
            <w:rStyle w:val="Hyperlink"/>
            <w:noProof/>
            <w:lang w:val="en-US"/>
          </w:rPr>
          <w:t>Table 9: Summary call for challenges</w:t>
        </w:r>
        <w:r w:rsidR="00634236">
          <w:rPr>
            <w:noProof/>
            <w:webHidden/>
          </w:rPr>
          <w:tab/>
        </w:r>
        <w:r w:rsidR="00634236">
          <w:rPr>
            <w:noProof/>
            <w:webHidden/>
          </w:rPr>
          <w:fldChar w:fldCharType="begin"/>
        </w:r>
        <w:r w:rsidR="00634236">
          <w:rPr>
            <w:noProof/>
            <w:webHidden/>
          </w:rPr>
          <w:instrText xml:space="preserve"> PAGEREF _Toc14347498 \h </w:instrText>
        </w:r>
        <w:r w:rsidR="00634236">
          <w:rPr>
            <w:noProof/>
            <w:webHidden/>
          </w:rPr>
        </w:r>
        <w:r w:rsidR="00634236">
          <w:rPr>
            <w:noProof/>
            <w:webHidden/>
          </w:rPr>
          <w:fldChar w:fldCharType="separate"/>
        </w:r>
        <w:r w:rsidR="00634236">
          <w:rPr>
            <w:noProof/>
            <w:webHidden/>
          </w:rPr>
          <w:t>46</w:t>
        </w:r>
        <w:r w:rsidR="00634236">
          <w:rPr>
            <w:noProof/>
            <w:webHidden/>
          </w:rPr>
          <w:fldChar w:fldCharType="end"/>
        </w:r>
      </w:hyperlink>
    </w:p>
    <w:p w14:paraId="30E7AA97" w14:textId="338ED318" w:rsidR="00634236" w:rsidRDefault="00AB00BD">
      <w:pPr>
        <w:pStyle w:val="TableofFigures"/>
        <w:tabs>
          <w:tab w:val="right" w:leader="dot" w:pos="8494"/>
        </w:tabs>
        <w:rPr>
          <w:rFonts w:asciiTheme="minorHAnsi" w:eastAsiaTheme="minorEastAsia" w:hAnsiTheme="minorHAnsi" w:cstheme="minorBidi"/>
          <w:noProof/>
        </w:rPr>
      </w:pPr>
      <w:hyperlink w:anchor="_Toc14347499" w:history="1">
        <w:r w:rsidR="00634236" w:rsidRPr="00D5700A">
          <w:rPr>
            <w:rStyle w:val="Hyperlink"/>
            <w:noProof/>
            <w:lang w:val="en-US"/>
          </w:rPr>
          <w:t>Table 10: Number of technological challenges per trend category</w:t>
        </w:r>
        <w:r w:rsidR="00634236">
          <w:rPr>
            <w:noProof/>
            <w:webHidden/>
          </w:rPr>
          <w:tab/>
        </w:r>
        <w:r w:rsidR="00634236">
          <w:rPr>
            <w:noProof/>
            <w:webHidden/>
          </w:rPr>
          <w:fldChar w:fldCharType="begin"/>
        </w:r>
        <w:r w:rsidR="00634236">
          <w:rPr>
            <w:noProof/>
            <w:webHidden/>
          </w:rPr>
          <w:instrText xml:space="preserve"> PAGEREF _Toc14347499 \h </w:instrText>
        </w:r>
        <w:r w:rsidR="00634236">
          <w:rPr>
            <w:noProof/>
            <w:webHidden/>
          </w:rPr>
        </w:r>
        <w:r w:rsidR="00634236">
          <w:rPr>
            <w:noProof/>
            <w:webHidden/>
          </w:rPr>
          <w:fldChar w:fldCharType="separate"/>
        </w:r>
        <w:r w:rsidR="00634236">
          <w:rPr>
            <w:noProof/>
            <w:webHidden/>
          </w:rPr>
          <w:t>47</w:t>
        </w:r>
        <w:r w:rsidR="00634236">
          <w:rPr>
            <w:noProof/>
            <w:webHidden/>
          </w:rPr>
          <w:fldChar w:fldCharType="end"/>
        </w:r>
      </w:hyperlink>
    </w:p>
    <w:p w14:paraId="42883B7F" w14:textId="2ACB3A26" w:rsidR="00634236" w:rsidRDefault="00AB00BD">
      <w:pPr>
        <w:pStyle w:val="TableofFigures"/>
        <w:tabs>
          <w:tab w:val="right" w:leader="dot" w:pos="8494"/>
        </w:tabs>
        <w:rPr>
          <w:rFonts w:asciiTheme="minorHAnsi" w:eastAsiaTheme="minorEastAsia" w:hAnsiTheme="minorHAnsi" w:cstheme="minorBidi"/>
          <w:noProof/>
        </w:rPr>
      </w:pPr>
      <w:hyperlink w:anchor="_Toc14347500" w:history="1">
        <w:r w:rsidR="00634236" w:rsidRPr="00D5700A">
          <w:rPr>
            <w:rStyle w:val="Hyperlink"/>
            <w:noProof/>
            <w:lang w:val="en-US"/>
          </w:rPr>
          <w:t>Table 11: Challenges and trends from Development Phase 1 present in industry demand</w:t>
        </w:r>
        <w:r w:rsidR="00634236">
          <w:rPr>
            <w:noProof/>
            <w:webHidden/>
          </w:rPr>
          <w:tab/>
        </w:r>
        <w:r w:rsidR="00634236">
          <w:rPr>
            <w:noProof/>
            <w:webHidden/>
          </w:rPr>
          <w:fldChar w:fldCharType="begin"/>
        </w:r>
        <w:r w:rsidR="00634236">
          <w:rPr>
            <w:noProof/>
            <w:webHidden/>
          </w:rPr>
          <w:instrText xml:space="preserve"> PAGEREF _Toc14347500 \h </w:instrText>
        </w:r>
        <w:r w:rsidR="00634236">
          <w:rPr>
            <w:noProof/>
            <w:webHidden/>
          </w:rPr>
        </w:r>
        <w:r w:rsidR="00634236">
          <w:rPr>
            <w:noProof/>
            <w:webHidden/>
          </w:rPr>
          <w:fldChar w:fldCharType="separate"/>
        </w:r>
        <w:r w:rsidR="00634236">
          <w:rPr>
            <w:noProof/>
            <w:webHidden/>
          </w:rPr>
          <w:t>48</w:t>
        </w:r>
        <w:r w:rsidR="00634236">
          <w:rPr>
            <w:noProof/>
            <w:webHidden/>
          </w:rPr>
          <w:fldChar w:fldCharType="end"/>
        </w:r>
      </w:hyperlink>
    </w:p>
    <w:p w14:paraId="7F5F4C67" w14:textId="1F7C4B80" w:rsidR="00634236" w:rsidRDefault="00AB00BD">
      <w:pPr>
        <w:pStyle w:val="TableofFigures"/>
        <w:tabs>
          <w:tab w:val="right" w:leader="dot" w:pos="8494"/>
        </w:tabs>
        <w:rPr>
          <w:rFonts w:asciiTheme="minorHAnsi" w:eastAsiaTheme="minorEastAsia" w:hAnsiTheme="minorHAnsi" w:cstheme="minorBidi"/>
          <w:noProof/>
        </w:rPr>
      </w:pPr>
      <w:hyperlink w:anchor="_Toc14347501" w:history="1">
        <w:r w:rsidR="00634236" w:rsidRPr="00D5700A">
          <w:rPr>
            <w:rStyle w:val="Hyperlink"/>
            <w:noProof/>
            <w:lang w:val="en-US"/>
          </w:rPr>
          <w:t>Table 12: Drivers of change, Megatrends according to the PESTEL framework</w:t>
        </w:r>
        <w:r w:rsidR="00634236">
          <w:rPr>
            <w:noProof/>
            <w:webHidden/>
          </w:rPr>
          <w:tab/>
        </w:r>
        <w:r w:rsidR="00634236">
          <w:rPr>
            <w:noProof/>
            <w:webHidden/>
          </w:rPr>
          <w:fldChar w:fldCharType="begin"/>
        </w:r>
        <w:r w:rsidR="00634236">
          <w:rPr>
            <w:noProof/>
            <w:webHidden/>
          </w:rPr>
          <w:instrText xml:space="preserve"> PAGEREF _Toc14347501 \h </w:instrText>
        </w:r>
        <w:r w:rsidR="00634236">
          <w:rPr>
            <w:noProof/>
            <w:webHidden/>
          </w:rPr>
        </w:r>
        <w:r w:rsidR="00634236">
          <w:rPr>
            <w:noProof/>
            <w:webHidden/>
          </w:rPr>
          <w:fldChar w:fldCharType="separate"/>
        </w:r>
        <w:r w:rsidR="00634236">
          <w:rPr>
            <w:noProof/>
            <w:webHidden/>
          </w:rPr>
          <w:t>60</w:t>
        </w:r>
        <w:r w:rsidR="00634236">
          <w:rPr>
            <w:noProof/>
            <w:webHidden/>
          </w:rPr>
          <w:fldChar w:fldCharType="end"/>
        </w:r>
      </w:hyperlink>
    </w:p>
    <w:p w14:paraId="06030063" w14:textId="14C32EBA" w:rsidR="00634236" w:rsidRDefault="00AB00BD">
      <w:pPr>
        <w:pStyle w:val="TableofFigures"/>
        <w:tabs>
          <w:tab w:val="right" w:leader="dot" w:pos="8494"/>
        </w:tabs>
        <w:rPr>
          <w:rFonts w:asciiTheme="minorHAnsi" w:eastAsiaTheme="minorEastAsia" w:hAnsiTheme="minorHAnsi" w:cstheme="minorBidi"/>
          <w:noProof/>
        </w:rPr>
      </w:pPr>
      <w:hyperlink w:anchor="_Toc14347502" w:history="1">
        <w:r w:rsidR="00634236" w:rsidRPr="00D5700A">
          <w:rPr>
            <w:rStyle w:val="Hyperlink"/>
            <w:noProof/>
          </w:rPr>
          <w:t>Table 13: Expert Survey</w:t>
        </w:r>
        <w:r w:rsidR="00634236">
          <w:rPr>
            <w:noProof/>
            <w:webHidden/>
          </w:rPr>
          <w:tab/>
        </w:r>
        <w:r w:rsidR="00634236">
          <w:rPr>
            <w:noProof/>
            <w:webHidden/>
          </w:rPr>
          <w:fldChar w:fldCharType="begin"/>
        </w:r>
        <w:r w:rsidR="00634236">
          <w:rPr>
            <w:noProof/>
            <w:webHidden/>
          </w:rPr>
          <w:instrText xml:space="preserve"> PAGEREF _Toc14347502 \h </w:instrText>
        </w:r>
        <w:r w:rsidR="00634236">
          <w:rPr>
            <w:noProof/>
            <w:webHidden/>
          </w:rPr>
        </w:r>
        <w:r w:rsidR="00634236">
          <w:rPr>
            <w:noProof/>
            <w:webHidden/>
          </w:rPr>
          <w:fldChar w:fldCharType="separate"/>
        </w:r>
        <w:r w:rsidR="00634236">
          <w:rPr>
            <w:noProof/>
            <w:webHidden/>
          </w:rPr>
          <w:t>63</w:t>
        </w:r>
        <w:r w:rsidR="00634236">
          <w:rPr>
            <w:noProof/>
            <w:webHidden/>
          </w:rPr>
          <w:fldChar w:fldCharType="end"/>
        </w:r>
      </w:hyperlink>
    </w:p>
    <w:p w14:paraId="3C3277E8" w14:textId="6A4612C4" w:rsidR="00634236" w:rsidRDefault="00AB00BD">
      <w:pPr>
        <w:pStyle w:val="TableofFigures"/>
        <w:tabs>
          <w:tab w:val="right" w:leader="dot" w:pos="8494"/>
        </w:tabs>
        <w:rPr>
          <w:rFonts w:asciiTheme="minorHAnsi" w:eastAsiaTheme="minorEastAsia" w:hAnsiTheme="minorHAnsi" w:cstheme="minorBidi"/>
          <w:noProof/>
        </w:rPr>
      </w:pPr>
      <w:hyperlink w:anchor="_Toc14347503" w:history="1">
        <w:r w:rsidR="00634236" w:rsidRPr="00D5700A">
          <w:rPr>
            <w:rStyle w:val="Hyperlink"/>
            <w:noProof/>
            <w:lang w:val="en-US"/>
          </w:rPr>
          <w:t>Table 14: Subset Literature megatrends and drivers of change</w:t>
        </w:r>
        <w:r w:rsidR="00634236">
          <w:rPr>
            <w:noProof/>
            <w:webHidden/>
          </w:rPr>
          <w:tab/>
        </w:r>
        <w:r w:rsidR="00634236">
          <w:rPr>
            <w:noProof/>
            <w:webHidden/>
          </w:rPr>
          <w:fldChar w:fldCharType="begin"/>
        </w:r>
        <w:r w:rsidR="00634236">
          <w:rPr>
            <w:noProof/>
            <w:webHidden/>
          </w:rPr>
          <w:instrText xml:space="preserve"> PAGEREF _Toc14347503 \h </w:instrText>
        </w:r>
        <w:r w:rsidR="00634236">
          <w:rPr>
            <w:noProof/>
            <w:webHidden/>
          </w:rPr>
        </w:r>
        <w:r w:rsidR="00634236">
          <w:rPr>
            <w:noProof/>
            <w:webHidden/>
          </w:rPr>
          <w:fldChar w:fldCharType="separate"/>
        </w:r>
        <w:r w:rsidR="00634236">
          <w:rPr>
            <w:noProof/>
            <w:webHidden/>
          </w:rPr>
          <w:t>64</w:t>
        </w:r>
        <w:r w:rsidR="00634236">
          <w:rPr>
            <w:noProof/>
            <w:webHidden/>
          </w:rPr>
          <w:fldChar w:fldCharType="end"/>
        </w:r>
      </w:hyperlink>
    </w:p>
    <w:p w14:paraId="772EE3FB" w14:textId="4911B39E" w:rsidR="00634236" w:rsidRDefault="00AB00BD">
      <w:pPr>
        <w:pStyle w:val="TableofFigures"/>
        <w:tabs>
          <w:tab w:val="right" w:leader="dot" w:pos="8494"/>
        </w:tabs>
        <w:rPr>
          <w:rFonts w:asciiTheme="minorHAnsi" w:eastAsiaTheme="minorEastAsia" w:hAnsiTheme="minorHAnsi" w:cstheme="minorBidi"/>
          <w:noProof/>
        </w:rPr>
      </w:pPr>
      <w:hyperlink w:anchor="_Toc14347504" w:history="1">
        <w:r w:rsidR="00634236" w:rsidRPr="00D5700A">
          <w:rPr>
            <w:rStyle w:val="Hyperlink"/>
            <w:noProof/>
            <w:lang w:val="en-US"/>
          </w:rPr>
          <w:t>Table 15: Call for challenges and original descriptions</w:t>
        </w:r>
        <w:r w:rsidR="00634236">
          <w:rPr>
            <w:noProof/>
            <w:webHidden/>
          </w:rPr>
          <w:tab/>
        </w:r>
        <w:r w:rsidR="00634236">
          <w:rPr>
            <w:noProof/>
            <w:webHidden/>
          </w:rPr>
          <w:fldChar w:fldCharType="begin"/>
        </w:r>
        <w:r w:rsidR="00634236">
          <w:rPr>
            <w:noProof/>
            <w:webHidden/>
          </w:rPr>
          <w:instrText xml:space="preserve"> PAGEREF _Toc14347504 \h </w:instrText>
        </w:r>
        <w:r w:rsidR="00634236">
          <w:rPr>
            <w:noProof/>
            <w:webHidden/>
          </w:rPr>
        </w:r>
        <w:r w:rsidR="00634236">
          <w:rPr>
            <w:noProof/>
            <w:webHidden/>
          </w:rPr>
          <w:fldChar w:fldCharType="separate"/>
        </w:r>
        <w:r w:rsidR="00634236">
          <w:rPr>
            <w:noProof/>
            <w:webHidden/>
          </w:rPr>
          <w:t>65</w:t>
        </w:r>
        <w:r w:rsidR="00634236">
          <w:rPr>
            <w:noProof/>
            <w:webHidden/>
          </w:rPr>
          <w:fldChar w:fldCharType="end"/>
        </w:r>
      </w:hyperlink>
    </w:p>
    <w:p w14:paraId="5CED192E" w14:textId="6E039C05" w:rsidR="00634236" w:rsidRDefault="00AB00BD">
      <w:pPr>
        <w:pStyle w:val="TableofFigures"/>
        <w:tabs>
          <w:tab w:val="right" w:leader="dot" w:pos="8494"/>
        </w:tabs>
        <w:rPr>
          <w:rFonts w:asciiTheme="minorHAnsi" w:eastAsiaTheme="minorEastAsia" w:hAnsiTheme="minorHAnsi" w:cstheme="minorBidi"/>
          <w:noProof/>
        </w:rPr>
      </w:pPr>
      <w:hyperlink w:anchor="_Toc14347505" w:history="1">
        <w:r w:rsidR="00634236" w:rsidRPr="00D5700A">
          <w:rPr>
            <w:rStyle w:val="Hyperlink"/>
            <w:noProof/>
            <w:lang w:val="en-US"/>
          </w:rPr>
          <w:t>Table 16: Benchmarking the agrifood value chain</w:t>
        </w:r>
        <w:r w:rsidR="00634236">
          <w:rPr>
            <w:noProof/>
            <w:webHidden/>
          </w:rPr>
          <w:tab/>
        </w:r>
        <w:r w:rsidR="00634236">
          <w:rPr>
            <w:noProof/>
            <w:webHidden/>
          </w:rPr>
          <w:fldChar w:fldCharType="begin"/>
        </w:r>
        <w:r w:rsidR="00634236">
          <w:rPr>
            <w:noProof/>
            <w:webHidden/>
          </w:rPr>
          <w:instrText xml:space="preserve"> PAGEREF _Toc14347505 \h </w:instrText>
        </w:r>
        <w:r w:rsidR="00634236">
          <w:rPr>
            <w:noProof/>
            <w:webHidden/>
          </w:rPr>
        </w:r>
        <w:r w:rsidR="00634236">
          <w:rPr>
            <w:noProof/>
            <w:webHidden/>
          </w:rPr>
          <w:fldChar w:fldCharType="separate"/>
        </w:r>
        <w:r w:rsidR="00634236">
          <w:rPr>
            <w:noProof/>
            <w:webHidden/>
          </w:rPr>
          <w:t>69</w:t>
        </w:r>
        <w:r w:rsidR="00634236">
          <w:rPr>
            <w:noProof/>
            <w:webHidden/>
          </w:rPr>
          <w:fldChar w:fldCharType="end"/>
        </w:r>
      </w:hyperlink>
    </w:p>
    <w:p w14:paraId="0EEBE370" w14:textId="75F46EF6" w:rsidR="00634236" w:rsidRDefault="00AB00BD">
      <w:pPr>
        <w:pStyle w:val="TableofFigures"/>
        <w:tabs>
          <w:tab w:val="right" w:leader="dot" w:pos="8494"/>
        </w:tabs>
        <w:rPr>
          <w:rFonts w:asciiTheme="minorHAnsi" w:eastAsiaTheme="minorEastAsia" w:hAnsiTheme="minorHAnsi" w:cstheme="minorBidi"/>
          <w:noProof/>
        </w:rPr>
      </w:pPr>
      <w:hyperlink w:anchor="_Toc14347506" w:history="1">
        <w:r w:rsidR="00634236" w:rsidRPr="00D5700A">
          <w:rPr>
            <w:rStyle w:val="Hyperlink"/>
            <w:noProof/>
            <w:lang w:val="en-US"/>
          </w:rPr>
          <w:t>Table 17: Original definitions revised from literature</w:t>
        </w:r>
        <w:r w:rsidR="00634236">
          <w:rPr>
            <w:noProof/>
            <w:webHidden/>
          </w:rPr>
          <w:tab/>
        </w:r>
        <w:r w:rsidR="00634236">
          <w:rPr>
            <w:noProof/>
            <w:webHidden/>
          </w:rPr>
          <w:fldChar w:fldCharType="begin"/>
        </w:r>
        <w:r w:rsidR="00634236">
          <w:rPr>
            <w:noProof/>
            <w:webHidden/>
          </w:rPr>
          <w:instrText xml:space="preserve"> PAGEREF _Toc14347506 \h </w:instrText>
        </w:r>
        <w:r w:rsidR="00634236">
          <w:rPr>
            <w:noProof/>
            <w:webHidden/>
          </w:rPr>
        </w:r>
        <w:r w:rsidR="00634236">
          <w:rPr>
            <w:noProof/>
            <w:webHidden/>
          </w:rPr>
          <w:fldChar w:fldCharType="separate"/>
        </w:r>
        <w:r w:rsidR="00634236">
          <w:rPr>
            <w:noProof/>
            <w:webHidden/>
          </w:rPr>
          <w:t>71</w:t>
        </w:r>
        <w:r w:rsidR="00634236">
          <w:rPr>
            <w:noProof/>
            <w:webHidden/>
          </w:rPr>
          <w:fldChar w:fldCharType="end"/>
        </w:r>
      </w:hyperlink>
    </w:p>
    <w:p w14:paraId="469F2A32" w14:textId="7B187077" w:rsidR="00AB127F" w:rsidRDefault="00B95BF8" w:rsidP="00AB127F">
      <w:pPr>
        <w:pStyle w:val="frontmatterheadingstyle"/>
        <w:tabs>
          <w:tab w:val="left" w:pos="7440"/>
        </w:tabs>
        <w:rPr>
          <w:lang w:val="en-US"/>
        </w:rPr>
      </w:pPr>
      <w:r>
        <w:rPr>
          <w:lang w:val="en-US"/>
        </w:rPr>
        <w:fldChar w:fldCharType="end"/>
      </w:r>
      <w:r w:rsidR="00AB127F">
        <w:rPr>
          <w:lang w:val="en-US"/>
        </w:rPr>
        <w:tab/>
      </w:r>
    </w:p>
    <w:p w14:paraId="09192F07" w14:textId="77777777" w:rsidR="00AB4CAE" w:rsidRPr="00B95BF8" w:rsidRDefault="00AB4CAE" w:rsidP="00AB4CAE">
      <w:pPr>
        <w:pStyle w:val="frontmatterheadingstyle"/>
        <w:rPr>
          <w:lang w:val="en-US"/>
        </w:rPr>
      </w:pPr>
      <w:bookmarkStart w:id="18" w:name="_Toc14347302"/>
      <w:r w:rsidRPr="0048196F">
        <w:rPr>
          <w:lang w:val="en-US"/>
        </w:rPr>
        <w:t>List of figures</w:t>
      </w:r>
      <w:bookmarkEnd w:id="18"/>
    </w:p>
    <w:p w14:paraId="2E5DA3C2" w14:textId="0584C61E" w:rsidR="00634236" w:rsidRDefault="00AB4CAE">
      <w:pPr>
        <w:pStyle w:val="TableofFigures"/>
        <w:tabs>
          <w:tab w:val="right" w:leader="dot" w:pos="8494"/>
        </w:tabs>
        <w:rPr>
          <w:rFonts w:asciiTheme="minorHAnsi" w:eastAsiaTheme="minorEastAsia" w:hAnsiTheme="minorHAnsi" w:cstheme="minorBidi"/>
          <w:noProof/>
        </w:rPr>
      </w:pPr>
      <w:r>
        <w:fldChar w:fldCharType="begin"/>
      </w:r>
      <w:r>
        <w:instrText xml:space="preserve"> TOC \h \z \c "Figure" </w:instrText>
      </w:r>
      <w:r>
        <w:fldChar w:fldCharType="separate"/>
      </w:r>
      <w:hyperlink w:anchor="_Toc14347569" w:history="1">
        <w:r w:rsidR="00634236" w:rsidRPr="006C1313">
          <w:rPr>
            <w:rStyle w:val="Hyperlink"/>
            <w:noProof/>
          </w:rPr>
          <w:t>Figure 1: Research Design</w:t>
        </w:r>
        <w:r w:rsidR="00634236">
          <w:rPr>
            <w:noProof/>
            <w:webHidden/>
          </w:rPr>
          <w:tab/>
        </w:r>
        <w:r w:rsidR="00634236">
          <w:rPr>
            <w:noProof/>
            <w:webHidden/>
          </w:rPr>
          <w:fldChar w:fldCharType="begin"/>
        </w:r>
        <w:r w:rsidR="00634236">
          <w:rPr>
            <w:noProof/>
            <w:webHidden/>
          </w:rPr>
          <w:instrText xml:space="preserve"> PAGEREF _Toc14347569 \h </w:instrText>
        </w:r>
        <w:r w:rsidR="00634236">
          <w:rPr>
            <w:noProof/>
            <w:webHidden/>
          </w:rPr>
        </w:r>
        <w:r w:rsidR="00634236">
          <w:rPr>
            <w:noProof/>
            <w:webHidden/>
          </w:rPr>
          <w:fldChar w:fldCharType="separate"/>
        </w:r>
        <w:r w:rsidR="00634236">
          <w:rPr>
            <w:noProof/>
            <w:webHidden/>
          </w:rPr>
          <w:t>4</w:t>
        </w:r>
        <w:r w:rsidR="00634236">
          <w:rPr>
            <w:noProof/>
            <w:webHidden/>
          </w:rPr>
          <w:fldChar w:fldCharType="end"/>
        </w:r>
      </w:hyperlink>
    </w:p>
    <w:p w14:paraId="59601BF9" w14:textId="5978CB3E" w:rsidR="00634236" w:rsidRDefault="00AB00BD">
      <w:pPr>
        <w:pStyle w:val="TableofFigures"/>
        <w:tabs>
          <w:tab w:val="right" w:leader="dot" w:pos="8494"/>
        </w:tabs>
        <w:rPr>
          <w:rFonts w:asciiTheme="minorHAnsi" w:eastAsiaTheme="minorEastAsia" w:hAnsiTheme="minorHAnsi" w:cstheme="minorBidi"/>
          <w:noProof/>
        </w:rPr>
      </w:pPr>
      <w:hyperlink r:id="rId15" w:anchor="_Toc14347570" w:history="1">
        <w:r w:rsidR="00634236" w:rsidRPr="006C1313">
          <w:rPr>
            <w:rStyle w:val="Hyperlink"/>
            <w:noProof/>
            <w:lang w:val="en-US"/>
          </w:rPr>
          <w:t>Figure 2: Overview of approach to trend selection</w:t>
        </w:r>
        <w:r w:rsidR="00634236">
          <w:rPr>
            <w:noProof/>
            <w:webHidden/>
          </w:rPr>
          <w:tab/>
        </w:r>
        <w:r w:rsidR="00634236">
          <w:rPr>
            <w:noProof/>
            <w:webHidden/>
          </w:rPr>
          <w:fldChar w:fldCharType="begin"/>
        </w:r>
        <w:r w:rsidR="00634236">
          <w:rPr>
            <w:noProof/>
            <w:webHidden/>
          </w:rPr>
          <w:instrText xml:space="preserve"> PAGEREF _Toc14347570 \h </w:instrText>
        </w:r>
        <w:r w:rsidR="00634236">
          <w:rPr>
            <w:noProof/>
            <w:webHidden/>
          </w:rPr>
        </w:r>
        <w:r w:rsidR="00634236">
          <w:rPr>
            <w:noProof/>
            <w:webHidden/>
          </w:rPr>
          <w:fldChar w:fldCharType="separate"/>
        </w:r>
        <w:r w:rsidR="00634236">
          <w:rPr>
            <w:noProof/>
            <w:webHidden/>
          </w:rPr>
          <w:t>7</w:t>
        </w:r>
        <w:r w:rsidR="00634236">
          <w:rPr>
            <w:noProof/>
            <w:webHidden/>
          </w:rPr>
          <w:fldChar w:fldCharType="end"/>
        </w:r>
      </w:hyperlink>
    </w:p>
    <w:p w14:paraId="571DF8C5" w14:textId="25048633" w:rsidR="00634236" w:rsidRDefault="00AB00BD">
      <w:pPr>
        <w:pStyle w:val="TableofFigures"/>
        <w:tabs>
          <w:tab w:val="right" w:leader="dot" w:pos="8494"/>
        </w:tabs>
        <w:rPr>
          <w:rFonts w:asciiTheme="minorHAnsi" w:eastAsiaTheme="minorEastAsia" w:hAnsiTheme="minorHAnsi" w:cstheme="minorBidi"/>
          <w:noProof/>
        </w:rPr>
      </w:pPr>
      <w:hyperlink w:anchor="_Toc14347571" w:history="1">
        <w:r w:rsidR="00634236" w:rsidRPr="006C1313">
          <w:rPr>
            <w:rStyle w:val="Hyperlink"/>
            <w:noProof/>
            <w:lang w:val="en-US"/>
          </w:rPr>
          <w:t>Figure 3: Subset literature for selection of megatrends and drivers of change</w:t>
        </w:r>
        <w:r w:rsidR="00634236">
          <w:rPr>
            <w:noProof/>
            <w:webHidden/>
          </w:rPr>
          <w:tab/>
        </w:r>
        <w:r w:rsidR="00634236">
          <w:rPr>
            <w:noProof/>
            <w:webHidden/>
          </w:rPr>
          <w:fldChar w:fldCharType="begin"/>
        </w:r>
        <w:r w:rsidR="00634236">
          <w:rPr>
            <w:noProof/>
            <w:webHidden/>
          </w:rPr>
          <w:instrText xml:space="preserve"> PAGEREF _Toc14347571 \h </w:instrText>
        </w:r>
        <w:r w:rsidR="00634236">
          <w:rPr>
            <w:noProof/>
            <w:webHidden/>
          </w:rPr>
        </w:r>
        <w:r w:rsidR="00634236">
          <w:rPr>
            <w:noProof/>
            <w:webHidden/>
          </w:rPr>
          <w:fldChar w:fldCharType="separate"/>
        </w:r>
        <w:r w:rsidR="00634236">
          <w:rPr>
            <w:noProof/>
            <w:webHidden/>
          </w:rPr>
          <w:t>8</w:t>
        </w:r>
        <w:r w:rsidR="00634236">
          <w:rPr>
            <w:noProof/>
            <w:webHidden/>
          </w:rPr>
          <w:fldChar w:fldCharType="end"/>
        </w:r>
      </w:hyperlink>
    </w:p>
    <w:p w14:paraId="33DD8B30" w14:textId="3153CA1F" w:rsidR="00634236" w:rsidRDefault="00AB00BD">
      <w:pPr>
        <w:pStyle w:val="TableofFigures"/>
        <w:tabs>
          <w:tab w:val="right" w:leader="dot" w:pos="8494"/>
        </w:tabs>
        <w:rPr>
          <w:rFonts w:asciiTheme="minorHAnsi" w:eastAsiaTheme="minorEastAsia" w:hAnsiTheme="minorHAnsi" w:cstheme="minorBidi"/>
          <w:noProof/>
        </w:rPr>
      </w:pPr>
      <w:hyperlink w:anchor="_Toc14347572" w:history="1">
        <w:r w:rsidR="00634236" w:rsidRPr="006C1313">
          <w:rPr>
            <w:rStyle w:val="Hyperlink"/>
            <w:noProof/>
            <w:lang w:val="en-US"/>
          </w:rPr>
          <w:t>Figure 4: Distribution of survey responses</w:t>
        </w:r>
        <w:r w:rsidR="00634236">
          <w:rPr>
            <w:noProof/>
            <w:webHidden/>
          </w:rPr>
          <w:tab/>
        </w:r>
        <w:r w:rsidR="00634236">
          <w:rPr>
            <w:noProof/>
            <w:webHidden/>
          </w:rPr>
          <w:fldChar w:fldCharType="begin"/>
        </w:r>
        <w:r w:rsidR="00634236">
          <w:rPr>
            <w:noProof/>
            <w:webHidden/>
          </w:rPr>
          <w:instrText xml:space="preserve"> PAGEREF _Toc14347572 \h </w:instrText>
        </w:r>
        <w:r w:rsidR="00634236">
          <w:rPr>
            <w:noProof/>
            <w:webHidden/>
          </w:rPr>
        </w:r>
        <w:r w:rsidR="00634236">
          <w:rPr>
            <w:noProof/>
            <w:webHidden/>
          </w:rPr>
          <w:fldChar w:fldCharType="separate"/>
        </w:r>
        <w:r w:rsidR="00634236">
          <w:rPr>
            <w:noProof/>
            <w:webHidden/>
          </w:rPr>
          <w:t>28</w:t>
        </w:r>
        <w:r w:rsidR="00634236">
          <w:rPr>
            <w:noProof/>
            <w:webHidden/>
          </w:rPr>
          <w:fldChar w:fldCharType="end"/>
        </w:r>
      </w:hyperlink>
    </w:p>
    <w:p w14:paraId="5531804F" w14:textId="749D9359" w:rsidR="00634236" w:rsidRDefault="00AB00BD">
      <w:pPr>
        <w:pStyle w:val="TableofFigures"/>
        <w:tabs>
          <w:tab w:val="right" w:leader="dot" w:pos="8494"/>
        </w:tabs>
        <w:rPr>
          <w:rFonts w:asciiTheme="minorHAnsi" w:eastAsiaTheme="minorEastAsia" w:hAnsiTheme="minorHAnsi" w:cstheme="minorBidi"/>
          <w:noProof/>
        </w:rPr>
      </w:pPr>
      <w:hyperlink r:id="rId16" w:anchor="_Toc14347573" w:history="1">
        <w:r w:rsidR="00634236" w:rsidRPr="006C1313">
          <w:rPr>
            <w:rStyle w:val="Hyperlink"/>
            <w:noProof/>
            <w:lang w:val="en-US"/>
          </w:rPr>
          <w:t>Figure 5: Visual Trend Map (Small version)</w:t>
        </w:r>
        <w:r w:rsidR="00634236">
          <w:rPr>
            <w:noProof/>
            <w:webHidden/>
          </w:rPr>
          <w:tab/>
        </w:r>
        <w:r w:rsidR="00634236">
          <w:rPr>
            <w:noProof/>
            <w:webHidden/>
          </w:rPr>
          <w:fldChar w:fldCharType="begin"/>
        </w:r>
        <w:r w:rsidR="00634236">
          <w:rPr>
            <w:noProof/>
            <w:webHidden/>
          </w:rPr>
          <w:instrText xml:space="preserve"> PAGEREF _Toc14347573 \h </w:instrText>
        </w:r>
        <w:r w:rsidR="00634236">
          <w:rPr>
            <w:noProof/>
            <w:webHidden/>
          </w:rPr>
        </w:r>
        <w:r w:rsidR="00634236">
          <w:rPr>
            <w:noProof/>
            <w:webHidden/>
          </w:rPr>
          <w:fldChar w:fldCharType="separate"/>
        </w:r>
        <w:r w:rsidR="00634236">
          <w:rPr>
            <w:noProof/>
            <w:webHidden/>
          </w:rPr>
          <w:t>39</w:t>
        </w:r>
        <w:r w:rsidR="00634236">
          <w:rPr>
            <w:noProof/>
            <w:webHidden/>
          </w:rPr>
          <w:fldChar w:fldCharType="end"/>
        </w:r>
      </w:hyperlink>
    </w:p>
    <w:p w14:paraId="671448AA" w14:textId="7FBE3DBC" w:rsidR="00634236" w:rsidRDefault="00AB00BD">
      <w:pPr>
        <w:pStyle w:val="TableofFigures"/>
        <w:tabs>
          <w:tab w:val="right" w:leader="dot" w:pos="8494"/>
        </w:tabs>
        <w:rPr>
          <w:rFonts w:asciiTheme="minorHAnsi" w:eastAsiaTheme="minorEastAsia" w:hAnsiTheme="minorHAnsi" w:cstheme="minorBidi"/>
          <w:noProof/>
        </w:rPr>
      </w:pPr>
      <w:hyperlink w:anchor="_Toc14347574" w:history="1">
        <w:r w:rsidR="00634236" w:rsidRPr="006C1313">
          <w:rPr>
            <w:rStyle w:val="Hyperlink"/>
            <w:noProof/>
            <w:lang w:val="en-US"/>
          </w:rPr>
          <w:t>Figure 6: Digitech Value Chain (Simplified)</w:t>
        </w:r>
        <w:r w:rsidR="00634236">
          <w:rPr>
            <w:noProof/>
            <w:webHidden/>
          </w:rPr>
          <w:tab/>
        </w:r>
        <w:r w:rsidR="00634236">
          <w:rPr>
            <w:noProof/>
            <w:webHidden/>
          </w:rPr>
          <w:fldChar w:fldCharType="begin"/>
        </w:r>
        <w:r w:rsidR="00634236">
          <w:rPr>
            <w:noProof/>
            <w:webHidden/>
          </w:rPr>
          <w:instrText xml:space="preserve"> PAGEREF _Toc14347574 \h </w:instrText>
        </w:r>
        <w:r w:rsidR="00634236">
          <w:rPr>
            <w:noProof/>
            <w:webHidden/>
          </w:rPr>
        </w:r>
        <w:r w:rsidR="00634236">
          <w:rPr>
            <w:noProof/>
            <w:webHidden/>
          </w:rPr>
          <w:fldChar w:fldCharType="separate"/>
        </w:r>
        <w:r w:rsidR="00634236">
          <w:rPr>
            <w:noProof/>
            <w:webHidden/>
          </w:rPr>
          <w:t>41</w:t>
        </w:r>
        <w:r w:rsidR="00634236">
          <w:rPr>
            <w:noProof/>
            <w:webHidden/>
          </w:rPr>
          <w:fldChar w:fldCharType="end"/>
        </w:r>
      </w:hyperlink>
    </w:p>
    <w:p w14:paraId="1034862A" w14:textId="58A77ABB" w:rsidR="00634236" w:rsidRDefault="00AB00BD">
      <w:pPr>
        <w:pStyle w:val="TableofFigures"/>
        <w:tabs>
          <w:tab w:val="right" w:leader="dot" w:pos="8494"/>
        </w:tabs>
        <w:rPr>
          <w:rFonts w:asciiTheme="minorHAnsi" w:eastAsiaTheme="minorEastAsia" w:hAnsiTheme="minorHAnsi" w:cstheme="minorBidi"/>
          <w:noProof/>
        </w:rPr>
      </w:pPr>
      <w:hyperlink r:id="rId17" w:anchor="_Toc14347575" w:history="1">
        <w:r w:rsidR="00634236" w:rsidRPr="006C1313">
          <w:rPr>
            <w:rStyle w:val="Hyperlink"/>
            <w:noProof/>
            <w:lang w:val="en-US"/>
          </w:rPr>
          <w:t>Figure 7: Digitech Value Chain (Small version)</w:t>
        </w:r>
        <w:r w:rsidR="00634236">
          <w:rPr>
            <w:noProof/>
            <w:webHidden/>
          </w:rPr>
          <w:tab/>
        </w:r>
        <w:r w:rsidR="00634236">
          <w:rPr>
            <w:noProof/>
            <w:webHidden/>
          </w:rPr>
          <w:fldChar w:fldCharType="begin"/>
        </w:r>
        <w:r w:rsidR="00634236">
          <w:rPr>
            <w:noProof/>
            <w:webHidden/>
          </w:rPr>
          <w:instrText xml:space="preserve"> PAGEREF _Toc14347575 \h </w:instrText>
        </w:r>
        <w:r w:rsidR="00634236">
          <w:rPr>
            <w:noProof/>
            <w:webHidden/>
          </w:rPr>
        </w:r>
        <w:r w:rsidR="00634236">
          <w:rPr>
            <w:noProof/>
            <w:webHidden/>
          </w:rPr>
          <w:fldChar w:fldCharType="separate"/>
        </w:r>
        <w:r w:rsidR="00634236">
          <w:rPr>
            <w:noProof/>
            <w:webHidden/>
          </w:rPr>
          <w:t>49</w:t>
        </w:r>
        <w:r w:rsidR="00634236">
          <w:rPr>
            <w:noProof/>
            <w:webHidden/>
          </w:rPr>
          <w:fldChar w:fldCharType="end"/>
        </w:r>
      </w:hyperlink>
    </w:p>
    <w:p w14:paraId="4A0BBC05" w14:textId="627A5749" w:rsidR="00634236" w:rsidRDefault="00AB00BD">
      <w:pPr>
        <w:pStyle w:val="TableofFigures"/>
        <w:tabs>
          <w:tab w:val="right" w:leader="dot" w:pos="8494"/>
        </w:tabs>
        <w:rPr>
          <w:rFonts w:asciiTheme="minorHAnsi" w:eastAsiaTheme="minorEastAsia" w:hAnsiTheme="minorHAnsi" w:cstheme="minorBidi"/>
          <w:noProof/>
        </w:rPr>
      </w:pPr>
      <w:hyperlink r:id="rId18" w:anchor="_Toc14347576" w:history="1">
        <w:r w:rsidR="00634236" w:rsidRPr="006C1313">
          <w:rPr>
            <w:rStyle w:val="Hyperlink"/>
            <w:noProof/>
          </w:rPr>
          <w:t>Figure 8: Visual Trend Map</w:t>
        </w:r>
        <w:r w:rsidR="00634236">
          <w:rPr>
            <w:noProof/>
            <w:webHidden/>
          </w:rPr>
          <w:tab/>
        </w:r>
        <w:r w:rsidR="00634236">
          <w:rPr>
            <w:noProof/>
            <w:webHidden/>
          </w:rPr>
          <w:fldChar w:fldCharType="begin"/>
        </w:r>
        <w:r w:rsidR="00634236">
          <w:rPr>
            <w:noProof/>
            <w:webHidden/>
          </w:rPr>
          <w:instrText xml:space="preserve"> PAGEREF _Toc14347576 \h </w:instrText>
        </w:r>
        <w:r w:rsidR="00634236">
          <w:rPr>
            <w:noProof/>
            <w:webHidden/>
          </w:rPr>
        </w:r>
        <w:r w:rsidR="00634236">
          <w:rPr>
            <w:noProof/>
            <w:webHidden/>
          </w:rPr>
          <w:fldChar w:fldCharType="separate"/>
        </w:r>
        <w:r w:rsidR="00634236">
          <w:rPr>
            <w:noProof/>
            <w:webHidden/>
          </w:rPr>
          <w:t>58</w:t>
        </w:r>
        <w:r w:rsidR="00634236">
          <w:rPr>
            <w:noProof/>
            <w:webHidden/>
          </w:rPr>
          <w:fldChar w:fldCharType="end"/>
        </w:r>
      </w:hyperlink>
    </w:p>
    <w:p w14:paraId="3F38DF96" w14:textId="6EADDDF6" w:rsidR="00634236" w:rsidRDefault="00AB00BD">
      <w:pPr>
        <w:pStyle w:val="TableofFigures"/>
        <w:tabs>
          <w:tab w:val="right" w:leader="dot" w:pos="8494"/>
        </w:tabs>
        <w:rPr>
          <w:rFonts w:asciiTheme="minorHAnsi" w:eastAsiaTheme="minorEastAsia" w:hAnsiTheme="minorHAnsi" w:cstheme="minorBidi"/>
          <w:noProof/>
        </w:rPr>
      </w:pPr>
      <w:hyperlink w:anchor="_Toc14347577" w:history="1">
        <w:r w:rsidR="00634236" w:rsidRPr="006C1313">
          <w:rPr>
            <w:rStyle w:val="Hyperlink"/>
            <w:noProof/>
          </w:rPr>
          <w:t>Figure 9: Digitech Value Chain</w:t>
        </w:r>
        <w:r w:rsidR="00634236">
          <w:rPr>
            <w:noProof/>
            <w:webHidden/>
          </w:rPr>
          <w:tab/>
        </w:r>
        <w:r w:rsidR="00634236">
          <w:rPr>
            <w:noProof/>
            <w:webHidden/>
          </w:rPr>
          <w:fldChar w:fldCharType="begin"/>
        </w:r>
        <w:r w:rsidR="00634236">
          <w:rPr>
            <w:noProof/>
            <w:webHidden/>
          </w:rPr>
          <w:instrText xml:space="preserve"> PAGEREF _Toc14347577 \h </w:instrText>
        </w:r>
        <w:r w:rsidR="00634236">
          <w:rPr>
            <w:noProof/>
            <w:webHidden/>
          </w:rPr>
        </w:r>
        <w:r w:rsidR="00634236">
          <w:rPr>
            <w:noProof/>
            <w:webHidden/>
          </w:rPr>
          <w:fldChar w:fldCharType="separate"/>
        </w:r>
        <w:r w:rsidR="00634236">
          <w:rPr>
            <w:noProof/>
            <w:webHidden/>
          </w:rPr>
          <w:t>59</w:t>
        </w:r>
        <w:r w:rsidR="00634236">
          <w:rPr>
            <w:noProof/>
            <w:webHidden/>
          </w:rPr>
          <w:fldChar w:fldCharType="end"/>
        </w:r>
      </w:hyperlink>
    </w:p>
    <w:p w14:paraId="0473FB62" w14:textId="65F9772B" w:rsidR="00AB4CAE" w:rsidRPr="00B95BF8" w:rsidRDefault="00AB4CAE" w:rsidP="00AB4CAE">
      <w:r>
        <w:fldChar w:fldCharType="end"/>
      </w:r>
    </w:p>
    <w:p w14:paraId="416F6A8D" w14:textId="48B077D8" w:rsidR="00AB127F" w:rsidRDefault="00AB127F" w:rsidP="00AB127F">
      <w:pPr>
        <w:pStyle w:val="frontmatterheadingstyle"/>
        <w:tabs>
          <w:tab w:val="left" w:pos="7440"/>
        </w:tabs>
        <w:rPr>
          <w:lang w:val="en-US"/>
        </w:rPr>
      </w:pPr>
    </w:p>
    <w:p w14:paraId="34F27B07" w14:textId="5566820D" w:rsidR="00AB4CAE" w:rsidRDefault="00AB4CAE" w:rsidP="00AB127F">
      <w:pPr>
        <w:pStyle w:val="frontmatterheadingstyle"/>
        <w:tabs>
          <w:tab w:val="left" w:pos="7440"/>
        </w:tabs>
        <w:rPr>
          <w:lang w:val="en-US"/>
        </w:rPr>
      </w:pPr>
    </w:p>
    <w:p w14:paraId="589803A3" w14:textId="77777777" w:rsidR="00AB4CAE" w:rsidRDefault="00AB4CAE" w:rsidP="00AB127F">
      <w:pPr>
        <w:pStyle w:val="frontmatterheadingstyle"/>
        <w:tabs>
          <w:tab w:val="left" w:pos="7440"/>
        </w:tabs>
        <w:rPr>
          <w:lang w:val="en-US"/>
        </w:rPr>
      </w:pPr>
    </w:p>
    <w:p w14:paraId="3BCCC4CF" w14:textId="77777777" w:rsidR="00AB127F" w:rsidRDefault="00AB127F" w:rsidP="00AB127F">
      <w:pPr>
        <w:pStyle w:val="frontmatterheadingstyle"/>
        <w:tabs>
          <w:tab w:val="left" w:pos="7440"/>
        </w:tabs>
        <w:rPr>
          <w:lang w:val="en-US"/>
        </w:rPr>
      </w:pPr>
    </w:p>
    <w:p w14:paraId="416658FD" w14:textId="6A578D18" w:rsidR="00AB127F" w:rsidRDefault="00AB127F" w:rsidP="00AB127F">
      <w:pPr>
        <w:pStyle w:val="frontmatterheadingstyle"/>
        <w:tabs>
          <w:tab w:val="left" w:pos="7440"/>
        </w:tabs>
        <w:rPr>
          <w:lang w:val="en-US"/>
        </w:rPr>
        <w:sectPr w:rsidR="00AB127F" w:rsidSect="008D2B6D">
          <w:footerReference w:type="even" r:id="rId19"/>
          <w:footerReference w:type="default" r:id="rId20"/>
          <w:headerReference w:type="first" r:id="rId21"/>
          <w:type w:val="evenPage"/>
          <w:pgSz w:w="11907" w:h="16840" w:code="9"/>
          <w:pgMar w:top="1418" w:right="1418" w:bottom="1418" w:left="1985" w:header="142" w:footer="720" w:gutter="0"/>
          <w:pgNumType w:fmt="lowerRoman" w:start="1"/>
          <w:cols w:space="720"/>
          <w:titlePg/>
        </w:sectPr>
      </w:pPr>
    </w:p>
    <w:p w14:paraId="47F349C7" w14:textId="77777777" w:rsidR="00AB127F" w:rsidRPr="00AB127F" w:rsidRDefault="00AB127F" w:rsidP="00AB127F">
      <w:pPr>
        <w:rPr>
          <w:lang w:val="en-US"/>
        </w:rPr>
      </w:pPr>
    </w:p>
    <w:p w14:paraId="723BCB9E" w14:textId="26B33ADC" w:rsidR="00FC774C" w:rsidRPr="0048196F" w:rsidRDefault="00B31276" w:rsidP="00B045A3">
      <w:pPr>
        <w:pStyle w:val="Heading1"/>
        <w:numPr>
          <w:ilvl w:val="0"/>
          <w:numId w:val="40"/>
        </w:numPr>
        <w:rPr>
          <w:lang w:val="en-US"/>
        </w:rPr>
      </w:pPr>
      <w:bookmarkStart w:id="19" w:name="_Toc14347303"/>
      <w:r w:rsidRPr="0048196F">
        <w:rPr>
          <w:lang w:val="en-US"/>
        </w:rPr>
        <w:t>Introduction</w:t>
      </w:r>
      <w:bookmarkEnd w:id="19"/>
    </w:p>
    <w:p w14:paraId="7AFF658E" w14:textId="4C76944B" w:rsidR="00B31276" w:rsidRPr="0048196F" w:rsidRDefault="00B31276" w:rsidP="00B31276">
      <w:pPr>
        <w:spacing w:line="360" w:lineRule="auto"/>
        <w:rPr>
          <w:lang w:val="en-US"/>
        </w:rPr>
      </w:pPr>
      <w:bookmarkStart w:id="20" w:name="_Toc55708698"/>
      <w:bookmarkStart w:id="21" w:name="_Toc110319566"/>
      <w:bookmarkStart w:id="22" w:name="_Toc200960083"/>
      <w:bookmarkStart w:id="23" w:name="_Toc200961218"/>
      <w:bookmarkStart w:id="24" w:name="_Toc200967907"/>
      <w:bookmarkStart w:id="25" w:name="_Toc200967999"/>
      <w:bookmarkStart w:id="26" w:name="_Toc200968099"/>
      <w:bookmarkStart w:id="27" w:name="_Toc200968906"/>
      <w:bookmarkStart w:id="28" w:name="_Toc200969124"/>
      <w:bookmarkStart w:id="29" w:name="_Toc200969298"/>
      <w:bookmarkStart w:id="30" w:name="_Toc200969551"/>
      <w:bookmarkStart w:id="31" w:name="_Toc200969675"/>
      <w:bookmarkStart w:id="32" w:name="_Toc200969794"/>
      <w:r w:rsidRPr="0048196F">
        <w:rPr>
          <w:lang w:val="en-US"/>
        </w:rPr>
        <w:t xml:space="preserve">The agri-food sector is facing the challenge of feeding an estimated population of 9.7 billion people by 2050 </w:t>
      </w:r>
      <w:r w:rsidRPr="0048196F">
        <w:rPr>
          <w:b/>
          <w:lang w:val="en-US"/>
        </w:rPr>
        <w:fldChar w:fldCharType="begin" w:fldLock="1"/>
      </w:r>
      <w:r w:rsidRPr="0048196F">
        <w:rPr>
          <w:b/>
          <w:lang w:val="en-US"/>
        </w:rPr>
        <w:instrText>ADDIN CSL_CITATION {"citationItems":[{"id":"ITEM-1","itemData":{"DOI":"10.4161/chan.4.6.12871","ISBN":"9789251095515","ISSN":"1933-6950","PMID":"11417047","abstract":"TRENDS A number of global trends are influencing food security, poverty and the overall sustainability of food and agricultural systems. Economic growth and population dynamics are driving the structural change of economies. Climate change affects disproportionately food-insecure regions, jeopardizing crop and livestock production, fish stocks and fisheries. Critical parts of food systems are becoming more capital-intensive, vertically integrated and concentrated in fewer hands.","author":[{"dropping-particle":"","family":"FAO","given":"","non-dropping-particle":"","parse-names":false,"suffix":""}],"container-title":"Food and Agriculture Organization of the United Nations","id":"ITEM-1","issued":{"date-parts":[["2017"]]},"page":"180","title":"The future of food and agriculture: Trends and challenges","type":"article-journal"},"uris":["http://www.mendeley.com/documents/?uuid=43d7828f-7e91-4fae-b6aa-8a151ce13651"]}],"mendeley":{"formattedCitation":"(FAO, 2017)","plainTextFormattedCitation":"(FAO, 2017)","previouslyFormattedCitation":"(FAO, 2017)"},"properties":{"noteIndex":0},"schema":"https://github.com/citation-style-language/schema/raw/master/csl-citation.json"}</w:instrText>
      </w:r>
      <w:r w:rsidRPr="0048196F">
        <w:rPr>
          <w:b/>
          <w:lang w:val="en-US"/>
        </w:rPr>
        <w:fldChar w:fldCharType="separate"/>
      </w:r>
      <w:r w:rsidRPr="0048196F">
        <w:rPr>
          <w:noProof/>
          <w:lang w:val="en-US"/>
        </w:rPr>
        <w:t>(FAO, 2017)</w:t>
      </w:r>
      <w:r w:rsidRPr="0048196F">
        <w:rPr>
          <w:b/>
          <w:lang w:val="en-US"/>
        </w:rPr>
        <w:fldChar w:fldCharType="end"/>
      </w:r>
      <w:r w:rsidRPr="0048196F">
        <w:rPr>
          <w:lang w:val="en-US"/>
        </w:rPr>
        <w:t xml:space="preserve">. While climate change is threatening yields of the sector through unpredictable weather and extreme weather events, the sector itself is contributing an estimated 21% of global greenhouse gas emissions </w:t>
      </w:r>
      <w:r w:rsidRPr="0048196F">
        <w:rPr>
          <w:b/>
          <w:lang w:val="en-US"/>
        </w:rPr>
        <w:fldChar w:fldCharType="begin" w:fldLock="1"/>
      </w:r>
      <w:r w:rsidRPr="0048196F">
        <w:rPr>
          <w:b/>
          <w:lang w:val="en-US"/>
        </w:rPr>
        <w:instrText>ADDIN CSL_CITATION {"citationItems":[{"id":"ITEM-1","itemData":{"DOI":"10.4161/chan.4.6.12871","ISBN":"9789251095515","ISSN":"1933-6950","PMID":"11417047","abstract":"TRENDS A number of global trends are influencing food security, poverty and the overall sustainability of food and agricultural systems. Economic growth and population dynamics are driving the structural change of economies. Climate change affects disproportionately food-insecure regions, jeopardizing crop and livestock production, fish stocks and fisheries. Critical parts of food systems are becoming more capital-intensive, vertically integrated and concentrated in fewer hands.","author":[{"dropping-particle":"","family":"FAO","given":"","non-dropping-particle":"","parse-names":false,"suffix":""}],"container-title":"Food and Agriculture Organization of the United Nations","id":"ITEM-1","issued":{"date-parts":[["2017"]]},"page":"180","title":"The future of food and agriculture: Trends and challenges","type":"article-journal"},"uris":["http://www.mendeley.com/documents/?uuid=43d7828f-7e91-4fae-b6aa-8a151ce13651"]}],"mendeley":{"formattedCitation":"(FAO, 2017)","plainTextFormattedCitation":"(FAO, 2017)","previouslyFormattedCitation":"(FAO, 2017)"},"properties":{"noteIndex":0},"schema":"https://github.com/citation-style-language/schema/raw/master/csl-citation.json"}</w:instrText>
      </w:r>
      <w:r w:rsidRPr="0048196F">
        <w:rPr>
          <w:b/>
          <w:lang w:val="en-US"/>
        </w:rPr>
        <w:fldChar w:fldCharType="separate"/>
      </w:r>
      <w:r w:rsidRPr="0048196F">
        <w:rPr>
          <w:noProof/>
          <w:lang w:val="en-US"/>
        </w:rPr>
        <w:t>(FAO, 2017)</w:t>
      </w:r>
      <w:r w:rsidRPr="0048196F">
        <w:rPr>
          <w:b/>
          <w:lang w:val="en-US"/>
        </w:rPr>
        <w:fldChar w:fldCharType="end"/>
      </w:r>
      <w:r w:rsidRPr="0048196F">
        <w:rPr>
          <w:lang w:val="en-US"/>
        </w:rPr>
        <w:t xml:space="preserve">. Preserving the climate and natural resources while providing worldwide nutrition makes the currently ongoing digital revolution of utmost importance to the agri-food sector. The challenges faced, and the current technological development combined open a world of opportunities for innovation. In order to improve the alignment of objectives and technology, companies and governments have been using techniques such as innovation road mapping for strategic management. </w:t>
      </w:r>
      <w:r w:rsidR="00197342" w:rsidRPr="0048196F">
        <w:rPr>
          <w:lang w:val="en-US"/>
        </w:rPr>
        <w:t>In turn</w:t>
      </w:r>
      <w:r w:rsidRPr="0048196F">
        <w:rPr>
          <w:lang w:val="en-US"/>
        </w:rPr>
        <w:t xml:space="preserve">, such a technique relies on </w:t>
      </w:r>
      <w:r w:rsidR="00197342" w:rsidRPr="0048196F">
        <w:rPr>
          <w:lang w:val="en-US"/>
        </w:rPr>
        <w:t xml:space="preserve">the </w:t>
      </w:r>
      <w:r w:rsidRPr="0048196F">
        <w:rPr>
          <w:lang w:val="en-US"/>
        </w:rPr>
        <w:t xml:space="preserve">mapping </w:t>
      </w:r>
      <w:r w:rsidR="00197342" w:rsidRPr="0048196F">
        <w:rPr>
          <w:lang w:val="en-US"/>
        </w:rPr>
        <w:t xml:space="preserve">of </w:t>
      </w:r>
      <w:r w:rsidRPr="0048196F">
        <w:rPr>
          <w:lang w:val="en-US"/>
        </w:rPr>
        <w:t xml:space="preserve">global, market and business trends and drivers </w:t>
      </w:r>
      <w:r w:rsidRPr="0048196F">
        <w:rPr>
          <w:lang w:val="en-US"/>
        </w:rPr>
        <w:fldChar w:fldCharType="begin" w:fldLock="1"/>
      </w:r>
      <w:r w:rsidRPr="0048196F">
        <w:rPr>
          <w:lang w:val="en-US"/>
        </w:rPr>
        <w:instrText>ADDIN CSL_CITATION {"citationItems":[{"id":"ITEM-1","itemData":{"DOI":"10.1016/j.techfore.2012.11.008","ISSN":"00401625","abstract":"In recent years, technological advances have motivated industries, companies and even governments to look for an improved alignment between strategic objectives and technology management, preferably through the application of structured and flexible approaches that use techniques such as technology roadmapping. This paper presents the outcomes of a systematic review of the literature relating to technology roadmapping that was published between 1997 and 2011. A hybrid methodological approach that combines bibliometrics, content analysis and semantic analysis was applied. The results show that the main academic journals that discuss this theme are \"Technology Forecasting and Social Change\" and \"Research-Technology Management\". Although the first paper relating to this theme was published in 1997, the number of publications on the subject only began to increase substantially in 2004. Most of the studies reviewed in this paper applied qualitative research methods, indicating that most of the research on the theme is still in an exploratory phase. The interface between roadmapping and other initiatives considered vital to innovation, including knowledge management, communication skills and strategic resources and competencies, are also poorly addressed in the reviewed literature. © 2012 Elsevier Inc.","author":[{"dropping-particle":"","family":"Carvalho","given":"M. M.","non-dropping-particle":"","parse-names":false,"suffix":""},{"dropping-particle":"","family":"Fleury","given":"André","non-dropping-particle":"","parse-names":false,"suffix":""},{"dropping-particle":"","family":"Lopes","given":"Ana Paula","non-dropping-particle":"","parse-names":false,"suffix":""}],"container-title":"Technological Forecasting and Social Change","id":"ITEM-1","issue":"7","issued":{"date-parts":[["2013"]]},"page":"1418-1437","publisher":"Elsevier Inc.","title":"An overview of the literature on technology roadmapping (TRM): Contributions and trends","type":"article-journal","volume":"80"},"uris":["http://www.mendeley.com/documents/?uuid=10d98d0c-aff4-4cc0-a791-fd23a782c35c"]}],"mendeley":{"formattedCitation":"(Carvalho, Fleury, &amp; Lopes, 2013)","plainTextFormattedCitation":"(Carvalho, Fleury, &amp; Lopes, 2013)","previouslyFormattedCitation":"(Carvalho, Fleury, &amp; Lopes, 2013)"},"properties":{"noteIndex":0},"schema":"https://github.com/citation-style-language/schema/raw/master/csl-citation.json"}</w:instrText>
      </w:r>
      <w:r w:rsidRPr="0048196F">
        <w:rPr>
          <w:lang w:val="en-US"/>
        </w:rPr>
        <w:fldChar w:fldCharType="separate"/>
      </w:r>
      <w:r w:rsidRPr="0048196F">
        <w:rPr>
          <w:noProof/>
          <w:lang w:val="en-US"/>
        </w:rPr>
        <w:t>(Carvalho, Fleury, &amp; Lopes, 2013)</w:t>
      </w:r>
      <w:r w:rsidRPr="0048196F">
        <w:rPr>
          <w:lang w:val="en-US"/>
        </w:rPr>
        <w:fldChar w:fldCharType="end"/>
      </w:r>
      <w:r w:rsidRPr="0048196F">
        <w:rPr>
          <w:lang w:val="en-US"/>
        </w:rPr>
        <w:t xml:space="preserve">. </w:t>
      </w:r>
      <w:r w:rsidR="00DE74AE" w:rsidRPr="0048196F">
        <w:rPr>
          <w:lang w:val="en-US"/>
        </w:rPr>
        <w:t xml:space="preserve">This is applicable to the </w:t>
      </w:r>
      <w:r w:rsidRPr="0048196F">
        <w:rPr>
          <w:lang w:val="en-US"/>
        </w:rPr>
        <w:t>European funded DIVA project (</w:t>
      </w:r>
      <w:hyperlink r:id="rId22" w:history="1">
        <w:r w:rsidR="00402B4D" w:rsidRPr="0048196F">
          <w:rPr>
            <w:rStyle w:val="Hyperlink"/>
            <w:lang w:val="en-US"/>
          </w:rPr>
          <w:t>http://www.projectdiva.org/</w:t>
        </w:r>
      </w:hyperlink>
      <w:r w:rsidR="00402B4D" w:rsidRPr="0048196F">
        <w:rPr>
          <w:lang w:val="en-US"/>
        </w:rPr>
        <w:t>)</w:t>
      </w:r>
      <w:r w:rsidR="00DE74AE" w:rsidRPr="0048196F">
        <w:rPr>
          <w:lang w:val="en-US"/>
        </w:rPr>
        <w:t>, in which the researcher is involved through an internship at a Portuguese research institution. This research supports the innovation road mapping and innovation decision process of the DIVA project b</w:t>
      </w:r>
      <w:r w:rsidRPr="0048196F">
        <w:rPr>
          <w:lang w:val="en-US"/>
        </w:rPr>
        <w:t xml:space="preserve">y developing an understanding of trends, digital technologies and their impact along the value chain of the European Agri-food sector. </w:t>
      </w:r>
      <w:r w:rsidR="00B92DDE" w:rsidRPr="0048196F">
        <w:rPr>
          <w:lang w:val="en-US"/>
        </w:rPr>
        <w:t>Academic papers and industry reports are the basis to identify relevant factors, which in turn are rated by experts and crossed with industry demand to ensure their relevance</w:t>
      </w:r>
      <w:r w:rsidRPr="0048196F">
        <w:rPr>
          <w:lang w:val="en-US"/>
        </w:rPr>
        <w:t xml:space="preserve">. In order to effectively communicate results, a visual trend map and DigiTech value chain are developed providing direct value to the DIVA project and serve as a source of inspiration for a variety of stakeholders. </w:t>
      </w:r>
    </w:p>
    <w:p w14:paraId="7C23EC04" w14:textId="09224F71" w:rsidR="000F6CD1" w:rsidRPr="0048196F" w:rsidRDefault="000F6CD1" w:rsidP="00B31276">
      <w:pPr>
        <w:spacing w:line="360" w:lineRule="auto"/>
        <w:rPr>
          <w:lang w:val="en-US"/>
        </w:rPr>
      </w:pPr>
    </w:p>
    <w:p w14:paraId="044E4A71" w14:textId="4A8A80DB" w:rsidR="000F6CD1" w:rsidRPr="0048196F" w:rsidRDefault="000F6CD1" w:rsidP="00B31276">
      <w:pPr>
        <w:spacing w:line="360" w:lineRule="auto"/>
        <w:rPr>
          <w:lang w:val="en-US"/>
        </w:rPr>
      </w:pPr>
    </w:p>
    <w:p w14:paraId="32E7EDDA" w14:textId="77777777" w:rsidR="00B31276" w:rsidRPr="0048196F" w:rsidRDefault="00B31276" w:rsidP="00B31276">
      <w:pPr>
        <w:spacing w:line="360" w:lineRule="auto"/>
        <w:rPr>
          <w:lang w:val="en-US"/>
        </w:rPr>
      </w:pPr>
    </w:p>
    <w:p w14:paraId="069C8204" w14:textId="77777777" w:rsidR="00B31276" w:rsidRPr="0048196F" w:rsidRDefault="00B31276" w:rsidP="00B045A3">
      <w:pPr>
        <w:pStyle w:val="Heading2"/>
        <w:rPr>
          <w:lang w:val="en-US"/>
        </w:rPr>
      </w:pPr>
      <w:bookmarkStart w:id="33" w:name="_Toc14347304"/>
      <w:r w:rsidRPr="0048196F">
        <w:rPr>
          <w:lang w:val="en-US"/>
        </w:rPr>
        <w:t>The DIVA project</w:t>
      </w:r>
      <w:bookmarkEnd w:id="33"/>
    </w:p>
    <w:p w14:paraId="053CD46C" w14:textId="4E58E4CE" w:rsidR="005F76EC" w:rsidRPr="0048196F" w:rsidRDefault="00B31276" w:rsidP="00B045A3">
      <w:pPr>
        <w:spacing w:line="360" w:lineRule="auto"/>
        <w:rPr>
          <w:lang w:val="en-US"/>
        </w:rPr>
      </w:pPr>
      <w:r w:rsidRPr="0048196F">
        <w:rPr>
          <w:lang w:val="en-US"/>
        </w:rPr>
        <w:t>This project aims to foster the development of innovative solutions by giving support to the development of new digital value chains by setting up, and guiding collaborations between enterprises with challenges in the agri-food sector and technological companies to provide solutions. The project is a result of the collaboration of 14 partners spread out over the 6 European countries Portugal, Spain, France, Ireland, G</w:t>
      </w:r>
      <w:r w:rsidR="00197342" w:rsidRPr="0048196F">
        <w:rPr>
          <w:lang w:val="en-US"/>
        </w:rPr>
        <w:t>reece</w:t>
      </w:r>
      <w:r w:rsidRPr="0048196F">
        <w:rPr>
          <w:lang w:val="en-US"/>
        </w:rPr>
        <w:t xml:space="preserve"> and Italy. The project is of importance to this research as it provided three different resources: An analysis of literature, access to experts and a “call for challenges” serving as a representation of the industry. </w:t>
      </w:r>
    </w:p>
    <w:p w14:paraId="434E8DE0" w14:textId="77777777" w:rsidR="00B045A3" w:rsidRPr="0048196F" w:rsidRDefault="00B045A3" w:rsidP="00B045A3">
      <w:pPr>
        <w:spacing w:line="360" w:lineRule="auto"/>
        <w:rPr>
          <w:lang w:val="en-US"/>
        </w:rPr>
      </w:pPr>
    </w:p>
    <w:p w14:paraId="225193D6" w14:textId="2CB70B64" w:rsidR="00B31276" w:rsidRPr="0048196F" w:rsidRDefault="00B31276" w:rsidP="00B045A3">
      <w:pPr>
        <w:pStyle w:val="Heading2"/>
        <w:rPr>
          <w:lang w:val="en-US"/>
        </w:rPr>
      </w:pPr>
      <w:bookmarkStart w:id="34" w:name="_Toc14347305"/>
      <w:r w:rsidRPr="0048196F">
        <w:rPr>
          <w:lang w:val="en-US"/>
        </w:rPr>
        <w:t>Motivation</w:t>
      </w:r>
      <w:bookmarkEnd w:id="34"/>
    </w:p>
    <w:p w14:paraId="786C4F0A" w14:textId="6B9F9B16" w:rsidR="00B31276" w:rsidRPr="00CC1C1C" w:rsidRDefault="00B31276" w:rsidP="00B31276">
      <w:pPr>
        <w:spacing w:line="360" w:lineRule="auto"/>
        <w:rPr>
          <w:lang w:val="en-US"/>
        </w:rPr>
      </w:pPr>
      <w:r w:rsidRPr="0048196F">
        <w:rPr>
          <w:lang w:val="en-US"/>
        </w:rPr>
        <w:t xml:space="preserve">Joining an internship at INESC TEC, </w:t>
      </w:r>
      <w:r w:rsidRPr="0048196F">
        <w:rPr>
          <w:bCs/>
          <w:lang w:val="en-US"/>
        </w:rPr>
        <w:t>an Institute for Systems and Computer Engineering,</w:t>
      </w:r>
      <w:r w:rsidR="00CC1C1C">
        <w:rPr>
          <w:lang w:val="en-US"/>
        </w:rPr>
        <w:t xml:space="preserve"> </w:t>
      </w:r>
      <w:r w:rsidRPr="0048196F">
        <w:rPr>
          <w:bCs/>
          <w:lang w:val="en-US"/>
        </w:rPr>
        <w:t xml:space="preserve">Technology and Science, I was given the opportunity to participate in the DIVA project. This opportunity was accepted due to a personal interest in innovation processes, the role of trends on innovation road mapping and an overlap with this dissertation for the Master Innovation and Technological Entrepreneurship. Furthermore, this research could be of personal future value as the agri-food sector within my home country The Netherlands is of great importance by contributing almost 10% to the Dutch economy, having established the position of world leader in agri-food innovation and by being the second largest food exporter of the world </w:t>
      </w:r>
      <w:r w:rsidRPr="0048196F">
        <w:rPr>
          <w:lang w:val="en-US"/>
        </w:rPr>
        <w:t>(Agrofood: Stille motor grootste sector van Nederland, 2011).</w:t>
      </w:r>
      <w:r w:rsidRPr="0048196F">
        <w:rPr>
          <w:bCs/>
          <w:lang w:val="en-US"/>
        </w:rPr>
        <w:t xml:space="preserve"> </w:t>
      </w:r>
    </w:p>
    <w:p w14:paraId="6E212053" w14:textId="629EF487" w:rsidR="00B31276" w:rsidRDefault="00B31276" w:rsidP="00B31276">
      <w:pPr>
        <w:spacing w:line="360" w:lineRule="auto"/>
        <w:rPr>
          <w:lang w:val="en-US"/>
        </w:rPr>
      </w:pPr>
    </w:p>
    <w:p w14:paraId="0717CD31" w14:textId="7A234EF6" w:rsidR="00E503ED" w:rsidRDefault="00E503ED" w:rsidP="00B31276">
      <w:pPr>
        <w:spacing w:line="360" w:lineRule="auto"/>
        <w:rPr>
          <w:lang w:val="en-US"/>
        </w:rPr>
      </w:pPr>
    </w:p>
    <w:p w14:paraId="37992A35" w14:textId="650D7F3F" w:rsidR="00E503ED" w:rsidRDefault="00E503ED" w:rsidP="00B31276">
      <w:pPr>
        <w:spacing w:line="360" w:lineRule="auto"/>
        <w:rPr>
          <w:lang w:val="en-US"/>
        </w:rPr>
      </w:pPr>
    </w:p>
    <w:p w14:paraId="51D76F39" w14:textId="77777777" w:rsidR="00CC1C1C" w:rsidRDefault="00CC1C1C" w:rsidP="00B31276">
      <w:pPr>
        <w:spacing w:line="360" w:lineRule="auto"/>
        <w:rPr>
          <w:lang w:val="en-US"/>
        </w:rPr>
      </w:pPr>
    </w:p>
    <w:p w14:paraId="4EAE7C38" w14:textId="49BB3691" w:rsidR="00E503ED" w:rsidRDefault="00E503ED" w:rsidP="00B31276">
      <w:pPr>
        <w:spacing w:line="360" w:lineRule="auto"/>
        <w:rPr>
          <w:lang w:val="en-US"/>
        </w:rPr>
      </w:pPr>
    </w:p>
    <w:p w14:paraId="2E293AD5" w14:textId="77777777" w:rsidR="00E503ED" w:rsidRPr="0048196F" w:rsidRDefault="00E503ED" w:rsidP="00B31276">
      <w:pPr>
        <w:spacing w:line="360" w:lineRule="auto"/>
        <w:rPr>
          <w:lang w:val="en-US"/>
        </w:rPr>
      </w:pPr>
    </w:p>
    <w:p w14:paraId="07E20D5C" w14:textId="77777777" w:rsidR="00B31276" w:rsidRPr="0048196F" w:rsidRDefault="00B31276" w:rsidP="00B045A3">
      <w:pPr>
        <w:pStyle w:val="Heading2"/>
        <w:rPr>
          <w:lang w:val="en-US"/>
        </w:rPr>
      </w:pPr>
      <w:bookmarkStart w:id="35" w:name="_Toc14347306"/>
      <w:r w:rsidRPr="0048196F">
        <w:rPr>
          <w:lang w:val="en-US"/>
        </w:rPr>
        <w:t>Objective</w:t>
      </w:r>
      <w:bookmarkEnd w:id="35"/>
    </w:p>
    <w:p w14:paraId="784C3BCB" w14:textId="7DED715D" w:rsidR="00355932" w:rsidRPr="0048196F" w:rsidRDefault="00B31276" w:rsidP="00B92DDE">
      <w:pPr>
        <w:spacing w:line="360" w:lineRule="auto"/>
        <w:rPr>
          <w:rFonts w:asciiTheme="minorHAnsi" w:hAnsiTheme="minorHAnsi" w:cstheme="minorHAnsi"/>
          <w:lang w:val="en-US"/>
        </w:rPr>
      </w:pPr>
      <w:r w:rsidRPr="0048196F">
        <w:rPr>
          <w:rFonts w:asciiTheme="minorHAnsi" w:hAnsiTheme="minorHAnsi" w:cstheme="minorHAnsi"/>
          <w:lang w:val="en-US"/>
        </w:rPr>
        <w:t>This research aims to contribute to innovation in the agri</w:t>
      </w:r>
      <w:r w:rsidR="00402B4D" w:rsidRPr="0048196F">
        <w:rPr>
          <w:rFonts w:asciiTheme="minorHAnsi" w:hAnsiTheme="minorHAnsi" w:cstheme="minorHAnsi"/>
          <w:lang w:val="en-US"/>
        </w:rPr>
        <w:t>-</w:t>
      </w:r>
      <w:r w:rsidRPr="0048196F">
        <w:rPr>
          <w:rFonts w:asciiTheme="minorHAnsi" w:hAnsiTheme="minorHAnsi" w:cstheme="minorHAnsi"/>
          <w:lang w:val="en-US"/>
        </w:rPr>
        <w:t>food sector by:</w:t>
      </w:r>
    </w:p>
    <w:p w14:paraId="2C4DE792" w14:textId="1A5509F1" w:rsidR="00B31276" w:rsidRPr="0048196F" w:rsidRDefault="00B31276" w:rsidP="00B92DDE">
      <w:pPr>
        <w:pStyle w:val="ListParagraph"/>
        <w:numPr>
          <w:ilvl w:val="0"/>
          <w:numId w:val="35"/>
        </w:numPr>
        <w:spacing w:line="360" w:lineRule="auto"/>
        <w:rPr>
          <w:rFonts w:asciiTheme="minorHAnsi" w:hAnsiTheme="minorHAnsi" w:cstheme="minorHAnsi"/>
          <w:lang w:val="en-US"/>
        </w:rPr>
      </w:pPr>
      <w:r w:rsidRPr="0048196F">
        <w:rPr>
          <w:rFonts w:asciiTheme="minorHAnsi" w:hAnsiTheme="minorHAnsi" w:cstheme="minorHAnsi"/>
          <w:lang w:val="en-US"/>
        </w:rPr>
        <w:t>Developing an understanding of the impact of trends on the agri-food sector</w:t>
      </w:r>
      <w:r w:rsidR="00355932" w:rsidRPr="0048196F">
        <w:rPr>
          <w:rFonts w:asciiTheme="minorHAnsi" w:hAnsiTheme="minorHAnsi" w:cstheme="minorHAnsi"/>
          <w:lang w:val="en-US"/>
        </w:rPr>
        <w:t>, by identifying the main trends</w:t>
      </w:r>
      <w:r w:rsidRPr="0048196F">
        <w:rPr>
          <w:rFonts w:asciiTheme="minorHAnsi" w:hAnsiTheme="minorHAnsi" w:cstheme="minorHAnsi"/>
          <w:lang w:val="en-US"/>
        </w:rPr>
        <w:t xml:space="preserve"> and producing a visual trend map. </w:t>
      </w:r>
    </w:p>
    <w:p w14:paraId="7152019B" w14:textId="2D36E7C6" w:rsidR="00E503ED" w:rsidRDefault="00B31276" w:rsidP="00E503ED">
      <w:pPr>
        <w:pStyle w:val="ListParagraph"/>
        <w:numPr>
          <w:ilvl w:val="0"/>
          <w:numId w:val="35"/>
        </w:numPr>
        <w:spacing w:line="360" w:lineRule="auto"/>
        <w:rPr>
          <w:rFonts w:asciiTheme="minorHAnsi" w:hAnsiTheme="minorHAnsi" w:cstheme="minorHAnsi"/>
          <w:lang w:val="en-US"/>
        </w:rPr>
      </w:pPr>
      <w:r w:rsidRPr="0048196F">
        <w:rPr>
          <w:rFonts w:asciiTheme="minorHAnsi" w:hAnsiTheme="minorHAnsi" w:cstheme="minorHAnsi"/>
          <w:lang w:val="en-US"/>
        </w:rPr>
        <w:t xml:space="preserve">Supporting the digitization of Agri food sector through the analysis of the impact of digital technologies along the agri-food value chain, visualized in a DigiTech value chain. </w:t>
      </w:r>
    </w:p>
    <w:p w14:paraId="2E66508D" w14:textId="77777777" w:rsidR="00E503ED" w:rsidRPr="00E503ED" w:rsidRDefault="00E503ED" w:rsidP="00E503ED">
      <w:pPr>
        <w:pStyle w:val="ListParagraph"/>
        <w:spacing w:line="360" w:lineRule="auto"/>
        <w:rPr>
          <w:rFonts w:asciiTheme="minorHAnsi" w:hAnsiTheme="minorHAnsi" w:cstheme="minorHAnsi"/>
          <w:lang w:val="en-US"/>
        </w:rPr>
      </w:pPr>
    </w:p>
    <w:p w14:paraId="1D28505D" w14:textId="745C3F0F" w:rsidR="00B31276" w:rsidRPr="0048196F" w:rsidRDefault="00B31276" w:rsidP="00B045A3">
      <w:pPr>
        <w:pStyle w:val="Heading2"/>
        <w:rPr>
          <w:lang w:val="en-US"/>
        </w:rPr>
      </w:pPr>
      <w:bookmarkStart w:id="36" w:name="_Toc14347307"/>
      <w:r w:rsidRPr="0048196F">
        <w:rPr>
          <w:lang w:val="en-US"/>
        </w:rPr>
        <w:t>Research question</w:t>
      </w:r>
      <w:r w:rsidR="003A0778" w:rsidRPr="0048196F">
        <w:rPr>
          <w:lang w:val="en-US"/>
        </w:rPr>
        <w:t>s</w:t>
      </w:r>
      <w:bookmarkEnd w:id="36"/>
    </w:p>
    <w:p w14:paraId="2E9FCDDD" w14:textId="77777777" w:rsidR="00B31276" w:rsidRPr="0048196F" w:rsidRDefault="00B31276" w:rsidP="00B31276">
      <w:pPr>
        <w:spacing w:line="360" w:lineRule="auto"/>
        <w:rPr>
          <w:lang w:val="en-US"/>
        </w:rPr>
      </w:pPr>
      <w:r w:rsidRPr="0048196F">
        <w:rPr>
          <w:lang w:val="en-US"/>
        </w:rPr>
        <w:t xml:space="preserve">These objectives lead to the formation of the following research questions: </w:t>
      </w:r>
    </w:p>
    <w:p w14:paraId="43A9551A" w14:textId="77777777" w:rsidR="00B31276" w:rsidRPr="0048196F" w:rsidRDefault="00B31276" w:rsidP="00B31276">
      <w:pPr>
        <w:spacing w:line="360" w:lineRule="auto"/>
        <w:rPr>
          <w:lang w:val="en-US"/>
        </w:rPr>
      </w:pPr>
      <w:r w:rsidRPr="0048196F">
        <w:rPr>
          <w:lang w:val="en-US"/>
        </w:rPr>
        <w:t>RQ1: What are the main trends and forces impacting the agri-food sector?</w:t>
      </w:r>
    </w:p>
    <w:p w14:paraId="04F9996F" w14:textId="47F92639" w:rsidR="00042A1E" w:rsidRPr="0048196F" w:rsidRDefault="00B31276" w:rsidP="00B31276">
      <w:pPr>
        <w:spacing w:line="360" w:lineRule="auto"/>
        <w:rPr>
          <w:lang w:val="en-US"/>
        </w:rPr>
      </w:pPr>
      <w:r w:rsidRPr="0048196F">
        <w:rPr>
          <w:lang w:val="en-US"/>
        </w:rPr>
        <w:t>RQ2: What are the potentially valuable intersections between digital trends and challenges faced by the agr</w:t>
      </w:r>
      <w:r w:rsidR="00EA7198" w:rsidRPr="0048196F">
        <w:rPr>
          <w:lang w:val="en-US"/>
        </w:rPr>
        <w:t>i</w:t>
      </w:r>
      <w:r w:rsidRPr="0048196F">
        <w:rPr>
          <w:lang w:val="en-US"/>
        </w:rPr>
        <w:t>-food sector?</w:t>
      </w:r>
    </w:p>
    <w:p w14:paraId="44153979" w14:textId="77777777" w:rsidR="00042A1E" w:rsidRPr="0048196F" w:rsidRDefault="00042A1E" w:rsidP="00B31276">
      <w:pPr>
        <w:spacing w:line="360" w:lineRule="auto"/>
        <w:rPr>
          <w:lang w:val="en-US"/>
        </w:rPr>
      </w:pPr>
    </w:p>
    <w:p w14:paraId="7A644BE3" w14:textId="77777777" w:rsidR="00B31276" w:rsidRPr="0048196F" w:rsidRDefault="00B31276" w:rsidP="00B045A3">
      <w:pPr>
        <w:pStyle w:val="Heading2"/>
        <w:rPr>
          <w:lang w:val="en-US"/>
        </w:rPr>
      </w:pPr>
      <w:bookmarkStart w:id="37" w:name="_Toc14347308"/>
      <w:r w:rsidRPr="0048196F">
        <w:rPr>
          <w:lang w:val="en-US"/>
        </w:rPr>
        <w:t>Research Methodology and Design</w:t>
      </w:r>
      <w:bookmarkEnd w:id="37"/>
    </w:p>
    <w:p w14:paraId="0B9E4F35" w14:textId="262CFEDA" w:rsidR="00E503ED" w:rsidRPr="00E503ED" w:rsidRDefault="00B31276" w:rsidP="00E503ED">
      <w:pPr>
        <w:spacing w:line="360" w:lineRule="auto"/>
        <w:rPr>
          <w:i/>
          <w:iCs/>
          <w:lang w:val="en-US"/>
        </w:rPr>
      </w:pPr>
      <w:r w:rsidRPr="0048196F">
        <w:rPr>
          <w:lang w:val="en-US"/>
        </w:rPr>
        <w:t xml:space="preserve">This research employs an </w:t>
      </w:r>
      <w:r w:rsidRPr="0048196F">
        <w:rPr>
          <w:i/>
          <w:lang w:val="en-US"/>
        </w:rPr>
        <w:t xml:space="preserve">applied research </w:t>
      </w:r>
      <w:r w:rsidRPr="0048196F">
        <w:rPr>
          <w:lang w:val="en-US"/>
        </w:rPr>
        <w:t xml:space="preserve">approach as the result is of practical use to current activity </w:t>
      </w:r>
      <w:r w:rsidRPr="0048196F">
        <w:rPr>
          <w:lang w:val="en-US"/>
        </w:rPr>
        <w:fldChar w:fldCharType="begin" w:fldLock="1"/>
      </w:r>
      <w:r w:rsidRPr="0048196F">
        <w:rPr>
          <w:lang w:val="en-US"/>
        </w:rPr>
        <w:instrText>ADDIN CSL_CITATION {"citationItems":[{"id":"ITEM-1","itemData":{"DOI":"10.1007/978-81-322-2785-4_4","ISSN":"21984190","abstract":"This chapter provides a summary of issues related to research methods. It begins by describing the important aspects of study design describing different types of studies, explaining their strengths and weaknesses, when to use certain types, and when not to use them. The reader will learn about sources of error arising from bias and confounders and how careful study design can help reduce the possibility of these errors.Next, hypothesis generation and testing is examined. We will look at how to conduct statistical tests in search of evidence in favor of or against the null hypothesis. We will look at the difference between parametric and nonparametric tests with some examples. A summary of some of the most common statistical tests and examples of when to use them is provided. Finally, we consider literature searching and referencing. Examples are given on how to use the online tool PubMed to search the literature for evidence of an association between a disease and a certain risk factor and how to combine evidence from a number of studies into a single study. The chapter concludes with a look at how to reference literature in scientific papers using referencing software tools. © 2014 Elsevier Ltd All rights reserved.","author":[{"dropping-particle":"","family":"Rajasekar","given":"S","non-dropping-particle":"","parse-names":false,"suffix":""},{"dropping-particle":"","family":"Philominathan","given":"P","non-dropping-particle":"","parse-names":false,"suffix":""},{"dropping-particle":"","family":"Chinnathambi","given":"V","non-dropping-particle":"","parse-names":false,"suffix":""}],"container-title":"Studies in Systems, Decision and Control","id":"ITEM-1","issued":{"date-parts":[["2016"]]},"page":"111-127","title":"Research methodology","type":"article-journal","volume":"60"},"uris":["http://www.mendeley.com/documents/?uuid=087bc26e-22d0-40b1-8eec-489a145094a8"]}],"mendeley":{"formattedCitation":"(Rajasekar, Philominathan, &amp; Chinnathambi, 2016)","plainTextFormattedCitation":"(Rajasekar, Philominathan, &amp; Chinnathambi, 2016)","previouslyFormattedCitation":"(Rajasekar, Philominathan, &amp; Chinnathambi, 2016)"},"properties":{"noteIndex":0},"schema":"https://github.com/citation-style-language/schema/raw/master/csl-citation.json"}</w:instrText>
      </w:r>
      <w:r w:rsidRPr="0048196F">
        <w:rPr>
          <w:lang w:val="en-US"/>
        </w:rPr>
        <w:fldChar w:fldCharType="separate"/>
      </w:r>
      <w:r w:rsidRPr="0048196F">
        <w:rPr>
          <w:noProof/>
          <w:lang w:val="en-US"/>
        </w:rPr>
        <w:t>(Rajasekar, Philominathan, &amp; Chinnathambi, 2016)</w:t>
      </w:r>
      <w:r w:rsidRPr="0048196F">
        <w:rPr>
          <w:lang w:val="en-US"/>
        </w:rPr>
        <w:fldChar w:fldCharType="end"/>
      </w:r>
      <w:r w:rsidRPr="0048196F">
        <w:rPr>
          <w:lang w:val="en-US"/>
        </w:rPr>
        <w:t xml:space="preserve">, by being immediately employable within the agri-food sector. The research design stems from the discipline of foresight as it surpasses environmental scanning, by not only systematically identifying, monitoring and examining current issues </w:t>
      </w:r>
      <w:r w:rsidR="00EA7198" w:rsidRPr="0048196F">
        <w:rPr>
          <w:lang w:val="en-US"/>
        </w:rPr>
        <w:fldChar w:fldCharType="begin" w:fldLock="1"/>
      </w:r>
      <w:r w:rsidR="00EA7198" w:rsidRPr="0048196F">
        <w:rPr>
          <w:lang w:val="en-US"/>
        </w:rPr>
        <w:instrText>ADDIN CSL_CITATION {"citationItems":[{"id":"ITEM-1","itemData":{"DOI":"10.1108/14636681211284953","ISSN":"14636689","abstract":"Purpose: This essay aims to introduce horizon scanning as an approach fundamental to most foresight studies. Design/methodology/approach: The essay combines a general review of the topic with an overview of a range of horizon-scanning approaches that are in use in the UK health system. Findings: Different approaches - shorter as well as longer-term, searching as well as broad scanning - are appropriate in different circumstances. In times of systemic change it is necessary to combine approaches of all types. Research limitations/implications: Only a small sample of the huge range of horizon-scanning exercises has been studied, and the essay has not gone far into the question of how horizon-scanning relates to other elements of the foresight process. Practical implications: The implication is that horizon-scanning should be undertaken on a routine basis, and should be integrated into planning activities from the start. Social implications: Horizon-scanning is a tool needed in activities such as planning for the workforce, and for health and safety issues. Originality/value: The essay covers a wide range of activities with real-life illustrations in addition to overall assessment. © Emerald Group Publishing Limited.","author":[{"dropping-particle":"","family":"Miles","given":"Ian","non-dropping-particle":"","parse-names":false,"suffix":""},{"dropping-particle":"","family":"Saritas","given":"Ozcan","non-dropping-particle":"","parse-names":false,"suffix":""}],"container-title":"Foresight","id":"ITEM-1","issue":"6","issued":{"date-parts":[["2012"]]},"page":"530-545","title":"The depth of the horizon: Searching, scanning and widening horizons","type":"article-journal","volume":"14"},"uris":["http://www.mendeley.com/documents/?uuid=754b06fd-226d-4d67-9ace-6f6929a77837"]}],"mendeley":{"formattedCitation":"(Miles &amp; Saritas, 2012)","plainTextFormattedCitation":"(Miles &amp; Saritas, 2012)","previouslyFormattedCitation":"(Miles &amp; Saritas, 2012)"},"properties":{"noteIndex":0},"schema":"https://github.com/citation-style-language/schema/raw/master/csl-citation.json"}</w:instrText>
      </w:r>
      <w:r w:rsidR="00EA7198" w:rsidRPr="0048196F">
        <w:rPr>
          <w:lang w:val="en-US"/>
        </w:rPr>
        <w:fldChar w:fldCharType="separate"/>
      </w:r>
      <w:r w:rsidR="00EA7198" w:rsidRPr="0048196F">
        <w:rPr>
          <w:noProof/>
          <w:lang w:val="en-US"/>
        </w:rPr>
        <w:t>(Miles &amp; Saritas, 2012)</w:t>
      </w:r>
      <w:r w:rsidR="00EA7198" w:rsidRPr="0048196F">
        <w:rPr>
          <w:lang w:val="en-US"/>
        </w:rPr>
        <w:fldChar w:fldCharType="end"/>
      </w:r>
      <w:r w:rsidR="00EA7198" w:rsidRPr="0048196F">
        <w:rPr>
          <w:lang w:val="en-US"/>
        </w:rPr>
        <w:t xml:space="preserve">, </w:t>
      </w:r>
      <w:r w:rsidRPr="0048196F">
        <w:rPr>
          <w:lang w:val="en-US"/>
        </w:rPr>
        <w:t>but also dealing with potential issues and an assessment of potential future implications. For foresight activities in general it is recommended</w:t>
      </w:r>
      <w:r w:rsidR="00EA7198" w:rsidRPr="0048196F">
        <w:rPr>
          <w:lang w:val="en-US"/>
        </w:rPr>
        <w:t xml:space="preserve"> </w:t>
      </w:r>
      <w:r w:rsidR="00EA7198" w:rsidRPr="0048196F">
        <w:rPr>
          <w:lang w:val="en-US"/>
        </w:rPr>
        <w:fldChar w:fldCharType="begin" w:fldLock="1"/>
      </w:r>
      <w:r w:rsidR="00EA7198" w:rsidRPr="0048196F">
        <w:rPr>
          <w:lang w:val="en-US"/>
        </w:rPr>
        <w:instrText>ADDIN CSL_CITATION {"citationItems":[{"id":"ITEM-1","itemData":{"DOI":"10.1146/annurev-environ-102017-030109","ISSN":"1543-5938","abstract":"In an increasingly globalized and interconnected world, where social and environmental change occur ever more rapidly, careful futures-oriented thinking becomes crucial for effective decision making. Foresight activities, including scenario development, quantitative modeling, and scenario-guided design of policies and programs, play a key role in exploring options to address socioeconomic and environmental challenges across many sectors and decision-making levels. We take stock of recent methodological developments in scenario and foresight exercises, seek to provide greater clarity on the many diverse approaches employed, and examine their use by decision makers in different fields and at different geographic, administrative, and temporal scales. Experience shows the importance of clearly formulated questions, structured dialog, carefully designed scenarios, sophisticated biophysical and socioeconomic analysis, and iteration as needed to more effectively link the growing scenarios and foresight community with today's decision makers and to better address the social, economic, and environmental challenges of tomorrow.","author":[{"dropping-particle":"","family":"Wiebe","given":"Keith","non-dropping-particle":"","parse-names":false,"suffix":""},{"dropping-particle":"","family":"Zurek","given":"Monika","non-dropping-particle":"","parse-names":false,"suffix":""},{"dropping-particle":"","family":"Lord","given":"Steven","non-dropping-particle":"","parse-names":false,"suffix":""},{"dropping-particle":"","family":"Brzezina","given":"Natalia","non-dropping-particle":"","parse-names":false,"suffix":""},{"dropping-particle":"","family":"Gabrielyan","given":"Gnel","non-dropping-particle":"","parse-names":false,"suffix":""},{"dropping-particle":"","family":"Libertini","given":"Jessica","non-dropping-particle":"","parse-names":false,"suffix":""},{"dropping-particle":"","family":"Loch","given":"Adam","non-dropping-particle":"","parse-names":false,"suffix":""},{"dropping-particle":"","family":"Thapa-Parajuli","given":"Resham","non-dropping-particle":"","parse-names":false,"suffix":""},{"dropping-particle":"","family":"Vervoort","given":"Joost","non-dropping-particle":"","parse-names":false,"suffix":""},{"dropping-particle":"","family":"Westhoek","given":"Henk","non-dropping-particle":"","parse-names":false,"suffix":""}],"container-title":"Annual Review of Environment and Resources","id":"ITEM-1","issue":"1","issued":{"date-parts":[["2018"]]},"page":"545-570","title":"Scenario Development and Foresight Analysis: Exploring Options to Inform Choices","type":"article","volume":"43"},"uris":["http://www.mendeley.com/documents/?uuid=65d9dedd-2417-47aa-ba2c-78488dba36dc"]}],"mendeley":{"formattedCitation":"(Wiebe et al., 2018)","plainTextFormattedCitation":"(Wiebe et al., 2018)","previouslyFormattedCitation":"(Wiebe et al., 2018)"},"properties":{"noteIndex":0},"schema":"https://github.com/citation-style-language/schema/raw/master/csl-citation.json"}</w:instrText>
      </w:r>
      <w:r w:rsidR="00EA7198" w:rsidRPr="0048196F">
        <w:rPr>
          <w:lang w:val="en-US"/>
        </w:rPr>
        <w:fldChar w:fldCharType="separate"/>
      </w:r>
      <w:r w:rsidR="00EA7198" w:rsidRPr="0048196F">
        <w:rPr>
          <w:noProof/>
          <w:lang w:val="en-US"/>
        </w:rPr>
        <w:t>(Wiebe et al., 2018)</w:t>
      </w:r>
      <w:r w:rsidR="00EA7198" w:rsidRPr="0048196F">
        <w:rPr>
          <w:lang w:val="en-US"/>
        </w:rPr>
        <w:fldChar w:fldCharType="end"/>
      </w:r>
      <w:r w:rsidRPr="0048196F">
        <w:rPr>
          <w:lang w:val="en-US"/>
        </w:rPr>
        <w:t xml:space="preserve">, to employ multi-dimensional activities and to combine quantitative and qualitative research methods. More specifically this approach builds on the scanning approaches of </w:t>
      </w:r>
      <w:r w:rsidR="00EA7198" w:rsidRPr="0048196F">
        <w:rPr>
          <w:lang w:val="en-US"/>
        </w:rPr>
        <w:fldChar w:fldCharType="begin" w:fldLock="1"/>
      </w:r>
      <w:r w:rsidR="00240A19" w:rsidRPr="0048196F">
        <w:rPr>
          <w:lang w:val="en-US"/>
        </w:rPr>
        <w:instrText>ADDIN CSL_CITATION {"citationItems":[{"id":"ITEM-1","itemData":{"DOI":"10.1016/j.techfore.2017.08.001","ISSN":"00401625","abstract":"This paper documents the Intuitive Logics scenario planning process and its relationship with horizon scanning activity in order to evaluate the separate and joint usefulness of these methods for anticipating the future. The specific objectives of this paper are to: (i) identify and differentiate scenario planning and horizon scanning methodologies (ii) discuss &amp; evaluate their analytic underpinnings, and (iii) critically appraise their separate and combined value and effectiveness in relation to enhancing organizational preparedness for the future. Our analysis culminates with specifications to (iv) enhance the identification of ‘weak signals’ in Horizon Scanning by utilizing a systematically broadened range of both negatively-valenced and positively-valenced scenario storylines.","author":[{"dropping-particle":"","family":"Rowe","given":"Emily","non-dropping-particle":"","parse-names":false,"suffix":""},{"dropping-particle":"","family":"Wright","given":"George","non-dropping-particle":"","parse-names":false,"suffix":""},{"dropping-particle":"","family":"Derbyshire","given":"James","non-dropping-particle":"","parse-names":false,"suffix":""}],"container-title":"Technological Forecasting and Social Change","id":"ITEM-1","issue":"July","issued":{"date-parts":[["2017"]]},"page":"224-235","publisher":"Elsevier","title":"Enhancing horizon scanning by utilizing pre-developed scenarios: Analysis of current practice and specification of a process improvement to aid the identification of important ‘weak signals’","type":"article-journal","volume":"125"},"uris":["http://www.mendeley.com/documents/?uuid=bbbeb7fa-f216-4511-a255-4d997b318f53"]},{"id":"ITEM-2","itemData":{"DOI":"10.2139/ssrn.2655520","abstract":"This research explores the key stages and methods for the identification of weak signals (WS) and wild cards (WC) in foresight methodology. Theoretical approaches and practical projects in this field were studied, key characteristics and features of these concepts were identified. A review of potential data sources for the monitoring of WS and WC were also provided.  The key groups of methods were formed including scanning and monitoring; data analysis; modelling, clustering, interpretation; expert procedures. The stages for identification of WS are proposed. A case study devoted to WS for the analysis of technology development of bioprinting is considered. ","author":[{"dropping-particle":"","family":"Ponomareva","given":"Julia","non-dropping-particle":"","parse-names":false,"suffix":""},{"dropping-particle":"","family":"Sokolova","given":"Anna","non-dropping-particle":"","parse-names":false,"suffix":""}],"container-title":"Ssrn","id":"ITEM-2","issued":{"date-parts":[["2015"]]},"title":"The Identification of Weak Signals and Wild Cards in Foresight Methodology: Stages and Methods","type":"article-journal"},"uris":["http://www.mendeley.com/documents/?uuid=9dbe774a-db27-4077-8bbc-1dad7b5beb60"]},{"id":"ITEM-3","itemData":{"DOI":"10.1146/annurev-environ-102017-030109","ISSN":"1543-5938","abstract":"In an increasingly globalized and interconnected world, where social and environmental change occur ever more rapidly, careful futures-oriented thinking becomes crucial for effective decision making. Foresight activities, including scenario development, quantitative modeling, and scenario-guided design of policies and programs, play a key role in exploring options to address socioeconomic and environmental challenges across many sectors and decision-making levels. We take stock of recent methodological developments in scenario and foresight exercises, seek to provide greater clarity on the many diverse approaches employed, and examine their use by decision makers in different fields and at different geographic, administrative, and temporal scales. Experience shows the importance of clearly formulated questions, structured dialog, carefully designed scenarios, sophisticated biophysical and socioeconomic analysis, and iteration as needed to more effectively link the growing scenarios and foresight community with today's decision makers and to better address the social, economic, and environmental challenges of tomorrow.","author":[{"dropping-particle":"","family":"Wiebe","given":"Keith","non-dropping-particle":"","parse-names":false,"suffix":""},{"dropping-particle":"","family":"Zurek","given":"Monika","non-dropping-particle":"","parse-names":false,"suffix":""},{"dropping-particle":"","family":"Lord","given":"Steven","non-dropping-particle":"","parse-names":false,"suffix":""},{"dropping-particle":"","family":"Brzezina","given":"Natalia","non-dropping-particle":"","parse-names":false,"suffix":""},{"dropping-particle":"","family":"Gabrielyan","given":"Gnel","non-dropping-particle":"","parse-names":false,"suffix":""},{"dropping-particle":"","family":"Libertini","given":"Jessica","non-dropping-particle":"","parse-names":false,"suffix":""},{"dropping-particle":"","family":"Loch","given":"Adam","non-dropping-particle":"","parse-names":false,"suffix":""},{"dropping-particle":"","family":"Thapa-Parajuli","given":"Resham","non-dropping-particle":"","parse-names":false,"suffix":""},{"dropping-particle":"","family":"Vervoort","given":"Joost","non-dropping-particle":"","parse-names":false,"suffix":""},{"dropping-particle":"","family":"Westhoek","given":"Henk","non-dropping-particle":"","parse-names":false,"suffix":""}],"container-title":"Annual Review of Environment and Resources","id":"ITEM-3","issue":"1","issued":{"date-parts":[["2018"]]},"page":"545-570","title":"Scenario Development and Foresight Analysis: Exploring Options to Inform Choices","type":"article","volume":"43"},"uris":["http://www.mendeley.com/documents/?uuid=65d9dedd-2417-47aa-ba2c-78488dba36dc"]}],"mendeley":{"formattedCitation":"(Ponomareva &amp; Sokolova, 2015; Rowe, Wright, &amp; Derbyshire, 2017; Wiebe et al., 2018)","manualFormatting":"Ponomareva &amp; Sokolova (2015); Rowe, Wright, &amp; Derbyshire ( 2017); Wiebe et al. 2018)","plainTextFormattedCitation":"(Ponomareva &amp; Sokolova, 2015; Rowe, Wright, &amp; Derbyshire, 2017; Wiebe et al., 2018)","previouslyFormattedCitation":"(Ponomareva &amp; Sokolova, 2015; Rowe, Wright, &amp; Derbyshire, 2017; Wiebe et al., 2018)"},"properties":{"noteIndex":0},"schema":"https://github.com/citation-style-language/schema/raw/master/csl-citation.json"}</w:instrText>
      </w:r>
      <w:r w:rsidR="00EA7198" w:rsidRPr="0048196F">
        <w:rPr>
          <w:lang w:val="en-US"/>
        </w:rPr>
        <w:fldChar w:fldCharType="separate"/>
      </w:r>
      <w:r w:rsidR="00EA7198" w:rsidRPr="0048196F">
        <w:rPr>
          <w:noProof/>
          <w:lang w:val="en-US"/>
        </w:rPr>
        <w:t>Ponomareva &amp; Sokolova</w:t>
      </w:r>
      <w:r w:rsidR="00BF39BE" w:rsidRPr="0048196F">
        <w:rPr>
          <w:noProof/>
          <w:lang w:val="en-US"/>
        </w:rPr>
        <w:t xml:space="preserve"> (</w:t>
      </w:r>
      <w:r w:rsidR="00EA7198" w:rsidRPr="0048196F">
        <w:rPr>
          <w:noProof/>
          <w:lang w:val="en-US"/>
        </w:rPr>
        <w:t>2015</w:t>
      </w:r>
      <w:r w:rsidR="00BF39BE" w:rsidRPr="0048196F">
        <w:rPr>
          <w:noProof/>
          <w:lang w:val="en-US"/>
        </w:rPr>
        <w:t>)</w:t>
      </w:r>
      <w:r w:rsidR="00EA7198" w:rsidRPr="0048196F">
        <w:rPr>
          <w:noProof/>
          <w:lang w:val="en-US"/>
        </w:rPr>
        <w:t>; Rowe, Wright, &amp; Derbyshire</w:t>
      </w:r>
      <w:r w:rsidR="00BF39BE" w:rsidRPr="0048196F">
        <w:rPr>
          <w:noProof/>
          <w:lang w:val="en-US"/>
        </w:rPr>
        <w:t xml:space="preserve"> (</w:t>
      </w:r>
      <w:r w:rsidR="00EA7198" w:rsidRPr="0048196F">
        <w:rPr>
          <w:noProof/>
          <w:lang w:val="en-US"/>
        </w:rPr>
        <w:t xml:space="preserve"> 2017</w:t>
      </w:r>
      <w:r w:rsidR="00BF39BE" w:rsidRPr="0048196F">
        <w:rPr>
          <w:noProof/>
          <w:lang w:val="en-US"/>
        </w:rPr>
        <w:t>)</w:t>
      </w:r>
      <w:r w:rsidR="00EA7198" w:rsidRPr="0048196F">
        <w:rPr>
          <w:noProof/>
          <w:lang w:val="en-US"/>
        </w:rPr>
        <w:t>; Wiebe et al. 2018)</w:t>
      </w:r>
      <w:r w:rsidR="00EA7198" w:rsidRPr="0048196F">
        <w:rPr>
          <w:lang w:val="en-US"/>
        </w:rPr>
        <w:fldChar w:fldCharType="end"/>
      </w:r>
      <w:r w:rsidR="00EA7198" w:rsidRPr="0048196F">
        <w:rPr>
          <w:lang w:val="en-US"/>
        </w:rPr>
        <w:t>.</w:t>
      </w:r>
      <w:r w:rsidRPr="0048196F">
        <w:rPr>
          <w:lang w:val="en-US"/>
        </w:rPr>
        <w:t xml:space="preserve"> </w:t>
      </w:r>
      <w:r w:rsidR="00402B4D" w:rsidRPr="0048196F">
        <w:rPr>
          <w:lang w:val="en-US"/>
        </w:rPr>
        <w:t>All authors perform such scanning in four main stages:</w:t>
      </w:r>
      <w:r w:rsidRPr="0048196F">
        <w:rPr>
          <w:lang w:val="en-US"/>
        </w:rPr>
        <w:t xml:space="preserve"> </w:t>
      </w:r>
      <w:r w:rsidR="00402B4D" w:rsidRPr="0048196F">
        <w:rPr>
          <w:lang w:val="en-US"/>
        </w:rPr>
        <w:t>E</w:t>
      </w:r>
      <w:r w:rsidRPr="0048196F">
        <w:rPr>
          <w:lang w:val="en-US"/>
        </w:rPr>
        <w:t>xploration, validation, assessment and the communication of results.</w:t>
      </w:r>
      <w:r w:rsidR="000E118C" w:rsidRPr="0048196F">
        <w:rPr>
          <w:lang w:val="en-US"/>
        </w:rPr>
        <w:t xml:space="preserve"> </w:t>
      </w:r>
      <w:r w:rsidRPr="0048196F">
        <w:rPr>
          <w:lang w:val="en-US"/>
        </w:rPr>
        <w:t>Taking into account the resource limitations</w:t>
      </w:r>
      <w:r w:rsidR="00355932" w:rsidRPr="0048196F">
        <w:rPr>
          <w:lang w:val="en-US"/>
        </w:rPr>
        <w:t xml:space="preserve"> and time constraints</w:t>
      </w:r>
      <w:r w:rsidRPr="0048196F">
        <w:rPr>
          <w:lang w:val="en-US"/>
        </w:rPr>
        <w:t xml:space="preserve">, a research design is executed which combines a literature review, expert </w:t>
      </w:r>
      <w:r w:rsidR="00177732" w:rsidRPr="0048196F">
        <w:rPr>
          <w:lang w:val="en-US"/>
        </w:rPr>
        <w:t>validation</w:t>
      </w:r>
      <w:r w:rsidRPr="0048196F">
        <w:rPr>
          <w:lang w:val="en-US"/>
        </w:rPr>
        <w:t xml:space="preserve">, industry validation and knowledge visualization. </w:t>
      </w:r>
      <w:r w:rsidR="00355932" w:rsidRPr="0048196F">
        <w:rPr>
          <w:lang w:val="en-US"/>
        </w:rPr>
        <w:t xml:space="preserve">Figure 1 presents the </w:t>
      </w:r>
      <w:r w:rsidR="00177732" w:rsidRPr="0048196F">
        <w:rPr>
          <w:lang w:val="en-US"/>
        </w:rPr>
        <w:t xml:space="preserve">general </w:t>
      </w:r>
      <w:r w:rsidR="00355932" w:rsidRPr="0048196F">
        <w:rPr>
          <w:lang w:val="en-US"/>
        </w:rPr>
        <w:t>steps of the research.</w:t>
      </w:r>
      <w:r w:rsidRPr="0048196F">
        <w:rPr>
          <w:lang w:val="en-US"/>
        </w:rPr>
        <w:t xml:space="preserve"> </w:t>
      </w:r>
    </w:p>
    <w:p w14:paraId="25A23ABC" w14:textId="77777777" w:rsidR="00E503ED" w:rsidRPr="0048196F" w:rsidRDefault="00E503ED" w:rsidP="0079670E">
      <w:pPr>
        <w:keepNext/>
        <w:rPr>
          <w:lang w:val="en-US"/>
        </w:rPr>
      </w:pPr>
    </w:p>
    <w:p w14:paraId="40360171" w14:textId="348EB82A" w:rsidR="008E2C26" w:rsidRDefault="00BF50F6" w:rsidP="008E2C26">
      <w:pPr>
        <w:keepNext/>
      </w:pPr>
      <w:r>
        <w:rPr>
          <w:noProof/>
          <w:lang w:val="pt-PT" w:eastAsia="pt-PT"/>
        </w:rPr>
        <w:drawing>
          <wp:inline distT="0" distB="0" distL="0" distR="0" wp14:anchorId="623BFAD9" wp14:editId="5392E245">
            <wp:extent cx="3236360" cy="2649527"/>
            <wp:effectExtent l="0" t="0" r="2540" b="5080"/>
            <wp:docPr id="16" name="Afbeelding 1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earch Design 1-7.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49001" cy="2659876"/>
                    </a:xfrm>
                    <a:prstGeom prst="rect">
                      <a:avLst/>
                    </a:prstGeom>
                  </pic:spPr>
                </pic:pic>
              </a:graphicData>
            </a:graphic>
          </wp:inline>
        </w:drawing>
      </w:r>
    </w:p>
    <w:p w14:paraId="7C446ADF" w14:textId="22D72BA6" w:rsidR="00BA2755" w:rsidRPr="0048196F" w:rsidRDefault="008E2C26" w:rsidP="008E2C26">
      <w:pPr>
        <w:pStyle w:val="Caption"/>
        <w:rPr>
          <w:lang w:val="en-US"/>
        </w:rPr>
      </w:pPr>
      <w:bookmarkStart w:id="38" w:name="_Toc14347569"/>
      <w:r>
        <w:t xml:space="preserve">Figure </w:t>
      </w:r>
      <w:r>
        <w:fldChar w:fldCharType="begin"/>
      </w:r>
      <w:r>
        <w:instrText xml:space="preserve"> SEQ Figure \* ARABIC </w:instrText>
      </w:r>
      <w:r>
        <w:fldChar w:fldCharType="separate"/>
      </w:r>
      <w:r w:rsidR="00634236">
        <w:rPr>
          <w:noProof/>
        </w:rPr>
        <w:t>1</w:t>
      </w:r>
      <w:r>
        <w:fldChar w:fldCharType="end"/>
      </w:r>
      <w:r>
        <w:t>: Research Design</w:t>
      </w:r>
      <w:bookmarkEnd w:id="38"/>
    </w:p>
    <w:p w14:paraId="116C554E" w14:textId="77777777" w:rsidR="00E503ED" w:rsidRDefault="00E503ED" w:rsidP="003A0778">
      <w:pPr>
        <w:rPr>
          <w:b/>
          <w:bCs/>
          <w:lang w:val="en-US"/>
        </w:rPr>
      </w:pPr>
    </w:p>
    <w:p w14:paraId="45280E41" w14:textId="2A3A160A" w:rsidR="00B31276" w:rsidRPr="0048196F" w:rsidRDefault="008C2B59" w:rsidP="00CC1C1C">
      <w:pPr>
        <w:spacing w:line="360" w:lineRule="auto"/>
        <w:rPr>
          <w:b/>
          <w:bCs/>
          <w:lang w:val="en-US"/>
        </w:rPr>
      </w:pPr>
      <w:r w:rsidRPr="0048196F">
        <w:rPr>
          <w:b/>
          <w:bCs/>
          <w:lang w:val="en-US"/>
        </w:rPr>
        <w:t xml:space="preserve">1. </w:t>
      </w:r>
      <w:r w:rsidR="00B31276" w:rsidRPr="0048196F">
        <w:rPr>
          <w:b/>
          <w:bCs/>
          <w:lang w:val="en-US"/>
        </w:rPr>
        <w:t>Literature review</w:t>
      </w:r>
    </w:p>
    <w:p w14:paraId="2CB7BE16" w14:textId="30449A16" w:rsidR="00B31276" w:rsidRPr="0048196F" w:rsidRDefault="00B31276" w:rsidP="00CC1C1C">
      <w:pPr>
        <w:spacing w:line="360" w:lineRule="auto"/>
        <w:jc w:val="both"/>
        <w:rPr>
          <w:lang w:val="en-US"/>
        </w:rPr>
      </w:pPr>
      <w:r w:rsidRPr="0048196F">
        <w:rPr>
          <w:lang w:val="en-US"/>
        </w:rPr>
        <w:t xml:space="preserve">The literature comes from research papers representing the academic side, and industrial/governmental reports bringing the practical vision. By employing quantitative and qualitative content analysis on the textual sources, facts from texts are expressed as frequencies, and presented in groups and themes </w:t>
      </w:r>
      <w:r w:rsidR="00BF39BE" w:rsidRPr="0048196F">
        <w:rPr>
          <w:lang w:val="en-US"/>
        </w:rPr>
        <w:fldChar w:fldCharType="begin" w:fldLock="1"/>
      </w:r>
      <w:r w:rsidR="00240A19" w:rsidRPr="0048196F">
        <w:rPr>
          <w:lang w:val="en-US"/>
        </w:rPr>
        <w:instrText>ADDIN CSL_CITATION {"citationItems":[{"id":"ITEM-1","itemData":{"DOI":"10.1016/j.npls.2016.01.001","ISSN":"23529008","abstract":"This paper describes the research process - from planning to presentation, with the emphasis on credibility throughout the whole process - when the methodology of qualitative content analysis is chosen in a qualitative study. The groundwork for the credibility initiates when the planning of the study begins. External and internal resources have to be identified, and the researcher must consider his or her experience of the phenomenon to be studied in order to minimize any bias of his/her own influence. The purpose of content analysis is to organize and elicit meaning from the data collected and to draw realistic conclusions from it. The researcher must choose whether the analysis should be of a broad surface structure (a manifest analysis) or of a deep structure (a latent analysis). Four distinct main stages are described in this paper: the decontextualisation, the recontextualisation, the categorization, and the compilation. This description of qualitative content analysis offers one approach that shows how the general principles of the method can be used.","author":[{"dropping-particle":"","family":"Bengtsson","given":"Mariette","non-dropping-particle":"","parse-names":false,"suffix":""}],"container-title":"NursingPlus Open","id":"ITEM-1","issued":{"date-parts":[["2016"]]},"page":"8-14","publisher":"Elsevier","title":"How to plan and perform a qualitative study using content analysis","type":"article-journal","volume":"2"},"uris":["http://www.mendeley.com/documents/?uuid=30beea40-573e-4339-a831-f1fa464dfcee"]}],"mendeley":{"formattedCitation":"(Bengtsson, 2016)","plainTextFormattedCitation":"(Bengtsson, 2016)","previouslyFormattedCitation":"(Bengtsson, 2016)"},"properties":{"noteIndex":0},"schema":"https://github.com/citation-style-language/schema/raw/master/csl-citation.json"}</w:instrText>
      </w:r>
      <w:r w:rsidR="00BF39BE" w:rsidRPr="0048196F">
        <w:rPr>
          <w:lang w:val="en-US"/>
        </w:rPr>
        <w:fldChar w:fldCharType="separate"/>
      </w:r>
      <w:r w:rsidR="00BF39BE" w:rsidRPr="0048196F">
        <w:rPr>
          <w:noProof/>
          <w:lang w:val="en-US"/>
        </w:rPr>
        <w:t>(Bengtsson, 2016)</w:t>
      </w:r>
      <w:r w:rsidR="00BF39BE" w:rsidRPr="0048196F">
        <w:rPr>
          <w:lang w:val="en-US"/>
        </w:rPr>
        <w:fldChar w:fldCharType="end"/>
      </w:r>
      <w:r w:rsidR="00BF39BE" w:rsidRPr="0048196F">
        <w:rPr>
          <w:lang w:val="en-US"/>
        </w:rPr>
        <w:t>.</w:t>
      </w:r>
      <w:r w:rsidRPr="0048196F">
        <w:rPr>
          <w:lang w:val="en-US"/>
        </w:rPr>
        <w:t>The output is a quantitatively justified list of megatrends and drivers of change, and a preliminary list of trends and corresponding definitions.</w:t>
      </w:r>
    </w:p>
    <w:p w14:paraId="2004301B" w14:textId="76D032AC" w:rsidR="00B31276" w:rsidRPr="0048196F" w:rsidRDefault="008C2B59" w:rsidP="00CC1C1C">
      <w:pPr>
        <w:spacing w:line="360" w:lineRule="auto"/>
        <w:rPr>
          <w:b/>
          <w:bCs/>
          <w:lang w:val="en-US"/>
        </w:rPr>
      </w:pPr>
      <w:r w:rsidRPr="0048196F">
        <w:rPr>
          <w:b/>
          <w:bCs/>
          <w:lang w:val="en-US"/>
        </w:rPr>
        <w:t xml:space="preserve">2. </w:t>
      </w:r>
      <w:r w:rsidR="00B31276" w:rsidRPr="0048196F">
        <w:rPr>
          <w:b/>
          <w:bCs/>
          <w:lang w:val="en-US"/>
        </w:rPr>
        <w:t>Expert validation: General Trends</w:t>
      </w:r>
    </w:p>
    <w:p w14:paraId="41424BBA" w14:textId="77777777" w:rsidR="00CC1C1C" w:rsidRDefault="00B31276" w:rsidP="00CC1C1C">
      <w:pPr>
        <w:spacing w:line="360" w:lineRule="auto"/>
        <w:rPr>
          <w:lang w:val="en-US"/>
        </w:rPr>
      </w:pPr>
      <w:r w:rsidRPr="0048196F">
        <w:rPr>
          <w:lang w:val="en-US"/>
        </w:rPr>
        <w:t xml:space="preserve">The DIVA project provided access to experts employed in various institutions, related to technology, innovation and agriculture, spread over </w:t>
      </w:r>
      <w:r w:rsidR="00EA7198" w:rsidRPr="0048196F">
        <w:rPr>
          <w:lang w:val="en-US"/>
        </w:rPr>
        <w:t>six</w:t>
      </w:r>
      <w:r w:rsidRPr="0048196F">
        <w:rPr>
          <w:lang w:val="en-US"/>
        </w:rPr>
        <w:t xml:space="preserve"> European countries. To refine and validate the output from the literature review a survey is distributed consisting of a list of (10) main trends and (25) sub-trends of which experts are asked to provide a classification between unimportant and very important following a five-point scale. The </w:t>
      </w:r>
      <w:r w:rsidR="00EA7198" w:rsidRPr="0048196F">
        <w:rPr>
          <w:lang w:val="en-US"/>
        </w:rPr>
        <w:t xml:space="preserve">six </w:t>
      </w:r>
      <w:r w:rsidRPr="0048196F">
        <w:rPr>
          <w:lang w:val="en-US"/>
        </w:rPr>
        <w:t xml:space="preserve">most important </w:t>
      </w:r>
      <w:r w:rsidR="00EA7198" w:rsidRPr="0048196F">
        <w:rPr>
          <w:lang w:val="en-US"/>
        </w:rPr>
        <w:t xml:space="preserve">main </w:t>
      </w:r>
      <w:r w:rsidRPr="0048196F">
        <w:rPr>
          <w:lang w:val="en-US"/>
        </w:rPr>
        <w:t xml:space="preserve">trends are additionally researched through desk research and brainstorming sessions with the project’s participants. The result is distributed among the </w:t>
      </w:r>
      <w:r w:rsidR="00EA7198" w:rsidRPr="0048196F">
        <w:rPr>
          <w:lang w:val="en-US"/>
        </w:rPr>
        <w:t>seven</w:t>
      </w:r>
      <w:r w:rsidRPr="0048196F">
        <w:rPr>
          <w:lang w:val="en-US"/>
        </w:rPr>
        <w:t xml:space="preserve"> experts for feedback</w:t>
      </w:r>
      <w:r w:rsidR="00EA7198" w:rsidRPr="0048196F">
        <w:rPr>
          <w:lang w:val="en-US"/>
        </w:rPr>
        <w:t>,</w:t>
      </w:r>
      <w:r w:rsidRPr="0048196F">
        <w:rPr>
          <w:lang w:val="en-US"/>
        </w:rPr>
        <w:t xml:space="preserve"> which i</w:t>
      </w:r>
      <w:r w:rsidR="00EA7198" w:rsidRPr="0048196F">
        <w:rPr>
          <w:lang w:val="en-US"/>
        </w:rPr>
        <w:t>n turn is</w:t>
      </w:r>
      <w:r w:rsidRPr="0048196F">
        <w:rPr>
          <w:lang w:val="en-US"/>
        </w:rPr>
        <w:t xml:space="preserve"> used to construct the</w:t>
      </w:r>
      <w:r w:rsidR="00EA7198" w:rsidRPr="0048196F">
        <w:rPr>
          <w:lang w:val="en-US"/>
        </w:rPr>
        <w:t xml:space="preserve"> visual</w:t>
      </w:r>
      <w:r w:rsidRPr="0048196F">
        <w:rPr>
          <w:lang w:val="en-US"/>
        </w:rPr>
        <w:t xml:space="preserve"> trend map.</w:t>
      </w:r>
    </w:p>
    <w:p w14:paraId="28A80740" w14:textId="50D2C7A8" w:rsidR="00355932" w:rsidRPr="0048196F" w:rsidRDefault="00B31276" w:rsidP="00B045A3">
      <w:pPr>
        <w:spacing w:line="360" w:lineRule="auto"/>
        <w:rPr>
          <w:noProof/>
          <w:lang w:val="en-US"/>
        </w:rPr>
      </w:pPr>
      <w:r w:rsidRPr="0048196F">
        <w:rPr>
          <w:noProof/>
          <w:lang w:val="en-US"/>
        </w:rPr>
        <w:t xml:space="preserve"> </w:t>
      </w:r>
    </w:p>
    <w:p w14:paraId="780FCBE0" w14:textId="07448893" w:rsidR="00B31276" w:rsidRPr="0048196F" w:rsidRDefault="008C2B59" w:rsidP="00CC1C1C">
      <w:pPr>
        <w:spacing w:line="360" w:lineRule="auto"/>
        <w:rPr>
          <w:b/>
          <w:bCs/>
          <w:lang w:val="en-US"/>
        </w:rPr>
      </w:pPr>
      <w:r w:rsidRPr="0048196F">
        <w:rPr>
          <w:b/>
          <w:bCs/>
          <w:lang w:val="en-US"/>
        </w:rPr>
        <w:t xml:space="preserve">3. </w:t>
      </w:r>
      <w:r w:rsidR="00B31276" w:rsidRPr="0048196F">
        <w:rPr>
          <w:b/>
          <w:bCs/>
          <w:lang w:val="en-US"/>
        </w:rPr>
        <w:t xml:space="preserve">Industry validation: Technology Trends, impact value chain </w:t>
      </w:r>
    </w:p>
    <w:p w14:paraId="33F8579D" w14:textId="275FF44A" w:rsidR="00B045A3" w:rsidRDefault="00B31276" w:rsidP="00CC1C1C">
      <w:pPr>
        <w:spacing w:line="360" w:lineRule="auto"/>
        <w:rPr>
          <w:lang w:val="en-US"/>
        </w:rPr>
      </w:pPr>
      <w:r w:rsidRPr="0048196F">
        <w:rPr>
          <w:lang w:val="en-US"/>
        </w:rPr>
        <w:t xml:space="preserve">Simultaneously the DIVA project launched a “call for challenges” for Small and Medium size Enterprises (SMEs), this data was made available to the researcher allowing comparison of identified trends and industry demands, serving as an additional validation </w:t>
      </w:r>
      <w:r w:rsidR="00EA7198" w:rsidRPr="0048196F">
        <w:rPr>
          <w:lang w:val="en-US"/>
        </w:rPr>
        <w:t>for</w:t>
      </w:r>
      <w:r w:rsidRPr="0048196F">
        <w:rPr>
          <w:lang w:val="en-US"/>
        </w:rPr>
        <w:t xml:space="preserve"> the </w:t>
      </w:r>
      <w:r w:rsidR="00EA7198" w:rsidRPr="0048196F">
        <w:rPr>
          <w:lang w:val="en-US"/>
        </w:rPr>
        <w:t xml:space="preserve">trend map and </w:t>
      </w:r>
      <w:r w:rsidRPr="0048196F">
        <w:rPr>
          <w:lang w:val="en-US"/>
        </w:rPr>
        <w:t xml:space="preserve">Digitech value chain. </w:t>
      </w:r>
    </w:p>
    <w:p w14:paraId="272B8CEE" w14:textId="4CCA5C54" w:rsidR="00CC1C1C" w:rsidRDefault="00CC1C1C" w:rsidP="00CC1C1C">
      <w:pPr>
        <w:spacing w:line="360" w:lineRule="auto"/>
        <w:rPr>
          <w:lang w:val="en-US"/>
        </w:rPr>
      </w:pPr>
    </w:p>
    <w:p w14:paraId="0A44E281" w14:textId="59C7DFB2" w:rsidR="00CC1C1C" w:rsidRPr="0048196F" w:rsidRDefault="00CC1C1C" w:rsidP="00CC1C1C">
      <w:pPr>
        <w:spacing w:line="360" w:lineRule="auto"/>
        <w:rPr>
          <w:lang w:val="en-US"/>
        </w:rPr>
      </w:pPr>
      <w:r>
        <w:rPr>
          <w:lang w:val="en-US"/>
        </w:rPr>
        <w:t>According to the figure, this research yields two visual outcomes:</w:t>
      </w:r>
    </w:p>
    <w:p w14:paraId="484EBEB3" w14:textId="4E640160" w:rsidR="00B31276" w:rsidRPr="0048196F" w:rsidRDefault="008C2B59" w:rsidP="00CC1C1C">
      <w:pPr>
        <w:spacing w:line="360" w:lineRule="auto"/>
        <w:rPr>
          <w:b/>
          <w:bCs/>
          <w:lang w:val="en-US"/>
        </w:rPr>
      </w:pPr>
      <w:r w:rsidRPr="0048196F">
        <w:rPr>
          <w:b/>
          <w:bCs/>
          <w:lang w:val="en-US"/>
        </w:rPr>
        <w:t>O</w:t>
      </w:r>
      <w:r w:rsidR="00ED673B" w:rsidRPr="0048196F">
        <w:rPr>
          <w:b/>
          <w:bCs/>
          <w:lang w:val="en-US"/>
        </w:rPr>
        <w:t>utcome</w:t>
      </w:r>
      <w:r w:rsidRPr="0048196F">
        <w:rPr>
          <w:b/>
          <w:bCs/>
          <w:lang w:val="en-US"/>
        </w:rPr>
        <w:t xml:space="preserve"> </w:t>
      </w:r>
      <w:r w:rsidR="00ED673B" w:rsidRPr="0048196F">
        <w:rPr>
          <w:b/>
          <w:bCs/>
          <w:lang w:val="en-US"/>
        </w:rPr>
        <w:t xml:space="preserve">1: </w:t>
      </w:r>
      <w:r w:rsidR="00B31276" w:rsidRPr="0048196F">
        <w:rPr>
          <w:b/>
          <w:bCs/>
          <w:lang w:val="en-US"/>
        </w:rPr>
        <w:t>Trend map</w:t>
      </w:r>
    </w:p>
    <w:p w14:paraId="76B827E7" w14:textId="79EF0C2E" w:rsidR="008F34B4" w:rsidRPr="0048196F" w:rsidRDefault="00B31276" w:rsidP="00CC1C1C">
      <w:pPr>
        <w:spacing w:line="360" w:lineRule="auto"/>
        <w:rPr>
          <w:lang w:val="en-US"/>
        </w:rPr>
      </w:pPr>
      <w:r w:rsidRPr="0048196F">
        <w:rPr>
          <w:lang w:val="en-US"/>
        </w:rPr>
        <w:t xml:space="preserve">By visually presenting findings it is intended to effectively transfer knowledge. This map should be inspiring and time efficient by presenting trends and relationships between them suitable for interpretation by strategic managers, digital technology developers and other agri-food sector stakeholders.  </w:t>
      </w:r>
      <w:r w:rsidR="00CC63A9" w:rsidRPr="0048196F">
        <w:rPr>
          <w:lang w:val="en-US"/>
        </w:rPr>
        <w:t xml:space="preserve">For the development the </w:t>
      </w:r>
      <w:r w:rsidR="00177732" w:rsidRPr="0048196F">
        <w:rPr>
          <w:lang w:val="en-US"/>
        </w:rPr>
        <w:t>f</w:t>
      </w:r>
      <w:r w:rsidR="00CC63A9" w:rsidRPr="0048196F">
        <w:rPr>
          <w:lang w:val="en-US"/>
        </w:rPr>
        <w:t xml:space="preserve">ramework for knowledge visualization </w:t>
      </w:r>
      <w:r w:rsidR="008D2D1D" w:rsidRPr="0048196F">
        <w:rPr>
          <w:lang w:val="en-US"/>
        </w:rPr>
        <w:t>developed</w:t>
      </w:r>
      <w:r w:rsidR="00EA7198" w:rsidRPr="0048196F">
        <w:rPr>
          <w:lang w:val="en-US"/>
        </w:rPr>
        <w:t xml:space="preserve"> by</w:t>
      </w:r>
      <w:r w:rsidR="00CC63A9" w:rsidRPr="0048196F">
        <w:rPr>
          <w:lang w:val="en-US"/>
        </w:rPr>
        <w:t xml:space="preserve"> </w:t>
      </w:r>
      <w:r w:rsidR="00CC63A9" w:rsidRPr="0048196F">
        <w:rPr>
          <w:lang w:val="en-US"/>
        </w:rPr>
        <w:fldChar w:fldCharType="begin" w:fldLock="1"/>
      </w:r>
      <w:r w:rsidR="00BF39BE" w:rsidRPr="0048196F">
        <w:rPr>
          <w:lang w:val="en-US"/>
        </w:rPr>
        <w:instrText>ADDIN CSL_CITATION {"citationItems":[{"id":"ITEM-1","itemData":{"DOI":"10.1007/11510154_13","ISBN":"3-540-26921-5, 978-3-540-26921-2","ISSN":"0302-9743; 3-540-26921-5","PMID":"21747779","abstract":"This article presents synergies between the research areas information visualization and knowledge visualization from a knowledge management and a communication science perspective. It presents a first theoretical framework and a model for the new field of knowledge visualization. It describes guidelines and principles derived from our professional practice and previous research on how architects successfully use complementary visualizations to transfer and create knowledge among individuals from different social, cultural, and educational backgrounds. The findings and insights are important for researchers and practitioners in the fields of information visualization, knowledge visualization, knowledge management, information design, media didactics, instructional psychology, and communication sciences.","author":[{"dropping-particle":"","family":"Burkhard","given":"Remo Aslak","non-dropping-particle":"","parse-names":false,"suffix":""}],"id":"ITEM-1","issued":{"date-parts":[["2005"]]},"page":"238-255","title":"Towards a Framework and a Model for Knowledge Visualization: Synergies Between Information and Knowledge Visualization","type":"article-journal"},"uris":["http://www.mendeley.com/documents/?uuid=ee109e79-5aa1-493a-b4a6-942931fef349"]}],"mendeley":{"formattedCitation":"(Burkhard, 2005)","manualFormatting":"Burkhard (2005)","plainTextFormattedCitation":"(Burkhard, 2005)","previouslyFormattedCitation":"(Burkhard, 2005)"},"properties":{"noteIndex":0},"schema":"https://github.com/citation-style-language/schema/raw/master/csl-citation.json"}</w:instrText>
      </w:r>
      <w:r w:rsidR="00CC63A9" w:rsidRPr="0048196F">
        <w:rPr>
          <w:lang w:val="en-US"/>
        </w:rPr>
        <w:fldChar w:fldCharType="separate"/>
      </w:r>
      <w:r w:rsidR="00CC63A9" w:rsidRPr="0048196F">
        <w:rPr>
          <w:noProof/>
          <w:lang w:val="en-US"/>
        </w:rPr>
        <w:t xml:space="preserve">Burkhard </w:t>
      </w:r>
      <w:r w:rsidR="00BF39BE" w:rsidRPr="0048196F">
        <w:rPr>
          <w:noProof/>
          <w:lang w:val="en-US"/>
        </w:rPr>
        <w:t>(</w:t>
      </w:r>
      <w:r w:rsidR="00CC63A9" w:rsidRPr="0048196F">
        <w:rPr>
          <w:noProof/>
          <w:lang w:val="en-US"/>
        </w:rPr>
        <w:t>2005)</w:t>
      </w:r>
      <w:r w:rsidR="00CC63A9" w:rsidRPr="0048196F">
        <w:rPr>
          <w:lang w:val="en-US"/>
        </w:rPr>
        <w:fldChar w:fldCharType="end"/>
      </w:r>
      <w:r w:rsidR="00CC63A9" w:rsidRPr="0048196F">
        <w:rPr>
          <w:lang w:val="en-US"/>
        </w:rPr>
        <w:t xml:space="preserve"> is followed.   </w:t>
      </w:r>
    </w:p>
    <w:p w14:paraId="076692BF" w14:textId="6D95A4A7" w:rsidR="00B31276" w:rsidRPr="0048196F" w:rsidRDefault="008C2B59" w:rsidP="00CC1C1C">
      <w:pPr>
        <w:spacing w:line="360" w:lineRule="auto"/>
        <w:rPr>
          <w:b/>
          <w:bCs/>
          <w:lang w:val="en-US"/>
        </w:rPr>
      </w:pPr>
      <w:r w:rsidRPr="0048196F">
        <w:rPr>
          <w:b/>
          <w:bCs/>
          <w:lang w:val="en-US"/>
        </w:rPr>
        <w:t>O</w:t>
      </w:r>
      <w:r w:rsidR="00ED673B" w:rsidRPr="0048196F">
        <w:rPr>
          <w:b/>
          <w:bCs/>
          <w:lang w:val="en-US"/>
        </w:rPr>
        <w:t>utcome</w:t>
      </w:r>
      <w:r w:rsidRPr="0048196F">
        <w:rPr>
          <w:b/>
          <w:bCs/>
          <w:lang w:val="en-US"/>
        </w:rPr>
        <w:t xml:space="preserve"> </w:t>
      </w:r>
      <w:r w:rsidR="00ED673B" w:rsidRPr="0048196F">
        <w:rPr>
          <w:b/>
          <w:bCs/>
          <w:lang w:val="en-US"/>
        </w:rPr>
        <w:t xml:space="preserve">2: </w:t>
      </w:r>
      <w:r w:rsidR="00B31276" w:rsidRPr="0048196F">
        <w:rPr>
          <w:b/>
          <w:bCs/>
          <w:lang w:val="en-US"/>
        </w:rPr>
        <w:t>Digitech Value Chain</w:t>
      </w:r>
    </w:p>
    <w:p w14:paraId="11030F3B" w14:textId="4BDC68E0" w:rsidR="00B31276" w:rsidRPr="0048196F" w:rsidRDefault="00B31276" w:rsidP="00CC1C1C">
      <w:pPr>
        <w:spacing w:line="360" w:lineRule="auto"/>
        <w:rPr>
          <w:lang w:val="en-US"/>
        </w:rPr>
      </w:pPr>
      <w:r w:rsidRPr="0048196F">
        <w:rPr>
          <w:lang w:val="en-US"/>
        </w:rPr>
        <w:t xml:space="preserve">A Digitech value chain contains examples of current and future digital technology applications categorized per stage of the value chain and technology field. This visualization amplifies the importance of digital technologies and inspires innovation. </w:t>
      </w:r>
    </w:p>
    <w:p w14:paraId="61B036CF" w14:textId="77777777" w:rsidR="00BA2755" w:rsidRPr="0048196F" w:rsidRDefault="00BA2755" w:rsidP="005F76EC">
      <w:pPr>
        <w:spacing w:line="360" w:lineRule="auto"/>
        <w:rPr>
          <w:lang w:val="en-US"/>
        </w:rPr>
      </w:pPr>
    </w:p>
    <w:p w14:paraId="551F0366" w14:textId="60421274" w:rsidR="00BA2755" w:rsidRPr="0048196F" w:rsidRDefault="00BA2755" w:rsidP="005F76EC">
      <w:pPr>
        <w:spacing w:line="360" w:lineRule="auto"/>
        <w:rPr>
          <w:lang w:val="en-US"/>
        </w:rPr>
      </w:pPr>
    </w:p>
    <w:p w14:paraId="61CADA49" w14:textId="19791874" w:rsidR="00B045A3" w:rsidRPr="0048196F" w:rsidRDefault="00B045A3" w:rsidP="005F76EC">
      <w:pPr>
        <w:spacing w:line="360" w:lineRule="auto"/>
        <w:rPr>
          <w:lang w:val="en-US"/>
        </w:rPr>
      </w:pPr>
    </w:p>
    <w:p w14:paraId="55ABEA9D" w14:textId="18C2EE29" w:rsidR="00B045A3" w:rsidRPr="0048196F" w:rsidRDefault="00B045A3" w:rsidP="005F76EC">
      <w:pPr>
        <w:spacing w:line="360" w:lineRule="auto"/>
        <w:rPr>
          <w:lang w:val="en-US"/>
        </w:rPr>
      </w:pPr>
    </w:p>
    <w:p w14:paraId="0937527F" w14:textId="7B2E369B" w:rsidR="00B045A3" w:rsidRPr="0048196F" w:rsidRDefault="00B045A3" w:rsidP="005F76EC">
      <w:pPr>
        <w:spacing w:line="360" w:lineRule="auto"/>
        <w:rPr>
          <w:lang w:val="en-US"/>
        </w:rPr>
      </w:pPr>
    </w:p>
    <w:p w14:paraId="36F1C8A1" w14:textId="2519CD37" w:rsidR="00B045A3" w:rsidRPr="0048196F" w:rsidRDefault="00B045A3" w:rsidP="005F76EC">
      <w:pPr>
        <w:spacing w:line="360" w:lineRule="auto"/>
        <w:rPr>
          <w:lang w:val="en-US"/>
        </w:rPr>
      </w:pPr>
    </w:p>
    <w:p w14:paraId="69E27C5D" w14:textId="19729859" w:rsidR="00B045A3" w:rsidRPr="0048196F" w:rsidRDefault="00B045A3" w:rsidP="005F76EC">
      <w:pPr>
        <w:spacing w:line="360" w:lineRule="auto"/>
        <w:rPr>
          <w:lang w:val="en-US"/>
        </w:rPr>
      </w:pPr>
    </w:p>
    <w:p w14:paraId="5C4B5C68" w14:textId="77777777" w:rsidR="00B045A3" w:rsidRPr="0048196F" w:rsidRDefault="00B045A3" w:rsidP="005F76EC">
      <w:pPr>
        <w:spacing w:line="360" w:lineRule="auto"/>
        <w:rPr>
          <w:lang w:val="en-US"/>
        </w:rPr>
      </w:pPr>
    </w:p>
    <w:p w14:paraId="3D6BFDAF" w14:textId="310D006A" w:rsidR="00B31276" w:rsidRPr="0048196F" w:rsidRDefault="00B31276" w:rsidP="00B045A3">
      <w:pPr>
        <w:pStyle w:val="Heading1"/>
        <w:rPr>
          <w:lang w:val="en-US"/>
        </w:rPr>
      </w:pPr>
      <w:bookmarkStart w:id="39" w:name="_Toc14347309"/>
      <w:r w:rsidRPr="0048196F">
        <w:rPr>
          <w:lang w:val="en-US"/>
        </w:rPr>
        <w:t>Literature Review</w:t>
      </w:r>
      <w:bookmarkEnd w:id="39"/>
    </w:p>
    <w:p w14:paraId="72F005B4" w14:textId="77777777" w:rsidR="00B31276" w:rsidRPr="0048196F" w:rsidRDefault="00B31276" w:rsidP="00B045A3">
      <w:pPr>
        <w:pStyle w:val="Heading2"/>
        <w:numPr>
          <w:ilvl w:val="1"/>
          <w:numId w:val="40"/>
        </w:numPr>
        <w:rPr>
          <w:lang w:val="en-US"/>
        </w:rPr>
      </w:pPr>
      <w:bookmarkStart w:id="40" w:name="_Toc14347310"/>
      <w:r w:rsidRPr="0048196F">
        <w:rPr>
          <w:lang w:val="en-US"/>
        </w:rPr>
        <w:t>Introduction</w:t>
      </w:r>
      <w:bookmarkEnd w:id="40"/>
    </w:p>
    <w:p w14:paraId="7D17B024" w14:textId="77777777" w:rsidR="00B31276" w:rsidRPr="0048196F" w:rsidRDefault="00B31276" w:rsidP="003A0778">
      <w:pPr>
        <w:rPr>
          <w:b/>
          <w:bCs/>
          <w:lang w:val="en-US"/>
        </w:rPr>
      </w:pPr>
      <w:r w:rsidRPr="0048196F">
        <w:rPr>
          <w:b/>
          <w:bCs/>
          <w:lang w:val="en-US"/>
        </w:rPr>
        <w:t>Structure</w:t>
      </w:r>
    </w:p>
    <w:p w14:paraId="10CD48B2" w14:textId="77777777" w:rsidR="00B31276" w:rsidRPr="0048196F" w:rsidRDefault="00B31276" w:rsidP="00B31276">
      <w:pPr>
        <w:spacing w:line="360" w:lineRule="auto"/>
        <w:rPr>
          <w:lang w:val="en-US"/>
        </w:rPr>
      </w:pPr>
      <w:r w:rsidRPr="0048196F">
        <w:rPr>
          <w:lang w:val="en-US"/>
        </w:rPr>
        <w:t>This literature review is divided in sections literature review 1, 2 and 3:</w:t>
      </w:r>
    </w:p>
    <w:p w14:paraId="2E6A92A2" w14:textId="2409126C" w:rsidR="00B31276" w:rsidRPr="0048196F" w:rsidRDefault="00B31276" w:rsidP="00B31276">
      <w:pPr>
        <w:spacing w:line="360" w:lineRule="auto"/>
        <w:rPr>
          <w:lang w:val="en-US"/>
        </w:rPr>
      </w:pPr>
      <w:r w:rsidRPr="0048196F">
        <w:rPr>
          <w:i/>
          <w:iCs/>
          <w:lang w:val="en-US"/>
        </w:rPr>
        <w:t>LR1</w:t>
      </w:r>
      <w:r w:rsidRPr="0048196F">
        <w:rPr>
          <w:lang w:val="en-US"/>
        </w:rPr>
        <w:t xml:space="preserve">: This part of the literature review discusses the main concepts of this research. The </w:t>
      </w:r>
      <w:r w:rsidR="00B32239" w:rsidRPr="0048196F">
        <w:rPr>
          <w:lang w:val="en-US"/>
        </w:rPr>
        <w:t>concept</w:t>
      </w:r>
      <w:r w:rsidRPr="0048196F">
        <w:rPr>
          <w:lang w:val="en-US"/>
        </w:rPr>
        <w:t xml:space="preserve"> of foresight is discussed, and definitions are </w:t>
      </w:r>
      <w:r w:rsidR="008F34B4" w:rsidRPr="0048196F">
        <w:rPr>
          <w:lang w:val="en-US"/>
        </w:rPr>
        <w:t xml:space="preserve">presented </w:t>
      </w:r>
      <w:r w:rsidRPr="0048196F">
        <w:rPr>
          <w:lang w:val="en-US"/>
        </w:rPr>
        <w:t xml:space="preserve">for trend related terms. </w:t>
      </w:r>
    </w:p>
    <w:p w14:paraId="49880CA5" w14:textId="476A1823" w:rsidR="00B31276" w:rsidRPr="0048196F" w:rsidRDefault="00B31276" w:rsidP="00B31276">
      <w:pPr>
        <w:spacing w:line="360" w:lineRule="auto"/>
        <w:rPr>
          <w:lang w:val="en-US"/>
        </w:rPr>
      </w:pPr>
      <w:r w:rsidRPr="0048196F">
        <w:rPr>
          <w:i/>
          <w:iCs/>
          <w:lang w:val="en-US"/>
        </w:rPr>
        <w:t>LR2</w:t>
      </w:r>
      <w:r w:rsidRPr="0048196F">
        <w:rPr>
          <w:lang w:val="en-US"/>
        </w:rPr>
        <w:t xml:space="preserve">: </w:t>
      </w:r>
      <w:r w:rsidR="0030628F" w:rsidRPr="0048196F">
        <w:rPr>
          <w:lang w:val="en-US"/>
        </w:rPr>
        <w:t>Presents t</w:t>
      </w:r>
      <w:r w:rsidRPr="0048196F">
        <w:rPr>
          <w:lang w:val="en-US"/>
        </w:rPr>
        <w:t xml:space="preserve">he </w:t>
      </w:r>
      <w:r w:rsidR="0030628F" w:rsidRPr="0048196F">
        <w:rPr>
          <w:lang w:val="en-US"/>
        </w:rPr>
        <w:t>megatrends and</w:t>
      </w:r>
      <w:r w:rsidRPr="0048196F">
        <w:rPr>
          <w:lang w:val="en-US"/>
        </w:rPr>
        <w:t xml:space="preserve"> challenges </w:t>
      </w:r>
      <w:r w:rsidR="0030628F" w:rsidRPr="0048196F">
        <w:rPr>
          <w:lang w:val="en-US"/>
        </w:rPr>
        <w:t>applying external pressure on</w:t>
      </w:r>
      <w:r w:rsidRPr="0048196F">
        <w:rPr>
          <w:lang w:val="en-US"/>
        </w:rPr>
        <w:t xml:space="preserve"> the agri-food sector. </w:t>
      </w:r>
    </w:p>
    <w:p w14:paraId="0359EDD6" w14:textId="4D35F6BE" w:rsidR="00B31276" w:rsidRPr="0048196F" w:rsidRDefault="00B31276" w:rsidP="00B31276">
      <w:pPr>
        <w:spacing w:line="360" w:lineRule="auto"/>
        <w:rPr>
          <w:lang w:val="en-US"/>
        </w:rPr>
      </w:pPr>
      <w:r w:rsidRPr="0048196F">
        <w:rPr>
          <w:i/>
          <w:iCs/>
          <w:lang w:val="en-US"/>
        </w:rPr>
        <w:t>LR 3</w:t>
      </w:r>
      <w:r w:rsidRPr="0048196F">
        <w:rPr>
          <w:lang w:val="en-US"/>
        </w:rPr>
        <w:t xml:space="preserve">: </w:t>
      </w:r>
      <w:r w:rsidR="0030628F" w:rsidRPr="0048196F">
        <w:rPr>
          <w:lang w:val="en-US"/>
        </w:rPr>
        <w:t>Presents the</w:t>
      </w:r>
      <w:r w:rsidRPr="0048196F">
        <w:rPr>
          <w:lang w:val="en-US"/>
        </w:rPr>
        <w:t xml:space="preserve"> drivers of </w:t>
      </w:r>
      <w:r w:rsidR="00B32239" w:rsidRPr="0048196F">
        <w:rPr>
          <w:lang w:val="en-US"/>
        </w:rPr>
        <w:t>change</w:t>
      </w:r>
      <w:r w:rsidR="0030628F" w:rsidRPr="0048196F">
        <w:rPr>
          <w:lang w:val="en-US"/>
        </w:rPr>
        <w:t xml:space="preserve"> and discusse</w:t>
      </w:r>
      <w:r w:rsidR="008D2D1D" w:rsidRPr="0048196F">
        <w:rPr>
          <w:lang w:val="en-US"/>
        </w:rPr>
        <w:t>s</w:t>
      </w:r>
      <w:r w:rsidR="0030628F" w:rsidRPr="0048196F">
        <w:rPr>
          <w:lang w:val="en-US"/>
        </w:rPr>
        <w:t xml:space="preserve"> the</w:t>
      </w:r>
      <w:r w:rsidR="00E57159" w:rsidRPr="0048196F">
        <w:rPr>
          <w:lang w:val="en-US"/>
        </w:rPr>
        <w:t xml:space="preserve"> identification of </w:t>
      </w:r>
      <w:r w:rsidR="008D2D1D" w:rsidRPr="0048196F">
        <w:rPr>
          <w:lang w:val="en-US"/>
        </w:rPr>
        <w:t xml:space="preserve">the </w:t>
      </w:r>
      <w:r w:rsidR="00E57159" w:rsidRPr="0048196F">
        <w:rPr>
          <w:lang w:val="en-US"/>
        </w:rPr>
        <w:t xml:space="preserve">trends, listed in the beginning of the Development phase 1.  </w:t>
      </w:r>
    </w:p>
    <w:p w14:paraId="2C05E0B1" w14:textId="77777777" w:rsidR="00B31276" w:rsidRPr="0048196F" w:rsidRDefault="00B31276" w:rsidP="003A0778">
      <w:pPr>
        <w:rPr>
          <w:b/>
          <w:bCs/>
          <w:lang w:val="en-US"/>
        </w:rPr>
      </w:pPr>
      <w:r w:rsidRPr="0048196F">
        <w:rPr>
          <w:b/>
          <w:bCs/>
          <w:lang w:val="en-US"/>
        </w:rPr>
        <w:t>Data Collection</w:t>
      </w:r>
    </w:p>
    <w:p w14:paraId="7889B7BF" w14:textId="04161D23" w:rsidR="00B31276" w:rsidRPr="0048196F" w:rsidRDefault="00B31276" w:rsidP="00B31276">
      <w:pPr>
        <w:spacing w:line="360" w:lineRule="auto"/>
        <w:rPr>
          <w:lang w:val="en-US"/>
        </w:rPr>
      </w:pPr>
      <w:r w:rsidRPr="0048196F">
        <w:rPr>
          <w:lang w:val="en-US"/>
        </w:rPr>
        <w:t>The extraction of trends and drivers resulted from two main categories of data (1) the synthesis provided by DIVA and (2) additional literature. The synthesis contains general notes and concepts from 48 publications from academic and industry sources. The synthesis provides insight in specific activities of the value chain and allows the extraction of themes throughout a wide variety of literature</w:t>
      </w:r>
      <w:r w:rsidR="00E57159" w:rsidRPr="0048196F">
        <w:rPr>
          <w:lang w:val="en-US"/>
        </w:rPr>
        <w:t xml:space="preserve"> topics</w:t>
      </w:r>
      <w:r w:rsidRPr="0048196F">
        <w:rPr>
          <w:lang w:val="en-US"/>
        </w:rPr>
        <w:t xml:space="preserve"> that included articles concerning the complete sector as well as technology or challenge specific articles. The additional literature </w:t>
      </w:r>
      <w:r w:rsidR="00B32239" w:rsidRPr="0048196F">
        <w:rPr>
          <w:lang w:val="en-US"/>
        </w:rPr>
        <w:t>of the review is based on an</w:t>
      </w:r>
      <w:r w:rsidRPr="0048196F">
        <w:rPr>
          <w:lang w:val="en-US"/>
        </w:rPr>
        <w:t xml:space="preserve"> end to end supply chain perspective</w:t>
      </w:r>
      <w:r w:rsidR="00E57159" w:rsidRPr="0048196F">
        <w:rPr>
          <w:lang w:val="en-US"/>
        </w:rPr>
        <w:t xml:space="preserve">, ensuring a holistic view of the sector. </w:t>
      </w:r>
      <w:r w:rsidR="009B51C4" w:rsidRPr="0048196F">
        <w:rPr>
          <w:lang w:val="en-US"/>
        </w:rPr>
        <w:t xml:space="preserve"> </w:t>
      </w:r>
      <w:r w:rsidRPr="0048196F">
        <w:rPr>
          <w:lang w:val="en-US"/>
        </w:rPr>
        <w:fldChar w:fldCharType="begin" w:fldLock="1"/>
      </w:r>
      <w:r w:rsidR="00BF39BE" w:rsidRPr="0048196F">
        <w:rPr>
          <w:lang w:val="en-US"/>
        </w:rPr>
        <w:instrText>ADDIN CSL_CITATION {"citationItems":[{"id":"ITEM-1","itemData":{"DOI":"10.1016/j.inpa.2018.06.006","ISSN":"22143173","abstract":"Food sustainability transitions refer to transformation processes necessary to move towards sustainable food systems. Digitization is one of the most important ongoing transformation processes in global agriculture and food chains. The review paper explores the contribution of information and communication technologies (ICTs) to transition towards sustainability along the food chain (production, processing, distribution, consumption). A particular attention is devoted to precision agriculture as a food production model that integrates many ICTs. ICTs can contribute to agro-food sustainability transition by increasing resource productivity, reducing inefficiencies, decreasing management costs, and improving food chain coordination. The paper also explores some drawbacks of ICTs as well as the factors limiting their uptake in agriculture.","author":[{"dropping-particle":"","family":"Bilali","given":"Hamid","non-dropping-particle":"El","parse-names":false,"suffix":""},{"dropping-particle":"","family":"Allahyari","given":"Mohammad Sadegh","non-dropping-particle":"","parse-names":false,"suffix":""}],"container-title":"Information Processing in Agriculture","id":"ITEM-1","issue":"4","issued":{"date-parts":[["2018"]]},"page":"456-464","publisher":"China Agricultural University","title":"Transition towards sustainability in agriculture and food systems: Role of information and communication technologies","type":"article-journal","volume":"5"},"uris":["http://www.mendeley.com/documents/?uuid=54f59517-d037-4806-8a54-a55f8dad256e"]}],"mendeley":{"formattedCitation":"(El Bilali &amp; Allahyari, 2018)","manualFormatting":"El Bilali &amp; Allahyari (2018)","plainTextFormattedCitation":"(El Bilali &amp; Allahyari, 2018)","previouslyFormattedCitation":"(El Bilali &amp; Allahyari, 2018)"},"properties":{"noteIndex":0},"schema":"https://github.com/citation-style-language/schema/raw/master/csl-citation.json"}</w:instrText>
      </w:r>
      <w:r w:rsidRPr="0048196F">
        <w:rPr>
          <w:lang w:val="en-US"/>
        </w:rPr>
        <w:fldChar w:fldCharType="separate"/>
      </w:r>
      <w:r w:rsidRPr="0048196F">
        <w:rPr>
          <w:noProof/>
          <w:lang w:val="en-US"/>
        </w:rPr>
        <w:t>El Bilali &amp; Allahyari</w:t>
      </w:r>
      <w:r w:rsidR="00BF39BE" w:rsidRPr="0048196F">
        <w:rPr>
          <w:noProof/>
          <w:lang w:val="en-US"/>
        </w:rPr>
        <w:t xml:space="preserve"> (</w:t>
      </w:r>
      <w:r w:rsidRPr="0048196F">
        <w:rPr>
          <w:noProof/>
          <w:lang w:val="en-US"/>
        </w:rPr>
        <w:t>2018)</w:t>
      </w:r>
      <w:r w:rsidRPr="0048196F">
        <w:rPr>
          <w:lang w:val="en-US"/>
        </w:rPr>
        <w:fldChar w:fldCharType="end"/>
      </w:r>
      <w:r w:rsidRPr="0048196F">
        <w:rPr>
          <w:lang w:val="en-US"/>
        </w:rPr>
        <w:t xml:space="preserve"> and </w:t>
      </w:r>
      <w:r w:rsidRPr="0048196F">
        <w:rPr>
          <w:lang w:val="en-US"/>
        </w:rPr>
        <w:fldChar w:fldCharType="begin" w:fldLock="1"/>
      </w:r>
      <w:r w:rsidR="00240A19" w:rsidRPr="0048196F">
        <w:rPr>
          <w:lang w:val="en-US"/>
        </w:rPr>
        <w:instrText>ADDIN CSL_CITATION {"citationItems":[{"id":"ITEM-1","itemData":{"DOI":"10.3390/su10124850","ISSN":"20711050","abstract":"Resource efficiency in the agri-food sector is a global urgent issue considering the urbanisation phenomena, the increased nutritional needs, and the emergence of diversified dietary norms. Despite the ongoing progress in digital technologies that could enable resource-efficient operations in the sector, their effectiveness—even in developed countries—remains debateable mainly due to the limited understanding that further impedes their adoption by farmers. Among others, ease of access, training, and engagement with digital technologies appears to be challenging for most stakeholders, especially during the production (farming) stage. Specifically, in developing countries, that often encounter major natural resources challenges, the diverse socio-cultural background of the farmers hinders the adoption of digital technologies to perform highly automated and efficient agricultural operations for ensuring sustainability output. In this regard, we explore publicly available data sources (i.e., institutional reports, databases) to identify key challenges in adopting digital technologies for efficient resource use from a systems-level perspective. Thereafter, we map the determinant factors using the System Dynamics methodology in order to identify areas of interventions to limit natural resources’ appropriation and support agri-food sustainability.","author":[{"dropping-particle":"","family":"Anastasiadis","given":"Foivos","non-dropping-particle":"","parse-names":false,"suffix":""},{"dropping-particle":"","family":"Tsolakis","given":"Naoum","non-dropping-particle":"","parse-names":false,"suffix":""},{"dropping-particle":"","family":"Srai","given":"Jagjit Singh","non-dropping-particle":"","parse-names":false,"suffix":""}],"container-title":"Sustainability (Switzerland)","id":"ITEM-1","issue":"12","issued":{"date-parts":[["2018"]]},"title":"Digital technologies towards resource efficiency in the agrifood sector: Key challenges in developing countries","type":"article","volume":"10"},"uris":["http://www.mendeley.com/documents/?uuid=d1e75509-2118-4242-99a4-9f7f06d04062"]}],"mendeley":{"formattedCitation":"(Anastasiadis, Tsolakis, &amp; Srai, 2018)","manualFormatting":"Anastasiadis, Tsolakis, &amp; Srai (2018)","plainTextFormattedCitation":"(Anastasiadis, Tsolakis, &amp; Srai, 2018)","previouslyFormattedCitation":"(Anastasiadis, Tsolakis, &amp; Srai, 2018)"},"properties":{"noteIndex":0},"schema":"https://github.com/citation-style-language/schema/raw/master/csl-citation.json"}</w:instrText>
      </w:r>
      <w:r w:rsidRPr="0048196F">
        <w:rPr>
          <w:lang w:val="en-US"/>
        </w:rPr>
        <w:fldChar w:fldCharType="separate"/>
      </w:r>
      <w:r w:rsidRPr="0048196F">
        <w:rPr>
          <w:noProof/>
          <w:lang w:val="en-US"/>
        </w:rPr>
        <w:t xml:space="preserve">Anastasiadis, Tsolakis, &amp; Srai </w:t>
      </w:r>
      <w:r w:rsidR="00BF39BE" w:rsidRPr="0048196F">
        <w:rPr>
          <w:noProof/>
          <w:lang w:val="en-US"/>
        </w:rPr>
        <w:t>(</w:t>
      </w:r>
      <w:r w:rsidRPr="0048196F">
        <w:rPr>
          <w:noProof/>
          <w:lang w:val="en-US"/>
        </w:rPr>
        <w:t>2018)</w:t>
      </w:r>
      <w:r w:rsidRPr="0048196F">
        <w:rPr>
          <w:lang w:val="en-US"/>
        </w:rPr>
        <w:fldChar w:fldCharType="end"/>
      </w:r>
      <w:r w:rsidRPr="0048196F">
        <w:rPr>
          <w:lang w:val="en-US"/>
        </w:rPr>
        <w:t xml:space="preserve"> mention an end to end supply chain perspective to be necessary</w:t>
      </w:r>
      <w:r w:rsidR="009B51C4" w:rsidRPr="0048196F">
        <w:rPr>
          <w:lang w:val="en-US"/>
        </w:rPr>
        <w:t xml:space="preserve"> to overcome</w:t>
      </w:r>
      <w:r w:rsidR="00E57159" w:rsidRPr="0048196F">
        <w:rPr>
          <w:lang w:val="en-US"/>
        </w:rPr>
        <w:t xml:space="preserve"> the</w:t>
      </w:r>
      <w:r w:rsidR="009B51C4" w:rsidRPr="0048196F">
        <w:rPr>
          <w:lang w:val="en-US"/>
        </w:rPr>
        <w:t xml:space="preserve"> major challenges</w:t>
      </w:r>
      <w:r w:rsidR="00E57159" w:rsidRPr="0048196F">
        <w:rPr>
          <w:lang w:val="en-US"/>
        </w:rPr>
        <w:t xml:space="preserve"> in the sector that greatly rely on the interconnectedness of actors and activities</w:t>
      </w:r>
      <w:r w:rsidRPr="0048196F">
        <w:rPr>
          <w:lang w:val="en-US"/>
        </w:rPr>
        <w:t xml:space="preserve">. </w:t>
      </w:r>
    </w:p>
    <w:p w14:paraId="565B053C" w14:textId="77777777" w:rsidR="00B31276" w:rsidRPr="0048196F" w:rsidRDefault="00B31276" w:rsidP="00B31276">
      <w:pPr>
        <w:spacing w:line="360" w:lineRule="auto"/>
        <w:ind w:firstLine="708"/>
        <w:rPr>
          <w:lang w:val="en-US"/>
        </w:rPr>
      </w:pPr>
      <w:r w:rsidRPr="0048196F">
        <w:rPr>
          <w:lang w:val="en-US"/>
        </w:rPr>
        <w:t xml:space="preserve">The search database of peer reviewed articles “Scopus” provides the academic perspective. Within the literature some publications use the term “agri-food” and others “agrofood”, therefore four variations are included in the query. Additionally, articles either use ICT or digital technologies. To ensure all variations on the word digital, such as digitization or digitalization the search string includes digita* and ICT. </w:t>
      </w:r>
    </w:p>
    <w:p w14:paraId="7CE4A988" w14:textId="7B490EDA" w:rsidR="00B31276" w:rsidRPr="0048196F" w:rsidRDefault="00B31276" w:rsidP="00B31276">
      <w:pPr>
        <w:spacing w:line="360" w:lineRule="auto"/>
        <w:ind w:firstLine="708"/>
        <w:rPr>
          <w:lang w:val="en-US"/>
        </w:rPr>
      </w:pPr>
      <w:r w:rsidRPr="0048196F">
        <w:rPr>
          <w:lang w:val="en-US"/>
        </w:rPr>
        <w:t xml:space="preserve">The two institutions from which reports drawn directly are the FAO and the OECD. The FAO is an appreciated public actor that provides widely accredited standards with regard to food agriculture sustainability, and the OECD is an organization that gauges the impact of national agricultural policies towards global food security and sustainability </w:t>
      </w:r>
      <w:r w:rsidRPr="0048196F">
        <w:rPr>
          <w:lang w:val="en-US"/>
        </w:rPr>
        <w:fldChar w:fldCharType="begin" w:fldLock="1"/>
      </w:r>
      <w:r w:rsidRPr="0048196F">
        <w:rPr>
          <w:lang w:val="en-US"/>
        </w:rPr>
        <w:instrText>ADDIN CSL_CITATION {"citationItems":[{"id":"ITEM-1","itemData":{"DOI":"10.3390/su10124850","ISSN":"20711050","abstract":"Resource efficiency in the agri-food sector is a global urgent issue considering the urbanisation phenomena, the increased nutritional needs, and the emergence of diversified dietary norms. Despite the ongoing progress in digital technologies that could enable resource-efficient operations in the sector, their effectiveness—even in developed countries—remains debateable mainly due to the limited understanding that further impedes their adoption by farmers. Among others, ease of access, training, and engagement with digital technologies appears to be challenging for most stakeholders, especially during the production (farming) stage. Specifically, in developing countries, that often encounter major natural resources challenges, the diverse socio-cultural background of the farmers hinders the adoption of digital technologies to perform highly automated and efficient agricultural operations for ensuring sustainability output. In this regard, we explore publicly available data sources (i.e., institutional reports, databases) to identify key challenges in adopting digital technologies for efficient resource use from a systems-level perspective. Thereafter, we map the determinant factors using the System Dynamics methodology in order to identify areas of interventions to limit natural resources’ appropriation and support agri-food sustainability.","author":[{"dropping-particle":"","family":"Anastasiadis","given":"Foivos","non-dropping-particle":"","parse-names":false,"suffix":""},{"dropping-particle":"","family":"Tsolakis","given":"Naoum","non-dropping-particle":"","parse-names":false,"suffix":""},{"dropping-particle":"","family":"Srai","given":"Jagjit Singh","non-dropping-particle":"","parse-names":false,"suffix":""}],"container-title":"Sustainability (Switzerland)","id":"ITEM-1","issue":"12","issued":{"date-parts":[["2018"]]},"title":"Digital technologies towards resource efficiency in the agrifood sector: Key challenges in developing countries","type":"article","volume":"10"},"uris":["http://www.mendeley.com/documents/?uuid=d1e75509-2118-4242-99a4-9f7f06d04062"]}],"mendeley":{"formattedCitation":"(Anastasiadis et al., 2018)","plainTextFormattedCitation":"(Anastasiadis et al., 2018)","previouslyFormattedCitation":"(Anastasiadis et al., 2018)"},"properties":{"noteIndex":0},"schema":"https://github.com/citation-style-language/schema/raw/master/csl-citation.json"}</w:instrText>
      </w:r>
      <w:r w:rsidRPr="0048196F">
        <w:rPr>
          <w:lang w:val="en-US"/>
        </w:rPr>
        <w:fldChar w:fldCharType="separate"/>
      </w:r>
      <w:r w:rsidRPr="0048196F">
        <w:rPr>
          <w:noProof/>
          <w:lang w:val="en-US"/>
        </w:rPr>
        <w:t>(Anastasiadis et al., 2018)</w:t>
      </w:r>
      <w:r w:rsidRPr="0048196F">
        <w:rPr>
          <w:lang w:val="en-US"/>
        </w:rPr>
        <w:fldChar w:fldCharType="end"/>
      </w:r>
      <w:r w:rsidRPr="0048196F">
        <w:rPr>
          <w:lang w:val="en-US"/>
        </w:rPr>
        <w:t xml:space="preserve">. </w:t>
      </w:r>
    </w:p>
    <w:p w14:paraId="6B48C555" w14:textId="77777777" w:rsidR="00B31276" w:rsidRPr="0048196F" w:rsidRDefault="00B31276" w:rsidP="00B31276">
      <w:pPr>
        <w:spacing w:line="360" w:lineRule="auto"/>
        <w:ind w:firstLine="708"/>
        <w:rPr>
          <w:lang w:val="en-US"/>
        </w:rPr>
      </w:pPr>
      <w:r w:rsidRPr="0048196F">
        <w:rPr>
          <w:lang w:val="en-US"/>
        </w:rPr>
        <w:t xml:space="preserve">Consultancy firms are also known to publish relevant reports at the frontier of innovation and the larger consultancy firms Deloitte, Mc Kinsey and PWC are consulted for their agri-food reports. </w:t>
      </w:r>
    </w:p>
    <w:p w14:paraId="62CDF572" w14:textId="36BDD3B5" w:rsidR="008C2B59" w:rsidRDefault="00B31276" w:rsidP="003A0778">
      <w:pPr>
        <w:spacing w:line="360" w:lineRule="auto"/>
        <w:ind w:firstLine="708"/>
        <w:rPr>
          <w:lang w:val="en-US"/>
        </w:rPr>
      </w:pPr>
      <w:r w:rsidRPr="0048196F">
        <w:rPr>
          <w:lang w:val="en-US"/>
        </w:rPr>
        <w:t xml:space="preserve">Furthermore, a general google search is performed with the search string “agrifood AND value chain”, obtaining results until diminished relevance. </w:t>
      </w:r>
    </w:p>
    <w:p w14:paraId="2B6F9594" w14:textId="77777777" w:rsidR="008C0512" w:rsidRPr="0048196F" w:rsidRDefault="008C0512" w:rsidP="003A0778">
      <w:pPr>
        <w:spacing w:line="360" w:lineRule="auto"/>
        <w:ind w:firstLine="708"/>
        <w:rPr>
          <w:lang w:val="en-US"/>
        </w:rPr>
      </w:pPr>
    </w:p>
    <w:p w14:paraId="34F4742D" w14:textId="04968F27" w:rsidR="00B31276" w:rsidRPr="0048196F" w:rsidRDefault="0079670E" w:rsidP="003A0778">
      <w:pPr>
        <w:rPr>
          <w:b/>
          <w:bCs/>
          <w:lang w:val="en-US"/>
        </w:rPr>
      </w:pPr>
      <w:r w:rsidRPr="0048196F">
        <w:rPr>
          <w:noProof/>
          <w:lang w:val="pt-PT" w:eastAsia="pt-PT"/>
        </w:rPr>
        <w:drawing>
          <wp:anchor distT="0" distB="0" distL="114300" distR="114300" simplePos="0" relativeHeight="251664384" behindDoc="1" locked="0" layoutInCell="1" allowOverlap="1" wp14:anchorId="65C0EBF7" wp14:editId="25F803FD">
            <wp:simplePos x="0" y="0"/>
            <wp:positionH relativeFrom="column">
              <wp:posOffset>3130723</wp:posOffset>
            </wp:positionH>
            <wp:positionV relativeFrom="paragraph">
              <wp:posOffset>247015</wp:posOffset>
            </wp:positionV>
            <wp:extent cx="2299335" cy="2762250"/>
            <wp:effectExtent l="0" t="0" r="0" b="6350"/>
            <wp:wrapTight wrapText="bothSides">
              <wp:wrapPolygon edited="0">
                <wp:start x="0" y="0"/>
                <wp:lineTo x="0" y="21550"/>
                <wp:lineTo x="21475" y="21550"/>
                <wp:lineTo x="21475" y="0"/>
                <wp:lineTo x="0" y="0"/>
              </wp:wrapPolygon>
            </wp:wrapTight>
            <wp:docPr id="26" name="Afbeelding 2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ethdologyFinal.jpeg"/>
                    <pic:cNvPicPr/>
                  </pic:nvPicPr>
                  <pic:blipFill>
                    <a:blip r:embed="rId24">
                      <a:extLst>
                        <a:ext uri="{28A0092B-C50C-407E-A947-70E740481C1C}">
                          <a14:useLocalDpi xmlns:a14="http://schemas.microsoft.com/office/drawing/2010/main" val="0"/>
                        </a:ext>
                      </a:extLst>
                    </a:blip>
                    <a:stretch>
                      <a:fillRect/>
                    </a:stretch>
                  </pic:blipFill>
                  <pic:spPr>
                    <a:xfrm>
                      <a:off x="0" y="0"/>
                      <a:ext cx="2299335" cy="2762250"/>
                    </a:xfrm>
                    <a:prstGeom prst="rect">
                      <a:avLst/>
                    </a:prstGeom>
                  </pic:spPr>
                </pic:pic>
              </a:graphicData>
            </a:graphic>
            <wp14:sizeRelH relativeFrom="page">
              <wp14:pctWidth>0</wp14:pctWidth>
            </wp14:sizeRelH>
            <wp14:sizeRelV relativeFrom="page">
              <wp14:pctHeight>0</wp14:pctHeight>
            </wp14:sizeRelV>
          </wp:anchor>
        </w:drawing>
      </w:r>
      <w:r w:rsidR="00B31276" w:rsidRPr="0048196F">
        <w:rPr>
          <w:b/>
          <w:bCs/>
          <w:lang w:val="en-US"/>
        </w:rPr>
        <w:t>Methodology for analysis</w:t>
      </w:r>
    </w:p>
    <w:p w14:paraId="3B42D3CF" w14:textId="212787EF" w:rsidR="000E118C" w:rsidRPr="0048196F" w:rsidRDefault="000E118C" w:rsidP="000E118C">
      <w:pPr>
        <w:spacing w:line="360" w:lineRule="auto"/>
        <w:rPr>
          <w:lang w:val="en-US"/>
        </w:rPr>
      </w:pPr>
      <w:r w:rsidRPr="0048196F">
        <w:rPr>
          <w:lang w:val="en-US"/>
        </w:rPr>
        <w:t xml:space="preserve">The identification of trends is divided in two stages. According to </w:t>
      </w:r>
      <w:r w:rsidRPr="0048196F">
        <w:rPr>
          <w:shd w:val="clear" w:color="auto" w:fill="FFFFFF"/>
          <w:lang w:val="en-US"/>
        </w:rPr>
        <w:fldChar w:fldCharType="begin" w:fldLock="1"/>
      </w:r>
      <w:r w:rsidR="00BF39BE" w:rsidRPr="0048196F">
        <w:rPr>
          <w:shd w:val="clear" w:color="auto" w:fill="FFFFFF"/>
          <w:lang w:val="en-US"/>
        </w:rPr>
        <w:instrText>ADDIN CSL_CITATION {"citationItems":[{"id":"ITEM-1","itemData":{"DOI":"10.1093/scipol/scs017","ISSN":"03023427","abstract":"Future-oriented technology analysis methods can play a significant role in enabling early warning signal detection and pro-active policy action which will help to better prepare policy- and decision-makers in today's complex and inter-dependent environments. This paper analyses the use of different horizon scanning approaches and methods as applied in the Scanning for Emerging Science and Technology Issues project. A comparative analysis is provided as well as a brief evaluation the needs of policy-makers if they are to identify areas in which policy needs to be formulated. This paper suggests that the selection of the best scanning approaches and methods is subject to contextual and content issues. At the same time, there are certain issues which characterise horizon scanning processes, methods and results that should be kept in mind by both practitioners and policy-makers. © The Author 2012. Published by Oxford University Press. All rights reserved.","author":[{"dropping-particle":"","family":"Amanatidou","given":"Effie","non-dropping-particle":"","parse-names":false,"suffix":""},{"dropping-particle":"","family":"Butter","given":"Maurits","non-dropping-particle":"","parse-names":false,"suffix":""},{"dropping-particle":"","family":"Carabias","given":"Vicente","non-dropping-particle":"","parse-names":false,"suffix":""},{"dropping-particle":"","family":"Könnölä","given":"Totti","non-dropping-particle":"","parse-names":false,"suffix":""},{"dropping-particle":"","family":"Leis","given":"Miriam","non-dropping-particle":"","parse-names":false,"suffix":""},{"dropping-particle":"","family":"Saritas","given":"Ozcan","non-dropping-particle":"","parse-names":false,"suffix":""},{"dropping-particle":"","family":"Schaper-Rinkel","given":"Petra","non-dropping-particle":"","parse-names":false,"suffix":""},{"dropping-particle":"","family":"Rij","given":"Victor","non-dropping-particle":"van","parse-names":false,"suffix":""}],"container-title":"Science and Public Policy","id":"ITEM-1","issue":"2","issued":{"date-parts":[["2012"]]},"page":"208-221","title":"On concepts and methods in horizon scanning: Lessons from initiating policy dialogues on emerging issues","type":"article-journal","volume":"39"},"uris":["http://www.mendeley.com/documents/?uuid=981a4d79-0a93-4070-9950-428ce5104508"]}],"mendeley":{"formattedCitation":"(Amanatidou et al., 2012)","manualFormatting":"Amanatidou et al. (2012)","plainTextFormattedCitation":"(Amanatidou et al., 2012)","previouslyFormattedCitation":"(Amanatidou et al., 2012)"},"properties":{"noteIndex":0},"schema":"https://github.com/citation-style-language/schema/raw/master/csl-citation.json"}</w:instrText>
      </w:r>
      <w:r w:rsidRPr="0048196F">
        <w:rPr>
          <w:shd w:val="clear" w:color="auto" w:fill="FFFFFF"/>
          <w:lang w:val="en-US"/>
        </w:rPr>
        <w:fldChar w:fldCharType="separate"/>
      </w:r>
      <w:r w:rsidRPr="0048196F">
        <w:rPr>
          <w:noProof/>
          <w:shd w:val="clear" w:color="auto" w:fill="FFFFFF"/>
          <w:lang w:val="en-US"/>
        </w:rPr>
        <w:t>Amanatidou et al.</w:t>
      </w:r>
      <w:r w:rsidR="00BF39BE" w:rsidRPr="0048196F">
        <w:rPr>
          <w:noProof/>
          <w:shd w:val="clear" w:color="auto" w:fill="FFFFFF"/>
          <w:lang w:val="en-US"/>
        </w:rPr>
        <w:t xml:space="preserve"> (</w:t>
      </w:r>
      <w:r w:rsidRPr="0048196F">
        <w:rPr>
          <w:noProof/>
          <w:shd w:val="clear" w:color="auto" w:fill="FFFFFF"/>
          <w:lang w:val="en-US"/>
        </w:rPr>
        <w:t>2012)</w:t>
      </w:r>
      <w:r w:rsidRPr="0048196F">
        <w:rPr>
          <w:shd w:val="clear" w:color="auto" w:fill="FFFFFF"/>
          <w:lang w:val="en-US"/>
        </w:rPr>
        <w:fldChar w:fldCharType="end"/>
      </w:r>
      <w:r w:rsidRPr="0048196F">
        <w:rPr>
          <w:shd w:val="clear" w:color="auto" w:fill="FFFFFF"/>
          <w:lang w:val="en-US"/>
        </w:rPr>
        <w:t>, the first stage is e</w:t>
      </w:r>
      <w:r w:rsidRPr="0048196F">
        <w:rPr>
          <w:lang w:val="en-US"/>
        </w:rPr>
        <w:t>xploratory scanning,  focusing on “emerging issues from a wide variety of data and different signal sources and expert interviews”. The second stage involves issue centered scanning, focusing on identifying core documents and narratives.</w:t>
      </w:r>
    </w:p>
    <w:p w14:paraId="5140481C" w14:textId="1FEAF520" w:rsidR="00CA5D03" w:rsidRPr="0048196F" w:rsidRDefault="00CA5D03" w:rsidP="00B31276">
      <w:pPr>
        <w:spacing w:line="360" w:lineRule="auto"/>
        <w:jc w:val="both"/>
        <w:rPr>
          <w:lang w:val="en-US"/>
        </w:rPr>
      </w:pPr>
      <w:r w:rsidRPr="0048196F">
        <w:rPr>
          <w:noProof/>
          <w:lang w:val="pt-PT" w:eastAsia="pt-PT"/>
        </w:rPr>
        <mc:AlternateContent>
          <mc:Choice Requires="wps">
            <w:drawing>
              <wp:anchor distT="0" distB="0" distL="114300" distR="114300" simplePos="0" relativeHeight="251663360" behindDoc="0" locked="0" layoutInCell="1" allowOverlap="1" wp14:anchorId="301F3C09" wp14:editId="71520CA4">
                <wp:simplePos x="0" y="0"/>
                <wp:positionH relativeFrom="column">
                  <wp:posOffset>3227647</wp:posOffset>
                </wp:positionH>
                <wp:positionV relativeFrom="paragraph">
                  <wp:posOffset>572770</wp:posOffset>
                </wp:positionV>
                <wp:extent cx="2327275" cy="635"/>
                <wp:effectExtent l="0" t="0" r="0" b="5080"/>
                <wp:wrapSquare wrapText="bothSides"/>
                <wp:docPr id="25" name="Tekstvak 25"/>
                <wp:cNvGraphicFramePr/>
                <a:graphic xmlns:a="http://schemas.openxmlformats.org/drawingml/2006/main">
                  <a:graphicData uri="http://schemas.microsoft.com/office/word/2010/wordprocessingShape">
                    <wps:wsp>
                      <wps:cNvSpPr txBox="1"/>
                      <wps:spPr>
                        <a:xfrm>
                          <a:off x="0" y="0"/>
                          <a:ext cx="2327275" cy="635"/>
                        </a:xfrm>
                        <a:prstGeom prst="rect">
                          <a:avLst/>
                        </a:prstGeom>
                        <a:solidFill>
                          <a:prstClr val="white"/>
                        </a:solidFill>
                        <a:ln>
                          <a:noFill/>
                        </a:ln>
                      </wps:spPr>
                      <wps:txbx>
                        <w:txbxContent>
                          <w:p w14:paraId="481C9C08" w14:textId="56F211D6" w:rsidR="00AB00BD" w:rsidRPr="00CA5D03" w:rsidRDefault="00AB00BD" w:rsidP="00CA5D03">
                            <w:pPr>
                              <w:pStyle w:val="Caption"/>
                              <w:rPr>
                                <w:noProof/>
                                <w:lang w:val="en-US"/>
                              </w:rPr>
                            </w:pPr>
                            <w:bookmarkStart w:id="41" w:name="_Toc14347570"/>
                            <w:r w:rsidRPr="00CA5D03">
                              <w:rPr>
                                <w:lang w:val="en-US"/>
                              </w:rPr>
                              <w:t xml:space="preserve">Figure </w:t>
                            </w:r>
                            <w:r>
                              <w:rPr>
                                <w:lang w:val="en-US"/>
                              </w:rPr>
                              <w:fldChar w:fldCharType="begin"/>
                            </w:r>
                            <w:r>
                              <w:rPr>
                                <w:lang w:val="en-US"/>
                              </w:rPr>
                              <w:instrText xml:space="preserve"> SEQ Figure \* ARABIC </w:instrText>
                            </w:r>
                            <w:r>
                              <w:rPr>
                                <w:lang w:val="en-US"/>
                              </w:rPr>
                              <w:fldChar w:fldCharType="separate"/>
                            </w:r>
                            <w:r>
                              <w:rPr>
                                <w:noProof/>
                                <w:lang w:val="en-US"/>
                              </w:rPr>
                              <w:t>2</w:t>
                            </w:r>
                            <w:r>
                              <w:rPr>
                                <w:lang w:val="en-US"/>
                              </w:rPr>
                              <w:fldChar w:fldCharType="end"/>
                            </w:r>
                            <w:r w:rsidRPr="00CA5D03">
                              <w:rPr>
                                <w:lang w:val="en-US"/>
                              </w:rPr>
                              <w:t>: Overview of approach to trend sele</w:t>
                            </w:r>
                            <w:r>
                              <w:rPr>
                                <w:lang w:val="en-US"/>
                              </w:rPr>
                              <w:t>ction</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01F3C09" id="_x0000_t202" coordsize="21600,21600" o:spt="202" path="m,l,21600r21600,l21600,xe">
                <v:stroke joinstyle="miter"/>
                <v:path gradientshapeok="t" o:connecttype="rect"/>
              </v:shapetype>
              <v:shape id="Tekstvak 25" o:spid="_x0000_s1026" type="#_x0000_t202" style="position:absolute;left:0;text-align:left;margin-left:254.15pt;margin-top:45.1pt;width:183.25pt;height:.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" stroked="f">
                <v:textbox style="mso-fit-shape-to-text:t" inset="0,0,0,0">
                  <w:txbxContent>
                    <w:p w14:paraId="481C9C08" w14:textId="56F211D6" w:rsidR="00AB00BD" w:rsidRPr="00CA5D03" w:rsidRDefault="00AB00BD" w:rsidP="00CA5D03">
                      <w:pPr>
                        <w:pStyle w:val="Caption"/>
                        <w:rPr>
                          <w:noProof/>
                          <w:lang w:val="en-US"/>
                        </w:rPr>
                      </w:pPr>
                      <w:bookmarkStart w:id="42" w:name="_Toc14347570"/>
                      <w:r w:rsidRPr="00CA5D03">
                        <w:rPr>
                          <w:lang w:val="en-US"/>
                        </w:rPr>
                        <w:t xml:space="preserve">Figure </w:t>
                      </w:r>
                      <w:r>
                        <w:rPr>
                          <w:lang w:val="en-US"/>
                        </w:rPr>
                        <w:fldChar w:fldCharType="begin"/>
                      </w:r>
                      <w:r>
                        <w:rPr>
                          <w:lang w:val="en-US"/>
                        </w:rPr>
                        <w:instrText xml:space="preserve"> SEQ Figure \* ARABIC </w:instrText>
                      </w:r>
                      <w:r>
                        <w:rPr>
                          <w:lang w:val="en-US"/>
                        </w:rPr>
                        <w:fldChar w:fldCharType="separate"/>
                      </w:r>
                      <w:r>
                        <w:rPr>
                          <w:noProof/>
                          <w:lang w:val="en-US"/>
                        </w:rPr>
                        <w:t>2</w:t>
                      </w:r>
                      <w:r>
                        <w:rPr>
                          <w:lang w:val="en-US"/>
                        </w:rPr>
                        <w:fldChar w:fldCharType="end"/>
                      </w:r>
                      <w:r w:rsidRPr="00CA5D03">
                        <w:rPr>
                          <w:lang w:val="en-US"/>
                        </w:rPr>
                        <w:t>: Overview of approach to trend sele</w:t>
                      </w:r>
                      <w:r>
                        <w:rPr>
                          <w:lang w:val="en-US"/>
                        </w:rPr>
                        <w:t>ction</w:t>
                      </w:r>
                      <w:bookmarkEnd w:id="42"/>
                    </w:p>
                  </w:txbxContent>
                </v:textbox>
                <w10:wrap type="square"/>
              </v:shape>
            </w:pict>
          </mc:Fallback>
        </mc:AlternateContent>
      </w:r>
      <w:r w:rsidR="00B31276" w:rsidRPr="0048196F">
        <w:rPr>
          <w:lang w:val="en-US"/>
        </w:rPr>
        <w:t xml:space="preserve">To extract value from the large body of literature </w:t>
      </w:r>
      <w:r w:rsidR="000E118C" w:rsidRPr="0048196F">
        <w:rPr>
          <w:lang w:val="en-US"/>
        </w:rPr>
        <w:t xml:space="preserve">in the first stage, </w:t>
      </w:r>
      <w:r w:rsidR="00B31276" w:rsidRPr="0048196F">
        <w:rPr>
          <w:lang w:val="en-US"/>
        </w:rPr>
        <w:t>qualitative and quantitative content analysis are applied</w:t>
      </w:r>
      <w:r w:rsidR="000E118C" w:rsidRPr="0048196F">
        <w:rPr>
          <w:lang w:val="en-US"/>
        </w:rPr>
        <w:t xml:space="preserve">. This relies on </w:t>
      </w:r>
      <w:r w:rsidR="00B31276" w:rsidRPr="0048196F">
        <w:rPr>
          <w:lang w:val="en-US"/>
        </w:rPr>
        <w:t xml:space="preserve">clustering of found trends and drivers. </w:t>
      </w:r>
    </w:p>
    <w:p w14:paraId="59485FD4" w14:textId="0E012629" w:rsidR="00CA5D03" w:rsidRPr="0048196F" w:rsidRDefault="00B31276" w:rsidP="00B31276">
      <w:pPr>
        <w:spacing w:line="360" w:lineRule="auto"/>
        <w:jc w:val="both"/>
        <w:rPr>
          <w:lang w:val="en-US"/>
        </w:rPr>
      </w:pPr>
      <w:r w:rsidRPr="0048196F">
        <w:rPr>
          <w:lang w:val="en-US"/>
        </w:rPr>
        <w:t>Through clustering similar topics, categories are formed and defined resulting in the appearance of larger themes that will be categorized</w:t>
      </w:r>
      <w:r w:rsidR="009E43AA" w:rsidRPr="0048196F">
        <w:rPr>
          <w:lang w:val="en-US"/>
        </w:rPr>
        <w:t xml:space="preserve"> according to two dimensions.</w:t>
      </w:r>
      <w:r w:rsidRPr="0048196F">
        <w:rPr>
          <w:lang w:val="en-US"/>
        </w:rPr>
        <w:t xml:space="preserve"> The first being the distinction between megatrends and drivers of change. The second dimension, for the macro environment is the PESTEL framework</w:t>
      </w:r>
      <w:r w:rsidR="009E43AA" w:rsidRPr="0048196F">
        <w:rPr>
          <w:lang w:val="en-US"/>
        </w:rPr>
        <w:t xml:space="preserve"> </w:t>
      </w:r>
      <w:r w:rsidR="009E43AA" w:rsidRPr="0048196F">
        <w:rPr>
          <w:lang w:val="en-US"/>
        </w:rPr>
        <w:fldChar w:fldCharType="begin" w:fldLock="1"/>
      </w:r>
      <w:r w:rsidR="00EA7198" w:rsidRPr="0048196F">
        <w:rPr>
          <w:lang w:val="en-US"/>
        </w:rPr>
        <w:instrText>ADDIN CSL_CITATION {"citationItems":[{"id":"ITEM-1","itemData":{"DOI":"10.1016/j.techfore.2017.08.001","ISSN":"00401625","abstract":"This paper documents the Intuitive Logics scenario planning process and its relationship with horizon scanning activity in order to evaluate the separate and joint usefulness of these methods for anticipating the future. The specific objectives of this paper are to: (i) identify and differentiate scenario planning and horizon scanning methodologies (ii) discuss &amp; evaluate their analytic underpinnings, and (iii) critically appraise their separate and combined value and effectiveness in relation to enhancing organizational preparedness for the future. Our analysis culminates with specifications to (iv) enhance the identification of ‘weak signals’ in Horizon Scanning by utilizing a systematically broadened range of both negatively-valenced and positively-valenced scenario storylines.","author":[{"dropping-particle":"","family":"Rowe","given":"Emily","non-dropping-particle":"","parse-names":false,"suffix":""},{"dropping-particle":"","family":"Wright","given":"George","non-dropping-particle":"","parse-names":false,"suffix":""},{"dropping-particle":"","family":"Derbyshire","given":"James","non-dropping-particle":"","parse-names":false,"suffix":""}],"container-title":"Technological Forecasting and Social Change","id":"ITEM-1","issue":"July","issued":{"date-parts":[["2017"]]},"page":"224-235","publisher":"Elsevier","title":"Enhancing horizon scanning by utilizing pre-developed scenarios: Analysis of current practice and specification of a process improvement to aid the identification of important ‘weak signals’","type":"article-journal","volume":"125"},"uris":["http://www.mendeley.com/documents/?uuid=bbbeb7fa-f216-4511-a255-4d997b318f53"]}],"mendeley":{"formattedCitation":"(Rowe et al., 2017)","plainTextFormattedCitation":"(Rowe et al., 2017)","previouslyFormattedCitation":"(Rowe et al., 2017)"},"properties":{"noteIndex":0},"schema":"https://github.com/citation-style-language/schema/raw/master/csl-citation.json"}</w:instrText>
      </w:r>
      <w:r w:rsidR="009E43AA" w:rsidRPr="0048196F">
        <w:rPr>
          <w:lang w:val="en-US"/>
        </w:rPr>
        <w:fldChar w:fldCharType="separate"/>
      </w:r>
      <w:r w:rsidR="00EA7198" w:rsidRPr="0048196F">
        <w:rPr>
          <w:noProof/>
          <w:lang w:val="en-US"/>
        </w:rPr>
        <w:t>(Rowe et al., 2017)</w:t>
      </w:r>
      <w:r w:rsidR="009E43AA" w:rsidRPr="0048196F">
        <w:rPr>
          <w:lang w:val="en-US"/>
        </w:rPr>
        <w:fldChar w:fldCharType="end"/>
      </w:r>
      <w:r w:rsidR="009E43AA" w:rsidRPr="0048196F">
        <w:rPr>
          <w:lang w:val="en-US"/>
        </w:rPr>
        <w:t>.</w:t>
      </w:r>
      <w:r w:rsidR="00370BE4" w:rsidRPr="0048196F">
        <w:rPr>
          <w:lang w:val="en-US"/>
        </w:rPr>
        <w:t xml:space="preserve"> This research choses the PESTEL framework that categorizes by political, economic, social, technological, environmental and legal dimensions</w:t>
      </w:r>
      <w:r w:rsidRPr="0048196F">
        <w:rPr>
          <w:lang w:val="en-US"/>
        </w:rPr>
        <w:t xml:space="preserve">. Various </w:t>
      </w:r>
      <w:r w:rsidR="008F34B4" w:rsidRPr="0048196F">
        <w:rPr>
          <w:lang w:val="en-US"/>
        </w:rPr>
        <w:t xml:space="preserve">variations on the PESTEL framework exist, excluding some categories or including </w:t>
      </w:r>
      <w:r w:rsidR="000E118C" w:rsidRPr="0048196F">
        <w:rPr>
          <w:lang w:val="en-US"/>
        </w:rPr>
        <w:t>others</w:t>
      </w:r>
      <w:r w:rsidR="008F34B4" w:rsidRPr="0048196F">
        <w:rPr>
          <w:lang w:val="en-US"/>
        </w:rPr>
        <w:t xml:space="preserve">. For this research the choice of framework comes from the importance of including </w:t>
      </w:r>
      <w:r w:rsidRPr="0048196F">
        <w:rPr>
          <w:lang w:val="en-US"/>
        </w:rPr>
        <w:t xml:space="preserve">the legal perspective, which is not included in other </w:t>
      </w:r>
      <w:r w:rsidR="008F34B4" w:rsidRPr="0048196F">
        <w:rPr>
          <w:lang w:val="en-US"/>
        </w:rPr>
        <w:t>variations</w:t>
      </w:r>
      <w:r w:rsidRPr="0048196F">
        <w:rPr>
          <w:lang w:val="en-US"/>
        </w:rPr>
        <w:t>. This categorization applies only to the megatrends and drivers of change as categorization of trends is extremely cumbersome. An example is the trend traceability: It can be considered from a technological, environmental and legal perspective with influences along the complete value chain. The validation method for the megatrends and drivers is quantitative</w:t>
      </w:r>
      <w:r w:rsidR="008F34B4" w:rsidRPr="0048196F">
        <w:rPr>
          <w:lang w:val="en-US"/>
        </w:rPr>
        <w:t>;</w:t>
      </w:r>
      <w:r w:rsidR="009B51C4" w:rsidRPr="0048196F">
        <w:rPr>
          <w:lang w:val="en-US"/>
        </w:rPr>
        <w:t xml:space="preserve"> </w:t>
      </w:r>
      <w:r w:rsidRPr="0048196F">
        <w:rPr>
          <w:lang w:val="en-US"/>
        </w:rPr>
        <w:t xml:space="preserve">it should appear in </w:t>
      </w:r>
      <w:r w:rsidR="009B51C4" w:rsidRPr="0048196F">
        <w:rPr>
          <w:lang w:val="en-US"/>
        </w:rPr>
        <w:t>a proportion of the articles</w:t>
      </w:r>
      <w:r w:rsidRPr="0048196F">
        <w:rPr>
          <w:lang w:val="en-US"/>
        </w:rPr>
        <w:t xml:space="preserve">. 20% is chosen as </w:t>
      </w:r>
      <w:r w:rsidR="009B51C4" w:rsidRPr="0048196F">
        <w:rPr>
          <w:lang w:val="en-US"/>
        </w:rPr>
        <w:t>this threshold</w:t>
      </w:r>
      <w:r w:rsidRPr="0048196F">
        <w:rPr>
          <w:lang w:val="en-US"/>
        </w:rPr>
        <w:t xml:space="preserve"> includes the most important trends and confirms</w:t>
      </w:r>
      <w:r w:rsidR="009B51C4" w:rsidRPr="0048196F">
        <w:rPr>
          <w:lang w:val="en-US"/>
        </w:rPr>
        <w:t xml:space="preserve"> </w:t>
      </w:r>
      <w:r w:rsidRPr="0048196F">
        <w:rPr>
          <w:lang w:val="en-US"/>
        </w:rPr>
        <w:t xml:space="preserve">substantial presence. For this quantification a subset from the literature is used, </w:t>
      </w:r>
      <w:r w:rsidR="00E503ED" w:rsidRPr="0048196F">
        <w:rPr>
          <w:lang w:val="en-US"/>
        </w:rPr>
        <w:t>containing</w:t>
      </w:r>
      <w:r w:rsidR="00BB1E3B" w:rsidRPr="0048196F">
        <w:rPr>
          <w:lang w:val="en-US"/>
        </w:rPr>
        <w:t xml:space="preserve"> 23 publications between 20212 and 2019</w:t>
      </w:r>
      <w:r w:rsidRPr="0048196F">
        <w:rPr>
          <w:lang w:val="en-US"/>
        </w:rPr>
        <w:t>.</w:t>
      </w:r>
      <w:r w:rsidR="007E18B6" w:rsidRPr="0048196F">
        <w:rPr>
          <w:noProof/>
          <w:lang w:val="en-US"/>
        </w:rPr>
        <w:t xml:space="preserve"> </w:t>
      </w:r>
      <w:r w:rsidR="008F34B4" w:rsidRPr="0048196F">
        <w:rPr>
          <w:lang w:val="en-US"/>
        </w:rPr>
        <w:t>This subset</w:t>
      </w:r>
      <w:r w:rsidR="00E503ED">
        <w:rPr>
          <w:lang w:val="en-US"/>
        </w:rPr>
        <w:t xml:space="preserve"> presented in table 1</w:t>
      </w:r>
      <w:r w:rsidR="00C51AF3">
        <w:rPr>
          <w:lang w:val="en-US"/>
        </w:rPr>
        <w:t>4</w:t>
      </w:r>
      <w:r w:rsidR="00E503ED">
        <w:rPr>
          <w:lang w:val="en-US"/>
        </w:rPr>
        <w:t xml:space="preserve"> of the annex,</w:t>
      </w:r>
      <w:r w:rsidR="008F34B4" w:rsidRPr="0048196F">
        <w:rPr>
          <w:lang w:val="en-US"/>
        </w:rPr>
        <w:t xml:space="preserve"> </w:t>
      </w:r>
      <w:r w:rsidR="00E503ED">
        <w:rPr>
          <w:lang w:val="en-US"/>
        </w:rPr>
        <w:t>contains</w:t>
      </w:r>
      <w:r w:rsidR="008F34B4" w:rsidRPr="0048196F">
        <w:rPr>
          <w:lang w:val="en-US"/>
        </w:rPr>
        <w:t xml:space="preserve"> the results from the google search, representing the industry</w:t>
      </w:r>
      <w:r w:rsidR="00BB1E3B" w:rsidRPr="0048196F">
        <w:rPr>
          <w:lang w:val="en-US"/>
        </w:rPr>
        <w:t xml:space="preserve"> and </w:t>
      </w:r>
      <w:r w:rsidR="00E503ED">
        <w:rPr>
          <w:lang w:val="en-US"/>
        </w:rPr>
        <w:t>various</w:t>
      </w:r>
      <w:r w:rsidR="00BB1E3B" w:rsidRPr="0048196F">
        <w:rPr>
          <w:lang w:val="en-US"/>
        </w:rPr>
        <w:t xml:space="preserve"> academic publications</w:t>
      </w:r>
      <w:r w:rsidR="008F34B4" w:rsidRPr="0048196F">
        <w:rPr>
          <w:lang w:val="en-US"/>
        </w:rPr>
        <w:t xml:space="preserve">. This search includes relevant articles from </w:t>
      </w:r>
      <w:r w:rsidR="00BB1E3B" w:rsidRPr="0048196F">
        <w:rPr>
          <w:lang w:val="en-US"/>
        </w:rPr>
        <w:t>world organizations including the World Economic Forum, OECD and FAO, consultancy firms McKinsey, PWC and GH</w:t>
      </w:r>
      <w:r w:rsidR="00E0655D" w:rsidRPr="0048196F">
        <w:rPr>
          <w:lang w:val="en-US"/>
        </w:rPr>
        <w:t xml:space="preserve">K. The category other includes publications from Agricultural organizations and authorities. </w:t>
      </w:r>
      <w:r w:rsidR="008F34B4" w:rsidRPr="0048196F">
        <w:rPr>
          <w:lang w:val="en-US"/>
        </w:rPr>
        <w:t>The academic perspective</w:t>
      </w:r>
      <w:r w:rsidR="00BB1E3B" w:rsidRPr="0048196F">
        <w:rPr>
          <w:lang w:val="en-US"/>
        </w:rPr>
        <w:t xml:space="preserve"> mainly</w:t>
      </w:r>
      <w:r w:rsidR="008F34B4" w:rsidRPr="0048196F">
        <w:rPr>
          <w:lang w:val="en-US"/>
        </w:rPr>
        <w:t xml:space="preserve"> comes from the </w:t>
      </w:r>
      <w:r w:rsidR="00441B11" w:rsidRPr="0048196F">
        <w:rPr>
          <w:lang w:val="en-US"/>
        </w:rPr>
        <w:t>S</w:t>
      </w:r>
      <w:r w:rsidR="008F34B4" w:rsidRPr="0048196F">
        <w:rPr>
          <w:lang w:val="en-US"/>
        </w:rPr>
        <w:t xml:space="preserve">copus </w:t>
      </w:r>
      <w:r w:rsidR="00441B11" w:rsidRPr="0048196F">
        <w:rPr>
          <w:lang w:val="en-US"/>
        </w:rPr>
        <w:t xml:space="preserve">database </w:t>
      </w:r>
      <w:r w:rsidR="008F34B4" w:rsidRPr="0048196F">
        <w:rPr>
          <w:lang w:val="en-US"/>
        </w:rPr>
        <w:t>search</w:t>
      </w:r>
      <w:r w:rsidR="00441B11" w:rsidRPr="0048196F">
        <w:rPr>
          <w:lang w:val="en-US"/>
        </w:rPr>
        <w:t xml:space="preserve"> query described before</w:t>
      </w:r>
      <w:r w:rsidR="008F34B4" w:rsidRPr="0048196F">
        <w:rPr>
          <w:lang w:val="en-US"/>
        </w:rPr>
        <w:t>, limited to the past five years.</w:t>
      </w:r>
    </w:p>
    <w:p w14:paraId="562D0EB2" w14:textId="0C1D1476" w:rsidR="0079670E" w:rsidRPr="0048196F" w:rsidRDefault="008F34B4" w:rsidP="0079670E">
      <w:pPr>
        <w:keepNext/>
        <w:spacing w:line="360" w:lineRule="auto"/>
        <w:jc w:val="both"/>
        <w:rPr>
          <w:lang w:val="en-US"/>
        </w:rPr>
      </w:pPr>
      <w:r w:rsidRPr="0048196F">
        <w:rPr>
          <w:lang w:val="en-US"/>
        </w:rPr>
        <w:t xml:space="preserve"> </w:t>
      </w:r>
      <w:r w:rsidR="00E341B0" w:rsidRPr="0048196F">
        <w:rPr>
          <w:noProof/>
          <w:lang w:val="pt-PT" w:eastAsia="pt-PT"/>
        </w:rPr>
        <w:drawing>
          <wp:inline distT="0" distB="0" distL="0" distR="0" wp14:anchorId="52A6A96A" wp14:editId="5EBE2A56">
            <wp:extent cx="3879850" cy="1511300"/>
            <wp:effectExtent l="0" t="0" r="6350" b="12700"/>
            <wp:docPr id="27" name="Grafiek 27">
              <a:extLst xmlns:a="http://schemas.openxmlformats.org/drawingml/2006/main">
                <a:ext uri="{FF2B5EF4-FFF2-40B4-BE49-F238E27FC236}">
                  <a16:creationId xmlns:a16="http://schemas.microsoft.com/office/drawing/2014/main" id="{7620BECE-D1B6-234D-A9FE-433A755689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6DFB4CC" w14:textId="30931E96" w:rsidR="00CA5D03" w:rsidRPr="0048196F" w:rsidRDefault="0079670E" w:rsidP="0079670E">
      <w:pPr>
        <w:pStyle w:val="Caption"/>
        <w:jc w:val="both"/>
        <w:rPr>
          <w:lang w:val="en-US"/>
        </w:rPr>
      </w:pPr>
      <w:bookmarkStart w:id="43" w:name="_Toc14347571"/>
      <w:r w:rsidRPr="0048196F">
        <w:rPr>
          <w:lang w:val="en-US"/>
        </w:rPr>
        <w:t xml:space="preserve">Figure </w:t>
      </w:r>
      <w:r w:rsidR="004001DE">
        <w:rPr>
          <w:lang w:val="en-US"/>
        </w:rPr>
        <w:fldChar w:fldCharType="begin"/>
      </w:r>
      <w:r w:rsidR="004001DE">
        <w:rPr>
          <w:lang w:val="en-US"/>
        </w:rPr>
        <w:instrText xml:space="preserve"> SEQ Figure \* ARABIC </w:instrText>
      </w:r>
      <w:r w:rsidR="004001DE">
        <w:rPr>
          <w:lang w:val="en-US"/>
        </w:rPr>
        <w:fldChar w:fldCharType="separate"/>
      </w:r>
      <w:r w:rsidR="00634236">
        <w:rPr>
          <w:noProof/>
          <w:lang w:val="en-US"/>
        </w:rPr>
        <w:t>3</w:t>
      </w:r>
      <w:r w:rsidR="004001DE">
        <w:rPr>
          <w:lang w:val="en-US"/>
        </w:rPr>
        <w:fldChar w:fldCharType="end"/>
      </w:r>
      <w:r w:rsidRPr="0048196F">
        <w:rPr>
          <w:lang w:val="en-US"/>
        </w:rPr>
        <w:t>: Subset literature for selection of megatrends and drivers of change</w:t>
      </w:r>
      <w:bookmarkEnd w:id="43"/>
    </w:p>
    <w:p w14:paraId="142C8E98" w14:textId="77777777" w:rsidR="00E341B0" w:rsidRPr="0048196F" w:rsidRDefault="00E341B0" w:rsidP="00CA5D03">
      <w:pPr>
        <w:keepNext/>
        <w:spacing w:line="360" w:lineRule="auto"/>
        <w:jc w:val="both"/>
        <w:rPr>
          <w:lang w:val="en-US"/>
        </w:rPr>
      </w:pPr>
    </w:p>
    <w:p w14:paraId="70B4AD5E" w14:textId="5F92B605" w:rsidR="00B31276" w:rsidRPr="0048196F" w:rsidRDefault="00B31276" w:rsidP="00B31276">
      <w:pPr>
        <w:spacing w:line="360" w:lineRule="auto"/>
        <w:ind w:firstLine="360"/>
        <w:rPr>
          <w:lang w:val="en-US"/>
        </w:rPr>
      </w:pPr>
      <w:r w:rsidRPr="0048196F">
        <w:rPr>
          <w:lang w:val="en-US"/>
        </w:rPr>
        <w:t xml:space="preserve">Once the exploratory scanning is completed, </w:t>
      </w:r>
      <w:r w:rsidR="00B32239" w:rsidRPr="0048196F">
        <w:rPr>
          <w:lang w:val="en-US"/>
        </w:rPr>
        <w:t>assessment takes place through discussion</w:t>
      </w:r>
      <w:r w:rsidRPr="0048196F">
        <w:rPr>
          <w:lang w:val="en-US"/>
        </w:rPr>
        <w:t xml:space="preserve">, and its result </w:t>
      </w:r>
      <w:r w:rsidR="00BB1E3B" w:rsidRPr="0048196F">
        <w:rPr>
          <w:lang w:val="en-US"/>
        </w:rPr>
        <w:t xml:space="preserve">is a </w:t>
      </w:r>
      <w:r w:rsidR="00BF39BE" w:rsidRPr="0048196F">
        <w:rPr>
          <w:lang w:val="en-US"/>
        </w:rPr>
        <w:t>survey</w:t>
      </w:r>
      <w:r w:rsidR="00BB1E3B" w:rsidRPr="0048196F">
        <w:rPr>
          <w:lang w:val="en-US"/>
        </w:rPr>
        <w:t xml:space="preserve"> containing trends to be rated on importance in</w:t>
      </w:r>
      <w:r w:rsidR="00BF39BE" w:rsidRPr="0048196F">
        <w:rPr>
          <w:lang w:val="en-US"/>
        </w:rPr>
        <w:t xml:space="preserve"> </w:t>
      </w:r>
      <w:r w:rsidRPr="0048196F">
        <w:rPr>
          <w:lang w:val="en-US"/>
        </w:rPr>
        <w:t xml:space="preserve">development phase </w:t>
      </w:r>
      <w:r w:rsidR="00BF39BE" w:rsidRPr="0048196F">
        <w:rPr>
          <w:lang w:val="en-US"/>
        </w:rPr>
        <w:t>1</w:t>
      </w:r>
      <w:r w:rsidRPr="0048196F">
        <w:rPr>
          <w:lang w:val="en-US"/>
        </w:rPr>
        <w:t xml:space="preserve">. </w:t>
      </w:r>
      <w:r w:rsidR="0079670E" w:rsidRPr="0048196F">
        <w:rPr>
          <w:lang w:val="en-US"/>
        </w:rPr>
        <w:t>On the</w:t>
      </w:r>
      <w:r w:rsidR="00BB1E3B" w:rsidRPr="0048196F">
        <w:rPr>
          <w:lang w:val="en-US"/>
        </w:rPr>
        <w:t xml:space="preserve"> outcome of the survey, </w:t>
      </w:r>
      <w:r w:rsidR="00522194" w:rsidRPr="0048196F">
        <w:rPr>
          <w:lang w:val="en-US"/>
        </w:rPr>
        <w:t xml:space="preserve">issue </w:t>
      </w:r>
      <w:r w:rsidR="00441B11" w:rsidRPr="0048196F">
        <w:rPr>
          <w:lang w:val="en-US"/>
        </w:rPr>
        <w:t>centered</w:t>
      </w:r>
      <w:r w:rsidR="00522194" w:rsidRPr="0048196F">
        <w:rPr>
          <w:lang w:val="en-US"/>
        </w:rPr>
        <w:t xml:space="preserve"> scanning is performed. </w:t>
      </w:r>
      <w:r w:rsidR="00441B11" w:rsidRPr="0048196F">
        <w:rPr>
          <w:lang w:val="en-US"/>
        </w:rPr>
        <w:t xml:space="preserve">This </w:t>
      </w:r>
      <w:r w:rsidR="00522194" w:rsidRPr="0048196F">
        <w:rPr>
          <w:lang w:val="en-US"/>
        </w:rPr>
        <w:t>involves analyzing the result of the explor</w:t>
      </w:r>
      <w:r w:rsidR="00441B11" w:rsidRPr="0048196F">
        <w:rPr>
          <w:lang w:val="en-US"/>
        </w:rPr>
        <w:t>ator</w:t>
      </w:r>
      <w:r w:rsidR="00522194" w:rsidRPr="0048196F">
        <w:rPr>
          <w:lang w:val="en-US"/>
        </w:rPr>
        <w:t>y scanning and the collection of additional literature</w:t>
      </w:r>
      <w:r w:rsidR="00441B11" w:rsidRPr="0048196F">
        <w:rPr>
          <w:lang w:val="en-US"/>
        </w:rPr>
        <w:t xml:space="preserve"> for specific topics</w:t>
      </w:r>
      <w:r w:rsidR="00522194" w:rsidRPr="0048196F">
        <w:rPr>
          <w:lang w:val="en-US"/>
        </w:rPr>
        <w:t xml:space="preserve">. The result is presented through a </w:t>
      </w:r>
      <w:r w:rsidRPr="0048196F">
        <w:rPr>
          <w:lang w:val="en-US"/>
        </w:rPr>
        <w:t>narrative literature review</w:t>
      </w:r>
      <w:r w:rsidR="00522194" w:rsidRPr="0048196F">
        <w:rPr>
          <w:lang w:val="en-US"/>
        </w:rPr>
        <w:t xml:space="preserve"> at the end of development phase 1. </w:t>
      </w:r>
    </w:p>
    <w:p w14:paraId="66DCA8A3" w14:textId="387CB408" w:rsidR="007E18B6" w:rsidRPr="0048196F" w:rsidRDefault="007E18B6" w:rsidP="00B31276">
      <w:pPr>
        <w:spacing w:line="360" w:lineRule="auto"/>
        <w:ind w:firstLine="360"/>
        <w:rPr>
          <w:lang w:val="en-US"/>
        </w:rPr>
      </w:pPr>
    </w:p>
    <w:p w14:paraId="1AB8DFDA" w14:textId="645CCDB0" w:rsidR="007E18B6" w:rsidRPr="0048196F" w:rsidRDefault="007E18B6" w:rsidP="007E18B6">
      <w:pPr>
        <w:keepNext/>
        <w:spacing w:line="360" w:lineRule="auto"/>
        <w:ind w:firstLine="360"/>
        <w:rPr>
          <w:lang w:val="en-US"/>
        </w:rPr>
      </w:pPr>
    </w:p>
    <w:p w14:paraId="05F82ED7" w14:textId="296AF037" w:rsidR="007E18B6" w:rsidRPr="0048196F" w:rsidRDefault="007E18B6" w:rsidP="00B31276">
      <w:pPr>
        <w:spacing w:line="360" w:lineRule="auto"/>
        <w:ind w:firstLine="360"/>
        <w:rPr>
          <w:lang w:val="en-US"/>
        </w:rPr>
      </w:pPr>
    </w:p>
    <w:p w14:paraId="7BA9F9C2" w14:textId="7D4810E9" w:rsidR="00B045A3" w:rsidRPr="0048196F" w:rsidRDefault="00B045A3" w:rsidP="008C0512">
      <w:pPr>
        <w:spacing w:line="360" w:lineRule="auto"/>
        <w:rPr>
          <w:lang w:val="en-US"/>
        </w:rPr>
      </w:pPr>
    </w:p>
    <w:p w14:paraId="13E2C718" w14:textId="39D7F4D6" w:rsidR="00B31276" w:rsidRPr="0048196F" w:rsidRDefault="00B31276" w:rsidP="00B045A3">
      <w:pPr>
        <w:pStyle w:val="Heading2"/>
        <w:rPr>
          <w:lang w:val="en-US"/>
        </w:rPr>
      </w:pPr>
      <w:bookmarkStart w:id="44" w:name="_Toc14347311"/>
      <w:r w:rsidRPr="0048196F">
        <w:rPr>
          <w:lang w:val="en-US"/>
        </w:rPr>
        <w:t>LR 1: Main concepts</w:t>
      </w:r>
      <w:bookmarkEnd w:id="44"/>
    </w:p>
    <w:p w14:paraId="2CD87702" w14:textId="64DBF556" w:rsidR="00B43E00" w:rsidRPr="0048196F" w:rsidRDefault="00B43E00" w:rsidP="003A0778">
      <w:pPr>
        <w:rPr>
          <w:b/>
          <w:bCs/>
          <w:lang w:val="en-US"/>
        </w:rPr>
      </w:pPr>
      <w:r w:rsidRPr="0048196F">
        <w:rPr>
          <w:b/>
          <w:bCs/>
          <w:lang w:val="en-US"/>
        </w:rPr>
        <w:t>Introduction</w:t>
      </w:r>
    </w:p>
    <w:p w14:paraId="2CD19DBA" w14:textId="72FF8D33" w:rsidR="00B43E00" w:rsidRPr="0048196F" w:rsidRDefault="00B43E00" w:rsidP="003D386E">
      <w:pPr>
        <w:spacing w:line="360" w:lineRule="auto"/>
        <w:rPr>
          <w:lang w:val="en-US"/>
        </w:rPr>
      </w:pPr>
      <w:r w:rsidRPr="0048196F">
        <w:rPr>
          <w:lang w:val="en-US"/>
        </w:rPr>
        <w:t xml:space="preserve">This section introduces the concept of foresight in order to clarify the </w:t>
      </w:r>
      <w:r w:rsidR="00522194" w:rsidRPr="0048196F">
        <w:rPr>
          <w:lang w:val="en-US"/>
        </w:rPr>
        <w:t>value</w:t>
      </w:r>
      <w:r w:rsidRPr="0048196F">
        <w:rPr>
          <w:lang w:val="en-US"/>
        </w:rPr>
        <w:t xml:space="preserve"> of this research. In the section “</w:t>
      </w:r>
      <w:r w:rsidR="00240A19" w:rsidRPr="0048196F">
        <w:rPr>
          <w:lang w:val="en-US"/>
        </w:rPr>
        <w:t>t</w:t>
      </w:r>
      <w:r w:rsidRPr="0048196F">
        <w:rPr>
          <w:lang w:val="en-US"/>
        </w:rPr>
        <w:t xml:space="preserve">rend”, the concept of a trend is presented, and a further specification is made between trends, megatrends and technological trends. The remaining sections explain drivers of change, and the concept of a trend map.  </w:t>
      </w:r>
    </w:p>
    <w:p w14:paraId="7DFC9E62" w14:textId="77777777" w:rsidR="00B31276" w:rsidRPr="0048196F" w:rsidRDefault="00B31276" w:rsidP="00B045A3">
      <w:pPr>
        <w:pStyle w:val="Heading3"/>
        <w:numPr>
          <w:ilvl w:val="2"/>
          <w:numId w:val="40"/>
        </w:numPr>
        <w:spacing w:line="360" w:lineRule="auto"/>
        <w:rPr>
          <w:lang w:val="en-US"/>
        </w:rPr>
      </w:pPr>
      <w:bookmarkStart w:id="45" w:name="_Toc14347312"/>
      <w:r w:rsidRPr="0048196F">
        <w:rPr>
          <w:lang w:val="en-US"/>
        </w:rPr>
        <w:t>Foresight</w:t>
      </w:r>
      <w:bookmarkEnd w:id="45"/>
    </w:p>
    <w:p w14:paraId="5F551E6B" w14:textId="1F73EB4E" w:rsidR="00B31276" w:rsidRPr="0048196F" w:rsidRDefault="00B31276" w:rsidP="00B31276">
      <w:pPr>
        <w:spacing w:line="360" w:lineRule="auto"/>
        <w:rPr>
          <w:lang w:val="en-US"/>
        </w:rPr>
      </w:pPr>
      <w:r w:rsidRPr="0048196F">
        <w:rPr>
          <w:lang w:val="en-US"/>
        </w:rPr>
        <w:t>Many aspects of today’s world are highly volatile, uncertain, complex and ambiguous. This increases the difficulty of decision making and therefore the need for foresight: “Thinking about the future, to guide decisions today.” (Wiebe et al., 2018, p. 546). Foresight is used for a variety of objectives and contexts</w:t>
      </w:r>
      <w:r w:rsidR="000804A5" w:rsidRPr="0048196F">
        <w:rPr>
          <w:lang w:val="en-US"/>
        </w:rPr>
        <w:t xml:space="preserve"> like strategy, regions, technologies and environments.</w:t>
      </w:r>
      <w:r w:rsidRPr="0048196F">
        <w:rPr>
          <w:lang w:val="en-US"/>
        </w:rPr>
        <w:t xml:space="preserve"> </w:t>
      </w:r>
      <w:r w:rsidR="00240A19" w:rsidRPr="0048196F">
        <w:rPr>
          <w:lang w:val="en-US"/>
        </w:rPr>
        <w:fldChar w:fldCharType="begin" w:fldLock="1"/>
      </w:r>
      <w:r w:rsidR="00240A19" w:rsidRPr="0048196F">
        <w:rPr>
          <w:lang w:val="en-US"/>
        </w:rPr>
        <w:instrText>ADDIN CSL_CITATION {"citationItems":[{"id":"ITEM-1","itemData":{"DOI":"10.1016/j.techfore.2010.07.009","ISSN":"00401625","abstract":"The growing interest in business, government, and other organizations and users of futures research in the next ten to thirty years implies that the interest is largely to promote better strategic thinking and planning. Popular in the current futures lexicon is 'strategic foresight'. This article characterizes, as best the author can, the key characteristics of strategic foresight, under whatever name it occurs, by American futurists. The most central characteristic of American futurists and their approach as practiced around the world is eclectic flexibility in methods and techniques. The American approach is illustrated by the author's own decades of work for organizational clients. © 2010.","author":[{"dropping-particle":"","family":"Coates","given":"Joseph F.","non-dropping-particle":"","parse-names":false,"suffix":""}],"container-title":"Technological Forecasting and Social Change","id":"ITEM-1","issue":"9","issued":{"date-parts":[["2010"]]},"page":"1428-1437","title":"The future of foresight-A US perspective","type":"article-journal","volume":"77"},"uris":["http://www.mendeley.com/documents/?uuid=836f3fdd-5923-4c1d-b422-0d6d71e9ccde"]}],"mendeley":{"formattedCitation":"(Coates, 2010)","manualFormatting":"Coates (2010)","plainTextFormattedCitation":"(Coates, 2010)","previouslyFormattedCitation":"(Coates, 2010)"},"properties":{"noteIndex":0},"schema":"https://github.com/citation-style-language/schema/raw/master/csl-citation.json"}</w:instrText>
      </w:r>
      <w:r w:rsidR="00240A19" w:rsidRPr="0048196F">
        <w:rPr>
          <w:lang w:val="en-US"/>
        </w:rPr>
        <w:fldChar w:fldCharType="separate"/>
      </w:r>
      <w:r w:rsidR="00240A19" w:rsidRPr="0048196F">
        <w:rPr>
          <w:noProof/>
          <w:lang w:val="en-US"/>
        </w:rPr>
        <w:t>Coates (2010)</w:t>
      </w:r>
      <w:r w:rsidR="00240A19" w:rsidRPr="0048196F">
        <w:rPr>
          <w:lang w:val="en-US"/>
        </w:rPr>
        <w:fldChar w:fldCharType="end"/>
      </w:r>
      <w:r w:rsidR="00240A19" w:rsidRPr="0048196F">
        <w:rPr>
          <w:lang w:val="en-US"/>
        </w:rPr>
        <w:t xml:space="preserve"> </w:t>
      </w:r>
      <w:r w:rsidRPr="0048196F">
        <w:rPr>
          <w:lang w:val="en-US"/>
        </w:rPr>
        <w:t xml:space="preserve">describes foresight to be a concept about some future state or condition. Depending on the time horizon, complexity and uncertainty, </w:t>
      </w:r>
      <w:r w:rsidR="005522A4" w:rsidRPr="0048196F">
        <w:rPr>
          <w:lang w:val="en-US"/>
        </w:rPr>
        <w:t>scenarios or</w:t>
      </w:r>
      <w:r w:rsidR="000804A5" w:rsidRPr="0048196F">
        <w:rPr>
          <w:lang w:val="en-US"/>
        </w:rPr>
        <w:t xml:space="preserve"> quantita</w:t>
      </w:r>
      <w:r w:rsidR="00240A19" w:rsidRPr="0048196F">
        <w:rPr>
          <w:lang w:val="en-US"/>
        </w:rPr>
        <w:t>tive</w:t>
      </w:r>
      <w:r w:rsidR="000804A5" w:rsidRPr="0048196F">
        <w:rPr>
          <w:lang w:val="en-US"/>
        </w:rPr>
        <w:t xml:space="preserve"> models can be based on</w:t>
      </w:r>
      <w:r w:rsidRPr="0048196F">
        <w:rPr>
          <w:lang w:val="en-US"/>
        </w:rPr>
        <w:t xml:space="preserve"> facts, but also on highly uncertain speculations. The nature of the activities can be predictive, exploring or envisioning. The first two translate to analyzing the past or exploring the present to foresee the future. The third category envisions the future and reasons back to the present. Exploratory scenarios explore the impacts of various drivers, trends and interactions from now into the future. (Wiebe et al., 2018). This research</w:t>
      </w:r>
      <w:r w:rsidR="005522A4" w:rsidRPr="0048196F">
        <w:rPr>
          <w:lang w:val="en-US"/>
        </w:rPr>
        <w:t xml:space="preserve"> constructs such a scenario, and</w:t>
      </w:r>
      <w:r w:rsidRPr="0048196F">
        <w:rPr>
          <w:lang w:val="en-US"/>
        </w:rPr>
        <w:t xml:space="preserve"> allows </w:t>
      </w:r>
      <w:r w:rsidR="005522A4" w:rsidRPr="0048196F">
        <w:rPr>
          <w:lang w:val="en-US"/>
        </w:rPr>
        <w:t xml:space="preserve">other </w:t>
      </w:r>
      <w:r w:rsidRPr="0048196F">
        <w:rPr>
          <w:lang w:val="en-US"/>
        </w:rPr>
        <w:t>stakeholders to</w:t>
      </w:r>
      <w:r w:rsidR="005522A4" w:rsidRPr="0048196F">
        <w:rPr>
          <w:lang w:val="en-US"/>
        </w:rPr>
        <w:t xml:space="preserve"> do so</w:t>
      </w:r>
      <w:r w:rsidRPr="0048196F">
        <w:rPr>
          <w:lang w:val="en-US"/>
        </w:rPr>
        <w:t xml:space="preserve">, by providing the fundamental step of identifying trends and </w:t>
      </w:r>
      <w:r w:rsidR="005522A4" w:rsidRPr="0048196F">
        <w:rPr>
          <w:lang w:val="en-US"/>
        </w:rPr>
        <w:t>drivers and</w:t>
      </w:r>
      <w:r w:rsidRPr="0048196F">
        <w:rPr>
          <w:lang w:val="en-US"/>
        </w:rPr>
        <w:t xml:space="preserve"> assessing their level of importance. </w:t>
      </w:r>
    </w:p>
    <w:p w14:paraId="5F7CE2C9" w14:textId="77777777" w:rsidR="00B31276" w:rsidRPr="0048196F" w:rsidRDefault="00B31276" w:rsidP="00B31276">
      <w:pPr>
        <w:spacing w:line="360" w:lineRule="auto"/>
        <w:rPr>
          <w:lang w:val="en-US"/>
        </w:rPr>
      </w:pPr>
    </w:p>
    <w:p w14:paraId="551512C8" w14:textId="77777777" w:rsidR="00B31276" w:rsidRPr="0048196F" w:rsidRDefault="00B31276" w:rsidP="00B045A3">
      <w:pPr>
        <w:pStyle w:val="Heading3"/>
        <w:numPr>
          <w:ilvl w:val="2"/>
          <w:numId w:val="40"/>
        </w:numPr>
        <w:spacing w:line="360" w:lineRule="auto"/>
        <w:rPr>
          <w:lang w:val="en-US"/>
        </w:rPr>
      </w:pPr>
      <w:bookmarkStart w:id="46" w:name="_Toc14347313"/>
      <w:r w:rsidRPr="0048196F">
        <w:rPr>
          <w:lang w:val="en-US"/>
        </w:rPr>
        <w:t>Trend</w:t>
      </w:r>
      <w:bookmarkEnd w:id="46"/>
    </w:p>
    <w:p w14:paraId="222A5DB8" w14:textId="50D8DB2E" w:rsidR="00B31276" w:rsidRPr="0048196F" w:rsidRDefault="00B31276" w:rsidP="00B31276">
      <w:pPr>
        <w:spacing w:line="360" w:lineRule="auto"/>
        <w:rPr>
          <w:lang w:val="en-US"/>
        </w:rPr>
      </w:pPr>
      <w:r w:rsidRPr="0048196F">
        <w:rPr>
          <w:lang w:val="en-US"/>
        </w:rPr>
        <w:t>FAO has accepted the following definition of a trend: “A general tendency of a movement/change over time”</w:t>
      </w:r>
      <w:r w:rsidRPr="0048196F">
        <w:rPr>
          <w:lang w:val="en-US"/>
        </w:rPr>
        <w:fldChar w:fldCharType="begin" w:fldLock="1"/>
      </w:r>
      <w:r w:rsidRPr="0048196F">
        <w:rPr>
          <w:lang w:val="en-US"/>
        </w:rPr>
        <w:instrText>ADDIN CSL_CITATION {"citationItems":[{"id":"ITEM-1","itemData":{"abstract":"Our future is unpredictable but we are not powerless to confront it. The future can be anticipated, explored, and its course can be changed. This is what the field of Futures Studies deals with. People can engage in thinking about the future through different means, with different objectives, in order to reduce uncertainties and prepare for what might happen. As shown below, Futures Studies allow us to navigate the past, the present and the future and inform us about the options, the choices we can make, and the actions we can take. The glossary contains concise, easily understandable definitions of the most common terms used in Futures Studies. For each term it provides a definition and some Notes and Illustrations/References allowing you to get additional knowledge if you wish so. The glossary intends to help readers and writers to better understand the meaning of these terms and how to use them when applied to food, agriculture and rural development. It will also help make your conversations about the future more shareable, as requested to the Platform at the 2nd Global Conference on Agricultural Research. This glossary was produced by volunteer members of the Forward Thinking Platform, a network of foresight practitioners from different sectors and disciplines, supported by the Global Forum on Agricultural Research (GFAR). It is the product of a collective venture which included two rounds of peer-review and a user pretest to improve its relevance, usefulness and user-friendliness. The definitions proposed make most people comfortable with them. However, they do not intend to prevail over others. The glossary is a living document and will be regularly updated.","author":[{"dropping-particle":"","family":"GFAR","given":"","non-dropping-particle":"","parse-names":false,"suffix":""}],"container-title":"A glossary of terms commonly used in futures studies","id":"ITEM-1","issued":{"date-parts":[["2014"]]},"page":"29","title":"A glossary of terms commonly used in Futures Studies","type":"article-journal"},"uris":["http://www.mendeley.com/documents/?uuid=a315fc89-9da6-4f59-9c28-a7983bc86555"]}],"mendeley":{"formattedCitation":"(GFAR, 2014)","plainTextFormattedCitation":"(GFAR, 2014)","previouslyFormattedCitation":"(GFAR, 2014)"},"properties":{"noteIndex":0},"schema":"https://github.com/citation-style-language/schema/raw/master/csl-citation.json"}</w:instrText>
      </w:r>
      <w:r w:rsidRPr="0048196F">
        <w:rPr>
          <w:lang w:val="en-US"/>
        </w:rPr>
        <w:fldChar w:fldCharType="separate"/>
      </w:r>
      <w:r w:rsidRPr="0048196F">
        <w:rPr>
          <w:noProof/>
          <w:lang w:val="en-US"/>
        </w:rPr>
        <w:t>(GFAR, 2014)</w:t>
      </w:r>
      <w:r w:rsidRPr="0048196F">
        <w:rPr>
          <w:lang w:val="en-US"/>
        </w:rPr>
        <w:fldChar w:fldCharType="end"/>
      </w:r>
      <w:r w:rsidRPr="0048196F">
        <w:rPr>
          <w:lang w:val="en-US"/>
        </w:rPr>
        <w:t xml:space="preserve">. This lies close to the definition within statistics, where a trend is a long-term component of a times series. </w:t>
      </w:r>
      <w:r w:rsidR="00DB207B" w:rsidRPr="0048196F">
        <w:rPr>
          <w:lang w:val="en-US"/>
        </w:rPr>
        <w:t xml:space="preserve">This </w:t>
      </w:r>
      <w:r w:rsidR="00B43E00" w:rsidRPr="0048196F">
        <w:rPr>
          <w:lang w:val="en-US"/>
        </w:rPr>
        <w:t>definition,</w:t>
      </w:r>
      <w:r w:rsidR="00DB207B" w:rsidRPr="0048196F">
        <w:rPr>
          <w:lang w:val="en-US"/>
        </w:rPr>
        <w:t xml:space="preserve"> however, contributes to the problem of inclusions in the survey. For example, E-Commerce </w:t>
      </w:r>
      <w:r w:rsidR="00B43E00" w:rsidRPr="0048196F">
        <w:rPr>
          <w:lang w:val="en-US"/>
        </w:rPr>
        <w:t>wouldn’t</w:t>
      </w:r>
      <w:r w:rsidR="00DB207B" w:rsidRPr="0048196F">
        <w:rPr>
          <w:lang w:val="en-US"/>
        </w:rPr>
        <w:t xml:space="preserve"> fit the </w:t>
      </w:r>
      <w:r w:rsidR="00B43E00" w:rsidRPr="0048196F">
        <w:rPr>
          <w:lang w:val="en-US"/>
        </w:rPr>
        <w:t>definition</w:t>
      </w:r>
      <w:r w:rsidR="00DB207B" w:rsidRPr="0048196F">
        <w:rPr>
          <w:lang w:val="en-US"/>
        </w:rPr>
        <w:t xml:space="preserve"> of a trend as it is not a movement of time. “Virtualization of commerce”</w:t>
      </w:r>
      <w:r w:rsidR="00240A19" w:rsidRPr="0048196F">
        <w:rPr>
          <w:lang w:val="en-US"/>
        </w:rPr>
        <w:t xml:space="preserve">, or simpler said the increase of E-Commerce </w:t>
      </w:r>
      <w:r w:rsidR="00DB207B" w:rsidRPr="0048196F">
        <w:rPr>
          <w:lang w:val="en-US"/>
        </w:rPr>
        <w:t>would</w:t>
      </w:r>
      <w:r w:rsidR="00240A19" w:rsidRPr="0048196F">
        <w:rPr>
          <w:lang w:val="en-US"/>
        </w:rPr>
        <w:t xml:space="preserve"> be a movement over time, and therefore a trend</w:t>
      </w:r>
      <w:r w:rsidR="00DB207B" w:rsidRPr="0048196F">
        <w:rPr>
          <w:lang w:val="en-US"/>
        </w:rPr>
        <w:t xml:space="preserve">. To keep things simple for survey respondents, the list of trends includes topics and fields which through the literature appear to be of increasing importance to the </w:t>
      </w:r>
      <w:r w:rsidR="00B43E00" w:rsidRPr="0048196F">
        <w:rPr>
          <w:lang w:val="en-US"/>
        </w:rPr>
        <w:t>agri-food</w:t>
      </w:r>
      <w:r w:rsidR="00DB207B" w:rsidRPr="0048196F">
        <w:rPr>
          <w:lang w:val="en-US"/>
        </w:rPr>
        <w:t xml:space="preserve"> sector</w:t>
      </w:r>
      <w:r w:rsidR="0076644B" w:rsidRPr="0048196F">
        <w:rPr>
          <w:lang w:val="en-US"/>
        </w:rPr>
        <w:t>: “Trending topics”</w:t>
      </w:r>
      <w:r w:rsidR="00965560" w:rsidRPr="0048196F">
        <w:rPr>
          <w:lang w:val="en-US"/>
        </w:rPr>
        <w:t xml:space="preserve">. The movement in these topics, making them trends is </w:t>
      </w:r>
      <w:r w:rsidR="00DB207B" w:rsidRPr="0048196F">
        <w:rPr>
          <w:lang w:val="en-US"/>
        </w:rPr>
        <w:t xml:space="preserve">often </w:t>
      </w:r>
      <w:r w:rsidR="00B43E00" w:rsidRPr="0048196F">
        <w:rPr>
          <w:lang w:val="en-US"/>
        </w:rPr>
        <w:t>caused by</w:t>
      </w:r>
      <w:r w:rsidR="00DB207B" w:rsidRPr="0048196F">
        <w:rPr>
          <w:lang w:val="en-US"/>
        </w:rPr>
        <w:t xml:space="preserve"> </w:t>
      </w:r>
      <w:r w:rsidR="00240A19" w:rsidRPr="0048196F">
        <w:rPr>
          <w:lang w:val="en-US"/>
        </w:rPr>
        <w:t xml:space="preserve">the pressure from </w:t>
      </w:r>
      <w:r w:rsidR="00965560" w:rsidRPr="0048196F">
        <w:rPr>
          <w:lang w:val="en-US"/>
        </w:rPr>
        <w:t>megatrends like</w:t>
      </w:r>
      <w:r w:rsidR="00240A19" w:rsidRPr="0048196F">
        <w:rPr>
          <w:lang w:val="en-US"/>
        </w:rPr>
        <w:t xml:space="preserve"> population growth and</w:t>
      </w:r>
      <w:r w:rsidR="00965560" w:rsidRPr="0048196F">
        <w:rPr>
          <w:lang w:val="en-US"/>
        </w:rPr>
        <w:t xml:space="preserve"> </w:t>
      </w:r>
      <w:r w:rsidR="00DB207B" w:rsidRPr="0048196F">
        <w:rPr>
          <w:lang w:val="en-US"/>
        </w:rPr>
        <w:t>digitalizatio</w:t>
      </w:r>
      <w:r w:rsidR="00965560" w:rsidRPr="0048196F">
        <w:rPr>
          <w:lang w:val="en-US"/>
        </w:rPr>
        <w:t>n</w:t>
      </w:r>
      <w:r w:rsidR="00DB207B" w:rsidRPr="0048196F">
        <w:rPr>
          <w:lang w:val="en-US"/>
        </w:rPr>
        <w:t>.</w:t>
      </w:r>
      <w:r w:rsidR="00B43E00" w:rsidRPr="0048196F">
        <w:rPr>
          <w:lang w:val="en-US"/>
        </w:rPr>
        <w:t xml:space="preserve"> A megatrend in the literature can refer to the time period</w:t>
      </w:r>
      <w:r w:rsidR="00965560" w:rsidRPr="0048196F">
        <w:rPr>
          <w:lang w:val="en-US"/>
        </w:rPr>
        <w:t>;</w:t>
      </w:r>
      <w:r w:rsidR="00B43E00" w:rsidRPr="0048196F">
        <w:rPr>
          <w:lang w:val="en-US"/>
        </w:rPr>
        <w:t xml:space="preserve"> 10-15 years </w:t>
      </w:r>
      <w:r w:rsidR="00240A19" w:rsidRPr="0048196F">
        <w:rPr>
          <w:lang w:val="en-US"/>
        </w:rPr>
        <w:fldChar w:fldCharType="begin" w:fldLock="1"/>
      </w:r>
      <w:r w:rsidR="00240A19" w:rsidRPr="0048196F">
        <w:rPr>
          <w:lang w:val="en-US"/>
        </w:rPr>
        <w:instrText>ADDIN CSL_CITATION {"citationItems":[{"id":"ITEM-1","itemData":{"abstract":"Our future is unpredictable but we are not powerless to confront it. The future can be anticipated, explored, and its course can be changed. This is what the field of Futures Studies deals with. People can engage in thinking about the future through different means, with different objectives, in order to reduce uncertainties and prepare for what might happen. As shown below, Futures Studies allow us to navigate the past, the present and the future and inform us about the options, the choices we can make, and the actions we can take. The glossary contains concise, easily understandable definitions of the most common terms used in Futures Studies. For each term it provides a definition and some Notes and Illustrations/References allowing you to get additional knowledge if you wish so. The glossary intends to help readers and writers to better understand the meaning of these terms and how to use them when applied to food, agriculture and rural development. It will also help make your conversations about the future more shareable, as requested to the Platform at the 2nd Global Conference on Agricultural Research. This glossary was produced by volunteer members of the Forward Thinking Platform, a network of foresight practitioners from different sectors and disciplines, supported by the Global Forum on Agricultural Research (GFAR). It is the product of a collective venture which included two rounds of peer-review and a user pretest to improve its relevance, usefulness and user-friendliness. The definitions proposed make most people comfortable with them. However, they do not intend to prevail over others. The glossary is a living document and will be regularly updated.","author":[{"dropping-particle":"","family":"GFAR","given":"","non-dropping-particle":"","parse-names":false,"suffix":""}],"container-title":"A glossary of terms commonly used in futures studies","id":"ITEM-1","issued":{"date-parts":[["2014"]]},"page":"29","title":"A glossary of terms commonly used in Futures Studies","type":"article-journal"},"uris":["http://www.mendeley.com/documents/?uuid=a315fc89-9da6-4f59-9c28-a7983bc86555"]}],"mendeley":{"formattedCitation":"(GFAR, 2014)","plainTextFormattedCitation":"(GFAR, 2014)","previouslyFormattedCitation":"(GFAR, 2014)"},"properties":{"noteIndex":0},"schema":"https://github.com/citation-style-language/schema/raw/master/csl-citation.json"}</w:instrText>
      </w:r>
      <w:r w:rsidR="00240A19" w:rsidRPr="0048196F">
        <w:rPr>
          <w:lang w:val="en-US"/>
        </w:rPr>
        <w:fldChar w:fldCharType="separate"/>
      </w:r>
      <w:r w:rsidR="00240A19" w:rsidRPr="0048196F">
        <w:rPr>
          <w:noProof/>
          <w:lang w:val="en-US"/>
        </w:rPr>
        <w:t>(GFAR, 2014)</w:t>
      </w:r>
      <w:r w:rsidR="00240A19" w:rsidRPr="0048196F">
        <w:rPr>
          <w:lang w:val="en-US"/>
        </w:rPr>
        <w:fldChar w:fldCharType="end"/>
      </w:r>
      <w:r w:rsidR="00B43E00" w:rsidRPr="0048196F">
        <w:rPr>
          <w:lang w:val="en-US"/>
        </w:rPr>
        <w:t xml:space="preserve"> or many generations </w:t>
      </w:r>
      <w:r w:rsidR="00240A19" w:rsidRPr="0048196F">
        <w:rPr>
          <w:lang w:val="en-US"/>
        </w:rPr>
        <w:fldChar w:fldCharType="begin" w:fldLock="1"/>
      </w:r>
      <w:r w:rsidR="00240A19" w:rsidRPr="0048196F">
        <w:rPr>
          <w:lang w:val="en-US"/>
        </w:rPr>
        <w:instrText>ADDIN CSL_CITATION {"citationItems":[{"id":"ITEM-1","itemData":{"DOI":"10.1016/j.futures.2010.11.007","ISSN":"00163287","abstract":"Following work done in the UK, Canada and now starting across Europe,. 1 1UK Ministry of Defence, UK Foresight Office Horizon Scan; Global Futures Forum Vancouver April 2008, Europe @ 2025 European Commission. there appears to be renewed interest in charting the boundaries of what to expect between 2010 and 2025 as the character of the 21st century begins to become firmly established. What are the shaping forces, or sources of change and what might be their impacts, particularly where these may create entirely new challenges and opportunities? Futures experts (attendees of the FTA 2008 Conference) were invited to state their opinions on these questions by considering the trends, drivers, wilds cards, discontinuities and weak signals likely to shape the future through the Big Picture Survey. The survey was launched 6 months prior to the Conference. More than 250 responses were submitted by the Conference date. The results collected were synthesised and presented back to the attendees in a plenary presentation by the authors. The current paper aims to clarify the concepts first by suggesting definitions and discussing the distinctions between them. The paper then presents the rationales of conducting the Big Picture Survey (BPS), presents its methodology and discusses the results of the survey in a greater extent. © 2010 Elsevier Ltd.","author":[{"dropping-particle":"","family":"Saritas","given":"Ozcan","non-dropping-particle":"","parse-names":false,"suffix":""},{"dropping-particle":"","family":"Smith","given":"Jack E.","non-dropping-particle":"","parse-names":false,"suffix":""}],"container-title":"Futures","id":"ITEM-1","issue":"3","issued":{"date-parts":[["2011"]]},"page":"292-312","title":"The Big Picture - trends, drivers, wild cards, discontinuities and weak signals","type":"article-journal","volume":"43"},"uris":["http://www.mendeley.com/documents/?uuid=9d2b23d7-845f-438e-9142-a3e5c2db6db7"]}],"mendeley":{"formattedCitation":"(Saritas &amp; Smith, 2011)","plainTextFormattedCitation":"(Saritas &amp; Smith, 2011)","previouslyFormattedCitation":"(Saritas &amp; Smith, 2011)"},"properties":{"noteIndex":0},"schema":"https://github.com/citation-style-language/schema/raw/master/csl-citation.json"}</w:instrText>
      </w:r>
      <w:r w:rsidR="00240A19" w:rsidRPr="0048196F">
        <w:rPr>
          <w:lang w:val="en-US"/>
        </w:rPr>
        <w:fldChar w:fldCharType="separate"/>
      </w:r>
      <w:r w:rsidR="00240A19" w:rsidRPr="0048196F">
        <w:rPr>
          <w:noProof/>
          <w:lang w:val="en-US"/>
        </w:rPr>
        <w:t>(Saritas &amp; Smith, 2011)</w:t>
      </w:r>
      <w:r w:rsidR="00240A19" w:rsidRPr="0048196F">
        <w:rPr>
          <w:lang w:val="en-US"/>
        </w:rPr>
        <w:fldChar w:fldCharType="end"/>
      </w:r>
      <w:r w:rsidR="00B43E00" w:rsidRPr="0048196F">
        <w:rPr>
          <w:lang w:val="en-US"/>
        </w:rPr>
        <w:t xml:space="preserve">, or </w:t>
      </w:r>
      <w:r w:rsidR="00965560" w:rsidRPr="0048196F">
        <w:rPr>
          <w:lang w:val="en-US"/>
        </w:rPr>
        <w:t>its impact</w:t>
      </w:r>
      <w:r w:rsidR="00B43E00" w:rsidRPr="0048196F">
        <w:rPr>
          <w:lang w:val="en-US"/>
        </w:rPr>
        <w:t xml:space="preserve"> being global </w:t>
      </w:r>
      <w:r w:rsidR="00240A19" w:rsidRPr="0048196F">
        <w:rPr>
          <w:lang w:val="en-US"/>
        </w:rPr>
        <w:fldChar w:fldCharType="begin" w:fldLock="1"/>
      </w:r>
      <w:r w:rsidR="00240A19" w:rsidRPr="0048196F">
        <w:rPr>
          <w:lang w:val="en-US"/>
        </w:rPr>
        <w:instrText>ADDIN CSL_CITATION {"citationItems":[{"id":"ITEM-1","itemData":{"DOI":"10.1108/FS-09-2016-0045","ISSN":"14636689","abstract":"Purpose This paper aims to analyse the mainstream and emerging global challenges and trends in the global agriculture sector. The analysis leads to a discussion on the present state of the Russian agroindustry and possible future strategies for adaptation in the context of the rapidly changing global environment. Design/methodology/approach The design of this study is based on the application of the core methods of Foresight. First, a trend analysis is undertaken using reviews and expert methods. Trends identified are mapped using a social, technological, economic, environmental, political and value (STEEPV) framework to ensure that a broad range of trends are covered, which may be stemming from various factors affecting the agriculture sector. The analysis of the big picture of global trends and challenges, interacting with country-specific structural factors, translates are translated into the opportunities and threats, which will in turn help to develop possible strategies for adaptation. Findings This study develops two adaptive strategies for the development of the Russian agroindustry that are feasible in different short- and long?term time horizons. The first strategy is considered to be the most likely choice for the period before 2020. It includes radical imports? substitution (of commodities as well as machinery and high-tech components) for ensuring national food security with inevitable temporary setbacks in efficiency and labour productivity. The second strategy, which becomes feasible after 2020, considers re-integrating Russia into global supply chains and expanding commodities exports (volumes and nomenclature) based on full-scale technological modernization with the use of international capital. Research limitations/implications The study design is based on the assumption that Russia?s position as a country, which is highly self-sufficient on basic agricultural products and large exporter of crop commodities and fertilizers, will remain unchanged in the horizon of at least 20 years. However, long-term forecasts should also scrutinize the possibility of radical structural changes. Therefore, future research should concentrate on wild cards that can completely disrupt and transform the Russian agriculture industry and as well as the whole economy. Practical implications This paper suggests a number of recommendations on national science and technology policy for the three main industries of the Russian agricultural sector: crop husbandry,…","author":[{"dropping-particle":"","family":"Saritas","given":"Ozcan","non-dropping-particle":"","parse-names":false,"suffix":""},{"dropping-particle":"","family":"Kuzminov","given":"Ilya","non-dropping-particle":"","parse-names":false,"suffix":""}],"container-title":"Foresight","id":"ITEM-1","issue":"2","issued":{"date-parts":[["2017"]]},"page":"218-250","title":"Global challenges and trends in agriculture: impacts on Russia and possible strategies for adaptation","type":"article-journal","volume":"19"},"uris":["http://www.mendeley.com/documents/?uuid=ddf0876e-b548-43b0-a9a6-b94a056cab41"]}],"mendeley":{"formattedCitation":"(Saritas &amp; Kuzminov, 2017)","plainTextFormattedCitation":"(Saritas &amp; Kuzminov, 2017)","previouslyFormattedCitation":"(Saritas &amp; Kuzminov, 2017)"},"properties":{"noteIndex":0},"schema":"https://github.com/citation-style-language/schema/raw/master/csl-citation.json"}</w:instrText>
      </w:r>
      <w:r w:rsidR="00240A19" w:rsidRPr="0048196F">
        <w:rPr>
          <w:lang w:val="en-US"/>
        </w:rPr>
        <w:fldChar w:fldCharType="separate"/>
      </w:r>
      <w:r w:rsidR="00240A19" w:rsidRPr="0048196F">
        <w:rPr>
          <w:noProof/>
          <w:lang w:val="en-US"/>
        </w:rPr>
        <w:t>(Saritas &amp; Kuzminov, 2017)</w:t>
      </w:r>
      <w:r w:rsidR="00240A19" w:rsidRPr="0048196F">
        <w:rPr>
          <w:lang w:val="en-US"/>
        </w:rPr>
        <w:fldChar w:fldCharType="end"/>
      </w:r>
      <w:r w:rsidR="00240A19" w:rsidRPr="0048196F">
        <w:rPr>
          <w:lang w:val="en-US"/>
        </w:rPr>
        <w:t xml:space="preserve"> </w:t>
      </w:r>
      <w:r w:rsidR="00B43E00" w:rsidRPr="0048196F">
        <w:rPr>
          <w:lang w:val="en-US"/>
        </w:rPr>
        <w:t xml:space="preserve">or </w:t>
      </w:r>
      <w:r w:rsidR="00965560" w:rsidRPr="0048196F">
        <w:rPr>
          <w:lang w:val="en-US"/>
        </w:rPr>
        <w:t>across</w:t>
      </w:r>
      <w:r w:rsidR="00B43E00" w:rsidRPr="0048196F">
        <w:rPr>
          <w:lang w:val="en-US"/>
        </w:rPr>
        <w:t xml:space="preserve"> all areas </w:t>
      </w:r>
      <w:r w:rsidR="00240A19" w:rsidRPr="0048196F">
        <w:rPr>
          <w:lang w:val="en-US"/>
        </w:rPr>
        <w:fldChar w:fldCharType="begin" w:fldLock="1"/>
      </w:r>
      <w:r w:rsidR="00240A19" w:rsidRPr="0048196F">
        <w:rPr>
          <w:lang w:val="en-US"/>
        </w:rPr>
        <w:instrText>ADDIN CSL_CITATION {"citationItems":[{"id":"ITEM-1","itemData":{"abstract":"Our future is unpredictable but we are not powerless to confront it. The future can be anticipated, explored, and its course can be changed. This is what the field of Futures Studies deals with. People can engage in thinking about the future through different means, with different objectives, in order to reduce uncertainties and prepare for what might happen. As shown below, Futures Studies allow us to navigate the past, the present and the future and inform us about the options, the choices we can make, and the actions we can take. The glossary contains concise, easily understandable definitions of the most common terms used in Futures Studies. For each term it provides a definition and some Notes and Illustrations/References allowing you to get additional knowledge if you wish so. The glossary intends to help readers and writers to better understand the meaning of these terms and how to use them when applied to food, agriculture and rural development. It will also help make your conversations about the future more shareable, as requested to the Platform at the 2nd Global Conference on Agricultural Research. This glossary was produced by volunteer members of the Forward Thinking Platform, a network of foresight practitioners from different sectors and disciplines, supported by the Global Forum on Agricultural Research (GFAR). It is the product of a collective venture which included two rounds of peer-review and a user pretest to improve its relevance, usefulness and user-friendliness. The definitions proposed make most people comfortable with them. However, they do not intend to prevail over others. The glossary is a living document and will be regularly updated.","author":[{"dropping-particle":"","family":"GFAR","given":"","non-dropping-particle":"","parse-names":false,"suffix":""}],"container-title":"A glossary of terms commonly used in futures studies","id":"ITEM-1","issued":{"date-parts":[["2014"]]},"page":"29","title":"A glossary of terms commonly used in Futures Studies","type":"article-journal"},"uris":["http://www.mendeley.com/documents/?uuid=a315fc89-9da6-4f59-9c28-a7983bc86555"]}],"mendeley":{"formattedCitation":"(GFAR, 2014)","plainTextFormattedCitation":"(GFAR, 2014)","previouslyFormattedCitation":"(GFAR, 2014)"},"properties":{"noteIndex":0},"schema":"https://github.com/citation-style-language/schema/raw/master/csl-citation.json"}</w:instrText>
      </w:r>
      <w:r w:rsidR="00240A19" w:rsidRPr="0048196F">
        <w:rPr>
          <w:lang w:val="en-US"/>
        </w:rPr>
        <w:fldChar w:fldCharType="separate"/>
      </w:r>
      <w:r w:rsidR="00240A19" w:rsidRPr="0048196F">
        <w:rPr>
          <w:noProof/>
          <w:lang w:val="en-US"/>
        </w:rPr>
        <w:t>(GFAR, 2014)</w:t>
      </w:r>
      <w:r w:rsidR="00240A19" w:rsidRPr="0048196F">
        <w:rPr>
          <w:lang w:val="en-US"/>
        </w:rPr>
        <w:fldChar w:fldCharType="end"/>
      </w:r>
      <w:r w:rsidR="00B43E00" w:rsidRPr="0048196F">
        <w:rPr>
          <w:lang w:val="en-US"/>
        </w:rPr>
        <w:t xml:space="preserve">. This research will make the distinction of trends and megatrends, based on a combination of both. A megatrend is longer term in nature, a development over time of at least 10 years and having a global impact. At last, a further specification can be made concerning technology. A technological trend is “a topical breakthrough and actively evolving direction of technological development, capable of having a significant on the economy and society in the future.” </w:t>
      </w:r>
      <w:r w:rsidR="00240A19" w:rsidRPr="0048196F">
        <w:rPr>
          <w:lang w:val="en-US"/>
        </w:rPr>
        <w:fldChar w:fldCharType="begin" w:fldLock="1"/>
      </w:r>
      <w:r w:rsidR="00A60A50" w:rsidRPr="0048196F">
        <w:rPr>
          <w:lang w:val="en-US"/>
        </w:rPr>
        <w:instrText>ADDIN CSL_CITATION {"citationItems":[{"id":"ITEM-1","itemData":{"ISSN":"1995459X","abstract":"Monitoring and accurate interpretation of the data on technological trends is a key prereq- uisite for the gaining competitive advantages in various economic sectors. Validation of ex- pert assessments via quantitative methods helps to reveal inexplicit signs of technological change based on the analysis of large data sets. Synthesis of qualitative and quantitative meth- ods enables identification of global technologi- cal trends, formalization of their criteria, and creation of automated information processing tools. The paper presents an analytical review of in- ternational practices for monitoring global technology trends, as well as the key theoreti- cal approaches and methods, which have been developed in this field.","author":[{"dropping-particle":"","family":"Mikova","given":"Nadezhda","non-dropping-particle":"","parse-names":false,"suffix":""},{"dropping-particle":"","family":"Sokolova","given":"Anna","non-dropping-particle":"","parse-names":false,"suffix":""}],"container-title":"Foresight-Russia","id":"ITEM-1","issue":"4","issued":{"date-parts":[["2014"]]},"page":"64-83","title":"Global Technology Trends Monitoring: Theoretical Frameworks and Best Practices*","type":"article-journal","volume":"8"},"uris":["http://www.mendeley.com/documents/?uuid=e938fdd7-14ca-4b46-9e24-5f44758eaa15"]}],"mendeley":{"formattedCitation":"(Mikova &amp; Sokolova, 2014)","plainTextFormattedCitation":"(Mikova &amp; Sokolova, 2014)","previouslyFormattedCitation":"(Mikova &amp; Sokolova, 2014)"},"properties":{"noteIndex":0},"schema":"https://github.com/citation-style-language/schema/raw/master/csl-citation.json"}</w:instrText>
      </w:r>
      <w:r w:rsidR="00240A19" w:rsidRPr="0048196F">
        <w:rPr>
          <w:lang w:val="en-US"/>
        </w:rPr>
        <w:fldChar w:fldCharType="separate"/>
      </w:r>
      <w:r w:rsidR="00240A19" w:rsidRPr="0048196F">
        <w:rPr>
          <w:noProof/>
          <w:lang w:val="en-US"/>
        </w:rPr>
        <w:t>(Mikova &amp; Sokolova, 2014)</w:t>
      </w:r>
      <w:r w:rsidR="00240A19" w:rsidRPr="0048196F">
        <w:rPr>
          <w:lang w:val="en-US"/>
        </w:rPr>
        <w:fldChar w:fldCharType="end"/>
      </w:r>
      <w:r w:rsidR="00240A19" w:rsidRPr="0048196F">
        <w:rPr>
          <w:lang w:val="en-US"/>
        </w:rPr>
        <w:t xml:space="preserve">. </w:t>
      </w:r>
      <w:r w:rsidR="00B43E00" w:rsidRPr="0048196F">
        <w:rPr>
          <w:lang w:val="en-US"/>
        </w:rPr>
        <w:t xml:space="preserve"> </w:t>
      </w:r>
    </w:p>
    <w:p w14:paraId="4E5A29B2" w14:textId="77777777" w:rsidR="00B31276" w:rsidRPr="0048196F" w:rsidRDefault="00B31276" w:rsidP="00B045A3">
      <w:pPr>
        <w:pStyle w:val="Heading3"/>
        <w:numPr>
          <w:ilvl w:val="2"/>
          <w:numId w:val="40"/>
        </w:numPr>
        <w:rPr>
          <w:lang w:val="en-US"/>
        </w:rPr>
      </w:pPr>
      <w:bookmarkStart w:id="47" w:name="_Toc14347314"/>
      <w:r w:rsidRPr="0048196F">
        <w:rPr>
          <w:lang w:val="en-US"/>
        </w:rPr>
        <w:t>Drivers of change</w:t>
      </w:r>
      <w:bookmarkEnd w:id="47"/>
    </w:p>
    <w:p w14:paraId="6AF45D29" w14:textId="4C6C949E" w:rsidR="003D386E" w:rsidRPr="0048196F" w:rsidRDefault="00B31276" w:rsidP="00B31276">
      <w:pPr>
        <w:spacing w:line="360" w:lineRule="auto"/>
        <w:rPr>
          <w:lang w:val="en-US"/>
        </w:rPr>
      </w:pPr>
      <w:r w:rsidRPr="0048196F">
        <w:rPr>
          <w:rFonts w:ascii="MinionPro" w:hAnsi="MinionPro"/>
          <w:lang w:val="en-US"/>
        </w:rPr>
        <w:t>The definition of a driver of change, accepted by FAO, is adopted from</w:t>
      </w:r>
      <w:r w:rsidR="00240A19" w:rsidRPr="0048196F">
        <w:rPr>
          <w:rFonts w:ascii="MinionPro" w:hAnsi="MinionPro"/>
          <w:lang w:val="en-US"/>
        </w:rPr>
        <w:t xml:space="preserve"> </w:t>
      </w:r>
      <w:r w:rsidR="00240A19" w:rsidRPr="0048196F">
        <w:rPr>
          <w:lang w:val="en-US"/>
        </w:rPr>
        <w:fldChar w:fldCharType="begin" w:fldLock="1"/>
      </w:r>
      <w:r w:rsidR="00240A19" w:rsidRPr="0048196F">
        <w:rPr>
          <w:lang w:val="en-US"/>
        </w:rPr>
        <w:instrText>ADDIN CSL_CITATION {"citationItems":[{"id":"ITEM-1","itemData":{"DOI":"10.1016/j.futures.2010.11.007","ISSN":"00163287","abstract":"Following work done in the UK, Canada and now starting across Europe,. 1 1UK Ministry of Defence, UK Foresight Office Horizon Scan; Global Futures Forum Vancouver April 2008, Europe @ 2025 European Commission. there appears to be renewed interest in charting the boundaries of what to expect between 2010 and 2025 as the character of the 21st century begins to become firmly established. What are the shaping forces, or sources of change and what might be their impacts, particularly where these may create entirely new challenges and opportunities? Futures experts (attendees of the FTA 2008 Conference) were invited to state their opinions on these questions by considering the trends, drivers, wilds cards, discontinuities and weak signals likely to shape the future through the Big Picture Survey. The survey was launched 6 months prior to the Conference. More than 250 responses were submitted by the Conference date. The results collected were synthesised and presented back to the attendees in a plenary presentation by the authors. The current paper aims to clarify the concepts first by suggesting definitions and discussing the distinctions between them. The paper then presents the rationales of conducting the Big Picture Survey (BPS), presents its methodology and discusses the results of the survey in a greater extent. © 2010 Elsevier Ltd.","author":[{"dropping-particle":"","family":"Saritas","given":"Ozcan","non-dropping-particle":"","parse-names":false,"suffix":""},{"dropping-particle":"","family":"Smith","given":"Jack E.","non-dropping-particle":"","parse-names":false,"suffix":""}],"container-title":"Futures","id":"ITEM-1","issue":"3","issued":{"date-parts":[["2011"]]},"page":"292-312","title":"The Big Picture - trends, drivers, wild cards, discontinuities and weak signals","type":"article-journal","volume":"43"},"uris":["http://www.mendeley.com/documents/?uuid=9d2b23d7-845f-438e-9142-a3e5c2db6db7"]}],"mendeley":{"formattedCitation":"(Saritas &amp; Smith, 2011)","manualFormatting":"(Saritas &amp; Smith, 2011, p.295)","plainTextFormattedCitation":"(Saritas &amp; Smith, 2011)","previouslyFormattedCitation":"(Saritas &amp; Smith, 2011)"},"properties":{"noteIndex":0},"schema":"https://github.com/citation-style-language/schema/raw/master/csl-citation.json"}</w:instrText>
      </w:r>
      <w:r w:rsidR="00240A19" w:rsidRPr="0048196F">
        <w:rPr>
          <w:lang w:val="en-US"/>
        </w:rPr>
        <w:fldChar w:fldCharType="separate"/>
      </w:r>
      <w:r w:rsidR="00240A19" w:rsidRPr="0048196F">
        <w:rPr>
          <w:noProof/>
          <w:lang w:val="en-US"/>
        </w:rPr>
        <w:t>(Saritas &amp; Smith, 2011, p.295)</w:t>
      </w:r>
      <w:r w:rsidR="00240A19" w:rsidRPr="0048196F">
        <w:rPr>
          <w:lang w:val="en-US"/>
        </w:rPr>
        <w:fldChar w:fldCharType="end"/>
      </w:r>
    </w:p>
    <w:p w14:paraId="21674706" w14:textId="77FACB13" w:rsidR="003D386E" w:rsidRPr="0048196F" w:rsidRDefault="00B31276" w:rsidP="00B31276">
      <w:pPr>
        <w:spacing w:line="360" w:lineRule="auto"/>
        <w:rPr>
          <w:rFonts w:ascii="MinionPro" w:hAnsi="MinionPro"/>
          <w:i/>
          <w:lang w:val="en-US"/>
        </w:rPr>
      </w:pPr>
      <w:r w:rsidRPr="0048196F">
        <w:rPr>
          <w:rFonts w:ascii="MinionPro" w:hAnsi="MinionPro"/>
          <w:i/>
          <w:lang w:val="en-US"/>
        </w:rPr>
        <w:t>“Drivers of change are those factors, forces or events [...] which may be amenable to changes according to one’s strategic choices, investments, R&amp;D activities or foresight knowledge and strategies. They are both presently accessible and future relevant”</w:t>
      </w:r>
    </w:p>
    <w:p w14:paraId="6B4D83B9" w14:textId="77777777" w:rsidR="0030628F" w:rsidRPr="0048196F" w:rsidRDefault="0030628F" w:rsidP="00B31276">
      <w:pPr>
        <w:spacing w:line="360" w:lineRule="auto"/>
        <w:rPr>
          <w:rFonts w:ascii="MinionPro" w:hAnsi="MinionPro"/>
          <w:i/>
          <w:lang w:val="en-US"/>
        </w:rPr>
      </w:pPr>
    </w:p>
    <w:p w14:paraId="409AD057" w14:textId="77777777" w:rsidR="00B31276" w:rsidRPr="0048196F" w:rsidRDefault="00B31276" w:rsidP="00B31276">
      <w:pPr>
        <w:spacing w:line="360" w:lineRule="auto"/>
        <w:rPr>
          <w:rFonts w:ascii="MinionPro" w:hAnsi="MinionPro"/>
          <w:lang w:val="en-US"/>
        </w:rPr>
      </w:pPr>
      <w:r w:rsidRPr="0048196F">
        <w:rPr>
          <w:rFonts w:ascii="MinionPro" w:hAnsi="MinionPro"/>
          <w:lang w:val="en-US"/>
        </w:rPr>
        <w:t xml:space="preserve">Examples given are climate policies, science &amp; technological developments and shifts in demand. Authors note the difference between a trend and a driver of change to be the varying impact from year to year, and the influence one can have on a driver of change.  </w:t>
      </w:r>
    </w:p>
    <w:p w14:paraId="257839A0" w14:textId="20A34E23" w:rsidR="00595C6B" w:rsidRPr="0048196F" w:rsidRDefault="00B31276" w:rsidP="00B31276">
      <w:pPr>
        <w:spacing w:line="360" w:lineRule="auto"/>
        <w:rPr>
          <w:rFonts w:ascii="MinionPro" w:hAnsi="MinionPro"/>
          <w:lang w:val="en-US"/>
        </w:rPr>
      </w:pPr>
      <w:r w:rsidRPr="0048196F">
        <w:rPr>
          <w:rFonts w:ascii="MinionPro" w:hAnsi="MinionPro"/>
          <w:lang w:val="en-US"/>
        </w:rPr>
        <w:t xml:space="preserve">This results in uncertainty being a key characteristic of drivers of change. A driver is accessible for stakeholders and could go one way or the opposite, influencing one’s business or institutional environment greatly. </w:t>
      </w:r>
    </w:p>
    <w:p w14:paraId="31A96E6F" w14:textId="77777777" w:rsidR="00BA2755" w:rsidRPr="0048196F" w:rsidRDefault="00BA2755" w:rsidP="00B045A3">
      <w:pPr>
        <w:rPr>
          <w:lang w:val="en-US"/>
        </w:rPr>
      </w:pPr>
    </w:p>
    <w:p w14:paraId="53605ADC" w14:textId="2557BAE3" w:rsidR="00B31276" w:rsidRPr="0048196F" w:rsidRDefault="00B31276" w:rsidP="00B045A3">
      <w:pPr>
        <w:pStyle w:val="Heading3"/>
        <w:rPr>
          <w:lang w:val="en-US"/>
        </w:rPr>
      </w:pPr>
      <w:bookmarkStart w:id="48" w:name="_Toc14347315"/>
      <w:r w:rsidRPr="0048196F">
        <w:rPr>
          <w:lang w:val="en-US"/>
        </w:rPr>
        <w:t>Trend Map</w:t>
      </w:r>
      <w:bookmarkEnd w:id="48"/>
    </w:p>
    <w:p w14:paraId="247B4A31" w14:textId="7A24D0C3" w:rsidR="00745A20" w:rsidRPr="0048196F" w:rsidRDefault="00B31276" w:rsidP="00B31276">
      <w:pPr>
        <w:spacing w:line="360" w:lineRule="auto"/>
        <w:rPr>
          <w:lang w:val="en-US"/>
        </w:rPr>
      </w:pPr>
      <w:r w:rsidRPr="0048196F">
        <w:rPr>
          <w:lang w:val="en-US"/>
        </w:rPr>
        <w:t>As mentioned among the objectives a trend map will be developed. Consulting firm FSG (Guide to trend mapping, 2017) defines a trend map as “a visual depiction of relevant trends influencing the system around a given topic”. Such visualization is generally speaking an effective strategy to overcome information overload due to the limited working memory of individuals</w:t>
      </w:r>
      <w:r w:rsidR="00240A19" w:rsidRPr="0048196F">
        <w:rPr>
          <w:lang w:val="en-US"/>
        </w:rPr>
        <w:t xml:space="preserve"> </w:t>
      </w:r>
      <w:r w:rsidR="00A60A50" w:rsidRPr="0048196F">
        <w:rPr>
          <w:lang w:val="en-US"/>
        </w:rPr>
        <w:fldChar w:fldCharType="begin" w:fldLock="1"/>
      </w:r>
      <w:r w:rsidR="00CD0E1F" w:rsidRPr="0048196F">
        <w:rPr>
          <w:lang w:val="en-US"/>
        </w:rPr>
        <w:instrText>ADDIN CSL_CITATION {"citationItems":[{"id":"ITEM-1","itemData":{"DOI":"10.1038/sj.bjc.6604183","ISBN":"0007-0920 (Print)\\r0007-0920 (Linking)","ISSN":"00070920","PMID":"18256588","abstract":"We examined the relation with birth weight and umbilical cord blood concentrations of haematopoietic stem and progenitor populations in 288 singleton infants. Across the whole range of birth weight, there was a positive relation between birth weight and CD34+CD38(-) cells, with each 500 g increase in birth weight being associated with a 15.5% higher (95% confidence interval: 1.6-31.3%) cell concentration. CD34+ and CD34+c-kit+ cells had J-shaped relations and CFU-GM cells had a U-shaped relation with birth weight. Among newborns with &gt;or=3000 g birth weights, concentrations of these cells increased with birth weight, while those below 3000 g had higher stem cell concentrations than the reference category of 3000-3499 g. Adjustment for cord blood plasma insulin-like growth factor-1 levels weakened the stem and progenitor cell-birth weight associations. The positive associations between birth weight and stem cell measurements for term newborns with a normal-to-high birth weight support the stem cell burden hypothesis of cancer risk.","author":[{"dropping-particle":"","family":"Gavrilova","given":"Tatiana","non-dropping-particle":"","parse-names":false,"suffix":""},{"dropping-particle":"","family":"Alsufyev","given":"Artem","non-dropping-particle":"","parse-names":false,"suffix":""},{"dropping-particle":"","family":"Gladkova","given":"Margarita","non-dropping-particle":"","parse-names":false,"suffix":""}],"container-title":"British Journal of Cancer","id":"ITEM-1","issue":"3","issued":{"date-parts":[["2008"]]},"page":"660-663","title":"Perceptual factors in knowledge map visual design Tatiana","type":"article-journal","volume":"98"},"uris":["http://www.mendeley.com/documents/?uuid=0102b9d4-3f66-4a69-b61b-214f435d2fd4"]}],"mendeley":{"formattedCitation":"(Gavrilova, Alsufyev, &amp; Gladkova, 2008)","plainTextFormattedCitation":"(Gavrilova, Alsufyev, &amp; Gladkova, 2008)","previouslyFormattedCitation":"(Gavrilova, Alsufyev, &amp; Gladkova, 2008)"},"properties":{"noteIndex":0},"schema":"https://github.com/citation-style-language/schema/raw/master/csl-citation.json"}</w:instrText>
      </w:r>
      <w:r w:rsidR="00A60A50" w:rsidRPr="0048196F">
        <w:rPr>
          <w:lang w:val="en-US"/>
        </w:rPr>
        <w:fldChar w:fldCharType="separate"/>
      </w:r>
      <w:r w:rsidR="00A60A50" w:rsidRPr="0048196F">
        <w:rPr>
          <w:noProof/>
          <w:lang w:val="en-US"/>
        </w:rPr>
        <w:t>(Gavrilova, Alsufyev, &amp; Gladkova, 2008)</w:t>
      </w:r>
      <w:r w:rsidR="00A60A50" w:rsidRPr="0048196F">
        <w:rPr>
          <w:lang w:val="en-US"/>
        </w:rPr>
        <w:fldChar w:fldCharType="end"/>
      </w:r>
      <w:r w:rsidR="00A60A50" w:rsidRPr="0048196F">
        <w:rPr>
          <w:lang w:val="en-US"/>
        </w:rPr>
        <w:t xml:space="preserve">. </w:t>
      </w:r>
      <w:r w:rsidRPr="0048196F">
        <w:rPr>
          <w:lang w:val="en-US"/>
        </w:rPr>
        <w:t xml:space="preserve">This </w:t>
      </w:r>
      <w:r w:rsidR="00A60A50" w:rsidRPr="0048196F">
        <w:rPr>
          <w:lang w:val="en-US"/>
        </w:rPr>
        <w:t xml:space="preserve">additionally </w:t>
      </w:r>
      <w:r w:rsidRPr="0048196F">
        <w:rPr>
          <w:lang w:val="en-US"/>
        </w:rPr>
        <w:t xml:space="preserve">allows the more effective transfer of not just facts, but insights, relations and principles that allow the recipient to reconstruct meaning (Eppler &amp; Burkhard 2007). Within academics however, a Scopus search with the key words “trend map” returns solely results concerning the visualization of time series trends, and not with trend maps as defined previously. Within academics the trend map intended by this research </w:t>
      </w:r>
      <w:r w:rsidR="00703640" w:rsidRPr="0048196F">
        <w:rPr>
          <w:lang w:val="en-US"/>
        </w:rPr>
        <w:t>is a subset of the</w:t>
      </w:r>
      <w:r w:rsidRPr="0048196F">
        <w:rPr>
          <w:lang w:val="en-US"/>
        </w:rPr>
        <w:t xml:space="preserve"> discipline of knowledge visualization: “Examining the use of visual representations to improve the transfer and creation of knowledge between at least two persons" (Eppler &amp; Burkhard, 2004).</w:t>
      </w:r>
    </w:p>
    <w:p w14:paraId="5160211F" w14:textId="4A97999A" w:rsidR="0079670E" w:rsidRPr="0048196F" w:rsidRDefault="0079670E" w:rsidP="008E2C26">
      <w:pPr>
        <w:pStyle w:val="Caption"/>
        <w:framePr w:hSpace="141" w:wrap="around" w:vAnchor="text" w:hAnchor="page" w:x="2029" w:y="487"/>
        <w:rPr>
          <w:lang w:val="en-US"/>
        </w:rPr>
      </w:pPr>
      <w:bookmarkStart w:id="49" w:name="_Toc14347490"/>
      <w:r w:rsidRPr="0048196F">
        <w:rPr>
          <w:lang w:val="en-US"/>
        </w:rPr>
        <w:t xml:space="preserve">Table </w:t>
      </w:r>
      <w:r w:rsidR="000D0D31">
        <w:rPr>
          <w:lang w:val="en-US"/>
        </w:rPr>
        <w:fldChar w:fldCharType="begin"/>
      </w:r>
      <w:r w:rsidR="000D0D31">
        <w:rPr>
          <w:lang w:val="en-US"/>
        </w:rPr>
        <w:instrText xml:space="preserve"> SEQ Table \* ARABIC </w:instrText>
      </w:r>
      <w:r w:rsidR="000D0D31">
        <w:rPr>
          <w:lang w:val="en-US"/>
        </w:rPr>
        <w:fldChar w:fldCharType="separate"/>
      </w:r>
      <w:r w:rsidR="009F0429">
        <w:rPr>
          <w:noProof/>
          <w:lang w:val="en-US"/>
        </w:rPr>
        <w:t>1</w:t>
      </w:r>
      <w:r w:rsidR="000D0D31">
        <w:rPr>
          <w:lang w:val="en-US"/>
        </w:rPr>
        <w:fldChar w:fldCharType="end"/>
      </w:r>
      <w:r w:rsidRPr="0048196F">
        <w:rPr>
          <w:lang w:val="en-US"/>
        </w:rPr>
        <w:t>: Definitions of trend related terms</w:t>
      </w:r>
      <w:bookmarkEnd w:id="49"/>
    </w:p>
    <w:p w14:paraId="2C8AA776" w14:textId="77777777" w:rsidR="00971A8E" w:rsidRPr="0048196F" w:rsidRDefault="00971A8E" w:rsidP="00B31276">
      <w:pPr>
        <w:spacing w:line="360" w:lineRule="auto"/>
        <w:rPr>
          <w:lang w:val="en-US"/>
        </w:rPr>
      </w:pPr>
    </w:p>
    <w:p w14:paraId="6C13376F" w14:textId="7ED306BE" w:rsidR="00965560" w:rsidRPr="0048196F" w:rsidRDefault="00965560" w:rsidP="00B31276">
      <w:pPr>
        <w:spacing w:line="360" w:lineRule="auto"/>
        <w:rPr>
          <w:rFonts w:ascii="MinionPro" w:hAnsi="MinionPro"/>
          <w:lang w:val="en-US"/>
        </w:rPr>
      </w:pPr>
    </w:p>
    <w:tbl>
      <w:tblPr>
        <w:tblpPr w:leftFromText="141" w:rightFromText="141" w:vertAnchor="text" w:horzAnchor="margin" w:tblpY="-76"/>
        <w:tblW w:w="0" w:type="auto"/>
        <w:tblBorders>
          <w:top w:val="single" w:sz="4" w:space="0" w:color="auto"/>
          <w:bottom w:val="single" w:sz="4" w:space="0" w:color="auto"/>
        </w:tblBorders>
        <w:tblLook w:val="04A0" w:firstRow="1" w:lastRow="0" w:firstColumn="1" w:lastColumn="0" w:noHBand="0" w:noVBand="1"/>
      </w:tblPr>
      <w:tblGrid>
        <w:gridCol w:w="2316"/>
        <w:gridCol w:w="6166"/>
      </w:tblGrid>
      <w:tr w:rsidR="008F0066" w:rsidRPr="00AB4713" w14:paraId="716789D2" w14:textId="77777777" w:rsidTr="008F0066">
        <w:tc>
          <w:tcPr>
            <w:tcW w:w="2405" w:type="dxa"/>
            <w:tcBorders>
              <w:top w:val="single" w:sz="4" w:space="0" w:color="auto"/>
              <w:bottom w:val="single" w:sz="4" w:space="0" w:color="auto"/>
            </w:tcBorders>
          </w:tcPr>
          <w:p w14:paraId="06C96AB3" w14:textId="5B7D2543" w:rsidR="008F0066" w:rsidRPr="008F0066" w:rsidRDefault="008F0066" w:rsidP="00965560">
            <w:pPr>
              <w:spacing w:line="360" w:lineRule="auto"/>
              <w:rPr>
                <w:rFonts w:ascii="MinionPro" w:hAnsi="MinionPro"/>
                <w:b/>
                <w:lang w:val="en-US"/>
              </w:rPr>
            </w:pPr>
            <w:r w:rsidRPr="008F0066">
              <w:rPr>
                <w:rFonts w:ascii="MinionPro" w:hAnsi="MinionPro"/>
                <w:b/>
                <w:lang w:val="en-US"/>
              </w:rPr>
              <w:t>Term</w:t>
            </w:r>
          </w:p>
        </w:tc>
        <w:tc>
          <w:tcPr>
            <w:tcW w:w="6651" w:type="dxa"/>
            <w:tcBorders>
              <w:top w:val="single" w:sz="4" w:space="0" w:color="auto"/>
              <w:bottom w:val="single" w:sz="4" w:space="0" w:color="auto"/>
            </w:tcBorders>
          </w:tcPr>
          <w:p w14:paraId="780EF8B1" w14:textId="0BED9782" w:rsidR="008F0066" w:rsidRPr="008F0066" w:rsidRDefault="008F0066" w:rsidP="00965560">
            <w:pPr>
              <w:spacing w:line="360" w:lineRule="auto"/>
              <w:rPr>
                <w:b/>
                <w:lang w:val="en-US"/>
              </w:rPr>
            </w:pPr>
            <w:r w:rsidRPr="008F0066">
              <w:rPr>
                <w:b/>
                <w:lang w:val="en-US"/>
              </w:rPr>
              <w:t>Definition</w:t>
            </w:r>
          </w:p>
        </w:tc>
      </w:tr>
      <w:tr w:rsidR="00965560" w:rsidRPr="00AB4713" w14:paraId="42FE80EA" w14:textId="77777777" w:rsidTr="008F0066">
        <w:tc>
          <w:tcPr>
            <w:tcW w:w="2405" w:type="dxa"/>
            <w:tcBorders>
              <w:top w:val="single" w:sz="4" w:space="0" w:color="auto"/>
            </w:tcBorders>
          </w:tcPr>
          <w:p w14:paraId="3CC338AA" w14:textId="77777777" w:rsidR="00965560" w:rsidRPr="008F0066" w:rsidRDefault="00965560" w:rsidP="00965560">
            <w:pPr>
              <w:spacing w:line="360" w:lineRule="auto"/>
              <w:rPr>
                <w:rFonts w:ascii="MinionPro" w:hAnsi="MinionPro"/>
                <w:bCs/>
                <w:lang w:val="en-US"/>
              </w:rPr>
            </w:pPr>
            <w:r w:rsidRPr="008F0066">
              <w:rPr>
                <w:rFonts w:ascii="MinionPro" w:hAnsi="MinionPro"/>
                <w:bCs/>
                <w:lang w:val="en-US"/>
              </w:rPr>
              <w:t>Trend</w:t>
            </w:r>
          </w:p>
        </w:tc>
        <w:tc>
          <w:tcPr>
            <w:tcW w:w="6651" w:type="dxa"/>
            <w:tcBorders>
              <w:top w:val="single" w:sz="4" w:space="0" w:color="auto"/>
            </w:tcBorders>
          </w:tcPr>
          <w:p w14:paraId="28619785" w14:textId="77777777" w:rsidR="00965560" w:rsidRPr="0048196F" w:rsidRDefault="00965560" w:rsidP="00965560">
            <w:pPr>
              <w:spacing w:line="360" w:lineRule="auto"/>
              <w:rPr>
                <w:rFonts w:ascii="MinionPro" w:hAnsi="MinionPro"/>
                <w:lang w:val="en-US"/>
              </w:rPr>
            </w:pPr>
            <w:r w:rsidRPr="0048196F">
              <w:rPr>
                <w:lang w:val="en-US"/>
              </w:rPr>
              <w:t>“A general tendency of a movement/change over time”</w:t>
            </w:r>
            <w:r w:rsidRPr="0048196F">
              <w:rPr>
                <w:lang w:val="en-US"/>
              </w:rPr>
              <w:fldChar w:fldCharType="begin" w:fldLock="1"/>
            </w:r>
            <w:r w:rsidRPr="0048196F">
              <w:rPr>
                <w:lang w:val="en-US"/>
              </w:rPr>
              <w:instrText>ADDIN CSL_CITATION {"citationItems":[{"id":"ITEM-1","itemData":{"abstract":"Our future is unpredictable but we are not powerless to confront it. The future can be anticipated, explored, and its course can be changed. This is what the field of Futures Studies deals with. People can engage in thinking about the future through different means, with different objectives, in order to reduce uncertainties and prepare for what might happen. As shown below, Futures Studies allow us to navigate the past, the present and the future and inform us about the options, the choices we can make, and the actions we can take. The glossary contains concise, easily understandable definitions of the most common terms used in Futures Studies. For each term it provides a definition and some Notes and Illustrations/References allowing you to get additional knowledge if you wish so. The glossary intends to help readers and writers to better understand the meaning of these terms and how to use them when applied to food, agriculture and rural development. It will also help make your conversations about the future more shareable, as requested to the Platform at the 2nd Global Conference on Agricultural Research. This glossary was produced by volunteer members of the Forward Thinking Platform, a network of foresight practitioners from different sectors and disciplines, supported by the Global Forum on Agricultural Research (GFAR). It is the product of a collective venture which included two rounds of peer-review and a user pretest to improve its relevance, usefulness and user-friendliness. The definitions proposed make most people comfortable with them. However, they do not intend to prevail over others. The glossary is a living document and will be regularly updated.","author":[{"dropping-particle":"","family":"GFAR","given":"","non-dropping-particle":"","parse-names":false,"suffix":""}],"container-title":"A glossary of terms commonly used in futures studies","id":"ITEM-1","issued":{"date-parts":[["2014"]]},"page":"29","title":"A glossary of terms commonly used in Futures Studies","type":"article-journal"},"uris":["http://www.mendeley.com/documents/?uuid=a315fc89-9da6-4f59-9c28-a7983bc86555"]}],"mendeley":{"formattedCitation":"(GFAR, 2014)","plainTextFormattedCitation":"(GFAR, 2014)","previouslyFormattedCitation":"(GFAR, 2014)"},"properties":{"noteIndex":0},"schema":"https://github.com/citation-style-language/schema/raw/master/csl-citation.json"}</w:instrText>
            </w:r>
            <w:r w:rsidRPr="0048196F">
              <w:rPr>
                <w:lang w:val="en-US"/>
              </w:rPr>
              <w:fldChar w:fldCharType="separate"/>
            </w:r>
            <w:r w:rsidRPr="0048196F">
              <w:rPr>
                <w:noProof/>
                <w:lang w:val="en-US"/>
              </w:rPr>
              <w:t>(GFAR, 2014)</w:t>
            </w:r>
            <w:r w:rsidRPr="0048196F">
              <w:rPr>
                <w:lang w:val="en-US"/>
              </w:rPr>
              <w:fldChar w:fldCharType="end"/>
            </w:r>
          </w:p>
        </w:tc>
      </w:tr>
      <w:tr w:rsidR="00965560" w:rsidRPr="00AB4713" w14:paraId="0B5A7EB8" w14:textId="77777777" w:rsidTr="0079670E">
        <w:tc>
          <w:tcPr>
            <w:tcW w:w="2405" w:type="dxa"/>
          </w:tcPr>
          <w:p w14:paraId="38A4624E" w14:textId="77777777" w:rsidR="00965560" w:rsidRPr="008F0066" w:rsidRDefault="00965560" w:rsidP="00965560">
            <w:pPr>
              <w:spacing w:line="360" w:lineRule="auto"/>
              <w:rPr>
                <w:rFonts w:ascii="MinionPro" w:hAnsi="MinionPro"/>
                <w:bCs/>
                <w:lang w:val="en-US"/>
              </w:rPr>
            </w:pPr>
            <w:r w:rsidRPr="008F0066">
              <w:rPr>
                <w:rFonts w:ascii="MinionPro" w:hAnsi="MinionPro"/>
                <w:bCs/>
                <w:lang w:val="en-US"/>
              </w:rPr>
              <w:t>Megatrend</w:t>
            </w:r>
          </w:p>
        </w:tc>
        <w:tc>
          <w:tcPr>
            <w:tcW w:w="6651" w:type="dxa"/>
          </w:tcPr>
          <w:p w14:paraId="155C2740" w14:textId="77777777" w:rsidR="00965560" w:rsidRPr="0048196F" w:rsidRDefault="00965560" w:rsidP="00965560">
            <w:pPr>
              <w:spacing w:line="360" w:lineRule="auto"/>
              <w:rPr>
                <w:rFonts w:ascii="MinionPro" w:hAnsi="MinionPro"/>
                <w:lang w:val="en-US"/>
              </w:rPr>
            </w:pPr>
            <w:r w:rsidRPr="0048196F">
              <w:rPr>
                <w:rFonts w:ascii="MinionPro" w:hAnsi="MinionPro"/>
                <w:lang w:val="en-US"/>
              </w:rPr>
              <w:t xml:space="preserve">“A longer-term trend of at least 10-15 years with a global impact” </w:t>
            </w:r>
            <w:r w:rsidRPr="0048196F">
              <w:rPr>
                <w:rFonts w:ascii="MinionPro" w:hAnsi="MinionPro"/>
                <w:lang w:val="en-US"/>
              </w:rPr>
              <w:fldChar w:fldCharType="begin" w:fldLock="1"/>
            </w:r>
            <w:r w:rsidRPr="0048196F">
              <w:rPr>
                <w:rFonts w:ascii="MinionPro" w:hAnsi="MinionPro"/>
                <w:lang w:val="en-US"/>
              </w:rPr>
              <w:instrText>ADDIN CSL_CITATION {"citationItems":[{"id":"ITEM-1","itemData":{"abstract":"Our future is unpredictable but we are not powerless to confront it. The future can be anticipated, explored, and its course can be changed. This is what the field of Futures Studies deals with. People can engage in thinking about the future through different means, with different objectives, in order to reduce uncertainties and prepare for what might happen. As shown below, Futures Studies allow us to navigate the past, the present and the future and inform us about the options, the choices we can make, and the actions we can take. The glossary contains concise, easily understandable definitions of the most common terms used in Futures Studies. For each term it provides a definition and some Notes and Illustrations/References allowing you to get additional knowledge if you wish so. The glossary intends to help readers and writers to better understand the meaning of these terms and how to use them when applied to food, agriculture and rural development. It will also help make your conversations about the future more shareable, as requested to the Platform at the 2nd Global Conference on Agricultural Research. This glossary was produced by volunteer members of the Forward Thinking Platform, a network of foresight practitioners from different sectors and disciplines, supported by the Global Forum on Agricultural Research (GFAR). It is the product of a collective venture which included two rounds of peer-review and a user pretest to improve its relevance, usefulness and user-friendliness. The definitions proposed make most people comfortable with them. However, they do not intend to prevail over others. The glossary is a living document and will be regularly updated.","author":[{"dropping-particle":"","family":"GFAR","given":"","non-dropping-particle":"","parse-names":false,"suffix":""}],"container-title":"A glossary of terms commonly used in futures studies","id":"ITEM-1","issued":{"date-parts":[["2014"]]},"page":"29","title":"A glossary of terms commonly used in Futures Studies","type":"article-journal"},"uris":["http://www.mendeley.com/documents/?uuid=a315fc89-9da6-4f59-9c28-a7983bc86555"]}],"mendeley":{"formattedCitation":"(GFAR, 2014)","plainTextFormattedCitation":"(GFAR, 2014)","previouslyFormattedCitation":"(GFAR, 2014)"},"properties":{"noteIndex":0},"schema":"https://github.com/citation-style-language/schema/raw/master/csl-citation.json"}</w:instrText>
            </w:r>
            <w:r w:rsidRPr="0048196F">
              <w:rPr>
                <w:rFonts w:ascii="MinionPro" w:hAnsi="MinionPro"/>
                <w:lang w:val="en-US"/>
              </w:rPr>
              <w:fldChar w:fldCharType="separate"/>
            </w:r>
            <w:r w:rsidRPr="0048196F">
              <w:rPr>
                <w:rFonts w:ascii="MinionPro" w:hAnsi="MinionPro"/>
                <w:noProof/>
                <w:lang w:val="en-US"/>
              </w:rPr>
              <w:t>(GFAR, 2014)</w:t>
            </w:r>
            <w:r w:rsidRPr="0048196F">
              <w:rPr>
                <w:rFonts w:ascii="MinionPro" w:hAnsi="MinionPro"/>
                <w:lang w:val="en-US"/>
              </w:rPr>
              <w:fldChar w:fldCharType="end"/>
            </w:r>
          </w:p>
        </w:tc>
      </w:tr>
      <w:tr w:rsidR="00965560" w:rsidRPr="00AB4713" w14:paraId="06FE7092" w14:textId="77777777" w:rsidTr="0079670E">
        <w:tc>
          <w:tcPr>
            <w:tcW w:w="2405" w:type="dxa"/>
          </w:tcPr>
          <w:p w14:paraId="29BC22BA" w14:textId="77777777" w:rsidR="00965560" w:rsidRPr="008F0066" w:rsidRDefault="00965560" w:rsidP="00965560">
            <w:pPr>
              <w:spacing w:line="360" w:lineRule="auto"/>
              <w:rPr>
                <w:rFonts w:ascii="MinionPro" w:hAnsi="MinionPro"/>
                <w:bCs/>
                <w:lang w:val="en-US"/>
              </w:rPr>
            </w:pPr>
            <w:r w:rsidRPr="008F0066">
              <w:rPr>
                <w:rFonts w:ascii="MinionPro" w:hAnsi="MinionPro"/>
                <w:bCs/>
                <w:lang w:val="en-US"/>
              </w:rPr>
              <w:t>Technological trend</w:t>
            </w:r>
          </w:p>
        </w:tc>
        <w:tc>
          <w:tcPr>
            <w:tcW w:w="6651" w:type="dxa"/>
          </w:tcPr>
          <w:p w14:paraId="318CF0CB" w14:textId="77777777" w:rsidR="00965560" w:rsidRPr="0048196F" w:rsidRDefault="00965560" w:rsidP="00965560">
            <w:pPr>
              <w:spacing w:line="360" w:lineRule="auto"/>
              <w:rPr>
                <w:rFonts w:ascii="MinionPro" w:hAnsi="MinionPro"/>
                <w:lang w:val="en-US"/>
              </w:rPr>
            </w:pPr>
            <w:r w:rsidRPr="0048196F">
              <w:rPr>
                <w:rFonts w:ascii="MinionPro" w:hAnsi="MinionPro"/>
                <w:lang w:val="en-US"/>
              </w:rPr>
              <w:t>“An active direction of technological development”</w:t>
            </w:r>
            <w:r w:rsidRPr="0048196F">
              <w:rPr>
                <w:rFonts w:ascii="MinionPro" w:hAnsi="MinionPro"/>
                <w:lang w:val="en-US"/>
              </w:rPr>
              <w:fldChar w:fldCharType="begin" w:fldLock="1"/>
            </w:r>
            <w:r w:rsidRPr="0048196F">
              <w:rPr>
                <w:rFonts w:ascii="MinionPro" w:hAnsi="MinionPro"/>
                <w:lang w:val="en-US"/>
              </w:rPr>
              <w:instrText>ADDIN CSL_CITATION {"citationItems":[{"id":"ITEM-1","itemData":{"ISSN":"1995459X","abstract":"Monitoring and accurate interpretation of the data on technological trends is a key prereq- uisite for the gaining competitive advantages in various economic sectors. Validation of ex- pert assessments via quantitative methods helps to reveal inexplicit signs of technological change based on the analysis of large data sets. Synthesis of qualitative and quantitative meth- ods enables identification of global technologi- cal trends, formalization of their criteria, and creation of automated information processing tools. The paper presents an analytical review of in- ternational practices for monitoring global technology trends, as well as the key theoreti- cal approaches and methods, which have been developed in this field.","author":[{"dropping-particle":"","family":"Mikova","given":"Nadezhda","non-dropping-particle":"","parse-names":false,"suffix":""},{"dropping-particle":"","family":"Sokolova","given":"Anna","non-dropping-particle":"","parse-names":false,"suffix":""}],"container-title":"Foresight-Russia","id":"ITEM-1","issue":"4","issued":{"date-parts":[["2014"]]},"page":"64-83","title":"Global Technology Trends Monitoring: Theoretical Frameworks and Best Practices*","type":"article-journal","volume":"8"},"uris":["http://www.mendeley.com/documents/?uuid=e938fdd7-14ca-4b46-9e24-5f44758eaa15"]}],"mendeley":{"formattedCitation":"(Mikova &amp; Sokolova, 2014)","plainTextFormattedCitation":"(Mikova &amp; Sokolova, 2014)","previouslyFormattedCitation":"(Mikova &amp; Sokolova, 2014)"},"properties":{"noteIndex":0},"schema":"https://github.com/citation-style-language/schema/raw/master/csl-citation.json"}</w:instrText>
            </w:r>
            <w:r w:rsidRPr="0048196F">
              <w:rPr>
                <w:rFonts w:ascii="MinionPro" w:hAnsi="MinionPro"/>
                <w:lang w:val="en-US"/>
              </w:rPr>
              <w:fldChar w:fldCharType="separate"/>
            </w:r>
            <w:r w:rsidRPr="0048196F">
              <w:rPr>
                <w:rFonts w:ascii="MinionPro" w:hAnsi="MinionPro"/>
                <w:noProof/>
                <w:lang w:val="en-US"/>
              </w:rPr>
              <w:t>(Mikova &amp; Sokolova, 2014)</w:t>
            </w:r>
            <w:r w:rsidRPr="0048196F">
              <w:rPr>
                <w:rFonts w:ascii="MinionPro" w:hAnsi="MinionPro"/>
                <w:lang w:val="en-US"/>
              </w:rPr>
              <w:fldChar w:fldCharType="end"/>
            </w:r>
            <w:r w:rsidRPr="0048196F">
              <w:rPr>
                <w:rFonts w:ascii="MinionPro" w:hAnsi="MinionPro"/>
                <w:lang w:val="en-US"/>
              </w:rPr>
              <w:t xml:space="preserve"> </w:t>
            </w:r>
          </w:p>
        </w:tc>
      </w:tr>
      <w:tr w:rsidR="00965560" w:rsidRPr="00AB4713" w14:paraId="447C5603" w14:textId="77777777" w:rsidTr="0079670E">
        <w:tc>
          <w:tcPr>
            <w:tcW w:w="2405" w:type="dxa"/>
          </w:tcPr>
          <w:p w14:paraId="6A3135D4" w14:textId="77777777" w:rsidR="00965560" w:rsidRPr="008F0066" w:rsidRDefault="00965560" w:rsidP="00965560">
            <w:pPr>
              <w:spacing w:line="360" w:lineRule="auto"/>
              <w:rPr>
                <w:rFonts w:ascii="MinionPro" w:hAnsi="MinionPro"/>
                <w:bCs/>
                <w:lang w:val="en-US"/>
              </w:rPr>
            </w:pPr>
            <w:r w:rsidRPr="008F0066">
              <w:rPr>
                <w:rFonts w:ascii="MinionPro" w:hAnsi="MinionPro"/>
                <w:bCs/>
                <w:lang w:val="en-US"/>
              </w:rPr>
              <w:t>Driver of Change</w:t>
            </w:r>
          </w:p>
          <w:p w14:paraId="7CEAE6F8" w14:textId="77777777" w:rsidR="00965560" w:rsidRPr="008F0066" w:rsidRDefault="00965560" w:rsidP="00965560">
            <w:pPr>
              <w:spacing w:line="360" w:lineRule="auto"/>
              <w:rPr>
                <w:rFonts w:ascii="MinionPro" w:hAnsi="MinionPro"/>
                <w:bCs/>
                <w:lang w:val="en-US"/>
              </w:rPr>
            </w:pPr>
          </w:p>
        </w:tc>
        <w:tc>
          <w:tcPr>
            <w:tcW w:w="6651" w:type="dxa"/>
          </w:tcPr>
          <w:p w14:paraId="5AABB9F1" w14:textId="77777777" w:rsidR="00965560" w:rsidRPr="0048196F" w:rsidRDefault="00965560" w:rsidP="00965560">
            <w:pPr>
              <w:spacing w:line="360" w:lineRule="auto"/>
              <w:rPr>
                <w:rFonts w:ascii="MinionPro" w:hAnsi="MinionPro"/>
                <w:lang w:val="en-US"/>
              </w:rPr>
            </w:pPr>
            <w:r w:rsidRPr="0048196F">
              <w:rPr>
                <w:rFonts w:ascii="Calibri" w:hAnsi="Calibri" w:cs="Calibri"/>
                <w:lang w:val="en-US"/>
              </w:rPr>
              <w:t>﻿“</w:t>
            </w:r>
            <w:r w:rsidRPr="0048196F">
              <w:rPr>
                <w:rFonts w:ascii="Calibri" w:hAnsi="Calibri"/>
                <w:lang w:val="en-US"/>
              </w:rPr>
              <w:t>F</w:t>
            </w:r>
            <w:r w:rsidRPr="0048196F">
              <w:rPr>
                <w:rFonts w:ascii="MinionPro" w:hAnsi="MinionPro"/>
                <w:lang w:val="en-US"/>
              </w:rPr>
              <w:t>orces, factors and uncertainties that are accessible by stakeholders and create</w:t>
            </w:r>
          </w:p>
          <w:p w14:paraId="09094A84" w14:textId="77777777" w:rsidR="00965560" w:rsidRPr="0048196F" w:rsidRDefault="00965560" w:rsidP="00965560">
            <w:pPr>
              <w:spacing w:line="360" w:lineRule="auto"/>
              <w:rPr>
                <w:rFonts w:ascii="MinionPro" w:hAnsi="MinionPro"/>
                <w:lang w:val="en-US"/>
              </w:rPr>
            </w:pPr>
            <w:r w:rsidRPr="0048196F">
              <w:rPr>
                <w:rFonts w:ascii="MinionPro" w:hAnsi="MinionPro"/>
                <w:lang w:val="en-US"/>
              </w:rPr>
              <w:t>or drive change within one’s business or institutional environment”</w:t>
            </w:r>
            <w:r w:rsidRPr="0048196F">
              <w:rPr>
                <w:rFonts w:ascii="MinionPro" w:hAnsi="MinionPro"/>
                <w:lang w:val="en-US"/>
              </w:rPr>
              <w:fldChar w:fldCharType="begin" w:fldLock="1"/>
            </w:r>
            <w:r w:rsidRPr="0048196F">
              <w:rPr>
                <w:rFonts w:ascii="MinionPro" w:hAnsi="MinionPro"/>
                <w:lang w:val="en-US"/>
              </w:rPr>
              <w:instrText>ADDIN CSL_CITATION {"citationItems":[{"id":"ITEM-1","itemData":{"DOI":"10.1016/j.futures.2010.11.007","ISSN":"00163287","abstract":"Following work done in the UK, Canada and now starting across Europe,. 1 1UK Ministry of Defence, UK Foresight Office Horizon Scan; Global Futures Forum Vancouver April 2008, Europe @ 2025 European Commission. there appears to be renewed interest in charting the boundaries of what to expect between 2010 and 2025 as the character of the 21st century begins to become firmly established. What are the shaping forces, or sources of change and what might be their impacts, particularly where these may create entirely new challenges and opportunities? Futures experts (attendees of the FTA 2008 Conference) were invited to state their opinions on these questions by considering the trends, drivers, wilds cards, discontinuities and weak signals likely to shape the future through the Big Picture Survey. The survey was launched 6 months prior to the Conference. More than 250 responses were submitted by the Conference date. The results collected were synthesised and presented back to the attendees in a plenary presentation by the authors. The current paper aims to clarify the concepts first by suggesting definitions and discussing the distinctions between them. The paper then presents the rationales of conducting the Big Picture Survey (BPS), presents its methodology and discusses the results of the survey in a greater extent. © 2010 Elsevier Ltd.","author":[{"dropping-particle":"","family":"Saritas","given":"Ozcan","non-dropping-particle":"","parse-names":false,"suffix":""},{"dropping-particle":"","family":"Smith","given":"Jack E.","non-dropping-particle":"","parse-names":false,"suffix":""}],"container-title":"Futures","id":"ITEM-1","issue":"3","issued":{"date-parts":[["2011"]]},"page":"292-312","title":"The Big Picture - trends, drivers, wild cards, discontinuities and weak signals","type":"article-journal","volume":"43"},"uris":["http://www.mendeley.com/documents/?uuid=9d2b23d7-845f-438e-9142-a3e5c2db6db7"]}],"mendeley":{"formattedCitation":"(Saritas &amp; Smith, 2011)","plainTextFormattedCitation":"(Saritas &amp; Smith, 2011)","previouslyFormattedCitation":"(Saritas &amp; Smith, 2011)"},"properties":{"noteIndex":0},"schema":"https://github.com/citation-style-language/schema/raw/master/csl-citation.json"}</w:instrText>
            </w:r>
            <w:r w:rsidRPr="0048196F">
              <w:rPr>
                <w:rFonts w:ascii="MinionPro" w:hAnsi="MinionPro"/>
                <w:lang w:val="en-US"/>
              </w:rPr>
              <w:fldChar w:fldCharType="separate"/>
            </w:r>
            <w:r w:rsidRPr="0048196F">
              <w:rPr>
                <w:rFonts w:ascii="MinionPro" w:hAnsi="MinionPro"/>
                <w:noProof/>
                <w:lang w:val="en-US"/>
              </w:rPr>
              <w:t>(Saritas &amp; Smith, 2011)</w:t>
            </w:r>
            <w:r w:rsidRPr="0048196F">
              <w:rPr>
                <w:rFonts w:ascii="MinionPro" w:hAnsi="MinionPro"/>
                <w:lang w:val="en-US"/>
              </w:rPr>
              <w:fldChar w:fldCharType="end"/>
            </w:r>
          </w:p>
        </w:tc>
      </w:tr>
      <w:tr w:rsidR="00965560" w:rsidRPr="00AB4713" w14:paraId="38BFFAD3" w14:textId="77777777" w:rsidTr="0079670E">
        <w:tc>
          <w:tcPr>
            <w:tcW w:w="2405" w:type="dxa"/>
          </w:tcPr>
          <w:p w14:paraId="70FC836F" w14:textId="77777777" w:rsidR="00965560" w:rsidRPr="008F0066" w:rsidRDefault="00965560" w:rsidP="00965560">
            <w:pPr>
              <w:spacing w:line="360" w:lineRule="auto"/>
              <w:rPr>
                <w:rFonts w:ascii="MinionPro" w:hAnsi="MinionPro"/>
                <w:bCs/>
                <w:lang w:val="en-US"/>
              </w:rPr>
            </w:pPr>
            <w:r w:rsidRPr="008F0066">
              <w:rPr>
                <w:rFonts w:ascii="MinionPro" w:hAnsi="MinionPro"/>
                <w:bCs/>
                <w:lang w:val="en-US"/>
              </w:rPr>
              <w:t>Trend map</w:t>
            </w:r>
          </w:p>
        </w:tc>
        <w:tc>
          <w:tcPr>
            <w:tcW w:w="6651" w:type="dxa"/>
          </w:tcPr>
          <w:p w14:paraId="224B2B11" w14:textId="77777777" w:rsidR="00965560" w:rsidRPr="0048196F" w:rsidRDefault="00965560" w:rsidP="0079670E">
            <w:pPr>
              <w:keepNext/>
              <w:spacing w:line="360" w:lineRule="auto"/>
              <w:rPr>
                <w:rFonts w:ascii="Calibri" w:hAnsi="Calibri" w:cs="Calibri"/>
                <w:lang w:val="en-US"/>
              </w:rPr>
            </w:pPr>
            <w:r w:rsidRPr="0048196F">
              <w:rPr>
                <w:lang w:val="en-US"/>
              </w:rPr>
              <w:t>“A visual depiction of relevant trends influencing the system around a given topic” (Guide to trend mapping, 2017)</w:t>
            </w:r>
          </w:p>
        </w:tc>
      </w:tr>
    </w:tbl>
    <w:p w14:paraId="06CFF374" w14:textId="72BB6455" w:rsidR="00965560" w:rsidRPr="0048196F" w:rsidRDefault="00965560" w:rsidP="00965560">
      <w:pPr>
        <w:rPr>
          <w:lang w:val="en-US"/>
        </w:rPr>
      </w:pPr>
    </w:p>
    <w:p w14:paraId="5E1C202C" w14:textId="381729F9" w:rsidR="00B045A3" w:rsidRDefault="00B045A3" w:rsidP="00B045A3">
      <w:pPr>
        <w:rPr>
          <w:lang w:val="en-US"/>
        </w:rPr>
      </w:pPr>
    </w:p>
    <w:p w14:paraId="6BB21344" w14:textId="77777777" w:rsidR="00E503ED" w:rsidRPr="0048196F" w:rsidRDefault="00E503ED" w:rsidP="00B045A3">
      <w:pPr>
        <w:rPr>
          <w:lang w:val="en-US"/>
        </w:rPr>
      </w:pPr>
    </w:p>
    <w:p w14:paraId="5D075958" w14:textId="50BDA74A" w:rsidR="0091145D" w:rsidRDefault="0091145D" w:rsidP="0091145D">
      <w:pPr>
        <w:rPr>
          <w:lang w:val="en-US"/>
        </w:rPr>
      </w:pPr>
    </w:p>
    <w:p w14:paraId="16C7AA69" w14:textId="77777777" w:rsidR="008C0512" w:rsidRPr="0048196F" w:rsidRDefault="008C0512" w:rsidP="0091145D">
      <w:pPr>
        <w:rPr>
          <w:lang w:val="en-US"/>
        </w:rPr>
      </w:pPr>
    </w:p>
    <w:p w14:paraId="00112C11" w14:textId="440F573A" w:rsidR="00965560" w:rsidRPr="0048196F" w:rsidRDefault="00041733" w:rsidP="00B045A3">
      <w:pPr>
        <w:pStyle w:val="Heading2"/>
        <w:rPr>
          <w:lang w:val="en-US"/>
        </w:rPr>
      </w:pPr>
      <w:bookmarkStart w:id="50" w:name="_Toc14347316"/>
      <w:r w:rsidRPr="0048196F">
        <w:rPr>
          <w:lang w:val="en-US"/>
        </w:rPr>
        <w:t xml:space="preserve">LR2: </w:t>
      </w:r>
      <w:r w:rsidR="008E2C26">
        <w:rPr>
          <w:lang w:val="en-US"/>
        </w:rPr>
        <w:t>Identification and analysis of e</w:t>
      </w:r>
      <w:r w:rsidR="00D418C6" w:rsidRPr="0048196F">
        <w:rPr>
          <w:lang w:val="en-US"/>
        </w:rPr>
        <w:t>xternal pressures on t</w:t>
      </w:r>
      <w:r w:rsidRPr="0048196F">
        <w:rPr>
          <w:lang w:val="en-US"/>
        </w:rPr>
        <w:t>he agri</w:t>
      </w:r>
      <w:r w:rsidR="00D418C6" w:rsidRPr="0048196F">
        <w:rPr>
          <w:lang w:val="en-US"/>
        </w:rPr>
        <w:t>-</w:t>
      </w:r>
      <w:r w:rsidRPr="0048196F">
        <w:rPr>
          <w:lang w:val="en-US"/>
        </w:rPr>
        <w:t>food sector</w:t>
      </w:r>
      <w:r w:rsidR="008E2C26">
        <w:rPr>
          <w:lang w:val="en-US"/>
        </w:rPr>
        <w:t xml:space="preserve"> based on literature review</w:t>
      </w:r>
      <w:bookmarkEnd w:id="50"/>
    </w:p>
    <w:p w14:paraId="45A8A514" w14:textId="6BADC10A" w:rsidR="003A0778" w:rsidRPr="0048196F" w:rsidRDefault="003A0778" w:rsidP="001151FE">
      <w:pPr>
        <w:spacing w:line="360" w:lineRule="auto"/>
        <w:rPr>
          <w:b/>
          <w:bCs/>
          <w:lang w:val="en-US"/>
        </w:rPr>
      </w:pPr>
      <w:r w:rsidRPr="0048196F">
        <w:rPr>
          <w:b/>
          <w:bCs/>
          <w:lang w:val="en-US"/>
        </w:rPr>
        <w:t>Introduction</w:t>
      </w:r>
    </w:p>
    <w:p w14:paraId="5F43CA03" w14:textId="12399227" w:rsidR="001151FE" w:rsidRPr="0048196F" w:rsidRDefault="00EF5B0D" w:rsidP="001151FE">
      <w:pPr>
        <w:spacing w:line="360" w:lineRule="auto"/>
        <w:rPr>
          <w:lang w:val="en-US"/>
        </w:rPr>
      </w:pPr>
      <w:r w:rsidRPr="0048196F">
        <w:rPr>
          <w:lang w:val="en-US"/>
        </w:rPr>
        <w:t xml:space="preserve">The agri-food sector is one of the most important economic and political areas within the Europen union. Its implications are widespread as it fulfills human needs, supports employment and economic growth, and has great influence on the natural environment </w:t>
      </w:r>
      <w:r w:rsidRPr="0048196F">
        <w:rPr>
          <w:lang w:val="en-US"/>
        </w:rPr>
        <w:fldChar w:fldCharType="begin" w:fldLock="1"/>
      </w:r>
      <w:r w:rsidR="009A75B7" w:rsidRPr="0048196F">
        <w:rPr>
          <w:lang w:val="en-US"/>
        </w:rPr>
        <w:instrText>ADDIN CSL_CITATION {"citationItems":[{"id":"ITEM-1","itemData":{"ISSN":"16821130","abstract":"Agrifood sector is one of the most important economic and political areas within the European Union, with key implications for sustainability such as the fulfillment of human needs, the support of employment and economic growth, and its impact on the natural environment. Growing environmental, social and ethical concerns and increased awareness of the impacts of the agrifood sector have led to increased pressure by all involved supply chain stakeholders, while at the same time the European Union has undertaken a number of relevant regulatory interventions. This paper aims to present a methodological framework for the design of green supply chains for the agrifood sector. The framework aims towards the optimization of the agrifood supply chain design, planning and operations through the implementation of appropriate green supply chain management and logistics principles. More specifically, focus is put on the minimization of the environmental burden and the maximization of supply chain sustainability of the agrifood supply chain. The application of such a framework could result into substantial reduction of CO2 emissions both by the additional production of other biofuels from waste, as well as the introduction of a novel intelligent logistics network, in order to reduce the harvest and transportation energy input. Moreover, the expansion of the biomass feedstock available for biofuel production can provide adequate support towards avoidance of food/fuel competition for land use.","author":[{"dropping-particle":"","family":"Iakovou","given":"E.","non-dropping-particle":"","parse-names":false,"suffix":""},{"dropping-particle":"","family":"Vlachos","given":"D.","non-dropping-particle":"","parse-names":false,"suffix":""},{"dropping-particle":"","family":"Achillas","given":"Ch","non-dropping-particle":"","parse-names":false,"suffix":""},{"dropping-particle":"","family":"Anastasiadis","given":"F.","non-dropping-particle":"","parse-names":false,"suffix":""}],"container-title":"Agricultural Engineering International: CIGR Journal","id":"ITEM-1","issue":"SPEC. ISSUE","issued":{"date-parts":[["2014"]]},"page":"1-10","title":"Design of sustainable supply chains for the agrifood sector: A holistic research framework","type":"article-journal"},"uris":["http://www.mendeley.com/documents/?uuid=394cd23a-53c6-46b5-88d9-2430b1f8e95e"]}],"mendeley":{"formattedCitation":"(Iakovou, Vlachos, Achillas, &amp; Anastasiadis, 2014)","plainTextFormattedCitation":"(Iakovou, Vlachos, Achillas, &amp; Anastasiadis, 2014)","previouslyFormattedCitation":"(Iakovou, Vlachos, Achillas, &amp; Anastasiadis, 2014)"},"properties":{"noteIndex":0},"schema":"https://github.com/citation-style-language/schema/raw/master/csl-citation.json"}</w:instrText>
      </w:r>
      <w:r w:rsidRPr="0048196F">
        <w:rPr>
          <w:lang w:val="en-US"/>
        </w:rPr>
        <w:fldChar w:fldCharType="separate"/>
      </w:r>
      <w:r w:rsidRPr="0048196F">
        <w:rPr>
          <w:noProof/>
          <w:lang w:val="en-US"/>
        </w:rPr>
        <w:t>(Iakovou, Vlachos, Achillas, &amp; Anastasiadis, 2014)</w:t>
      </w:r>
      <w:r w:rsidRPr="0048196F">
        <w:rPr>
          <w:lang w:val="en-US"/>
        </w:rPr>
        <w:fldChar w:fldCharType="end"/>
      </w:r>
      <w:r w:rsidRPr="0048196F">
        <w:rPr>
          <w:lang w:val="en-US"/>
        </w:rPr>
        <w:t xml:space="preserve">. </w:t>
      </w:r>
      <w:r w:rsidR="001151FE" w:rsidRPr="0048196F">
        <w:rPr>
          <w:lang w:val="en-US"/>
        </w:rPr>
        <w:t xml:space="preserve">Even though the world has seen progress in hunger reduction and improved food security, major concerns persist. Through a number of regulatory interventions all stakeholders are under pressure to deal with environmental, social and ethical concerns. </w:t>
      </w:r>
      <w:r w:rsidR="009A75B7" w:rsidRPr="0048196F">
        <w:rPr>
          <w:lang w:val="en-US"/>
        </w:rPr>
        <w:t xml:space="preserve">As the sector is such a center piece of society through </w:t>
      </w:r>
      <w:r w:rsidR="000B2262" w:rsidRPr="0048196F">
        <w:rPr>
          <w:lang w:val="en-US"/>
        </w:rPr>
        <w:t xml:space="preserve">the </w:t>
      </w:r>
      <w:r w:rsidR="009A75B7" w:rsidRPr="0048196F">
        <w:rPr>
          <w:lang w:val="en-US"/>
        </w:rPr>
        <w:t xml:space="preserve">involvement of almost every person, the influence of </w:t>
      </w:r>
      <w:r w:rsidR="000B2262" w:rsidRPr="0048196F">
        <w:rPr>
          <w:lang w:val="en-US"/>
        </w:rPr>
        <w:t xml:space="preserve">changes in the </w:t>
      </w:r>
      <w:r w:rsidR="009A75B7" w:rsidRPr="0048196F">
        <w:rPr>
          <w:lang w:val="en-US"/>
        </w:rPr>
        <w:t xml:space="preserve">macro environment affect the sector greatly. This next section presents the megatrends frequently found in the literature, followed by the major challenges resulting from these megatrends. The subsequent section presents found drivers of change. </w:t>
      </w:r>
    </w:p>
    <w:p w14:paraId="40CDF182" w14:textId="77777777" w:rsidR="00D47625" w:rsidRPr="0048196F" w:rsidRDefault="00D47625" w:rsidP="00D47625">
      <w:pPr>
        <w:rPr>
          <w:lang w:val="en-US"/>
        </w:rPr>
      </w:pPr>
    </w:p>
    <w:p w14:paraId="238E0A74" w14:textId="79123388" w:rsidR="00E0655D" w:rsidRPr="0048196F" w:rsidRDefault="00E0655D" w:rsidP="00E0655D">
      <w:pPr>
        <w:pStyle w:val="Caption"/>
        <w:keepNext/>
        <w:rPr>
          <w:lang w:val="en-US"/>
        </w:rPr>
      </w:pPr>
      <w:bookmarkStart w:id="51" w:name="_Toc14347491"/>
      <w:r w:rsidRPr="0048196F">
        <w:rPr>
          <w:lang w:val="en-US"/>
        </w:rPr>
        <w:t xml:space="preserve">Table </w:t>
      </w:r>
      <w:r w:rsidR="000D0D31">
        <w:rPr>
          <w:lang w:val="en-US"/>
        </w:rPr>
        <w:fldChar w:fldCharType="begin"/>
      </w:r>
      <w:r w:rsidR="000D0D31">
        <w:rPr>
          <w:lang w:val="en-US"/>
        </w:rPr>
        <w:instrText xml:space="preserve"> SEQ Table \* ARABIC </w:instrText>
      </w:r>
      <w:r w:rsidR="000D0D31">
        <w:rPr>
          <w:lang w:val="en-US"/>
        </w:rPr>
        <w:fldChar w:fldCharType="separate"/>
      </w:r>
      <w:r w:rsidR="009F0429">
        <w:rPr>
          <w:noProof/>
          <w:lang w:val="en-US"/>
        </w:rPr>
        <w:t>2</w:t>
      </w:r>
      <w:r w:rsidR="000D0D31">
        <w:rPr>
          <w:lang w:val="en-US"/>
        </w:rPr>
        <w:fldChar w:fldCharType="end"/>
      </w:r>
      <w:r w:rsidRPr="0048196F">
        <w:rPr>
          <w:lang w:val="en-US"/>
        </w:rPr>
        <w:t>: Overview of megatrends, challenges and drivers of change</w:t>
      </w:r>
      <w:bookmarkEnd w:id="51"/>
    </w:p>
    <w:tbl>
      <w:tblPr>
        <w:tblStyle w:val="TableGrid"/>
        <w:tblW w:w="0" w:type="auto"/>
        <w:tblBorders>
          <w:left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2661"/>
        <w:gridCol w:w="3444"/>
        <w:gridCol w:w="2377"/>
      </w:tblGrid>
      <w:tr w:rsidR="00D47625" w:rsidRPr="0048196F" w14:paraId="092E181D" w14:textId="77777777" w:rsidTr="0079670E">
        <w:trPr>
          <w:trHeight w:val="100"/>
        </w:trPr>
        <w:tc>
          <w:tcPr>
            <w:tcW w:w="2685" w:type="dxa"/>
          </w:tcPr>
          <w:p w14:paraId="37B6D9F9" w14:textId="2A47C6BE" w:rsidR="00D47625" w:rsidRPr="0048196F" w:rsidRDefault="00D47625" w:rsidP="009E43AA">
            <w:pPr>
              <w:rPr>
                <w:b/>
                <w:bCs/>
                <w:lang w:val="en-US"/>
              </w:rPr>
            </w:pPr>
            <w:r w:rsidRPr="0048196F">
              <w:rPr>
                <w:b/>
                <w:bCs/>
                <w:lang w:val="en-US"/>
              </w:rPr>
              <w:t>Meg</w:t>
            </w:r>
            <w:r w:rsidR="008D2D1D" w:rsidRPr="0048196F">
              <w:rPr>
                <w:b/>
                <w:bCs/>
                <w:lang w:val="en-US"/>
              </w:rPr>
              <w:t>a</w:t>
            </w:r>
            <w:r w:rsidRPr="0048196F">
              <w:rPr>
                <w:b/>
                <w:bCs/>
                <w:lang w:val="en-US"/>
              </w:rPr>
              <w:t>trends</w:t>
            </w:r>
          </w:p>
        </w:tc>
        <w:tc>
          <w:tcPr>
            <w:tcW w:w="3498" w:type="dxa"/>
          </w:tcPr>
          <w:p w14:paraId="7CD505D0" w14:textId="77777777" w:rsidR="00D47625" w:rsidRPr="0048196F" w:rsidRDefault="00D47625" w:rsidP="009E43AA">
            <w:pPr>
              <w:rPr>
                <w:b/>
                <w:bCs/>
                <w:lang w:val="en-US"/>
              </w:rPr>
            </w:pPr>
            <w:r w:rsidRPr="0048196F">
              <w:rPr>
                <w:b/>
                <w:bCs/>
                <w:lang w:val="en-US"/>
              </w:rPr>
              <w:t>Drivers of Change</w:t>
            </w:r>
          </w:p>
        </w:tc>
        <w:tc>
          <w:tcPr>
            <w:tcW w:w="2410" w:type="dxa"/>
          </w:tcPr>
          <w:p w14:paraId="134CED08" w14:textId="77777777" w:rsidR="00D47625" w:rsidRPr="0048196F" w:rsidRDefault="00D47625" w:rsidP="009E43AA">
            <w:pPr>
              <w:rPr>
                <w:b/>
                <w:bCs/>
                <w:lang w:val="en-US"/>
              </w:rPr>
            </w:pPr>
            <w:r w:rsidRPr="0048196F">
              <w:rPr>
                <w:b/>
                <w:bCs/>
                <w:lang w:val="en-US"/>
              </w:rPr>
              <w:t>Challenges</w:t>
            </w:r>
          </w:p>
        </w:tc>
      </w:tr>
      <w:tr w:rsidR="00D47625" w:rsidRPr="0048196F" w14:paraId="23F66B93" w14:textId="77777777" w:rsidTr="0079670E">
        <w:trPr>
          <w:trHeight w:val="863"/>
        </w:trPr>
        <w:tc>
          <w:tcPr>
            <w:tcW w:w="2685" w:type="dxa"/>
          </w:tcPr>
          <w:p w14:paraId="485FB998" w14:textId="1EE9E701" w:rsidR="00D47625" w:rsidRPr="0048196F" w:rsidRDefault="00D47625" w:rsidP="00745A20">
            <w:pPr>
              <w:pStyle w:val="ListParagraph"/>
              <w:numPr>
                <w:ilvl w:val="0"/>
                <w:numId w:val="41"/>
              </w:numPr>
              <w:spacing w:line="360" w:lineRule="auto"/>
              <w:rPr>
                <w:lang w:val="en-US"/>
              </w:rPr>
            </w:pPr>
            <w:r w:rsidRPr="0048196F">
              <w:rPr>
                <w:lang w:val="en-US"/>
              </w:rPr>
              <w:t>Globalization</w:t>
            </w:r>
          </w:p>
          <w:p w14:paraId="1B5FEABE" w14:textId="51A60F86" w:rsidR="00D47625" w:rsidRPr="0048196F" w:rsidRDefault="00D47625" w:rsidP="00745A20">
            <w:pPr>
              <w:pStyle w:val="ListParagraph"/>
              <w:numPr>
                <w:ilvl w:val="0"/>
                <w:numId w:val="41"/>
              </w:numPr>
              <w:spacing w:line="360" w:lineRule="auto"/>
              <w:rPr>
                <w:lang w:val="en-US"/>
              </w:rPr>
            </w:pPr>
            <w:r w:rsidRPr="0048196F">
              <w:rPr>
                <w:lang w:val="en-US"/>
              </w:rPr>
              <w:t>Economic growth</w:t>
            </w:r>
          </w:p>
          <w:p w14:paraId="49BD2B6D" w14:textId="77D63E10" w:rsidR="00D47625" w:rsidRPr="0048196F" w:rsidRDefault="00D47625" w:rsidP="00745A20">
            <w:pPr>
              <w:pStyle w:val="ListParagraph"/>
              <w:numPr>
                <w:ilvl w:val="0"/>
                <w:numId w:val="41"/>
              </w:numPr>
              <w:spacing w:line="360" w:lineRule="auto"/>
              <w:rPr>
                <w:lang w:val="en-US"/>
              </w:rPr>
            </w:pPr>
            <w:r w:rsidRPr="0048196F">
              <w:rPr>
                <w:lang w:val="en-US"/>
              </w:rPr>
              <w:t>Population Growth</w:t>
            </w:r>
          </w:p>
          <w:p w14:paraId="7937DB79" w14:textId="5F01EAF7" w:rsidR="00D47625" w:rsidRPr="0048196F" w:rsidRDefault="00D47625" w:rsidP="00745A20">
            <w:pPr>
              <w:pStyle w:val="ListParagraph"/>
              <w:numPr>
                <w:ilvl w:val="0"/>
                <w:numId w:val="41"/>
              </w:numPr>
              <w:spacing w:line="360" w:lineRule="auto"/>
              <w:rPr>
                <w:lang w:val="en-US"/>
              </w:rPr>
            </w:pPr>
            <w:r w:rsidRPr="0048196F">
              <w:rPr>
                <w:lang w:val="en-US"/>
              </w:rPr>
              <w:t>Climate Change</w:t>
            </w:r>
          </w:p>
          <w:p w14:paraId="6EEB99DB" w14:textId="23318005" w:rsidR="00D47625" w:rsidRPr="0048196F" w:rsidRDefault="00D47625" w:rsidP="00745A20">
            <w:pPr>
              <w:pStyle w:val="ListParagraph"/>
              <w:numPr>
                <w:ilvl w:val="0"/>
                <w:numId w:val="41"/>
              </w:numPr>
              <w:spacing w:line="360" w:lineRule="auto"/>
              <w:rPr>
                <w:lang w:val="en-US"/>
              </w:rPr>
            </w:pPr>
            <w:r w:rsidRPr="0048196F">
              <w:rPr>
                <w:lang w:val="en-US"/>
              </w:rPr>
              <w:t>Environmental degradation</w:t>
            </w:r>
          </w:p>
          <w:p w14:paraId="517A0A7D" w14:textId="77777777" w:rsidR="00745A20" w:rsidRDefault="00D47625" w:rsidP="00745A20">
            <w:pPr>
              <w:pStyle w:val="ListParagraph"/>
              <w:numPr>
                <w:ilvl w:val="0"/>
                <w:numId w:val="41"/>
              </w:numPr>
              <w:spacing w:line="360" w:lineRule="auto"/>
              <w:rPr>
                <w:lang w:val="en-US"/>
              </w:rPr>
            </w:pPr>
            <w:r w:rsidRPr="0048196F">
              <w:rPr>
                <w:lang w:val="en-US"/>
              </w:rPr>
              <w:t>Digitalization</w:t>
            </w:r>
          </w:p>
          <w:p w14:paraId="5F7A4BC9" w14:textId="520B1D64" w:rsidR="007A7279" w:rsidRPr="0048196F" w:rsidRDefault="007A7279" w:rsidP="00745A20">
            <w:pPr>
              <w:pStyle w:val="ListParagraph"/>
              <w:numPr>
                <w:ilvl w:val="0"/>
                <w:numId w:val="41"/>
              </w:numPr>
              <w:spacing w:line="360" w:lineRule="auto"/>
              <w:rPr>
                <w:lang w:val="en-US"/>
              </w:rPr>
            </w:pPr>
            <w:r>
              <w:rPr>
                <w:lang w:val="en-US"/>
              </w:rPr>
              <w:t>Market Volatility</w:t>
            </w:r>
          </w:p>
        </w:tc>
        <w:tc>
          <w:tcPr>
            <w:tcW w:w="3498" w:type="dxa"/>
          </w:tcPr>
          <w:p w14:paraId="71BA4724" w14:textId="6127B729" w:rsidR="00D47625" w:rsidRPr="0048196F" w:rsidRDefault="00D47625" w:rsidP="00745A20">
            <w:pPr>
              <w:pStyle w:val="ListParagraph"/>
              <w:numPr>
                <w:ilvl w:val="0"/>
                <w:numId w:val="42"/>
              </w:numPr>
              <w:spacing w:line="360" w:lineRule="auto"/>
              <w:rPr>
                <w:lang w:val="en-US"/>
              </w:rPr>
            </w:pPr>
            <w:r w:rsidRPr="0048196F">
              <w:rPr>
                <w:lang w:val="en-US"/>
              </w:rPr>
              <w:t>Political instability</w:t>
            </w:r>
          </w:p>
          <w:p w14:paraId="12482A37" w14:textId="2DD86F38" w:rsidR="00D47625" w:rsidRPr="0048196F" w:rsidRDefault="00D47625" w:rsidP="00745A20">
            <w:pPr>
              <w:pStyle w:val="ListParagraph"/>
              <w:numPr>
                <w:ilvl w:val="0"/>
                <w:numId w:val="42"/>
              </w:numPr>
              <w:spacing w:line="360" w:lineRule="auto"/>
              <w:rPr>
                <w:lang w:val="en-US"/>
              </w:rPr>
            </w:pPr>
            <w:r w:rsidRPr="0048196F">
              <w:rPr>
                <w:lang w:val="en-US"/>
              </w:rPr>
              <w:t>Standards</w:t>
            </w:r>
          </w:p>
          <w:p w14:paraId="75883673" w14:textId="29AF59FD" w:rsidR="00D47625" w:rsidRPr="0048196F" w:rsidRDefault="00D47625" w:rsidP="00745A20">
            <w:pPr>
              <w:pStyle w:val="ListParagraph"/>
              <w:numPr>
                <w:ilvl w:val="0"/>
                <w:numId w:val="42"/>
              </w:numPr>
              <w:spacing w:line="360" w:lineRule="auto"/>
              <w:rPr>
                <w:lang w:val="en-US"/>
              </w:rPr>
            </w:pPr>
            <w:r w:rsidRPr="0048196F">
              <w:rPr>
                <w:lang w:val="en-US"/>
              </w:rPr>
              <w:t>Technological Legislation</w:t>
            </w:r>
          </w:p>
          <w:p w14:paraId="059DDC02" w14:textId="76EBAD1D" w:rsidR="00D47625" w:rsidRPr="0048196F" w:rsidRDefault="00D47625" w:rsidP="00745A20">
            <w:pPr>
              <w:pStyle w:val="ListParagraph"/>
              <w:numPr>
                <w:ilvl w:val="0"/>
                <w:numId w:val="42"/>
              </w:numPr>
              <w:spacing w:line="360" w:lineRule="auto"/>
              <w:rPr>
                <w:lang w:val="en-US"/>
              </w:rPr>
            </w:pPr>
            <w:r w:rsidRPr="0048196F">
              <w:rPr>
                <w:lang w:val="en-US"/>
              </w:rPr>
              <w:t>Changing Patterns of Consumer Demand</w:t>
            </w:r>
          </w:p>
          <w:p w14:paraId="140DE084" w14:textId="77777777" w:rsidR="00D47625" w:rsidRPr="0048196F" w:rsidRDefault="00D47625" w:rsidP="00745A20">
            <w:pPr>
              <w:spacing w:line="360" w:lineRule="auto"/>
              <w:rPr>
                <w:lang w:val="en-US"/>
              </w:rPr>
            </w:pPr>
          </w:p>
        </w:tc>
        <w:tc>
          <w:tcPr>
            <w:tcW w:w="2410" w:type="dxa"/>
          </w:tcPr>
          <w:p w14:paraId="10E4596D" w14:textId="07551301" w:rsidR="007B7FCE" w:rsidRPr="0048196F" w:rsidRDefault="007B7FCE" w:rsidP="00745A20">
            <w:pPr>
              <w:pStyle w:val="ListParagraph"/>
              <w:numPr>
                <w:ilvl w:val="0"/>
                <w:numId w:val="43"/>
              </w:numPr>
              <w:spacing w:line="360" w:lineRule="auto"/>
              <w:rPr>
                <w:lang w:val="en-US"/>
              </w:rPr>
            </w:pPr>
            <w:r w:rsidRPr="0048196F">
              <w:rPr>
                <w:lang w:val="en-US"/>
              </w:rPr>
              <w:t>Food Security</w:t>
            </w:r>
          </w:p>
          <w:p w14:paraId="65C6D49E" w14:textId="7DD2A9E8" w:rsidR="00A60A50" w:rsidRPr="0048196F" w:rsidRDefault="00A60A50" w:rsidP="00745A20">
            <w:pPr>
              <w:pStyle w:val="ListParagraph"/>
              <w:numPr>
                <w:ilvl w:val="0"/>
                <w:numId w:val="43"/>
              </w:numPr>
              <w:spacing w:line="360" w:lineRule="auto"/>
              <w:rPr>
                <w:lang w:val="en-US"/>
              </w:rPr>
            </w:pPr>
            <w:r w:rsidRPr="0048196F">
              <w:rPr>
                <w:lang w:val="en-US"/>
              </w:rPr>
              <w:t>Resource Scarcity</w:t>
            </w:r>
          </w:p>
          <w:p w14:paraId="15CD17CE" w14:textId="2540C268" w:rsidR="00A60A50" w:rsidRPr="0048196F" w:rsidRDefault="00A60A50" w:rsidP="00745A20">
            <w:pPr>
              <w:pStyle w:val="ListParagraph"/>
              <w:numPr>
                <w:ilvl w:val="0"/>
                <w:numId w:val="43"/>
              </w:numPr>
              <w:spacing w:line="360" w:lineRule="auto"/>
              <w:rPr>
                <w:lang w:val="en-US"/>
              </w:rPr>
            </w:pPr>
            <w:r w:rsidRPr="0048196F">
              <w:rPr>
                <w:lang w:val="en-US"/>
              </w:rPr>
              <w:t>Food Waste</w:t>
            </w:r>
          </w:p>
          <w:p w14:paraId="020C110A" w14:textId="339991FB" w:rsidR="007B7FCE" w:rsidRPr="0048196F" w:rsidRDefault="007B7FCE" w:rsidP="00745A20">
            <w:pPr>
              <w:pStyle w:val="ListParagraph"/>
              <w:numPr>
                <w:ilvl w:val="0"/>
                <w:numId w:val="43"/>
              </w:numPr>
              <w:spacing w:line="360" w:lineRule="auto"/>
              <w:rPr>
                <w:lang w:val="en-US"/>
              </w:rPr>
            </w:pPr>
            <w:r w:rsidRPr="0048196F">
              <w:rPr>
                <w:lang w:val="en-US"/>
              </w:rPr>
              <w:t>Food Safety</w:t>
            </w:r>
          </w:p>
        </w:tc>
      </w:tr>
    </w:tbl>
    <w:p w14:paraId="5D585787" w14:textId="77777777" w:rsidR="00D47625" w:rsidRPr="0048196F" w:rsidRDefault="00D47625" w:rsidP="00D47625">
      <w:pPr>
        <w:rPr>
          <w:lang w:val="en-US"/>
        </w:rPr>
      </w:pPr>
    </w:p>
    <w:p w14:paraId="6E5B54B7" w14:textId="77777777" w:rsidR="00D47625" w:rsidRPr="0048196F" w:rsidRDefault="00D47625" w:rsidP="001151FE">
      <w:pPr>
        <w:spacing w:line="360" w:lineRule="auto"/>
        <w:rPr>
          <w:lang w:val="en-US"/>
        </w:rPr>
      </w:pPr>
    </w:p>
    <w:p w14:paraId="72539862" w14:textId="77777777" w:rsidR="00D47625" w:rsidRPr="0048196F" w:rsidRDefault="00D47625" w:rsidP="00041733">
      <w:pPr>
        <w:rPr>
          <w:lang w:val="en-US"/>
        </w:rPr>
      </w:pPr>
    </w:p>
    <w:p w14:paraId="7C8AE324" w14:textId="77777777" w:rsidR="00041733" w:rsidRPr="0048196F" w:rsidRDefault="00041733" w:rsidP="00041733">
      <w:pPr>
        <w:rPr>
          <w:lang w:val="en-US"/>
        </w:rPr>
      </w:pPr>
    </w:p>
    <w:p w14:paraId="7738D04A" w14:textId="77777777" w:rsidR="00041733" w:rsidRPr="0048196F" w:rsidRDefault="00041733" w:rsidP="00B045A3">
      <w:pPr>
        <w:pStyle w:val="Heading3"/>
        <w:rPr>
          <w:lang w:val="en-US"/>
        </w:rPr>
      </w:pPr>
      <w:bookmarkStart w:id="52" w:name="_Toc14347317"/>
      <w:r w:rsidRPr="0048196F">
        <w:rPr>
          <w:lang w:val="en-US"/>
        </w:rPr>
        <w:t>Megatrends</w:t>
      </w:r>
      <w:bookmarkEnd w:id="52"/>
    </w:p>
    <w:p w14:paraId="704A7CB2" w14:textId="556F710F" w:rsidR="00041733" w:rsidRPr="0048196F" w:rsidRDefault="00522533" w:rsidP="00B31276">
      <w:pPr>
        <w:spacing w:line="360" w:lineRule="auto"/>
        <w:rPr>
          <w:lang w:val="en-US"/>
        </w:rPr>
      </w:pPr>
      <w:r w:rsidRPr="0048196F">
        <w:rPr>
          <w:lang w:val="en-US"/>
        </w:rPr>
        <w:t xml:space="preserve">This section is about identifying the relevant megatrends for the agri-food sector. These megatrends are an external pressure to the industry, often forcing companies to change their way of doing business. </w:t>
      </w:r>
      <w:r w:rsidR="00041733" w:rsidRPr="0048196F">
        <w:rPr>
          <w:lang w:val="en-US"/>
        </w:rPr>
        <w:t>The following s</w:t>
      </w:r>
      <w:r w:rsidRPr="0048196F">
        <w:rPr>
          <w:lang w:val="en-US"/>
        </w:rPr>
        <w:t>even</w:t>
      </w:r>
      <w:r w:rsidR="00041733" w:rsidRPr="0048196F">
        <w:rPr>
          <w:lang w:val="en-US"/>
        </w:rPr>
        <w:t xml:space="preserve"> megatrends have been selected as they occurred in over 20% of literature subset listed in table </w:t>
      </w:r>
      <w:r w:rsidR="00E503ED">
        <w:rPr>
          <w:lang w:val="en-US"/>
        </w:rPr>
        <w:t>1</w:t>
      </w:r>
      <w:r w:rsidR="00C51AF3">
        <w:rPr>
          <w:lang w:val="en-US"/>
        </w:rPr>
        <w:t>4</w:t>
      </w:r>
      <w:r w:rsidR="00041733" w:rsidRPr="0048196F">
        <w:rPr>
          <w:lang w:val="en-US"/>
        </w:rPr>
        <w:t xml:space="preserve">. </w:t>
      </w:r>
      <w:r w:rsidR="00E503ED">
        <w:rPr>
          <w:lang w:val="en-US"/>
        </w:rPr>
        <w:t>In table 1</w:t>
      </w:r>
      <w:r w:rsidR="00C51AF3">
        <w:rPr>
          <w:lang w:val="en-US"/>
        </w:rPr>
        <w:t>2</w:t>
      </w:r>
      <w:r w:rsidR="00041733" w:rsidRPr="0048196F">
        <w:rPr>
          <w:lang w:val="en-US"/>
        </w:rPr>
        <w:t xml:space="preserve"> of the annex an overview is presented with the megatrends</w:t>
      </w:r>
      <w:r w:rsidR="002C3E75" w:rsidRPr="0048196F">
        <w:rPr>
          <w:lang w:val="en-US"/>
        </w:rPr>
        <w:t>, some underlying topics</w:t>
      </w:r>
      <w:r w:rsidR="00041733" w:rsidRPr="0048196F">
        <w:rPr>
          <w:lang w:val="en-US"/>
        </w:rPr>
        <w:t xml:space="preserve"> and the number of occurrences throughout selected literature. </w:t>
      </w:r>
      <w:r w:rsidR="002C3E75" w:rsidRPr="0048196F">
        <w:rPr>
          <w:lang w:val="en-US"/>
        </w:rPr>
        <w:t xml:space="preserve">Table </w:t>
      </w:r>
      <w:r w:rsidR="00E503ED">
        <w:rPr>
          <w:lang w:val="en-US"/>
        </w:rPr>
        <w:t>3</w:t>
      </w:r>
      <w:r w:rsidR="002C3E75" w:rsidRPr="0048196F">
        <w:rPr>
          <w:lang w:val="en-US"/>
        </w:rPr>
        <w:t xml:space="preserve"> lists found trend and reason for relevance. </w:t>
      </w:r>
      <w:r w:rsidR="00041733" w:rsidRPr="0048196F">
        <w:rPr>
          <w:lang w:val="en-US"/>
        </w:rPr>
        <w:t xml:space="preserve"> </w:t>
      </w:r>
    </w:p>
    <w:p w14:paraId="0E8C6974" w14:textId="77777777" w:rsidR="00522533" w:rsidRPr="0048196F" w:rsidRDefault="00522533" w:rsidP="00B31276">
      <w:pPr>
        <w:spacing w:line="360" w:lineRule="auto"/>
        <w:rPr>
          <w:lang w:val="en-US"/>
        </w:rPr>
      </w:pPr>
    </w:p>
    <w:p w14:paraId="01AE792D" w14:textId="64862721" w:rsidR="00E503ED" w:rsidRDefault="00E503ED" w:rsidP="00E503ED">
      <w:pPr>
        <w:pStyle w:val="Caption"/>
        <w:keepNext/>
      </w:pPr>
      <w:bookmarkStart w:id="53" w:name="_Toc14347492"/>
      <w:r>
        <w:t xml:space="preserve">Table </w:t>
      </w:r>
      <w:r w:rsidR="000D0D31">
        <w:fldChar w:fldCharType="begin"/>
      </w:r>
      <w:r w:rsidR="000D0D31">
        <w:instrText xml:space="preserve"> SEQ Table \* ARABIC </w:instrText>
      </w:r>
      <w:r w:rsidR="000D0D31">
        <w:fldChar w:fldCharType="separate"/>
      </w:r>
      <w:r w:rsidR="009F0429">
        <w:rPr>
          <w:noProof/>
        </w:rPr>
        <w:t>3</w:t>
      </w:r>
      <w:r w:rsidR="000D0D31">
        <w:fldChar w:fldCharType="end"/>
      </w:r>
      <w:r>
        <w:t>: Megatrends</w:t>
      </w:r>
      <w:bookmarkEnd w:id="53"/>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88"/>
        <w:gridCol w:w="6294"/>
      </w:tblGrid>
      <w:tr w:rsidR="00041733" w:rsidRPr="0048196F" w14:paraId="5CE3CCA2" w14:textId="77777777" w:rsidTr="00AB4CAE">
        <w:trPr>
          <w:tblHeader/>
        </w:trPr>
        <w:tc>
          <w:tcPr>
            <w:tcW w:w="2188" w:type="dxa"/>
          </w:tcPr>
          <w:p w14:paraId="6E132030" w14:textId="77777777" w:rsidR="00041733" w:rsidRPr="00AB4CAE" w:rsidRDefault="00041733" w:rsidP="00AB4CAE">
            <w:pPr>
              <w:spacing w:line="360" w:lineRule="auto"/>
              <w:jc w:val="center"/>
              <w:rPr>
                <w:b/>
                <w:bCs/>
                <w:lang w:val="en-US"/>
              </w:rPr>
            </w:pPr>
            <w:r w:rsidRPr="00AB4CAE">
              <w:rPr>
                <w:rFonts w:eastAsia="Times New Roman"/>
                <w:b/>
                <w:bCs/>
                <w:lang w:val="en-US"/>
              </w:rPr>
              <w:t>Megatrend</w:t>
            </w:r>
          </w:p>
        </w:tc>
        <w:tc>
          <w:tcPr>
            <w:tcW w:w="6294" w:type="dxa"/>
          </w:tcPr>
          <w:p w14:paraId="6EC6D4EF" w14:textId="77777777" w:rsidR="00041733" w:rsidRPr="00AB4CAE" w:rsidRDefault="00041733" w:rsidP="00AB4CAE">
            <w:pPr>
              <w:spacing w:line="360" w:lineRule="auto"/>
              <w:rPr>
                <w:b/>
                <w:bCs/>
                <w:lang w:val="en-US"/>
              </w:rPr>
            </w:pPr>
            <w:r w:rsidRPr="00AB4CAE">
              <w:rPr>
                <w:b/>
                <w:bCs/>
                <w:lang w:val="en-US"/>
              </w:rPr>
              <w:t>Description</w:t>
            </w:r>
          </w:p>
        </w:tc>
      </w:tr>
      <w:tr w:rsidR="00041733" w:rsidRPr="00AB4713" w14:paraId="185EE256" w14:textId="77777777" w:rsidTr="00AB4CAE">
        <w:tc>
          <w:tcPr>
            <w:tcW w:w="2188" w:type="dxa"/>
          </w:tcPr>
          <w:p w14:paraId="2A2E4DC7" w14:textId="77777777" w:rsidR="00041733" w:rsidRPr="0048196F" w:rsidRDefault="00041733" w:rsidP="00AB4CAE">
            <w:pPr>
              <w:rPr>
                <w:i/>
                <w:iCs/>
                <w:lang w:val="en-US"/>
              </w:rPr>
            </w:pPr>
            <w:r w:rsidRPr="0048196F">
              <w:rPr>
                <w:i/>
                <w:iCs/>
                <w:lang w:val="en-US"/>
              </w:rPr>
              <w:t>Globalization</w:t>
            </w:r>
          </w:p>
          <w:p w14:paraId="1D708CDE" w14:textId="77777777" w:rsidR="00041733" w:rsidRPr="0048196F" w:rsidRDefault="00041733" w:rsidP="00AB4CAE">
            <w:pPr>
              <w:rPr>
                <w:i/>
                <w:iCs/>
                <w:lang w:val="en-US"/>
              </w:rPr>
            </w:pPr>
          </w:p>
          <w:p w14:paraId="4D6A867C" w14:textId="3CD39E66" w:rsidR="00354A22" w:rsidRPr="0048196F" w:rsidRDefault="00354A22" w:rsidP="00AB4CAE">
            <w:pPr>
              <w:rPr>
                <w:i/>
                <w:iCs/>
                <w:lang w:val="en-US"/>
              </w:rPr>
            </w:pPr>
          </w:p>
        </w:tc>
        <w:tc>
          <w:tcPr>
            <w:tcW w:w="6294" w:type="dxa"/>
          </w:tcPr>
          <w:p w14:paraId="0A59214B" w14:textId="6B7040A3" w:rsidR="00041733" w:rsidRPr="0048196F" w:rsidRDefault="00041733" w:rsidP="00AB4CAE">
            <w:pPr>
              <w:spacing w:line="360" w:lineRule="auto"/>
              <w:rPr>
                <w:lang w:val="en-US"/>
              </w:rPr>
            </w:pPr>
            <w:r w:rsidRPr="0048196F">
              <w:rPr>
                <w:lang w:val="en-US"/>
              </w:rPr>
              <w:t xml:space="preserve">In the past 30 years global value chains have become increasingly complex and stretched out over the world forming global value chains </w:t>
            </w:r>
            <w:r w:rsidRPr="0048196F">
              <w:rPr>
                <w:lang w:val="en-US"/>
              </w:rPr>
              <w:fldChar w:fldCharType="begin" w:fldLock="1"/>
            </w:r>
            <w:r w:rsidRPr="0048196F">
              <w:rPr>
                <w:lang w:val="en-US"/>
              </w:rPr>
              <w:instrText>ADDIN CSL_CITATION {"citationItems":[{"id":"ITEM-1","itemData":{"DOI":"10.1016/j.foodcont.2012.01.051","ISSN":"09567135","abstract":"In recent times, concerns about the impact of the food that people consume on their own health, as well as the social and environmental consequences that it entails, have led to major changes in all steps of the food chain including all the agents from the producer to the retailer. These phenomena comprise complex technologic, social, economic and environmental linkages that require integrated research approaches, i.e. the changes in consumers' demand and their consequences need to be considered from all these different points of view. This piece of work reviews the main causes and consequences of these changes in consumers' attitude toward foodstuff selection, dealing with different topics as regulation modifications or the impact on rural network in Europe. In addition, some references that cast doubt on the appropriateness of expanding markets for expensive products such as functional and organic ones at a time of economic recession have been provided. © 2012 Elsevier Ltd.","author":[{"dropping-particle":"","family":"Falguera","given":"Víctor","non-dropping-particle":"","parse-names":false,"suffix":""},{"dropping-particle":"","family":"Aliguer","given":"Núria","non-dropping-particle":"","parse-names":false,"suffix":""},{"dropping-particle":"","family":"Falguera","given":"Mercè","non-dropping-particle":"","parse-names":false,"suffix":""}],"container-title":"Food Control","id":"ITEM-1","issue":"2","issued":{"date-parts":[["2012"]]},"page":"274-281","publisher":"Elsevier Ltd","title":"An integrated approach to current trends in food consumption: Moving toward functional and organic products?","type":"article-journal","volume":"26"},"uris":["http://www.mendeley.com/documents/?uuid=154d8307-e5a2-420f-b8ca-92bf9c12b46e"]}],"mendeley":{"formattedCitation":"(Falguera, Aliguer, &amp; Falguera, 2012)","plainTextFormattedCitation":"(Falguera, Aliguer, &amp; Falguera, 2012)","previouslyFormattedCitation":"(Falguera, Aliguer, &amp; Falguera, 2012)"},"properties":{"noteIndex":0},"schema":"https://github.com/citation-style-language/schema/raw/master/csl-citation.json"}</w:instrText>
            </w:r>
            <w:r w:rsidRPr="0048196F">
              <w:rPr>
                <w:lang w:val="en-US"/>
              </w:rPr>
              <w:fldChar w:fldCharType="separate"/>
            </w:r>
            <w:r w:rsidRPr="0048196F">
              <w:rPr>
                <w:noProof/>
                <w:lang w:val="en-US"/>
              </w:rPr>
              <w:t>(Falguera, Aliguer, &amp; Falguera, 2012)</w:t>
            </w:r>
            <w:r w:rsidRPr="0048196F">
              <w:rPr>
                <w:lang w:val="en-US"/>
              </w:rPr>
              <w:fldChar w:fldCharType="end"/>
            </w:r>
            <w:r w:rsidR="002C3E75" w:rsidRPr="0048196F">
              <w:rPr>
                <w:lang w:val="en-US"/>
              </w:rPr>
              <w:t>.</w:t>
            </w:r>
            <w:r w:rsidRPr="0048196F">
              <w:rPr>
                <w:lang w:val="en-US"/>
              </w:rPr>
              <w:t xml:space="preserve"> </w:t>
            </w:r>
            <w:r w:rsidR="002C3E75" w:rsidRPr="0048196F">
              <w:rPr>
                <w:lang w:val="en-US"/>
              </w:rPr>
              <w:t>A problem of these value chains</w:t>
            </w:r>
            <w:r w:rsidRPr="0048196F">
              <w:rPr>
                <w:lang w:val="en-US"/>
              </w:rPr>
              <w:t xml:space="preserve"> </w:t>
            </w:r>
            <w:r w:rsidR="002C3E75" w:rsidRPr="0048196F">
              <w:rPr>
                <w:lang w:val="en-US"/>
              </w:rPr>
              <w:t>is the potential for</w:t>
            </w:r>
            <w:r w:rsidRPr="0048196F">
              <w:rPr>
                <w:lang w:val="en-US"/>
              </w:rPr>
              <w:t xml:space="preserve"> energy intensive</w:t>
            </w:r>
            <w:r w:rsidR="002C3E75" w:rsidRPr="0048196F">
              <w:rPr>
                <w:lang w:val="en-US"/>
              </w:rPr>
              <w:t xml:space="preserve"> logistics</w:t>
            </w:r>
            <w:r w:rsidRPr="0048196F">
              <w:rPr>
                <w:lang w:val="en-US"/>
              </w:rPr>
              <w:t xml:space="preserve"> due to cooling and transportation </w:t>
            </w:r>
            <w:r w:rsidRPr="0048196F">
              <w:rPr>
                <w:lang w:val="en-US"/>
              </w:rPr>
              <w:fldChar w:fldCharType="begin" w:fldLock="1"/>
            </w:r>
            <w:r w:rsidRPr="0048196F">
              <w:rPr>
                <w:lang w:val="en-US"/>
              </w:rPr>
              <w:instrText>ADDIN CSL_CITATION {"citationItems":[{"id":"ITEM-1","itemData":{"author":[{"dropping-particle":"","family":"Rabobank","given":"","non-dropping-particle":"","parse-names":false,"suffix":""}],"id":"ITEM-1","issued":{"date-parts":[["2014"]]},"title":"Circle Scan : Current state and future vision Automotive sector","type":"article-journal"},"uris":["http://www.mendeley.com/documents/?uuid=98df8c86-3266-4fc5-874a-fe54796ed293"]}],"mendeley":{"formattedCitation":"(Rabobank, 2014)","plainTextFormattedCitation":"(Rabobank, 2014)","previouslyFormattedCitation":"(Rabobank, 2014)"},"properties":{"noteIndex":0},"schema":"https://github.com/citation-style-language/schema/raw/master/csl-citation.json"}</w:instrText>
            </w:r>
            <w:r w:rsidRPr="0048196F">
              <w:rPr>
                <w:lang w:val="en-US"/>
              </w:rPr>
              <w:fldChar w:fldCharType="separate"/>
            </w:r>
            <w:r w:rsidRPr="0048196F">
              <w:rPr>
                <w:noProof/>
                <w:lang w:val="en-US"/>
              </w:rPr>
              <w:t>(Rabobank, 2014)</w:t>
            </w:r>
            <w:r w:rsidRPr="0048196F">
              <w:rPr>
                <w:lang w:val="en-US"/>
              </w:rPr>
              <w:fldChar w:fldCharType="end"/>
            </w:r>
            <w:r w:rsidRPr="0048196F">
              <w:rPr>
                <w:lang w:val="en-US"/>
              </w:rPr>
              <w:t>. Additionally, some regions such as the Middle-East and North Africa have become dependent, and therefore vulnerable to volatility in global food markets</w:t>
            </w:r>
            <w:r w:rsidR="002C3E75" w:rsidRPr="0048196F">
              <w:rPr>
                <w:lang w:val="en-US"/>
              </w:rPr>
              <w:t xml:space="preserve"> </w:t>
            </w:r>
            <w:r w:rsidRPr="0048196F">
              <w:rPr>
                <w:lang w:val="en-US"/>
              </w:rPr>
              <w:fldChar w:fldCharType="begin" w:fldLock="1"/>
            </w:r>
            <w:r w:rsidRPr="0048196F">
              <w:rPr>
                <w:lang w:val="en-US"/>
              </w:rPr>
              <w:instrText xml:space="preserve">ADDIN CSL_CITATION {"citationItems":[{"id":"ITEM-1","itemData":{"ISBN":"9789264297210","author":[{"dropping-particle":"","family":"FAO","given":"","non-dropping-particle":"","parse-names":false,"suffix":""},{"dropping-particle":"","family":"OECD","given":"","non-dropping-particle":"","parse-names":false,"suffix":""}],"id":"ITEM-1","issued":{"date-parts":[["2018"]]},"title":"OECD </w:instrText>
            </w:r>
            <w:r w:rsidRPr="0048196F">
              <w:rPr>
                <w:rFonts w:ascii="Cambria Math" w:hAnsi="Cambria Math" w:cs="Cambria Math"/>
                <w:lang w:val="en-US"/>
              </w:rPr>
              <w:instrText>‑</w:instrText>
            </w:r>
            <w:r w:rsidRPr="0048196F">
              <w:rPr>
                <w:lang w:val="en-US"/>
              </w:rPr>
              <w:instrText xml:space="preserve"> FAO Agricultural Outlook 2018 </w:instrText>
            </w:r>
            <w:r w:rsidRPr="0048196F">
              <w:rPr>
                <w:rFonts w:ascii="Cambria Math" w:hAnsi="Cambria Math" w:cs="Cambria Math"/>
                <w:lang w:val="en-US"/>
              </w:rPr>
              <w:instrText>‑</w:instrText>
            </w:r>
            <w:r w:rsidRPr="0048196F">
              <w:rPr>
                <w:lang w:val="en-US"/>
              </w:rPr>
              <w:instrText xml:space="preserve"> 2027","type":"book"},"uris":["http://www.mendeley.com/documents/?uuid=ba1ce573-ae77-46a8-ad59-eb4f6b6d448d"]}],"mendeley":{"formattedCitation":"(FAO &amp; OECD, 2018)","plainTextFormattedCitation":"(FAO &amp; OECD, 2018)","previouslyFormattedCitation":"(FAO &amp; OECD, 2018)"},"properties":{"noteIndex":0},"schema":"https://github.com/citation-style-language/schema/raw/master/csl-citation.json"}</w:instrText>
            </w:r>
            <w:r w:rsidRPr="0048196F">
              <w:rPr>
                <w:lang w:val="en-US"/>
              </w:rPr>
              <w:fldChar w:fldCharType="separate"/>
            </w:r>
            <w:r w:rsidRPr="0048196F">
              <w:rPr>
                <w:noProof/>
                <w:lang w:val="en-US"/>
              </w:rPr>
              <w:t>(FAO &amp; OECD, 2018)</w:t>
            </w:r>
            <w:r w:rsidRPr="0048196F">
              <w:rPr>
                <w:lang w:val="en-US"/>
              </w:rPr>
              <w:fldChar w:fldCharType="end"/>
            </w:r>
            <w:r w:rsidR="002C3E75" w:rsidRPr="0048196F">
              <w:rPr>
                <w:lang w:val="en-US"/>
              </w:rPr>
              <w:t xml:space="preserve">. </w:t>
            </w:r>
          </w:p>
        </w:tc>
      </w:tr>
      <w:tr w:rsidR="00041733" w:rsidRPr="00AB4713" w14:paraId="33D82B7F" w14:textId="77777777" w:rsidTr="00AB4CAE">
        <w:tc>
          <w:tcPr>
            <w:tcW w:w="2188" w:type="dxa"/>
          </w:tcPr>
          <w:p w14:paraId="0B1DB78A" w14:textId="77777777" w:rsidR="00041733" w:rsidRPr="0048196F" w:rsidRDefault="00041733" w:rsidP="00AB4CAE">
            <w:pPr>
              <w:rPr>
                <w:i/>
                <w:iCs/>
                <w:lang w:val="en-US"/>
              </w:rPr>
            </w:pPr>
            <w:r w:rsidRPr="0048196F">
              <w:rPr>
                <w:i/>
                <w:iCs/>
                <w:lang w:val="en-US"/>
              </w:rPr>
              <w:t>Economic growth</w:t>
            </w:r>
          </w:p>
          <w:p w14:paraId="0E16E8C0" w14:textId="77777777" w:rsidR="00041733" w:rsidRPr="0048196F" w:rsidRDefault="00041733" w:rsidP="00AB4CAE">
            <w:pPr>
              <w:rPr>
                <w:i/>
                <w:iCs/>
                <w:lang w:val="en-US"/>
              </w:rPr>
            </w:pPr>
          </w:p>
        </w:tc>
        <w:tc>
          <w:tcPr>
            <w:tcW w:w="6294" w:type="dxa"/>
          </w:tcPr>
          <w:p w14:paraId="3399F1A6" w14:textId="780B1F15" w:rsidR="00041733" w:rsidRPr="0048196F" w:rsidRDefault="00041733" w:rsidP="00AB4CAE">
            <w:pPr>
              <w:spacing w:line="360" w:lineRule="auto"/>
              <w:rPr>
                <w:lang w:val="en-US"/>
              </w:rPr>
            </w:pPr>
            <w:r w:rsidRPr="0048196F">
              <w:rPr>
                <w:lang w:val="en-US"/>
              </w:rPr>
              <w:t xml:space="preserve">Developing and middle-income countries experience economic growth accompanied with an income induced change in dietary composition. This development has broad implications for the global food demand as protein consumption and therefore livestock production increases strongly. For example, China experienced a 300 per cent increase in meat consumption from 1980 to 2010, in comparison to its increase of 2 percent in rice consumption </w:t>
            </w:r>
            <w:r w:rsidRPr="0048196F">
              <w:rPr>
                <w:lang w:val="en-US"/>
              </w:rPr>
              <w:fldChar w:fldCharType="begin" w:fldLock="1"/>
            </w:r>
            <w:r w:rsidRPr="0048196F">
              <w:rPr>
                <w:lang w:val="en-US"/>
              </w:rPr>
              <w:instrText>ADDIN CSL_CITATION {"citationItems":[{"id":"ITEM-1","itemData":{"DOI":"10.1093/erae/jbx003","ISSN":"14643618","abstract":"© Oxford University Press and Foundation for the European Review of Agricultural Economics 2017; Modern consumers increasingly demand that their food satisfies multiple ‘quality’ dimensions including those pertaining to its location, sustainability and humane treatment of livestock. Society increasingly demands that, in addition to supplying plentiful and cheap food, agriculture also supply fuel, meet environmental goals and distribute income in an equitable manner. We consider the food chain’s evolution and evaluate its performance in meeting these challenges, analyse the impacts of these multidimensional demands on the welfare of the various supply-chain actors, and evaluate agricultural policies in light of the challenges facing modern agricultural markets, including producing at least 70 per cent more food by 2050.","author":[{"dropping-particle":"","family":"Saitone","given":"Tina L.","non-dropping-particle":"","parse-names":false,"suffix":""},{"dropping-particle":"","family":"Sexton","given":"Richard J.","non-dropping-particle":"","parse-names":false,"suffix":""}],"container-title":"European Review of Agricultural Economics","id":"ITEM-1","issue":"4","issued":{"date-parts":[["2017"]]},"page":"634-657","title":"Agri-food supply chain: evolution and performance with conflicting consumer and societal demands","type":"article-journal","volume":"44"},"uris":["http://www.mendeley.com/documents/?uuid=8b094b51-740b-4a78-9c30-651639fe04df"]}],"mendeley":{"formattedCitation":"(Saitone &amp; Sexton, 2017)","plainTextFormattedCitation":"(Saitone &amp; Sexton, 2017)","previouslyFormattedCitation":"(Saitone &amp; Sexton, 2017)"},"properties":{"noteIndex":0},"schema":"https://github.com/citation-style-language/schema/raw/master/csl-citation.json"}</w:instrText>
            </w:r>
            <w:r w:rsidRPr="0048196F">
              <w:rPr>
                <w:lang w:val="en-US"/>
              </w:rPr>
              <w:fldChar w:fldCharType="separate"/>
            </w:r>
            <w:r w:rsidRPr="0048196F">
              <w:rPr>
                <w:noProof/>
                <w:lang w:val="en-US"/>
              </w:rPr>
              <w:t>(Saitone &amp; Sexton, 2017)</w:t>
            </w:r>
            <w:r w:rsidRPr="0048196F">
              <w:rPr>
                <w:lang w:val="en-US"/>
              </w:rPr>
              <w:fldChar w:fldCharType="end"/>
            </w:r>
            <w:r w:rsidR="002C3E75" w:rsidRPr="0048196F">
              <w:rPr>
                <w:lang w:val="en-US"/>
              </w:rPr>
              <w:t>.</w:t>
            </w:r>
          </w:p>
        </w:tc>
      </w:tr>
      <w:tr w:rsidR="00041733" w:rsidRPr="00AB4713" w14:paraId="15948DEF" w14:textId="77777777" w:rsidTr="00AB4CAE">
        <w:tc>
          <w:tcPr>
            <w:tcW w:w="2188" w:type="dxa"/>
          </w:tcPr>
          <w:p w14:paraId="070977D7" w14:textId="77777777" w:rsidR="00041733" w:rsidRPr="0048196F" w:rsidRDefault="00041733" w:rsidP="00AB4CAE">
            <w:pPr>
              <w:rPr>
                <w:i/>
                <w:iCs/>
                <w:lang w:val="en-US"/>
              </w:rPr>
            </w:pPr>
            <w:r w:rsidRPr="0048196F">
              <w:rPr>
                <w:i/>
                <w:iCs/>
                <w:lang w:val="en-US"/>
              </w:rPr>
              <w:t>Population Growth</w:t>
            </w:r>
          </w:p>
          <w:p w14:paraId="11471846" w14:textId="77777777" w:rsidR="00041733" w:rsidRPr="0048196F" w:rsidRDefault="00041733" w:rsidP="00AB4CAE">
            <w:pPr>
              <w:rPr>
                <w:i/>
                <w:iCs/>
                <w:lang w:val="en-US"/>
              </w:rPr>
            </w:pPr>
          </w:p>
        </w:tc>
        <w:tc>
          <w:tcPr>
            <w:tcW w:w="6294" w:type="dxa"/>
          </w:tcPr>
          <w:p w14:paraId="59CFD7BF" w14:textId="45A8C514" w:rsidR="00041733" w:rsidRPr="0048196F" w:rsidRDefault="00041733" w:rsidP="00AB4CAE">
            <w:pPr>
              <w:spacing w:line="360" w:lineRule="auto"/>
              <w:rPr>
                <w:lang w:val="en-US"/>
              </w:rPr>
            </w:pPr>
            <w:r w:rsidRPr="0048196F">
              <w:rPr>
                <w:lang w:val="en-US"/>
              </w:rPr>
              <w:t xml:space="preserve">The world’s population is projected to grow to 9.7 billion by 2050 </w:t>
            </w:r>
            <w:r w:rsidRPr="0048196F">
              <w:rPr>
                <w:lang w:val="en-US"/>
              </w:rPr>
              <w:fldChar w:fldCharType="begin" w:fldLock="1"/>
            </w:r>
            <w:r w:rsidRPr="0048196F">
              <w:rPr>
                <w:lang w:val="en-US"/>
              </w:rPr>
              <w:instrText>ADDIN CSL_CITATION {"citationItems":[{"id":"ITEM-1","itemData":{"DOI":"10.4161/chan.4.6.12871","ISBN":"9789251095515","ISSN":"1933-6950","PMID":"11417047","abstract":"TRENDS A number of global trends are influencing food security, poverty and the overall sustainability of food and agricultural systems. Economic growth and population dynamics are driving the structural change of economies. Climate change affects disproportionately food-insecure regions, jeopardizing crop and livestock production, fish stocks and fisheries. Critical parts of food systems are becoming more capital-intensive, vertically integrated and concentrated in fewer hands.","author":[{"dropping-particle":"","family":"FAO","given":"","non-dropping-particle":"","parse-names":false,"suffix":""}],"container-title":"Food and Agriculture Organization of the United Nations","id":"ITEM-1","issued":{"date-parts":[["2017"]]},"page":"180","title":"The future of food and agriculture: Trends and challenges","type":"article-journal"},"uris":["http://www.mendeley.com/documents/?uuid=43d7828f-7e91-4fae-b6aa-8a151ce13651"]}],"mendeley":{"formattedCitation":"(FAO, 2017)","plainTextFormattedCitation":"(FAO, 2017)","previouslyFormattedCitation":"(FAO, 2017)"},"properties":{"noteIndex":0},"schema":"https://github.com/citation-style-language/schema/raw/master/csl-citation.json"}</w:instrText>
            </w:r>
            <w:r w:rsidRPr="0048196F">
              <w:rPr>
                <w:lang w:val="en-US"/>
              </w:rPr>
              <w:fldChar w:fldCharType="separate"/>
            </w:r>
            <w:r w:rsidRPr="0048196F">
              <w:rPr>
                <w:noProof/>
                <w:lang w:val="en-US"/>
              </w:rPr>
              <w:t>(FAO, 2017)</w:t>
            </w:r>
            <w:r w:rsidRPr="0048196F">
              <w:rPr>
                <w:lang w:val="en-US"/>
              </w:rPr>
              <w:fldChar w:fldCharType="end"/>
            </w:r>
            <w:r w:rsidR="002C3E75" w:rsidRPr="0048196F">
              <w:rPr>
                <w:lang w:val="en-US"/>
              </w:rPr>
              <w:t>, i</w:t>
            </w:r>
            <w:r w:rsidRPr="0048196F">
              <w:rPr>
                <w:lang w:val="en-US"/>
              </w:rPr>
              <w:t>n combination with other factors this will lead to a 70 % growth of caloric demand</w:t>
            </w:r>
            <w:r w:rsidR="002C3E75" w:rsidRPr="0048196F">
              <w:rPr>
                <w:lang w:val="en-US"/>
              </w:rPr>
              <w:t xml:space="preserve"> in the same period</w:t>
            </w:r>
            <w:r w:rsidRPr="0048196F">
              <w:rPr>
                <w:lang w:val="en-US"/>
              </w:rPr>
              <w:t xml:space="preserve"> </w:t>
            </w:r>
            <w:r w:rsidRPr="0048196F">
              <w:rPr>
                <w:lang w:val="en-US"/>
              </w:rPr>
              <w:fldChar w:fldCharType="begin" w:fldLock="1"/>
            </w:r>
            <w:r w:rsidRPr="0048196F">
              <w:rPr>
                <w:lang w:val="en-US"/>
              </w:rPr>
              <w:instrText>ADDIN CSL_CITATION {"citationItems":[{"id":"ITEM-1","itemData":{"author":[{"dropping-particle":"","family":"PWC","given":"","non-dropping-particle":"","parse-names":false,"suffix":""}],"id":"ITEM-1","issued":{"date-parts":[["2017"]]},"title":"Four possible scenarios for the AgriFood industry","type":"article-journal"},"uris":["http://www.mendeley.com/documents/?uuid=3ce5cfa4-5754-4619-84d6-fa9557890287"]}],"mendeley":{"formattedCitation":"(PWC, 2017)","plainTextFormattedCitation":"(PWC, 2017)","previouslyFormattedCitation":"(PWC, 2017)"},"properties":{"noteIndex":0},"schema":"https://github.com/citation-style-language/schema/raw/master/csl-citation.json"}</w:instrText>
            </w:r>
            <w:r w:rsidRPr="0048196F">
              <w:rPr>
                <w:lang w:val="en-US"/>
              </w:rPr>
              <w:fldChar w:fldCharType="separate"/>
            </w:r>
            <w:r w:rsidRPr="0048196F">
              <w:rPr>
                <w:noProof/>
                <w:lang w:val="en-US"/>
              </w:rPr>
              <w:t>(PWC, 2017)</w:t>
            </w:r>
            <w:r w:rsidRPr="0048196F">
              <w:rPr>
                <w:lang w:val="en-US"/>
              </w:rPr>
              <w:fldChar w:fldCharType="end"/>
            </w:r>
            <w:r w:rsidRPr="0048196F">
              <w:rPr>
                <w:lang w:val="en-US"/>
              </w:rPr>
              <w:t xml:space="preserve">. As the population growth is concentrated in low and middle income countries, their regional food systems will experience additional stress with potential conflicts as a consequence. </w:t>
            </w:r>
            <w:r w:rsidRPr="0048196F">
              <w:rPr>
                <w:lang w:val="en-US"/>
              </w:rPr>
              <w:fldChar w:fldCharType="begin" w:fldLock="1"/>
            </w:r>
            <w:r w:rsidRPr="0048196F">
              <w:rPr>
                <w:lang w:val="en-US"/>
              </w:rPr>
              <w:instrText>ADDIN CSL_CITATION {"citationItems":[{"id":"ITEM-1","itemData":{"DOI":"10.3390/su11010222","ISSN":"20711050","abstract":"The availability, access, utilization and stability of food supply over time are the four pillars of food security which support nutrition outcomes. Addressing the issues raised globally around these pillars remains a challenge. The Food and Agriculture Organization of the United Nations (FAO) 2017 report “The future of food and agriculture: trends and challenges” outlined the challenges which will have to be addressed in order for sustainable agricultural services to cost-effectively meet the growing food demand of the world population. In this study, we systematically analyzed the future challenges of the agriculture and food systems by focusing on (1) their root causes and trends; and (2) the interlinkages among the solutions proposed to address the challenges using social network analysis tools. It found that, if trends leading to extreme poverty are reversed, several other challenges will also be partially addressed and that climate change has the highest impact on the network of trends. Improving food security would have positive impacts on food access and utilization. The clear outline of the qualitative relationships among challenges presented and insights will help their prioritization by decision makers. However, additional in-depth quantitative analysis is necessary before measures identified to tackle the challenges could be effectively implemented.","author":[{"dropping-particle":"","family":"Calicioglu","given":"Ozgul","non-dropping-particle":"","parse-names":false,"suffix":""},{"dropping-particle":"","family":"Flammini","given":"Alessandro","non-dropping-particle":"","parse-names":false,"suffix":""},{"dropping-particle":"","family":"Bracco","given":"Stefania","non-dropping-particle":"","parse-names":false,"suffix":""},{"dropping-particle":"","family":"Bellù","given":"Lorenzo","non-dropping-particle":"","parse-names":false,"suffix":""},{"dropping-particle":"","family":"Sims","given":"Ralph","non-dropping-particle":"","parse-names":false,"suffix":""}],"container-title":"Sustainability (Switzerland)","id":"ITEM-1","issue":"1","issued":{"date-parts":[["2019"]]},"title":"The future challenges of food and agriculture: An integrated analysis of trends and solutions","type":"article-journal","volume":"11"},"uris":["http://www.mendeley.com/documents/?uuid=b89c24ed-3e6e-4adc-972f-a34858782d9b"]}],"mendeley":{"formattedCitation":"(Calicioglu, Flammini, Bracco, Bellù, &amp; Sims, 2019)","plainTextFormattedCitation":"(Calicioglu, Flammini, Bracco, Bellù, &amp; Sims, 2019)","previouslyFormattedCitation":"(Calicioglu, Flammini, Bracco, Bellù, &amp; Sims, 2019)"},"properties":{"noteIndex":0},"schema":"https://github.com/citation-style-language/schema/raw/master/csl-citation.json"}</w:instrText>
            </w:r>
            <w:r w:rsidRPr="0048196F">
              <w:rPr>
                <w:lang w:val="en-US"/>
              </w:rPr>
              <w:fldChar w:fldCharType="separate"/>
            </w:r>
            <w:r w:rsidRPr="0048196F">
              <w:rPr>
                <w:noProof/>
                <w:lang w:val="en-US"/>
              </w:rPr>
              <w:t>(Calicioglu, Flammini, Bracco, Bellù, &amp; Sims, 2019)</w:t>
            </w:r>
            <w:r w:rsidRPr="0048196F">
              <w:rPr>
                <w:lang w:val="en-US"/>
              </w:rPr>
              <w:fldChar w:fldCharType="end"/>
            </w:r>
          </w:p>
        </w:tc>
      </w:tr>
      <w:tr w:rsidR="00041733" w:rsidRPr="00AB4713" w14:paraId="1AE85375" w14:textId="77777777" w:rsidTr="00AB4CAE">
        <w:tc>
          <w:tcPr>
            <w:tcW w:w="2188" w:type="dxa"/>
          </w:tcPr>
          <w:p w14:paraId="7F15D19A" w14:textId="77777777" w:rsidR="00041733" w:rsidRPr="0048196F" w:rsidRDefault="00041733" w:rsidP="00AB4CAE">
            <w:pPr>
              <w:rPr>
                <w:i/>
                <w:iCs/>
                <w:lang w:val="en-US"/>
              </w:rPr>
            </w:pPr>
            <w:r w:rsidRPr="0048196F">
              <w:rPr>
                <w:i/>
                <w:iCs/>
                <w:lang w:val="en-US"/>
              </w:rPr>
              <w:t>Climate Change</w:t>
            </w:r>
          </w:p>
          <w:p w14:paraId="0317019A" w14:textId="77777777" w:rsidR="00041733" w:rsidRPr="0048196F" w:rsidRDefault="00041733" w:rsidP="00AB4CAE">
            <w:pPr>
              <w:rPr>
                <w:i/>
                <w:iCs/>
                <w:lang w:val="en-US"/>
              </w:rPr>
            </w:pPr>
          </w:p>
        </w:tc>
        <w:tc>
          <w:tcPr>
            <w:tcW w:w="6294" w:type="dxa"/>
          </w:tcPr>
          <w:p w14:paraId="6DC0DCED" w14:textId="1F817D18" w:rsidR="00041733" w:rsidRPr="0048196F" w:rsidRDefault="00041733" w:rsidP="00AB4CAE">
            <w:pPr>
              <w:spacing w:line="360" w:lineRule="auto"/>
              <w:rPr>
                <w:lang w:val="en-US"/>
              </w:rPr>
            </w:pPr>
            <w:r w:rsidRPr="0048196F">
              <w:rPr>
                <w:lang w:val="en-US"/>
              </w:rPr>
              <w:t xml:space="preserve">Global warming results in climate change and is directly noticeable as weather events are more extreme and increasingly unpredictable. This is resulting in droughts, floods and </w:t>
            </w:r>
            <w:r w:rsidR="002C3E75" w:rsidRPr="0048196F">
              <w:rPr>
                <w:lang w:val="en-US"/>
              </w:rPr>
              <w:t xml:space="preserve">other </w:t>
            </w:r>
            <w:r w:rsidRPr="0048196F">
              <w:rPr>
                <w:lang w:val="en-US"/>
              </w:rPr>
              <w:t xml:space="preserve">natural disasters. The consequence of varying yields influences food security and jeopardizes human livelihoods; climate change can be seen as a “hunger risk multiplier” </w:t>
            </w:r>
            <w:r w:rsidRPr="0048196F">
              <w:rPr>
                <w:lang w:val="en-US"/>
              </w:rPr>
              <w:fldChar w:fldCharType="begin" w:fldLock="1"/>
            </w:r>
            <w:r w:rsidRPr="0048196F">
              <w:rPr>
                <w:lang w:val="en-US"/>
              </w:rPr>
              <w:instrText>ADDIN CSL_CITATION {"citationItems":[{"id":"ITEM-1","itemData":{"DOI":"10.4161/chan.4.6.12871","ISBN":"9789251095515","ISSN":"1933-6950","PMID":"11417047","abstract":"TRENDS A number of global trends are influencing food security, poverty and the overall sustainability of food and agricultural systems. Economic growth and population dynamics are driving the structural change of economies. Climate change affects disproportionately food-insecure regions, jeopardizing crop and livestock production, fish stocks and fisheries. Critical parts of food systems are becoming more capital-intensive, vertically integrated and concentrated in fewer hands.","author":[{"dropping-particle":"","family":"FAO","given":"","non-dropping-particle":"","parse-names":false,"suffix":""}],"container-title":"Food and Agriculture Organization of the United Nations","id":"ITEM-1","issued":{"date-parts":[["2017"]]},"page":"180","title":"The future of food and agriculture: Trends and challenges","type":"article-journal"},"uris":["http://www.mendeley.com/documents/?uuid=43d7828f-7e91-4fae-b6aa-8a151ce13651"]}],"mendeley":{"formattedCitation":"(FAO, 2017)","plainTextFormattedCitation":"(FAO, 2017)","previouslyFormattedCitation":"(FAO, 2017)"},"properties":{"noteIndex":0},"schema":"https://github.com/citation-style-language/schema/raw/master/csl-citation.json"}</w:instrText>
            </w:r>
            <w:r w:rsidRPr="0048196F">
              <w:rPr>
                <w:lang w:val="en-US"/>
              </w:rPr>
              <w:fldChar w:fldCharType="separate"/>
            </w:r>
            <w:r w:rsidRPr="0048196F">
              <w:rPr>
                <w:noProof/>
                <w:lang w:val="en-US"/>
              </w:rPr>
              <w:t>(FAO, 2017)</w:t>
            </w:r>
            <w:r w:rsidRPr="0048196F">
              <w:rPr>
                <w:lang w:val="en-US"/>
              </w:rPr>
              <w:fldChar w:fldCharType="end"/>
            </w:r>
            <w:r w:rsidRPr="0048196F">
              <w:rPr>
                <w:lang w:val="en-US"/>
              </w:rPr>
              <w:t xml:space="preserve"> Scenarios predict a reduction of yields in the long run, and a growth of year on year yield variability of 50% by 2050 </w:t>
            </w:r>
            <w:r w:rsidRPr="0048196F">
              <w:rPr>
                <w:lang w:val="en-US"/>
              </w:rPr>
              <w:fldChar w:fldCharType="begin" w:fldLock="1"/>
            </w:r>
            <w:r w:rsidRPr="0048196F">
              <w:rPr>
                <w:lang w:val="en-US"/>
              </w:rPr>
              <w:instrText>ADDIN CSL_CITATION {"citationItems":[{"id":"ITEM-1","itemData":{"abstract":"Technology Transforming Irish Agri-Food and Bioeconomy","author":[{"dropping-particle":"","family":"TEAGASC","given":"","non-dropping-particle":"","parse-names":false,"suffix":""}],"id":"ITEM-1","issue":"March","issued":{"date-parts":[["2016"]]},"page":"80","title":"TEAGASC Technology Foresight 2035","type":"article-journal"},"uris":["http://www.mendeley.com/documents/?uuid=fe3a1152-2571-40d1-ae63-02479794e628"]}],"mendeley":{"formattedCitation":"(TEAGASC, 2016)","plainTextFormattedCitation":"(TEAGASC, 2016)","previouslyFormattedCitation":"(TEAGASC, 2016)"},"properties":{"noteIndex":0},"schema":"https://github.com/citation-style-language/schema/raw/master/csl-citation.json"}</w:instrText>
            </w:r>
            <w:r w:rsidRPr="0048196F">
              <w:rPr>
                <w:lang w:val="en-US"/>
              </w:rPr>
              <w:fldChar w:fldCharType="separate"/>
            </w:r>
            <w:r w:rsidRPr="0048196F">
              <w:rPr>
                <w:noProof/>
                <w:lang w:val="en-US"/>
              </w:rPr>
              <w:t>(TEAGASC, 2016)</w:t>
            </w:r>
            <w:r w:rsidRPr="0048196F">
              <w:rPr>
                <w:lang w:val="en-US"/>
              </w:rPr>
              <w:fldChar w:fldCharType="end"/>
            </w:r>
          </w:p>
        </w:tc>
      </w:tr>
      <w:tr w:rsidR="00041733" w:rsidRPr="0048196F" w14:paraId="05D1880D" w14:textId="77777777" w:rsidTr="00AB4CAE">
        <w:tc>
          <w:tcPr>
            <w:tcW w:w="2188" w:type="dxa"/>
          </w:tcPr>
          <w:p w14:paraId="5DD65D95" w14:textId="77777777" w:rsidR="00041733" w:rsidRPr="0048196F" w:rsidRDefault="00041733" w:rsidP="00AB4CAE">
            <w:pPr>
              <w:rPr>
                <w:i/>
                <w:iCs/>
                <w:lang w:val="en-US"/>
              </w:rPr>
            </w:pPr>
            <w:r w:rsidRPr="0048196F">
              <w:rPr>
                <w:i/>
                <w:iCs/>
                <w:lang w:val="en-US"/>
              </w:rPr>
              <w:t>Environmental degradation</w:t>
            </w:r>
          </w:p>
          <w:p w14:paraId="03D1122C" w14:textId="77777777" w:rsidR="00041733" w:rsidRPr="0048196F" w:rsidRDefault="00041733" w:rsidP="00AB4CAE">
            <w:pPr>
              <w:rPr>
                <w:i/>
                <w:iCs/>
                <w:lang w:val="en-US"/>
              </w:rPr>
            </w:pPr>
          </w:p>
        </w:tc>
        <w:tc>
          <w:tcPr>
            <w:tcW w:w="6294" w:type="dxa"/>
          </w:tcPr>
          <w:p w14:paraId="141BB3E8" w14:textId="769D756A" w:rsidR="00041733" w:rsidRPr="0048196F" w:rsidRDefault="00041733" w:rsidP="00AB4CAE">
            <w:pPr>
              <w:spacing w:line="360" w:lineRule="auto"/>
              <w:rPr>
                <w:lang w:val="en-US"/>
              </w:rPr>
            </w:pPr>
            <w:r w:rsidRPr="0048196F">
              <w:rPr>
                <w:lang w:val="en-US"/>
              </w:rPr>
              <w:t xml:space="preserve">Some examples of environmental degradation are desertification of land, the loss of biodiversity and the eutrophication of water sources. </w:t>
            </w:r>
            <w:r w:rsidR="002C3E75" w:rsidRPr="0048196F">
              <w:rPr>
                <w:lang w:val="en-US"/>
              </w:rPr>
              <w:t>Arable</w:t>
            </w:r>
            <w:r w:rsidRPr="0048196F">
              <w:rPr>
                <w:lang w:val="en-US"/>
              </w:rPr>
              <w:t xml:space="preserve"> land is degrading and a variety of resources are susceptible to scarcity </w:t>
            </w:r>
            <w:r w:rsidRPr="0048196F">
              <w:rPr>
                <w:lang w:val="en-US"/>
              </w:rPr>
              <w:fldChar w:fldCharType="begin" w:fldLock="1"/>
            </w:r>
            <w:r w:rsidRPr="0048196F">
              <w:rPr>
                <w:lang w:val="en-US"/>
              </w:rPr>
              <w:instrText>ADDIN CSL_CITATION {"citationItems":[{"id":"ITEM-1","itemData":{"abstract":"Contextual trends and macro elements Global Trends: Trend 1: Food demand is increasing while patterns of food consumption are changing towards more livestock products, vegetable oils and sugar Trend 2: Growing competition and diminishing quality and quantity of natural resources and loss of ecosystem services Trend 3: Energy security and scarcity – the landscape and trends Trend 4: Food price increases and price volatility Trend 5: Changing agrarian structures, agro-industrialization and the globalization of food production Trend 6: Changing patterns in agricultural trade and the evolution of trade policies Trend 7: Climate change will have a growing impact in agriculture Trend 8: Science and technology as a main source of agricultural productivity and production increases is progressively is becoming a private good and the processes are dominated by the private sector Trend 9: Evolving development environment: increased recognition of the centrality of governance and a commitment to country-led development processes Trend 10: Increased vulnerability due to natural and man-made disasters and crisis","author":[{"dropping-particle":"","family":"FAO","given":"","non-dropping-particle":"","parse-names":false,"suffix":""}],"container-title":"Committee on Agriculture, 23rd Session","id":"ITEM-1","issued":{"date-parts":[["2012"]]},"title":"Global Trends and Future Challenges for the Work of the Organization","type":"article-journal"},"uris":["http://www.mendeley.com/documents/?uuid=e3089c7c-a2c0-4907-ba4c-1c9a6144422c"]}],"mendeley":{"formattedCitation":"(FAO, 2012)","plainTextFormattedCitation":"(FAO, 2012)","previouslyFormattedCitation":"(FAO, 2012)"},"properties":{"noteIndex":0},"schema":"https://github.com/citation-style-language/schema/raw/master/csl-citation.json"}</w:instrText>
            </w:r>
            <w:r w:rsidRPr="0048196F">
              <w:rPr>
                <w:lang w:val="en-US"/>
              </w:rPr>
              <w:fldChar w:fldCharType="separate"/>
            </w:r>
            <w:r w:rsidRPr="0048196F">
              <w:rPr>
                <w:noProof/>
                <w:lang w:val="en-US"/>
              </w:rPr>
              <w:t>(FAO, 2012)</w:t>
            </w:r>
            <w:r w:rsidRPr="0048196F">
              <w:rPr>
                <w:lang w:val="en-US"/>
              </w:rPr>
              <w:fldChar w:fldCharType="end"/>
            </w:r>
            <w:r w:rsidRPr="0048196F">
              <w:rPr>
                <w:lang w:val="en-US"/>
              </w:rPr>
              <w:t xml:space="preserve">. Resource scarcity will result in a fiercer competition for inputs and the obligation to use resources more efficient.  Preventing or minimizing environmental degradation is an important and urgent sustainability challenge of the coming decades </w:t>
            </w:r>
            <w:r w:rsidRPr="0048196F">
              <w:rPr>
                <w:lang w:val="en-US"/>
              </w:rPr>
              <w:fldChar w:fldCharType="begin" w:fldLock="1"/>
            </w:r>
            <w:r w:rsidRPr="0048196F">
              <w:rPr>
                <w:lang w:val="en-US"/>
              </w:rPr>
              <w:instrText>ADDIN CSL_CITATION {"citationItems":[{"id":"ITEM-1","itemData":{"DOI":"10.1016/j.geoderma.2018.11.042","ISSN":"00167061","abstract":"Sustainable agricultural intensification (SI) is an important strategy to respond to the combined challenge of achieving food security and providing public goods and ecosystem services to society, including mitigation and adaptation of climate change. Sustainable intensification includes a wide range of measures at both the supply and demand-side of agricultural production. However, currently, it is unclear what are the most effective and priority measures. This study assesses the potential of different SI measures for reducing GHG (greenhouse gas) emissions and increasing land use efficiency in the European Union's agriculture sector. A scenario approach was combined with life cycle analysis to quantify the environmental impacts of a number of different SI measures. The sustainable intensification measures assessed in this study are: 1) changing human diet; 2) using food waste in livestock diets; 3) shifting from monoculture cropping to crop rotation, and, 4) incorporating crop residues into the soil. The results reveal that the studied SI measures have the potential to increase land use savings, ranging from 0.06 to 3.32 m 2 /person/day, while GHG emission savings ranging from 71 to 1872 g CO 2 -eq/person/day can be achieved at EU level. Among these SI measures, changing human diet showed a remarkably high reduction of environmental impacts. On the contrary, increased GHG emission savings in the other SI measures (i.e. crop residue incorporation in the field and replacing soybean meal in conventional feed by food waste-based feed) are counter effected by increased GHG emissions in the energy sector due to reduction of feedstock availability for bioenergy production. The approach used in this study allows the assessment of both the production and consumption-side SI measures and allows the identification of the most effective SI measures and their potential trade-offs.","author":[{"dropping-particle":"","family":"Bais-Moleman","given":"Anna Liza","non-dropping-particle":"","parse-names":false,"suffix":""},{"dropping-particle":"","family":"Schulp","given":"Catharina J.E.","non-dropping-particle":"","parse-names":false,"suffix":""},{"dropping-particle":"","family":"Verburg","given":"Peter H.","non-dropping-particle":"","parse-names":false,"suffix":""}],"container-title":"Geoderma","id":"ITEM-1","issue":"November 2018","issued":{"date-parts":[["2019"]]},"page":"555-567","publisher":"Elsevier","title":"Assessing the environmental impacts of production- and consumption-side measures in sustainable agriculture intensification in the European Union","type":"article-journal","volume":"338"},"uris":["http://www.mendeley.com/documents/?uuid=6ace2a97-150f-4abd-8d07-5a54602f0b3f"]}],"mendeley":{"formattedCitation":"(Bais-Moleman, Schulp, &amp; Verburg, 2019)","plainTextFormattedCitation":"(Bais-Moleman, Schulp, &amp; Verburg, 2019)","previouslyFormattedCitation":"(Bais-Moleman, Schulp, &amp; Verburg, 2019)"},"properties":{"noteIndex":0},"schema":"https://github.com/citation-style-language/schema/raw/master/csl-citation.json"}</w:instrText>
            </w:r>
            <w:r w:rsidRPr="0048196F">
              <w:rPr>
                <w:lang w:val="en-US"/>
              </w:rPr>
              <w:fldChar w:fldCharType="separate"/>
            </w:r>
            <w:r w:rsidRPr="0048196F">
              <w:rPr>
                <w:noProof/>
                <w:lang w:val="en-US"/>
              </w:rPr>
              <w:t>(Bais-Moleman, Schulp, &amp; Verburg, 2019)</w:t>
            </w:r>
            <w:r w:rsidRPr="0048196F">
              <w:rPr>
                <w:lang w:val="en-US"/>
              </w:rPr>
              <w:fldChar w:fldCharType="end"/>
            </w:r>
            <w:r w:rsidRPr="0048196F">
              <w:rPr>
                <w:lang w:val="en-US"/>
              </w:rPr>
              <w:t xml:space="preserve">. </w:t>
            </w:r>
          </w:p>
        </w:tc>
      </w:tr>
      <w:tr w:rsidR="00041733" w:rsidRPr="00AB4713" w14:paraId="14C92F02" w14:textId="77777777" w:rsidTr="00AB4CAE">
        <w:tc>
          <w:tcPr>
            <w:tcW w:w="2188" w:type="dxa"/>
          </w:tcPr>
          <w:p w14:paraId="525D1A1C" w14:textId="77777777" w:rsidR="00041733" w:rsidRPr="0048196F" w:rsidRDefault="00041733" w:rsidP="00AB4CAE">
            <w:pPr>
              <w:rPr>
                <w:i/>
                <w:iCs/>
                <w:lang w:val="en-US"/>
              </w:rPr>
            </w:pPr>
            <w:r w:rsidRPr="0048196F">
              <w:rPr>
                <w:i/>
                <w:iCs/>
                <w:lang w:val="en-US"/>
              </w:rPr>
              <w:t>Digitalization</w:t>
            </w:r>
          </w:p>
          <w:p w14:paraId="58BF97A3" w14:textId="77777777" w:rsidR="00041733" w:rsidRPr="0048196F" w:rsidRDefault="00041733" w:rsidP="00AB4CAE">
            <w:pPr>
              <w:rPr>
                <w:i/>
                <w:iCs/>
                <w:lang w:val="en-US"/>
              </w:rPr>
            </w:pPr>
          </w:p>
        </w:tc>
        <w:tc>
          <w:tcPr>
            <w:tcW w:w="6294" w:type="dxa"/>
          </w:tcPr>
          <w:p w14:paraId="49852AD6" w14:textId="53F35038" w:rsidR="00041733" w:rsidRPr="0048196F" w:rsidRDefault="00041733" w:rsidP="00AB4CAE">
            <w:pPr>
              <w:spacing w:line="360" w:lineRule="auto"/>
              <w:rPr>
                <w:lang w:val="en-US"/>
              </w:rPr>
            </w:pPr>
            <w:r w:rsidRPr="0048196F">
              <w:rPr>
                <w:lang w:val="en-US"/>
              </w:rPr>
              <w:t xml:space="preserve">An increasing amount of data is captured which allows the analysis of physical and economic processes </w:t>
            </w:r>
            <w:r w:rsidRPr="0048196F">
              <w:rPr>
                <w:lang w:val="en-US"/>
              </w:rPr>
              <w:fldChar w:fldCharType="begin" w:fldLock="1"/>
            </w:r>
            <w:r w:rsidR="00E171A9">
              <w:rPr>
                <w:lang w:val="en-US"/>
              </w:rPr>
              <w:instrText>ADDIN CSL_CITATION {"citationItems":[{"id":"ITEM-1","itemData":{"abstract":"JT03431357 This document, as well as any data and map included herein, are without prejudice to the status of or sovereignty over any territory, to the delimitation of international frontiers and boundaries and to the name of any territory, city or area.","author":[{"dropping-particle":"","family":"OECD","given":"","non-dropping-particle":"","parse-names":false,"suffix":""}],"container-title":"Tad/Ca/Gf(2018)1","id":"ITEM-1","issued":{"date-parts":[["2018"]]},"page":"1-13","title":"Global Forum on Agriculture: How Digital Technologies are Impacting the Way we Grow and Distribute Food","type":"article-journal"},"uris":["http://www.mendeley.com/documents/?uuid=c68be520-f026-40f0-9e2a-1cacc895691f"]}],"mendeley":{"formattedCitation":"(OECD, 2018)","plainTextFormattedCitation":"(OECD, 2018)","previouslyFormattedCitation":"(OECD, 2018)"},"properties":{"noteIndex":0},"schema":"https://github.com/citation-style-language/schema/raw/master/csl-citation.json"}</w:instrText>
            </w:r>
            <w:r w:rsidRPr="0048196F">
              <w:rPr>
                <w:lang w:val="en-US"/>
              </w:rPr>
              <w:fldChar w:fldCharType="separate"/>
            </w:r>
            <w:r w:rsidR="00612276" w:rsidRPr="00612276">
              <w:rPr>
                <w:noProof/>
                <w:lang w:val="en-US"/>
              </w:rPr>
              <w:t>(OECD, 2018)</w:t>
            </w:r>
            <w:r w:rsidRPr="0048196F">
              <w:rPr>
                <w:lang w:val="en-US"/>
              </w:rPr>
              <w:fldChar w:fldCharType="end"/>
            </w:r>
            <w:r w:rsidRPr="0048196F">
              <w:rPr>
                <w:lang w:val="en-US"/>
              </w:rPr>
              <w:t xml:space="preserve">. This is the basis for the ongoing digital revolution that connects the digital to the physical world, also called “industry 4.0”. Sensing, smart and sustainable solutions will play an important role in meeting the sector’s challenges. </w:t>
            </w:r>
            <w:r w:rsidRPr="0048196F">
              <w:rPr>
                <w:lang w:val="en-US"/>
              </w:rPr>
              <w:fldChar w:fldCharType="begin" w:fldLock="1"/>
            </w:r>
            <w:r w:rsidRPr="0048196F">
              <w:rPr>
                <w:lang w:val="en-US"/>
              </w:rPr>
              <w:instrText>ADDIN CSL_CITATION {"citationItems":[{"id":"ITEM-1","itemData":{"DOI":"10.1016/j.compind.2019.02.002","ISSN":"01663615","abstract":"Currently, the agri-food sector takes advantage of modern machinery, tools and emerging information and communication technologies (ICTs) that consider the Internet of Things (IoT) capabilities. These implementations have given way to a new era of agri-food production called ‘Agri-Food 4.0’ where automation, connectivity, digitalisation, the use of renewable energies and the efficient use of resources are predominant in this sector. In this article, the ‘sensing, smart and sustainable (S 3 )’ concept is applied to develop new technologies that can respond to current challenges of agri-food industries. Therefore, this work focuses on describing how S 3 technologies for the agri-food sector can be developed using a systematic process for new product development (NPD). The main objective of this work is to fill the gap vis-à-vis the current lack of design roadmaps that permit the development of this new generation of products in the context of agri-food 4.0. Finally, this work presents case studies of S 3 technologies applied to the agri-food sector: an intelligent greenhouse, a sun tracker trajectory, an hexapod robot for field monitoring and an agricultural drone.","author":[{"dropping-particle":"","family":"Miranda","given":"Jhonattan","non-dropping-particle":"","parse-names":false,"suffix":""},{"dropping-particle":"","family":"Ponce","given":"Pedro","non-dropping-particle":"","parse-names":false,"suffix":""},{"dropping-particle":"","family":"Molina","given":"Arturo","non-dropping-particle":"","parse-names":false,"suffix":""},{"dropping-particle":"","family":"Wright","given":"Paul","non-dropping-particle":"","parse-names":false,"suffix":""}],"container-title":"Computers in Industry","id":"ITEM-1","issued":{"date-parts":[["2019"]]},"page":"21-36","publisher":"Elsevier B.V.","title":"Sensing, smart and sustainable technologies for Agri-Food 4.0","type":"article-journal","volume":"108"},"uris":["http://www.mendeley.com/documents/?uuid=e1012b4e-0da6-45c2-a682-c05180dbe070"]}],"mendeley":{"formattedCitation":"(Miranda, Ponce, Molina, &amp; Wright, 2019)","plainTextFormattedCitation":"(Miranda, Ponce, Molina, &amp; Wright, 2019)","previouslyFormattedCitation":"(Miranda, Ponce, Molina, &amp; Wright, 2019)"},"properties":{"noteIndex":0},"schema":"https://github.com/citation-style-language/schema/raw/master/csl-citation.json"}</w:instrText>
            </w:r>
            <w:r w:rsidRPr="0048196F">
              <w:rPr>
                <w:lang w:val="en-US"/>
              </w:rPr>
              <w:fldChar w:fldCharType="separate"/>
            </w:r>
            <w:r w:rsidRPr="0048196F">
              <w:rPr>
                <w:noProof/>
                <w:lang w:val="en-US"/>
              </w:rPr>
              <w:t>(Miranda, Ponce, Molina, &amp; Wright, 2019)</w:t>
            </w:r>
            <w:r w:rsidRPr="0048196F">
              <w:rPr>
                <w:lang w:val="en-US"/>
              </w:rPr>
              <w:fldChar w:fldCharType="end"/>
            </w:r>
          </w:p>
        </w:tc>
      </w:tr>
      <w:tr w:rsidR="002C3E75" w:rsidRPr="0048196F" w14:paraId="2CD25DE1" w14:textId="77777777" w:rsidTr="00AB4CAE">
        <w:tc>
          <w:tcPr>
            <w:tcW w:w="2188" w:type="dxa"/>
          </w:tcPr>
          <w:p w14:paraId="3377D823" w14:textId="702FC0F0" w:rsidR="002C3E75" w:rsidRPr="0048196F" w:rsidRDefault="002C3E75" w:rsidP="00AB4CAE">
            <w:pPr>
              <w:rPr>
                <w:i/>
                <w:iCs/>
                <w:lang w:val="en-US"/>
              </w:rPr>
            </w:pPr>
            <w:r w:rsidRPr="0048196F">
              <w:rPr>
                <w:i/>
                <w:iCs/>
                <w:lang w:val="en-US"/>
              </w:rPr>
              <w:t>Market Volatility</w:t>
            </w:r>
          </w:p>
        </w:tc>
        <w:tc>
          <w:tcPr>
            <w:tcW w:w="6294" w:type="dxa"/>
          </w:tcPr>
          <w:p w14:paraId="17AB9726" w14:textId="2E20FD94" w:rsidR="002C3E75" w:rsidRPr="0048196F" w:rsidRDefault="0067755B" w:rsidP="00AB4CAE">
            <w:pPr>
              <w:spacing w:line="360" w:lineRule="auto"/>
              <w:rPr>
                <w:lang w:val="en-US"/>
              </w:rPr>
            </w:pPr>
            <w:r w:rsidRPr="0048196F">
              <w:rPr>
                <w:lang w:val="en-US"/>
              </w:rPr>
              <w:t xml:space="preserve"> The core of the agri-food chain management lies in dealing with uncertainty </w:t>
            </w:r>
            <w:r w:rsidRPr="0048196F">
              <w:rPr>
                <w:lang w:val="en-US"/>
              </w:rPr>
              <w:fldChar w:fldCharType="begin" w:fldLock="1"/>
            </w:r>
            <w:r w:rsidRPr="0048196F">
              <w:rPr>
                <w:lang w:val="en-US"/>
              </w:rPr>
              <w:instrText>ADDIN CSL_CITATION {"citationItems":[{"id":"ITEM-1","itemData":{"DOI":"10.15544/mts.2018.03","ISSN":"1822-6760","abstract":"Over the last decade, agri-food chain has been changing rapidly in order to cope and face new global challenges. The key problem of the research is to find the possibilities to increase modern agri-food chain flexibility and adaptability to the needs and the requirements of all the stakeholders within the chain steps. The aim of the research is to create a conceptual agri-food supply chain optimization model and based on it define key characteristics for the selected agri-foods. A SWOT matrix has been developed in order to highlight the several aspects of four agri-food chains: wine, cereal, fruit and vegetables, and oil olive. The research results outline opportunities, strengths, weaknesses, and threats of a strategic management through the structure and characteristics of each chain by giving a deeper understanding.","author":[{"dropping-particle":"","family":"Fiore","given":"Mariantonietta","non-dropping-particle":"","parse-names":false,"suffix":""},{"dropping-particle":"","family":"Stašys","given":"Rimantas","non-dropping-particle":"","parse-names":false,"suffix":""},{"dropping-particle":"","family":"Pellegrini","given":"Giustina","non-dropping-particle":"","parse-names":false,"suffix":""}],"container-title":"Management Theory and Studies for Rural Business and Infrastructure Development","id":"ITEM-1","issue":"1","issued":{"date-parts":[["2018"]]},"page":"28-36","title":"Agri-Food Supply Chain Optimization Through the Swot Analysis","type":"article-journal","volume":"40"},"uris":["http://www.mendeley.com/documents/?uuid=58cf4021-8f84-4334-a62b-3a3fcd3194e6"]}],"mendeley":{"formattedCitation":"(Fiore, Stašys, &amp; Pellegrini, 2018)","plainTextFormattedCitation":"(Fiore, Stašys, &amp; Pellegrini, 2018)","previouslyFormattedCitation":"(Fiore, Stašys, &amp; Pellegrini, 2018)"},"properties":{"noteIndex":0},"schema":"https://github.com/citation-style-language/schema/raw/master/csl-citation.json"}</w:instrText>
            </w:r>
            <w:r w:rsidRPr="0048196F">
              <w:rPr>
                <w:lang w:val="en-US"/>
              </w:rPr>
              <w:fldChar w:fldCharType="separate"/>
            </w:r>
            <w:r w:rsidRPr="0048196F">
              <w:rPr>
                <w:noProof/>
                <w:lang w:val="en-US"/>
              </w:rPr>
              <w:t>(Fiore, Stašys, &amp; Pellegrini, 2018)</w:t>
            </w:r>
            <w:r w:rsidRPr="0048196F">
              <w:rPr>
                <w:lang w:val="en-US"/>
              </w:rPr>
              <w:fldChar w:fldCharType="end"/>
            </w:r>
            <w:r w:rsidRPr="0048196F">
              <w:rPr>
                <w:lang w:val="en-US"/>
              </w:rPr>
              <w:t xml:space="preserve">. Yields and prices have always fluctuated, the degree to which however has been increasingly high due to </w:t>
            </w:r>
            <w:r w:rsidR="00CD0E1F" w:rsidRPr="0048196F">
              <w:rPr>
                <w:lang w:val="en-US"/>
              </w:rPr>
              <w:t xml:space="preserve">due to the changing climate, political actions and social changes </w:t>
            </w:r>
            <w:r w:rsidR="00CD0E1F" w:rsidRPr="0048196F">
              <w:rPr>
                <w:lang w:val="en-US"/>
              </w:rPr>
              <w:fldChar w:fldCharType="begin" w:fldLock="1"/>
            </w:r>
            <w:r w:rsidR="00CD0E1F" w:rsidRPr="0048196F">
              <w:rPr>
                <w:lang w:val="en-US"/>
              </w:rPr>
              <w:instrText>ADDIN CSL_CITATION {"citationItems":[{"id":"ITEM-1","itemData":{"author":[{"dropping-particle":"","family":"KPMG","given":"","non-dropping-particle":"","parse-names":false,"suffix":""}],"id":"ITEM-1","issued":{"date-parts":[["2013"]]},"title":"The agricultural and food value chain: Entering a new era of cooperation, KPMG International: Global Life Sciences","type":"article-journal"},"uris":["http://www.mendeley.com/documents/?uuid=61e05463-3df5-4c76-9885-a58020bb259e"]}],"mendeley":{"formattedCitation":"(KPMG, 2013)","plainTextFormattedCitation":"(KPMG, 2013)","previouslyFormattedCitation":"(KPMG, 2013)"},"properties":{"noteIndex":0},"schema":"https://github.com/citation-style-language/schema/raw/master/csl-citation.json"}</w:instrText>
            </w:r>
            <w:r w:rsidR="00CD0E1F" w:rsidRPr="0048196F">
              <w:rPr>
                <w:lang w:val="en-US"/>
              </w:rPr>
              <w:fldChar w:fldCharType="separate"/>
            </w:r>
            <w:r w:rsidR="00CD0E1F" w:rsidRPr="0048196F">
              <w:rPr>
                <w:noProof/>
                <w:lang w:val="en-US"/>
              </w:rPr>
              <w:t>(KPMG, 2013)</w:t>
            </w:r>
            <w:r w:rsidR="00CD0E1F" w:rsidRPr="0048196F">
              <w:rPr>
                <w:lang w:val="en-US"/>
              </w:rPr>
              <w:fldChar w:fldCharType="end"/>
            </w:r>
            <w:r w:rsidRPr="0048196F">
              <w:rPr>
                <w:lang w:val="en-US"/>
              </w:rPr>
              <w:t>. Farmers</w:t>
            </w:r>
            <w:r w:rsidR="00CD0E1F" w:rsidRPr="0048196F">
              <w:rPr>
                <w:lang w:val="en-US"/>
              </w:rPr>
              <w:t xml:space="preserve"> get caught in the middle between changing weather patterns and rising input prices</w:t>
            </w:r>
            <w:r w:rsidRPr="0048196F">
              <w:rPr>
                <w:lang w:val="en-US"/>
              </w:rPr>
              <w:t xml:space="preserve"> </w:t>
            </w:r>
            <w:r w:rsidRPr="0048196F">
              <w:rPr>
                <w:lang w:val="en-US"/>
              </w:rPr>
              <w:fldChar w:fldCharType="begin" w:fldLock="1"/>
            </w:r>
            <w:r w:rsidR="008619A7">
              <w:rPr>
                <w:lang w:val="en-US"/>
              </w:rPr>
              <w:instrText>ADDIN CSL_CITATION {"citationItems":[{"id":"ITEM-1","itemData":{"ISBN":"0007070X (ISSN)","abstract":"Purpose – The purpose of this paper is twofold: first, to formulate an exhaustive list of the issues, gaps, and barriers at each level of the agri-food value chain in North Carolina (NC), and second, to identify the issues of greatest importance to its members. Design/methodology/approach – This research employed the Delphi technique in two stages of input. The first round of input was designed to create a comprehensive list of issues for each of nine “stages” of the agri-food value chain. In round two, the issues were prioritized. Findings – The top ten responses of each stage were aggregated into themes that represent the most critical issues identified by respondents: connectedness within the value chain, access to markets and marketing, affordability/availability of food and food distribution, farm profitability, societal awareness, and education about healthy, local food, and supporting institutions. Originality/value – The findings could be used by practitioners to inspire innovation in food-related products, programs, processes, organization, and marketing. The findings can help farmers, institutions, food distributors, policy makers, and other members of the agri-food value chain to make decisions about food distribution and access in NC and in other states facing similar issues and circumstances. The findings of this research also have further reaching implications, such as the connectivity of members along the agri-food value chain, the impact of a strong agri-food value chain on agritourism and the potential value of state marketing initiatives. © 2016, © Emerald Group Publishing Limited.","author":[{"dropping-particle":"","family":"Kline et al","given":"","non-dropping-particle":"","parse-names":false,"suffix":""}],"container-title":"British Food Journal","id":"ITEM-1","issue":"2","issued":{"date-parts":[["2016"]]},"page":"301-317","title":"Gaps and barriers along the North Carolina agri-food value chain","type":"article-journal","volume":"118"},"uris":["http://www.mendeley.com/documents/?uuid=e839334b-b161-4f40-84d6-71273fc52c26"]}],"mendeley":{"formattedCitation":"(Kline et al, 2016)","plainTextFormattedCitation":"(Kline et al, 2016)","previouslyFormattedCitation":"(Kline et al, 2016)"},"properties":{"noteIndex":0},"schema":"https://github.com/citation-style-language/schema/raw/master/csl-citation.json"}</w:instrText>
            </w:r>
            <w:r w:rsidRPr="0048196F">
              <w:rPr>
                <w:lang w:val="en-US"/>
              </w:rPr>
              <w:fldChar w:fldCharType="separate"/>
            </w:r>
            <w:r w:rsidR="008619A7" w:rsidRPr="008619A7">
              <w:rPr>
                <w:noProof/>
                <w:lang w:val="en-US"/>
              </w:rPr>
              <w:t>(Kline et al, 2016)</w:t>
            </w:r>
            <w:r w:rsidRPr="0048196F">
              <w:rPr>
                <w:lang w:val="en-US"/>
              </w:rPr>
              <w:fldChar w:fldCharType="end"/>
            </w:r>
            <w:r w:rsidRPr="0048196F">
              <w:rPr>
                <w:lang w:val="en-US"/>
              </w:rPr>
              <w:t xml:space="preserve">, resulting in other supply chain actors struggling to maintain price and quality </w:t>
            </w:r>
            <w:r w:rsidRPr="0048196F">
              <w:rPr>
                <w:lang w:val="en-US"/>
              </w:rPr>
              <w:fldChar w:fldCharType="begin" w:fldLock="1"/>
            </w:r>
            <w:r w:rsidRPr="0048196F">
              <w:rPr>
                <w:lang w:val="en-US"/>
              </w:rPr>
              <w:instrText>ADDIN CSL_CITATION {"citationItems":[{"id":"ITEM-1","itemData":{"DOI":"10.15544/mts.2018.03","ISSN":"1822-6760","abstract":"Over the last decade, agri-food chain has been changing rapidly in order to cope and face new global challenges. The key problem of the research is to find the possibilities to increase modern agri-food chain flexibility and adaptability to the needs and the requirements of all the stakeholders within the chain steps. The aim of the research is to create a conceptual agri-food supply chain optimization model and based on it define key characteristics for the selected agri-foods. A SWOT matrix has been developed in order to highlight the several aspects of four agri-food chains: wine, cereal, fruit and vegetables, and oil olive. The research results outline opportunities, strengths, weaknesses, and threats of a strategic management through the structure and characteristics of each chain by giving a deeper understanding.","author":[{"dropping-particle":"","family":"Fiore","given":"Mariantonietta","non-dropping-particle":"","parse-names":false,"suffix":""},{"dropping-particle":"","family":"Stašys","given":"Rimantas","non-dropping-particle":"","parse-names":false,"suffix":""},{"dropping-particle":"","family":"Pellegrini","given":"Giustina","non-dropping-particle":"","parse-names":false,"suffix":""}],"container-title":"Management Theory and Studies for Rural Business and Infrastructure Development","id":"ITEM-1","issue":"1","issued":{"date-parts":[["2018"]]},"page":"28-36","title":"Agri-Food Supply Chain Optimization Through the Swot Analysis","type":"article-journal","volume":"40"},"uris":["http://www.mendeley.com/documents/?uuid=58cf4021-8f84-4334-a62b-3a3fcd3194e6"]}],"mendeley":{"formattedCitation":"(Fiore et al., 2018)","plainTextFormattedCitation":"(Fiore et al., 2018)","previouslyFormattedCitation":"(Fiore et al., 2018)"},"properties":{"noteIndex":0},"schema":"https://github.com/citation-style-language/schema/raw/master/csl-citation.json"}</w:instrText>
            </w:r>
            <w:r w:rsidRPr="0048196F">
              <w:rPr>
                <w:lang w:val="en-US"/>
              </w:rPr>
              <w:fldChar w:fldCharType="separate"/>
            </w:r>
            <w:r w:rsidRPr="0048196F">
              <w:rPr>
                <w:noProof/>
                <w:lang w:val="en-US"/>
              </w:rPr>
              <w:t>(Fiore et al., 2018)</w:t>
            </w:r>
            <w:r w:rsidRPr="0048196F">
              <w:rPr>
                <w:lang w:val="en-US"/>
              </w:rPr>
              <w:fldChar w:fldCharType="end"/>
            </w:r>
            <w:r w:rsidRPr="0048196F">
              <w:rPr>
                <w:lang w:val="en-US"/>
              </w:rPr>
              <w:t xml:space="preserve">. </w:t>
            </w:r>
          </w:p>
        </w:tc>
      </w:tr>
    </w:tbl>
    <w:p w14:paraId="0E85A1E0" w14:textId="77777777" w:rsidR="00B31276" w:rsidRPr="0048196F" w:rsidRDefault="00B31276" w:rsidP="00B31276">
      <w:pPr>
        <w:rPr>
          <w:lang w:val="en-US"/>
        </w:rPr>
      </w:pPr>
    </w:p>
    <w:p w14:paraId="7D3167E3" w14:textId="7BC638AB" w:rsidR="00392798" w:rsidRPr="0048196F" w:rsidRDefault="00B31276" w:rsidP="00CC1C1C">
      <w:pPr>
        <w:pStyle w:val="Heading3"/>
        <w:spacing w:line="360" w:lineRule="auto"/>
        <w:rPr>
          <w:lang w:val="en-US"/>
        </w:rPr>
      </w:pPr>
      <w:bookmarkStart w:id="54" w:name="_Toc14347318"/>
      <w:r w:rsidRPr="0048196F">
        <w:rPr>
          <w:lang w:val="en-US"/>
        </w:rPr>
        <w:t>Challenges</w:t>
      </w:r>
      <w:bookmarkEnd w:id="54"/>
    </w:p>
    <w:p w14:paraId="09F8D60C" w14:textId="35B855F4" w:rsidR="00B31276" w:rsidRPr="0048196F" w:rsidRDefault="00E0655D" w:rsidP="00CC1C1C">
      <w:pPr>
        <w:spacing w:line="360" w:lineRule="auto"/>
        <w:rPr>
          <w:lang w:val="en-US"/>
        </w:rPr>
      </w:pPr>
      <w:r w:rsidRPr="0048196F">
        <w:rPr>
          <w:lang w:val="en-US"/>
        </w:rPr>
        <w:t>The</w:t>
      </w:r>
      <w:r w:rsidR="00B31276" w:rsidRPr="0048196F">
        <w:rPr>
          <w:lang w:val="en-US"/>
        </w:rPr>
        <w:t xml:space="preserve"> response to these megatrends is the challenge of f</w:t>
      </w:r>
      <w:r w:rsidRPr="0048196F">
        <w:rPr>
          <w:lang w:val="en-US"/>
        </w:rPr>
        <w:t xml:space="preserve">orming </w:t>
      </w:r>
      <w:r w:rsidR="00B31276" w:rsidRPr="0048196F">
        <w:rPr>
          <w:lang w:val="en-US"/>
        </w:rPr>
        <w:t xml:space="preserve">more efficient, inclusive and resilient food systems </w:t>
      </w:r>
      <w:r w:rsidR="00B31276" w:rsidRPr="0048196F">
        <w:rPr>
          <w:lang w:val="en-US"/>
        </w:rPr>
        <w:fldChar w:fldCharType="begin" w:fldLock="1"/>
      </w:r>
      <w:r w:rsidR="00B31276" w:rsidRPr="0048196F">
        <w:rPr>
          <w:lang w:val="en-US"/>
        </w:rPr>
        <w:instrText>ADDIN CSL_CITATION {"citationItems":[{"id":"ITEM-1","itemData":{"DOI":"10.4161/chan.4.6.12871","ISBN":"9789251095515","ISSN":"1933-6950","PMID":"11417047","abstract":"TRENDS A number of global trends are influencing food security, poverty and the overall sustainability of food and agricultural systems. Economic growth and population dynamics are driving the structural change of economies. Climate change affects disproportionately food-insecure regions, jeopardizing crop and livestock production, fish stocks and fisheries. Critical parts of food systems are becoming more capital-intensive, vertically integrated and concentrated in fewer hands.","author":[{"dropping-particle":"","family":"FAO","given":"","non-dropping-particle":"","parse-names":false,"suffix":""}],"container-title":"Food and Agriculture Organization of the United Nations","id":"ITEM-1","issued":{"date-parts":[["2017"]]},"page":"180","title":"The future of food and agriculture: Trends and challenges","type":"article-journal"},"uris":["http://www.mendeley.com/documents/?uuid=43d7828f-7e91-4fae-b6aa-8a151ce13651"]}],"mendeley":{"formattedCitation":"(FAO, 2017)","plainTextFormattedCitation":"(FAO, 2017)","previouslyFormattedCitation":"(FAO, 2017)"},"properties":{"noteIndex":0},"schema":"https://github.com/citation-style-language/schema/raw/master/csl-citation.json"}</w:instrText>
      </w:r>
      <w:r w:rsidR="00B31276" w:rsidRPr="0048196F">
        <w:rPr>
          <w:lang w:val="en-US"/>
        </w:rPr>
        <w:fldChar w:fldCharType="separate"/>
      </w:r>
      <w:r w:rsidR="00B31276" w:rsidRPr="0048196F">
        <w:rPr>
          <w:noProof/>
          <w:lang w:val="en-US"/>
        </w:rPr>
        <w:t>(FAO, 2017)</w:t>
      </w:r>
      <w:r w:rsidR="00B31276" w:rsidRPr="0048196F">
        <w:rPr>
          <w:lang w:val="en-US"/>
        </w:rPr>
        <w:fldChar w:fldCharType="end"/>
      </w:r>
      <w:r w:rsidRPr="0048196F">
        <w:rPr>
          <w:lang w:val="en-US"/>
        </w:rPr>
        <w:t>.</w:t>
      </w:r>
      <w:r w:rsidR="00B31276" w:rsidRPr="0048196F">
        <w:rPr>
          <w:lang w:val="en-US"/>
        </w:rPr>
        <w:t xml:space="preserve"> This is no easy task and is considered one of the most pressing challenges of this century </w:t>
      </w:r>
      <w:r w:rsidR="00B31276" w:rsidRPr="0048196F">
        <w:rPr>
          <w:lang w:val="en-US"/>
        </w:rPr>
        <w:fldChar w:fldCharType="begin" w:fldLock="1"/>
      </w:r>
      <w:r w:rsidR="00B31276" w:rsidRPr="0048196F">
        <w:rPr>
          <w:lang w:val="en-US"/>
        </w:rPr>
        <w:instrText>ADDIN CSL_CITATION {"citationItems":[{"id":"ITEM-1","itemData":{"DOI":"10.1111/soru.12233","ISSN":"14679523","abstract":"&lt;section class=\"article-section article-section__abstract\" lang=\"en\" data-lang=\"en\" id=\"section-1-en\"&gt;\n   &lt;h3 class=\"article-section__header main main\"&gt;Abstract&lt;/h3&gt;\n   &lt;div class=\"article-section__content en main\"&gt;\n      \n      &lt;p&gt;Digital technologies are being developed and adopted across the agri‐food system, from farm to fork. Within decision‐making spaces, however, little attention is being paid to political factors arising from such technological developments. This review draws from critical social sciences to examine emerging technologies and big data systems in agriculture and assesses some key issues arising in the field. We begin with an introduction and review of the so‐called ‘digital revolution’ and then briefly outline how political economy is effective for understanding major challenges for governing technologies and data systems in agriculture. These challenges include: 1) data ownership and control, 2) the production of technologies and data development, and 3) data security. We then use literature and examples to consider the extent to which the political and economic landscape can be shifted to support greater equity in agriculture, while reflecting on structural challenges and limits. In doing so, we emphasise that while there are significant systemic tensions between digital ag‐tech development and agroecological approaches, we do not see them as mutually exclusive per se. This paper intends to provide decision‐makers, practitioners and scholars from a wide range of disciplines with a timely assessment of agri‐food digitalisation that attends to political economic factors. In doing so, this paper contributes to policy and decision‐making discussions, which, from our perspective, continue to be rather technocentric in nature while paying little attention to how digital technologies can support agroecological systems specifically.&lt;/p&gt;\n      &lt;p&gt;This article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Review","type":"article-journal","volume":"59"},"uris":["http://www.mendeley.com/documents/?uuid=2a48291f-a221-431b-a4d3-6410a642aa9b"]}],"mendeley":{"formattedCitation":"(Rotz et al., 2019)","plainTextFormattedCitation":"(Rotz et al., 2019)","previouslyFormattedCitation":"(Rotz et al., 2019)"},"properties":{"noteIndex":0},"schema":"https://github.com/citation-style-language/schema/raw/master/csl-citation.json"}</w:instrText>
      </w:r>
      <w:r w:rsidR="00B31276" w:rsidRPr="0048196F">
        <w:rPr>
          <w:lang w:val="en-US"/>
        </w:rPr>
        <w:fldChar w:fldCharType="separate"/>
      </w:r>
      <w:r w:rsidR="00B31276" w:rsidRPr="0048196F">
        <w:rPr>
          <w:noProof/>
          <w:lang w:val="en-US"/>
        </w:rPr>
        <w:t>(Rotz et al., 2019)</w:t>
      </w:r>
      <w:r w:rsidR="00B31276" w:rsidRPr="0048196F">
        <w:rPr>
          <w:lang w:val="en-US"/>
        </w:rPr>
        <w:fldChar w:fldCharType="end"/>
      </w:r>
      <w:r w:rsidR="00B31276" w:rsidRPr="0048196F">
        <w:rPr>
          <w:lang w:val="en-US"/>
        </w:rPr>
        <w:t>. The agri-food sector itself has been contributing to the observed megatrends of environmental degradation and climate change as agriculture uses 70% of fresh water globally</w:t>
      </w:r>
      <w:r w:rsidR="00B31276" w:rsidRPr="0048196F">
        <w:rPr>
          <w:rStyle w:val="FootnoteReference"/>
          <w:lang w:val="en-US"/>
        </w:rPr>
        <w:t xml:space="preserve"> </w:t>
      </w:r>
      <w:r w:rsidR="00B31276" w:rsidRPr="0048196F">
        <w:rPr>
          <w:lang w:val="en-US"/>
        </w:rPr>
        <w:t xml:space="preserve">(OECD, 2019), and occupies 38% of the worlds land surface (FAO, 2013). Meeting growing caloric demand while taking into account all adverse effects is the front and center of the recently announced United Nations Sustainable Development Goals (UN, 2015). </w:t>
      </w:r>
      <w:r w:rsidR="0067755B" w:rsidRPr="0048196F">
        <w:rPr>
          <w:lang w:val="en-US"/>
        </w:rPr>
        <w:t xml:space="preserve">Resources need to be used efficient and waste is to be reduced in order to provide food security, while maintaining food safety.  </w:t>
      </w:r>
    </w:p>
    <w:p w14:paraId="2A3846C1" w14:textId="77777777" w:rsidR="00B31276" w:rsidRPr="0048196F" w:rsidRDefault="00B31276" w:rsidP="00B31276">
      <w:pPr>
        <w:spacing w:line="360" w:lineRule="auto"/>
        <w:rPr>
          <w:lang w:val="en-US"/>
        </w:rPr>
      </w:pPr>
    </w:p>
    <w:p w14:paraId="4BFF1D06" w14:textId="1C85E97B" w:rsidR="00B31276" w:rsidRDefault="00B31276" w:rsidP="00E0655D">
      <w:pPr>
        <w:pStyle w:val="Heading4"/>
      </w:pPr>
      <w:r w:rsidRPr="0048196F">
        <w:t>Food security</w:t>
      </w:r>
    </w:p>
    <w:p w14:paraId="585AE0A2" w14:textId="77777777" w:rsidR="00E503ED" w:rsidRPr="00E503ED" w:rsidRDefault="00E503ED" w:rsidP="00E503ED">
      <w:pPr>
        <w:rPr>
          <w:lang w:val="en-US"/>
        </w:rPr>
      </w:pPr>
    </w:p>
    <w:p w14:paraId="150950E4" w14:textId="77777777" w:rsidR="00B31276" w:rsidRPr="0048196F" w:rsidRDefault="00B31276" w:rsidP="00B31276">
      <w:pPr>
        <w:spacing w:line="360" w:lineRule="auto"/>
        <w:rPr>
          <w:i/>
          <w:lang w:val="en-US"/>
        </w:rPr>
      </w:pPr>
      <w:r w:rsidRPr="0048196F">
        <w:rPr>
          <w:i/>
          <w:lang w:val="en-US"/>
        </w:rPr>
        <w:t>“Food security exists when all people, at all times, have physical and economic access to sufficient, safe and nutritious food that meets their dietary needs and food preferences for an active and healthy life”. (World Food Summit, 1996).</w:t>
      </w:r>
    </w:p>
    <w:p w14:paraId="2170E8E9" w14:textId="77777777" w:rsidR="00B31276" w:rsidRPr="0048196F" w:rsidRDefault="00B31276" w:rsidP="00B31276">
      <w:pPr>
        <w:rPr>
          <w:lang w:val="en-US"/>
        </w:rPr>
      </w:pPr>
    </w:p>
    <w:p w14:paraId="03A40153" w14:textId="77777777" w:rsidR="00B31276" w:rsidRPr="0048196F" w:rsidRDefault="00B31276" w:rsidP="00B31276">
      <w:pPr>
        <w:spacing w:line="360" w:lineRule="auto"/>
        <w:rPr>
          <w:lang w:val="en-US"/>
        </w:rPr>
      </w:pPr>
      <w:r w:rsidRPr="0048196F">
        <w:rPr>
          <w:lang w:val="en-US"/>
        </w:rPr>
        <w:t xml:space="preserve">To supply demand sustainably, innovation is needed to preserve water reserves, air quality and soil health. Additionally, diseases and pests need to be controlled and energy consumption limited.   </w:t>
      </w:r>
    </w:p>
    <w:p w14:paraId="45D375FD" w14:textId="48CC6CBD" w:rsidR="00B31276" w:rsidRPr="0048196F" w:rsidRDefault="00B31276" w:rsidP="00B31276">
      <w:pPr>
        <w:spacing w:line="360" w:lineRule="auto"/>
        <w:ind w:firstLine="708"/>
        <w:rPr>
          <w:lang w:val="en-US"/>
        </w:rPr>
      </w:pPr>
      <w:r w:rsidRPr="0048196F">
        <w:rPr>
          <w:lang w:val="en-US"/>
        </w:rPr>
        <w:t>A growing population, increased urbanization and climate change altering the timing and distribution of water, surface levels are estimated to fall short in supplying both cities and the agricultural secto</w:t>
      </w:r>
      <w:r w:rsidR="0067755B" w:rsidRPr="0048196F">
        <w:rPr>
          <w:lang w:val="en-US"/>
        </w:rPr>
        <w:t xml:space="preserve">r </w:t>
      </w:r>
      <w:r w:rsidR="0067755B" w:rsidRPr="0048196F">
        <w:rPr>
          <w:lang w:val="en-US"/>
        </w:rPr>
        <w:fldChar w:fldCharType="begin" w:fldLock="1"/>
      </w:r>
      <w:r w:rsidR="00F740B4" w:rsidRPr="0048196F">
        <w:rPr>
          <w:lang w:val="en-US"/>
        </w:rPr>
        <w:instrText>ADDIN CSL_CITATION {"citationItems":[{"id":"ITEM-1","itemData":{"DOI":"10.1038/s41893-017-0006-8","ISSN":"2398-9629","author":[{"dropping-particle":"","family":"Flörke","given":"Martina","non-dropping-particle":"","parse-names":false,"suffix":""},{"dropping-particle":"","family":"Schneider","given":"Christof","non-dropping-particle":"","parse-names":false,"suffix":""},{"dropping-particle":"","family":"Mcdonald","given":"Robert I","non-dropping-particle":"","parse-names":false,"suffix":""}],"container-title":"Nature Sustainability","id":"ITEM-1","issue":"January","issued":{"date-parts":[["2018"]]},"page":"1-11","title":"Driven By Climate Change and Urban Growth","type":"article-journal","volume":"1"},"uris":["http://www.mendeley.com/documents/?uuid=297d82e3-cb6f-4917-97d4-23198287068b"]}],"mendeley":{"formattedCitation":"(Flörke, Schneider, &amp; Mcdonald, 2018)","plainTextFormattedCitation":"(Flörke, Schneider, &amp; Mcdonald, 2018)","previouslyFormattedCitation":"(Flörke, Schneider, &amp; Mcdonald, 2018)"},"properties":{"noteIndex":0},"schema":"https://github.com/citation-style-language/schema/raw/master/csl-citation.json"}</w:instrText>
      </w:r>
      <w:r w:rsidR="0067755B" w:rsidRPr="0048196F">
        <w:rPr>
          <w:lang w:val="en-US"/>
        </w:rPr>
        <w:fldChar w:fldCharType="separate"/>
      </w:r>
      <w:r w:rsidR="0067755B" w:rsidRPr="0048196F">
        <w:rPr>
          <w:noProof/>
          <w:lang w:val="en-US"/>
        </w:rPr>
        <w:t>(Flörke, Schneider, &amp; Mcdonald, 2018)</w:t>
      </w:r>
      <w:r w:rsidR="0067755B" w:rsidRPr="0048196F">
        <w:rPr>
          <w:lang w:val="en-US"/>
        </w:rPr>
        <w:fldChar w:fldCharType="end"/>
      </w:r>
      <w:r w:rsidR="0067755B" w:rsidRPr="0048196F">
        <w:rPr>
          <w:lang w:val="en-US"/>
        </w:rPr>
        <w:t xml:space="preserve">. </w:t>
      </w:r>
      <w:r w:rsidRPr="0048196F">
        <w:rPr>
          <w:lang w:val="en-US"/>
        </w:rPr>
        <w:t xml:space="preserve">Water has to be used more efficiently to prevent high-conflict water sheds. The problems are not limited to quantity, but also concern its quality. Animal manure and fertilizer for crops and fields leads to nitrogen and pesticides pollution impacting water quality downstream. </w:t>
      </w:r>
    </w:p>
    <w:p w14:paraId="5C624486" w14:textId="6A383B30" w:rsidR="00B31276" w:rsidRPr="0048196F" w:rsidRDefault="00B31276" w:rsidP="00B31276">
      <w:pPr>
        <w:spacing w:line="360" w:lineRule="auto"/>
        <w:ind w:firstLine="708"/>
        <w:jc w:val="both"/>
        <w:rPr>
          <w:lang w:val="en-US"/>
        </w:rPr>
      </w:pPr>
      <w:r w:rsidRPr="0048196F">
        <w:rPr>
          <w:lang w:val="en-US"/>
        </w:rPr>
        <w:t xml:space="preserve">The next element in environmental quality is air. The agri-food sector has a significant share in the emission of greenhouse gasses such as carbon dioxide, methane and nitrous oxide contributing to climate change. Additionally, the sector significantly emits </w:t>
      </w:r>
      <w:r w:rsidR="00F740B4" w:rsidRPr="0048196F">
        <w:rPr>
          <w:lang w:val="en-US"/>
        </w:rPr>
        <w:t xml:space="preserve">fine dust and ammonia </w:t>
      </w:r>
      <w:r w:rsidRPr="0048196F">
        <w:rPr>
          <w:lang w:val="en-US"/>
        </w:rPr>
        <w:t xml:space="preserve"> posing dangers to </w:t>
      </w:r>
      <w:r w:rsidR="00F740B4" w:rsidRPr="0048196F">
        <w:rPr>
          <w:lang w:val="en-US"/>
        </w:rPr>
        <w:t xml:space="preserve">populations living close to livestock farms </w:t>
      </w:r>
      <w:r w:rsidR="00F740B4" w:rsidRPr="0048196F">
        <w:rPr>
          <w:lang w:val="en-US"/>
        </w:rPr>
        <w:fldChar w:fldCharType="begin" w:fldLock="1"/>
      </w:r>
      <w:r w:rsidR="00F740B4" w:rsidRPr="0048196F">
        <w:rPr>
          <w:lang w:val="en-US"/>
        </w:rPr>
        <w:instrText>ADDIN CSL_CITATION {"citationItems":[{"id":"ITEM-1","itemData":{"DOI":"10.1002/2017gh000103","abstract":"In several regions worldwide, the presence of livestock in close proximity to residential areas raises questions about public health implications. The rapid expansion of large-scale livestock farms, increasingly interwoven with urbanized areas, and its potential impact on neighboring residents' health has hardly been accompanied by any research. The current situation in densely populated livestock farming areas could be regarded as a \" natural experiment. \" Most scientific and public health initiatives have focused on emerging zoonoses and antimicrobial resistance as potential health threats. In this commentary, we emphasize the importance of respiratory health effects of noninfectious air pollutant emissions from livestock farms. Plain Language Summary In several regions worldwide, in particular, in the Western world and Asia, large-scale livestock farms are located in densely populated areas. The presence of large numbers of farm animals raises questions about health risks for neighboring residents who are not farmers themselves. Large-scale livestock farms expanded rapidly in the last few decades, but their potential impact on neighboring residents' health has hardly been accompanied by any research. In our commentary, we argue that the current situation in densely populated livestock farming areas could be regarded as a \" natural experiment, \" with residents being exposed to potentially harmful bacteria, viruses, and air pollutants. We discuss studies in people living near farms, with examples of infectious diseases that can be transmitted from animals to humans, and transmission of bacteria that are resistant to antibiotics. It is less well known that people living close to livestock farms are also exposed to air pollutants that may affect the airways, such as fine dust and ammonia. Recent studies have shown that air pollution from livestock farms is associated with a worsening in lung function.","author":[{"dropping-particle":"","family":"Smit","given":"Lidwien A. M.","non-dropping-particle":"","parse-names":false,"suffix":""},{"dropping-particle":"","family":"Heederik","given":"Dick","non-dropping-particle":"","parse-names":false,"suffix":""}],"container-title":"GeoHealth","id":"ITEM-1","issue":"7","issued":{"date-parts":[["2017"]]},"page":"272-277","title":"Impacts of Intensive Livestock Production on Human Health in Densely Populated Regions","type":"article-journal","volume":"1"},"uris":["http://www.mendeley.com/documents/?uuid=66a2dce4-e8b3-45f3-beff-53bb2f60d126"]}],"mendeley":{"formattedCitation":"(Smit &amp; Heederik, 2017)","plainTextFormattedCitation":"(Smit &amp; Heederik, 2017)","previouslyFormattedCitation":"(Smit &amp; Heederik, 2017)"},"properties":{"noteIndex":0},"schema":"https://github.com/citation-style-language/schema/raw/master/csl-citation.json"}</w:instrText>
      </w:r>
      <w:r w:rsidR="00F740B4" w:rsidRPr="0048196F">
        <w:rPr>
          <w:lang w:val="en-US"/>
        </w:rPr>
        <w:fldChar w:fldCharType="separate"/>
      </w:r>
      <w:r w:rsidR="00F740B4" w:rsidRPr="0048196F">
        <w:rPr>
          <w:noProof/>
          <w:lang w:val="en-US"/>
        </w:rPr>
        <w:t>(Smit &amp; Heederik, 2017)</w:t>
      </w:r>
      <w:r w:rsidR="00F740B4" w:rsidRPr="0048196F">
        <w:rPr>
          <w:lang w:val="en-US"/>
        </w:rPr>
        <w:fldChar w:fldCharType="end"/>
      </w:r>
      <w:r w:rsidR="00F740B4" w:rsidRPr="0048196F">
        <w:rPr>
          <w:lang w:val="en-US"/>
        </w:rPr>
        <w:t>.</w:t>
      </w:r>
    </w:p>
    <w:p w14:paraId="40EBABCF" w14:textId="14A4B255" w:rsidR="00B31276" w:rsidRPr="0048196F" w:rsidRDefault="00B31276" w:rsidP="00B31276">
      <w:pPr>
        <w:spacing w:line="360" w:lineRule="auto"/>
        <w:ind w:firstLine="708"/>
        <w:jc w:val="both"/>
        <w:rPr>
          <w:lang w:val="en-US"/>
        </w:rPr>
      </w:pPr>
      <w:r w:rsidRPr="0048196F">
        <w:rPr>
          <w:lang w:val="en-US"/>
        </w:rPr>
        <w:t>The third element is the earth itself. Soil health is not measured in terms of pollution but is defined as “the capacity of a soil to function within ecosystem and land-use boundaries to sustain biological productivity, maintain environmental quality, and promote plant and animal health” (Doran and Parkin, 1996). Land conversion and inadequate management practices can lead to desertification, deforestation, erosion and other forms of land degradation such as acidification and salinization. These dynamics and weather variability such as drought and wet events pose challenges to conserve soil quality while minimizing negative effects on productivity</w:t>
      </w:r>
      <w:r w:rsidR="00F740B4" w:rsidRPr="0048196F">
        <w:rPr>
          <w:lang w:val="en-US"/>
        </w:rPr>
        <w:t>.</w:t>
      </w:r>
    </w:p>
    <w:p w14:paraId="2C2B09F4" w14:textId="5C1BEFF5" w:rsidR="00B31276" w:rsidRPr="0048196F" w:rsidRDefault="00B31276" w:rsidP="00B31276">
      <w:pPr>
        <w:spacing w:line="360" w:lineRule="auto"/>
        <w:ind w:firstLine="708"/>
        <w:jc w:val="both"/>
        <w:rPr>
          <w:lang w:val="en-US"/>
        </w:rPr>
      </w:pPr>
      <w:r w:rsidRPr="0048196F">
        <w:rPr>
          <w:lang w:val="en-US"/>
        </w:rPr>
        <w:t>Another major challenge comes from the increasing scarcity of appropriate control measures against evolving pathogens and pests. Fighting crop diseases leads to the risk of resistant strains through which the reliance on chemical protectants is unsustainable</w:t>
      </w:r>
      <w:r w:rsidR="00F740B4" w:rsidRPr="0048196F">
        <w:rPr>
          <w:lang w:val="en-US"/>
        </w:rPr>
        <w:fldChar w:fldCharType="begin" w:fldLock="1"/>
      </w:r>
      <w:r w:rsidR="002027ED" w:rsidRPr="0048196F">
        <w:rPr>
          <w:lang w:val="en-US"/>
        </w:rPr>
        <w:instrText>ADDIN CSL_CITATION {"citationItems":[{"id":"ITEM-1","itemData":{"abstract":"Technology Transforming Irish Agri-Food and Bioeconomy","author":[{"dropping-particle":"","family":"TEAGASC","given":"","non-dropping-particle":"","parse-names":false,"suffix":""}],"id":"ITEM-1","issue":"March","issued":{"date-parts":[["2016"]]},"page":"80","title":"TEAGASC Technology Foresight 2035","type":"article-journal"},"uris":["http://www.mendeley.com/documents/?uuid=fe3a1152-2571-40d1-ae63-02479794e628"]}],"mendeley":{"formattedCitation":"(TEAGASC, 2016)","plainTextFormattedCitation":"(TEAGASC, 2016)","previouslyFormattedCitation":"(TEAGASC, 2016)"},"properties":{"noteIndex":0},"schema":"https://github.com/citation-style-language/schema/raw/master/csl-citation.json"}</w:instrText>
      </w:r>
      <w:r w:rsidR="00F740B4" w:rsidRPr="0048196F">
        <w:rPr>
          <w:lang w:val="en-US"/>
        </w:rPr>
        <w:fldChar w:fldCharType="separate"/>
      </w:r>
      <w:r w:rsidR="00F740B4" w:rsidRPr="0048196F">
        <w:rPr>
          <w:noProof/>
          <w:lang w:val="en-US"/>
        </w:rPr>
        <w:t>(TEAGASC, 2016)</w:t>
      </w:r>
      <w:r w:rsidR="00F740B4" w:rsidRPr="0048196F">
        <w:rPr>
          <w:lang w:val="en-US"/>
        </w:rPr>
        <w:fldChar w:fldCharType="end"/>
      </w:r>
      <w:r w:rsidRPr="0048196F">
        <w:rPr>
          <w:lang w:val="en-US"/>
        </w:rPr>
        <w:t xml:space="preserve">. Next to the threat of pests for crops, animals are increasingly antimicrobial resistant and do not respond to treatment. Parasite control and the passing of resistance to human pathogens are only some of the concerns surrounding livestock. </w:t>
      </w:r>
    </w:p>
    <w:p w14:paraId="0A29A2BF" w14:textId="0441F0AC" w:rsidR="00B31276" w:rsidRPr="0048196F" w:rsidRDefault="00B31276" w:rsidP="00B31276">
      <w:pPr>
        <w:spacing w:line="360" w:lineRule="auto"/>
        <w:ind w:firstLine="708"/>
        <w:jc w:val="both"/>
        <w:rPr>
          <w:lang w:val="en-US"/>
        </w:rPr>
      </w:pPr>
      <w:r w:rsidRPr="0048196F">
        <w:rPr>
          <w:lang w:val="en-US"/>
        </w:rPr>
        <w:t xml:space="preserve">Pesticides, antibiotics and other chemicals are not the only inputs to be limited. Energy consumption to produce, distribute and consume food </w:t>
      </w:r>
      <w:r w:rsidR="002027ED" w:rsidRPr="0048196F">
        <w:rPr>
          <w:lang w:val="en-US"/>
        </w:rPr>
        <w:t xml:space="preserve">accounts for up to 20% of total energy in some OECD countries </w:t>
      </w:r>
      <w:r w:rsidR="002027ED" w:rsidRPr="0048196F">
        <w:rPr>
          <w:lang w:val="en-US"/>
        </w:rPr>
        <w:fldChar w:fldCharType="begin" w:fldLock="1"/>
      </w:r>
      <w:r w:rsidR="002027ED" w:rsidRPr="0048196F">
        <w:rPr>
          <w:lang w:val="en-US"/>
        </w:rPr>
        <w:instrText>ADDIN CSL_CITATION {"citationItems":[{"id":"ITEM-1","itemData":{"author":[{"dropping-particle":"","family":"OECD","given":"","non-dropping-particle":"","parse-names":false,"suffix":""}],"container-title":"Agriculture","id":"ITEM-1","issue":"2010","issued":{"date-parts":[["2011"]]},"title":"Unclassified COM / TAD / CA / ENV / EPOC ( 2010 ) 35 / FINAL COM / TAD / CA / ENV / EPOC ( 2010 ) 35 / FINAL Unclassified Joint Working Party on Agriculture and the Environment","type":"article-journal"},"uris":["http://www.mendeley.com/documents/?uuid=7a646984-f69c-40ce-9510-05b0c788a99d"]}],"mendeley":{"formattedCitation":"(OECD, 2011b)","plainTextFormattedCitation":"(OECD, 2011b)","previouslyFormattedCitation":"(OECD, 2011b)"},"properties":{"noteIndex":0},"schema":"https://github.com/citation-style-language/schema/raw/master/csl-citation.json"}</w:instrText>
      </w:r>
      <w:r w:rsidR="002027ED" w:rsidRPr="0048196F">
        <w:rPr>
          <w:lang w:val="en-US"/>
        </w:rPr>
        <w:fldChar w:fldCharType="separate"/>
      </w:r>
      <w:r w:rsidR="002027ED" w:rsidRPr="0048196F">
        <w:rPr>
          <w:noProof/>
          <w:lang w:val="en-US"/>
        </w:rPr>
        <w:t>(OECD, 2011b)</w:t>
      </w:r>
      <w:r w:rsidR="002027ED" w:rsidRPr="0048196F">
        <w:rPr>
          <w:lang w:val="en-US"/>
        </w:rPr>
        <w:fldChar w:fldCharType="end"/>
      </w:r>
      <w:r w:rsidR="002027ED" w:rsidRPr="0048196F">
        <w:rPr>
          <w:lang w:val="en-US"/>
        </w:rPr>
        <w:t xml:space="preserve">. </w:t>
      </w:r>
      <w:r w:rsidRPr="0048196F">
        <w:rPr>
          <w:lang w:val="en-US"/>
        </w:rPr>
        <w:t>Food production and consumption is facing the fundamental challenge of improving the ratio between energy invested and food produced in order to guarantee food and energy security</w:t>
      </w:r>
      <w:r w:rsidR="002027ED" w:rsidRPr="0048196F">
        <w:rPr>
          <w:lang w:val="en-US"/>
        </w:rPr>
        <w:t xml:space="preserve"> </w:t>
      </w:r>
      <w:r w:rsidRPr="0048196F">
        <w:rPr>
          <w:lang w:val="en-US"/>
        </w:rPr>
        <w:t xml:space="preserve">(Pelletier et al., 2011). </w:t>
      </w:r>
    </w:p>
    <w:p w14:paraId="7A552956" w14:textId="60B4D342" w:rsidR="00B31276" w:rsidRPr="0048196F" w:rsidRDefault="00B31276" w:rsidP="007B7AB9">
      <w:pPr>
        <w:spacing w:line="360" w:lineRule="auto"/>
        <w:ind w:firstLine="708"/>
        <w:jc w:val="both"/>
        <w:rPr>
          <w:lang w:val="en-US"/>
        </w:rPr>
      </w:pPr>
      <w:r w:rsidRPr="0048196F">
        <w:rPr>
          <w:lang w:val="en-US"/>
        </w:rPr>
        <w:t>But not only efficiency gains in the production will be sufficient, around one third of food produced is not consumed due to loss and waste throughout the supply chain. In developed countries the losses and waste mainly relate to consumer behavior and the lack of coordination between different actors in the supply chain</w:t>
      </w:r>
      <w:r w:rsidR="002027ED" w:rsidRPr="0048196F">
        <w:rPr>
          <w:lang w:val="en-US"/>
        </w:rPr>
        <w:t xml:space="preserve"> </w:t>
      </w:r>
      <w:r w:rsidR="002027ED" w:rsidRPr="0048196F">
        <w:rPr>
          <w:lang w:val="en-US"/>
        </w:rPr>
        <w:fldChar w:fldCharType="begin" w:fldLock="1"/>
      </w:r>
      <w:r w:rsidR="002027ED" w:rsidRPr="0048196F">
        <w:rPr>
          <w:lang w:val="en-US"/>
        </w:rPr>
        <w:instrText>ADDIN CSL_CITATION {"citationItems":[{"id":"ITEM-1","itemData":{"DOI":"10.1098/rstb.2010.0126","ISBN":"09628436","ISSN":"0962-8436","PMID":"20713403","abstract":"Food waste in the global food supply chain is reviewed in relation to the prospects for feeding a population of nine billion by 2050. Different definitions of food waste with respect to the complexities of food supply chains (FSCs)are discussed. An international literature review found a dearth of data on food waste and estimates varied widely; those for post-harvest losses of grain in developing countries might be overestimated. As much of the post-harvest loss data for developing countries was collected over 30 years ago, current global losses cannot be quantified. A significant gap exists in the understanding of the food waste implications of the rapid development of 'BRIC' economies. The limited data suggest that losses are much higher at the immediate post-harvest stages in developing countries and higher for perishable foods across industrialized and developing economies alike. For affluent economies, post-consumer food waste accounts for the greatest overall losses. To supplement the fragmentary picture and to gain a forward view, interviews were conducted with international FSC experts. The analyses highlighted the scale of the problem, the scope for improved system efficiencies and the challenges of affecting behavioural change to reduce post-consumer waste in affluent populations.","author":[{"dropping-particle":"","family":"Gustavsson","given":"J","non-dropping-particle":"","parse-names":false,"suffix":""},{"dropping-particle":"","family":"Cederberg","given":"C","non-dropping-particle":"","parse-names":false,"suffix":""},{"dropping-particle":"","family":"Sonesson","given":"U","non-dropping-particle":"","parse-names":false,"suffix":""},{"dropping-particle":"","family":"Otterdijk","given":"R","non-dropping-particle":"van","parse-names":false,"suffix":""},{"dropping-particle":"","family":"Meybeck","given":"A","non-dropping-particle":"","parse-names":false,"suffix":""}],"container-title":"Philosophical Transactions of the Royal Society B: Biological Sciences","id":"ITEM-1","issue":"1554","issued":{"date-parts":[["2011"]]},"number-of-pages":"3065-3081","title":"Global Food Losses and Food Waste: Extent, Causes and Prevention, Rome: Food and Agriculture Organisation of the United Nations","type":"book","volume":"365"},"uris":["http://www.mendeley.com/documents/?uuid=93102fdd-fe92-4399-ad6a-9722fe486338"]}],"mendeley":{"formattedCitation":"(Gustavsson, Cederberg, Sonesson, van Otterdijk, &amp; Meybeck, 2011)","plainTextFormattedCitation":"(Gustavsson, Cederberg, Sonesson, van Otterdijk, &amp; Meybeck, 2011)","previouslyFormattedCitation":"(Gustavsson, Cederberg, Sonesson, van Otterdijk, &amp; Meybeck, 2011)"},"properties":{"noteIndex":0},"schema":"https://github.com/citation-style-language/schema/raw/master/csl-citation.json"}</w:instrText>
      </w:r>
      <w:r w:rsidR="002027ED" w:rsidRPr="0048196F">
        <w:rPr>
          <w:lang w:val="en-US"/>
        </w:rPr>
        <w:fldChar w:fldCharType="separate"/>
      </w:r>
      <w:r w:rsidR="002027ED" w:rsidRPr="0048196F">
        <w:rPr>
          <w:noProof/>
          <w:lang w:val="en-US"/>
        </w:rPr>
        <w:t>(Gustavsson, Cederberg, Sonesson, van Otterdijk, &amp; Meybeck, 2011)</w:t>
      </w:r>
      <w:r w:rsidR="002027ED" w:rsidRPr="0048196F">
        <w:rPr>
          <w:lang w:val="en-US"/>
        </w:rPr>
        <w:fldChar w:fldCharType="end"/>
      </w:r>
      <w:r w:rsidR="002027ED" w:rsidRPr="0048196F">
        <w:rPr>
          <w:lang w:val="en-US"/>
        </w:rPr>
        <w:t xml:space="preserve">. </w:t>
      </w:r>
      <w:r w:rsidRPr="0048196F">
        <w:rPr>
          <w:lang w:val="en-US"/>
        </w:rPr>
        <w:t xml:space="preserve">Quality standards in terms of shape and appearance, best before dates and a careless attitude contribute to the 1.3 billion tons of food wasted globally </w:t>
      </w:r>
      <w:r w:rsidR="002027ED" w:rsidRPr="0048196F">
        <w:rPr>
          <w:lang w:val="en-US"/>
        </w:rPr>
        <w:fldChar w:fldCharType="begin" w:fldLock="1"/>
      </w:r>
      <w:r w:rsidR="002027ED" w:rsidRPr="0048196F">
        <w:rPr>
          <w:lang w:val="en-US"/>
        </w:rPr>
        <w:instrText>ADDIN CSL_CITATION {"citationItems":[{"id":"ITEM-1","itemData":{"DOI":"10.1098/rstb.2010.0126","ISBN":"09628436","ISSN":"0962-8436","PMID":"20713403","abstract":"Food waste in the global food supply chain is reviewed in relation to the prospects for feeding a population of nine billion by 2050. Different definitions of food waste with respect to the complexities of food supply chains (FSCs)are discussed. An international literature review found a dearth of data on food waste and estimates varied widely; those for post-harvest losses of grain in developing countries might be overestimated. As much of the post-harvest loss data for developing countries was collected over 30 years ago, current global losses cannot be quantified. A significant gap exists in the understanding of the food waste implications of the rapid development of 'BRIC' economies. The limited data suggest that losses are much higher at the immediate post-harvest stages in developing countries and higher for perishable foods across industrialized and developing economies alike. For affluent economies, post-consumer food waste accounts for the greatest overall losses. To supplement the fragmentary picture and to gain a forward view, interviews were conducted with international FSC experts. The analyses highlighted the scale of the problem, the scope for improved system efficiencies and the challenges of affecting behavioural change to reduce post-consumer waste in affluent populations.","author":[{"dropping-particle":"","family":"Gustavsson","given":"J","non-dropping-particle":"","parse-names":false,"suffix":""},{"dropping-particle":"","family":"Cederberg","given":"C","non-dropping-particle":"","parse-names":false,"suffix":""},{"dropping-particle":"","family":"Sonesson","given":"U","non-dropping-particle":"","parse-names":false,"suffix":""},{"dropping-particle":"","family":"Otterdijk","given":"R","non-dropping-particle":"van","parse-names":false,"suffix":""},{"dropping-particle":"","family":"Meybeck","given":"A","non-dropping-particle":"","parse-names":false,"suffix":""}],"container-title":"Philosophical Transactions of the Royal Society B: Biological Sciences","id":"ITEM-1","issue":"1554","issued":{"date-parts":[["2011"]]},"number-of-pages":"3065-3081","title":"Global Food Losses and Food Waste: Extent, Causes and Prevention, Rome: Food and Agriculture Organisation of the United Nations","type":"book","volume":"365"},"uris":["http://www.mendeley.com/documents/?uuid=93102fdd-fe92-4399-ad6a-9722fe486338"]}],"mendeley":{"formattedCitation":"(Gustavsson et al., 2011)","plainTextFormattedCitation":"(Gustavsson et al., 2011)","previouslyFormattedCitation":"(Gustavsson et al., 2011)"},"properties":{"noteIndex":0},"schema":"https://github.com/citation-style-language/schema/raw/master/csl-citation.json"}</w:instrText>
      </w:r>
      <w:r w:rsidR="002027ED" w:rsidRPr="0048196F">
        <w:rPr>
          <w:lang w:val="en-US"/>
        </w:rPr>
        <w:fldChar w:fldCharType="separate"/>
      </w:r>
      <w:r w:rsidR="002027ED" w:rsidRPr="0048196F">
        <w:rPr>
          <w:noProof/>
          <w:lang w:val="en-US"/>
        </w:rPr>
        <w:t>(Gustavsson et al., 2011)</w:t>
      </w:r>
      <w:r w:rsidR="002027ED" w:rsidRPr="0048196F">
        <w:rPr>
          <w:lang w:val="en-US"/>
        </w:rPr>
        <w:fldChar w:fldCharType="end"/>
      </w:r>
    </w:p>
    <w:p w14:paraId="301FD209" w14:textId="77777777" w:rsidR="00B31276" w:rsidRPr="0048196F" w:rsidRDefault="00B31276" w:rsidP="007B7AB9">
      <w:pPr>
        <w:pStyle w:val="Heading4"/>
        <w:spacing w:line="360" w:lineRule="auto"/>
      </w:pPr>
      <w:r w:rsidRPr="0048196F">
        <w:t>Food Safety</w:t>
      </w:r>
    </w:p>
    <w:p w14:paraId="780B1E9D" w14:textId="5F8B9514" w:rsidR="003D386E" w:rsidRPr="0048196F" w:rsidRDefault="00B31276" w:rsidP="00CC1C1C">
      <w:pPr>
        <w:spacing w:line="360" w:lineRule="auto"/>
        <w:ind w:firstLine="708"/>
        <w:jc w:val="both"/>
        <w:rPr>
          <w:lang w:val="en-US"/>
        </w:rPr>
      </w:pPr>
      <w:r w:rsidRPr="0048196F">
        <w:rPr>
          <w:lang w:val="en-US"/>
        </w:rPr>
        <w:t>Food safety can be seen as a subsection of food security, as it is concerned with biological, operational and chemical hazards resulting in food borne illnesses</w:t>
      </w:r>
      <w:r w:rsidR="002027ED" w:rsidRPr="0048196F">
        <w:rPr>
          <w:lang w:val="en-US"/>
        </w:rPr>
        <w:t xml:space="preserve"> </w:t>
      </w:r>
      <w:r w:rsidR="002027ED" w:rsidRPr="0048196F">
        <w:rPr>
          <w:lang w:val="en-US"/>
        </w:rPr>
        <w:fldChar w:fldCharType="begin" w:fldLock="1"/>
      </w:r>
      <w:r w:rsidR="002027ED" w:rsidRPr="0048196F">
        <w:rPr>
          <w:lang w:val="en-US"/>
        </w:rPr>
        <w:instrText>ADDIN CSL_CITATION {"citationItems":[{"id":"ITEM-1","itemData":{"DOI":"10.1016/j.tifs.2012.06.017","ISSN":"09242244","abstract":"The increasing frequency of product recalls within the agri-food industry has led many to question food safety. Research studies also often focus on biological hazards without considering how past, present and emerging risks change over time. We undertake a systematic review of the different biological, operational and chemical hazards within the agri-food industry using a dataset of 2070 registered food recalls in the USA, UK and Republic of Ireland between 2004 and 2010. We show product recalls have become more frequent over time and operational hazards, rather than biological and chemical hazards, are the most frequent recall type within the agri-food industry. © 2012 Elsevier Ltd.","author":[{"dropping-particle":"","family":"Potter","given":"Antony","non-dropping-particle":"","parse-names":false,"suffix":""},{"dropping-particle":"","family":"Murray","given":"Jason","non-dropping-particle":"","parse-names":false,"suffix":""},{"dropping-particle":"","family":"Lawson","given":"Benn","non-dropping-particle":"","parse-names":false,"suffix":""},{"dropping-particle":"","family":"Graham","given":"Stephanie","non-dropping-particle":"","parse-names":false,"suffix":""}],"container-title":"Trends in Food Science and Technology","id":"ITEM-1","issue":"2","issued":{"date-parts":[["2012"]]},"page":"77-86","publisher":"Elsevier Ltd","title":"Trends in product recalls within the agri-food industry: Empirical evidence from the USA, UK and the Republic of Ireland","type":"article-journal","volume":"28"},"uris":["http://www.mendeley.com/documents/?uuid=c4aadb4b-1211-4075-a22e-e762f80b3c48"]}],"mendeley":{"formattedCitation":"(Potter, Murray, Lawson, &amp; Graham, 2012)","plainTextFormattedCitation":"(Potter, Murray, Lawson, &amp; Graham, 2012)","previouslyFormattedCitation":"(Potter, Murray, Lawson, &amp; Graham, 2012)"},"properties":{"noteIndex":0},"schema":"https://github.com/citation-style-language/schema/raw/master/csl-citation.json"}</w:instrText>
      </w:r>
      <w:r w:rsidR="002027ED" w:rsidRPr="0048196F">
        <w:rPr>
          <w:lang w:val="en-US"/>
        </w:rPr>
        <w:fldChar w:fldCharType="separate"/>
      </w:r>
      <w:r w:rsidR="002027ED" w:rsidRPr="0048196F">
        <w:rPr>
          <w:noProof/>
          <w:lang w:val="en-US"/>
        </w:rPr>
        <w:t>(Potter, Murray, Lawson, &amp; Graham, 2012)</w:t>
      </w:r>
      <w:r w:rsidR="002027ED" w:rsidRPr="0048196F">
        <w:rPr>
          <w:lang w:val="en-US"/>
        </w:rPr>
        <w:fldChar w:fldCharType="end"/>
      </w:r>
      <w:r w:rsidRPr="0048196F">
        <w:rPr>
          <w:lang w:val="en-US"/>
        </w:rPr>
        <w:t xml:space="preserve">. </w:t>
      </w:r>
      <w:r w:rsidR="002027ED" w:rsidRPr="0048196F">
        <w:rPr>
          <w:lang w:val="en-US"/>
        </w:rPr>
        <w:fldChar w:fldCharType="begin" w:fldLock="1"/>
      </w:r>
      <w:r w:rsidR="002027ED" w:rsidRPr="0048196F">
        <w:rPr>
          <w:lang w:val="en-US"/>
        </w:rPr>
        <w:instrText>ADDIN CSL_CITATION {"citationItems":[{"id":"ITEM-1","itemData":{"abstract":"Findings 2011 Estimates of Foodborne Illness Attribution of Foodborne Illness Attribution Attribution of Foodborne Illness Trends in Foodborne Illness Trends Trends in Foodborne Illness 1 2 3 CDC estimates that each year roughly 1 in 6 Americans (or 48 million people) get sick, 128,000 are hospitalized, and 3,000 die of foodborne diseases. Estimating illnesses, hospitalizations, and deaths for various types of diseases is a common and important public health practice.","author":[{"dropping-particle":"","family":"US Center for Disease Control and Prevention","given":"","non-dropping-particle":"","parse-names":false,"suffix":""}],"id":"ITEM-1","issued":{"date-parts":[["2015"]]},"page":"3-5","title":"Estimates of Foodborne Illness in the United States","type":"article-journal"},"uris":["http://www.mendeley.com/documents/?uuid=b0f72374-69c8-44be-ae28-c7a43c9880d4"]}],"mendeley":{"formattedCitation":"(US Center for Disease Control and Prevention, 2015)","manualFormatting":"The US Center for Disease Control and Prevention (2015)","plainTextFormattedCitation":"(US Center for Disease Control and Prevention, 2015)","previouslyFormattedCitation":"(US Center for Disease Control and Prevention, 2015)"},"properties":{"noteIndex":0},"schema":"https://github.com/citation-style-language/schema/raw/master/csl-citation.json"}</w:instrText>
      </w:r>
      <w:r w:rsidR="002027ED" w:rsidRPr="0048196F">
        <w:rPr>
          <w:lang w:val="en-US"/>
        </w:rPr>
        <w:fldChar w:fldCharType="separate"/>
      </w:r>
      <w:r w:rsidR="002027ED" w:rsidRPr="0048196F">
        <w:rPr>
          <w:noProof/>
          <w:lang w:val="en-US"/>
        </w:rPr>
        <w:t>The US Center for Disease Control and Prevention (2015)</w:t>
      </w:r>
      <w:r w:rsidR="002027ED" w:rsidRPr="0048196F">
        <w:rPr>
          <w:lang w:val="en-US"/>
        </w:rPr>
        <w:fldChar w:fldCharType="end"/>
      </w:r>
      <w:r w:rsidR="002027ED" w:rsidRPr="0048196F">
        <w:rPr>
          <w:lang w:val="en-US"/>
        </w:rPr>
        <w:t xml:space="preserve"> </w:t>
      </w:r>
      <w:r w:rsidRPr="0048196F">
        <w:rPr>
          <w:lang w:val="en-US"/>
        </w:rPr>
        <w:t>estimated that contaminated food is responsible for 48 million illnesses each year within the USA. Product recalls such as salmonella contaminated eggs in the UK or the food fraud in which horse meat was supplied are only some of the food scares that have led to increased scrutinization and heightened consumer skepticism. Society increasingly demands information of food provenance and is setting higher standards for production and safety</w:t>
      </w:r>
      <w:r w:rsidR="002027ED" w:rsidRPr="0048196F">
        <w:rPr>
          <w:lang w:val="en-US"/>
        </w:rPr>
        <w:t xml:space="preserve"> </w:t>
      </w:r>
      <w:r w:rsidR="002027ED" w:rsidRPr="0048196F">
        <w:rPr>
          <w:lang w:val="en-US"/>
        </w:rPr>
        <w:fldChar w:fldCharType="begin" w:fldLock="1"/>
      </w:r>
      <w:r w:rsidR="002027ED" w:rsidRPr="0048196F">
        <w:rPr>
          <w:lang w:val="en-US"/>
        </w:rPr>
        <w:instrText>ADDIN CSL_CITATION {"citationItems":[{"id":"ITEM-1","itemData":{"author":[{"dropping-particle":"","family":"HM Government","given":"","non-dropping-particle":"","parse-names":false,"suffix":""}],"id":"ITEM-1","issue":"July","issued":{"date-parts":[["2013"]]},"page":"52","title":"A UK Strategy for Agricultural Technologies Industrial Strategy","type":"article-journal"},"uris":["http://www.mendeley.com/documents/?uuid=719b06ba-0877-4a35-82ec-8d26f6a7c033"]}],"mendeley":{"formattedCitation":"(HM Government, 2013)","plainTextFormattedCitation":"(HM Government, 2013)","previouslyFormattedCitation":"(HM Government, 2013)"},"properties":{"noteIndex":0},"schema":"https://github.com/citation-style-language/schema/raw/master/csl-citation.json"}</w:instrText>
      </w:r>
      <w:r w:rsidR="002027ED" w:rsidRPr="0048196F">
        <w:rPr>
          <w:lang w:val="en-US"/>
        </w:rPr>
        <w:fldChar w:fldCharType="separate"/>
      </w:r>
      <w:r w:rsidR="002027ED" w:rsidRPr="0048196F">
        <w:rPr>
          <w:noProof/>
          <w:lang w:val="en-US"/>
        </w:rPr>
        <w:t>(HM Government, 2013)</w:t>
      </w:r>
      <w:r w:rsidR="002027ED" w:rsidRPr="0048196F">
        <w:rPr>
          <w:lang w:val="en-US"/>
        </w:rPr>
        <w:fldChar w:fldCharType="end"/>
      </w:r>
      <w:r w:rsidR="002027ED" w:rsidRPr="0048196F">
        <w:rPr>
          <w:lang w:val="en-US"/>
        </w:rPr>
        <w:t xml:space="preserve"> </w:t>
      </w:r>
      <w:r w:rsidRPr="0048196F">
        <w:rPr>
          <w:lang w:val="en-US"/>
        </w:rPr>
        <w:t xml:space="preserve">. The industry needs to face the challenge of increasing trust, transparency and to provide products safely. This provides an additional barrier in introducing emerging technologies as resistance from regulators and consumers has to be overcome </w:t>
      </w:r>
      <w:r w:rsidR="002027ED" w:rsidRPr="0048196F">
        <w:rPr>
          <w:lang w:val="en-US"/>
        </w:rPr>
        <w:fldChar w:fldCharType="begin" w:fldLock="1"/>
      </w:r>
      <w:r w:rsidR="00612276">
        <w:rPr>
          <w:lang w:val="en-US"/>
        </w:rPr>
        <w:instrText>ADDIN CSL_CITATION {"citationItems":[{"id":"ITEM-1","itemData":{"DOI":"10.1016/j.tifs.2017.08.014","ISSN":"09242244","abstract":"Background There is an urgent need to drive improvements in the efficiency and effectiveness of food chains. The global population is expected to reach at least 9 billion by the year 2050, requiring up to 70% more food, and demanding food production systems and the food chain to become fully sustainable. This challenge is complicated by a number of overarching issues, including increasing complexity of food supply chains, environmental constraints, a growing aging population and changing patterns of consumer choice and food consumption. Within this context, food safety must be an enabler and not inhibitor of global food security. Scope and approach This paper will highlight how recent developments and trends related to food safety will impact the food sector and ultimately the ability of the sector to deliver food security. Key findings and conclusions Global megatrends including climate change, a growing and aging population, urbanisation, and increased affluence will create food safety challenges and place new demands on producers, manufacturers, marketers, retailers and regulators. Advances in science and technology such as whole genome sequencing, active packaging, developments in tracing and tracking technologies, information computing technology and big data analysis has the potential to help mitigate the challenges and meet demands, but will also create new challenges. Overcoming a number of these challenges will be difficult for developed economies and large food companies, but even greater for small and medium-sized enterprises (SMEs), developing economies and smallholder farmers, noting that each is a critical component in the global food supply.","author":[{"dropping-particle":"","family":"King","given":"Thea","non-dropping-particle":"","parse-names":false,"suffix":""},{"dropping-particle":"","family":"Cole","given":"Martin","non-dropping-particle":"","parse-names":false,"suffix":""},{"dropping-particle":"","family":"Farber","given":"Jeffrey M.","non-dropping-particle":"","parse-names":false,"suffix":""},{"dropping-particle":"","family":"Eisenbrand","given":"Gerhard","non-dropping-particle":"","parse-names":false,"suffix":""},{"dropping-particle":"","family":"Zabaras","given":"Dimitrios","non-dropping-particle":"","parse-names":false,"suffix":""},{"dropping-particle":"","family":"Fox","given":"Edward M.","non-dropping-particle":"","parse-names":false,"suffix":""},{"dropping-particle":"","family":"Hill","given":"Jeremy P.","non-dropping-particle":"","parse-names":false,"suffix":""}],"container-title":"Trends in Food Science and Technology","id":"ITEM-1","issued":{"date-parts":[["2017"]]},"page":"160-175","publisher":"Elsevier Ltd","title":"Food safety for food security: Relationship between global megatrends and developments in food safety","type":"article-journal","volume":"68"},"uris":["http://www.mendeley.com/documents/?uuid=c50f80c0-5e84-4c98-b811-71dcd09856da"]}],"mendeley":{"formattedCitation":"(King et al., 2017)","plainTextFormattedCitation":"(King et al., 2017)","previouslyFormattedCitation":"(King et al., 2017)"},"properties":{"noteIndex":0},"schema":"https://github.com/citation-style-language/schema/raw/master/csl-citation.json"}</w:instrText>
      </w:r>
      <w:r w:rsidR="002027ED" w:rsidRPr="0048196F">
        <w:rPr>
          <w:lang w:val="en-US"/>
        </w:rPr>
        <w:fldChar w:fldCharType="separate"/>
      </w:r>
      <w:r w:rsidR="002027ED" w:rsidRPr="0048196F">
        <w:rPr>
          <w:noProof/>
          <w:lang w:val="en-US"/>
        </w:rPr>
        <w:t>(King et al., 2017)</w:t>
      </w:r>
      <w:r w:rsidR="002027ED" w:rsidRPr="0048196F">
        <w:rPr>
          <w:lang w:val="en-US"/>
        </w:rPr>
        <w:fldChar w:fldCharType="end"/>
      </w:r>
      <w:r w:rsidRPr="0048196F">
        <w:rPr>
          <w:lang w:val="en-US"/>
        </w:rPr>
        <w:t xml:space="preserve"> </w:t>
      </w:r>
    </w:p>
    <w:p w14:paraId="066A3E0F" w14:textId="77777777" w:rsidR="003D386E" w:rsidRPr="0048196F" w:rsidRDefault="003D386E" w:rsidP="003D386E">
      <w:pPr>
        <w:spacing w:line="360" w:lineRule="auto"/>
        <w:ind w:firstLine="708"/>
        <w:jc w:val="both"/>
        <w:rPr>
          <w:lang w:val="en-US"/>
        </w:rPr>
      </w:pPr>
    </w:p>
    <w:p w14:paraId="7E68D6F4" w14:textId="351CA666" w:rsidR="00B31276" w:rsidRPr="0048196F" w:rsidRDefault="00B31276" w:rsidP="003D386E">
      <w:pPr>
        <w:pStyle w:val="Heading2"/>
        <w:rPr>
          <w:lang w:val="en-US"/>
        </w:rPr>
      </w:pPr>
      <w:bookmarkStart w:id="55" w:name="_Toc14347319"/>
      <w:r w:rsidRPr="0048196F">
        <w:rPr>
          <w:lang w:val="en-US"/>
        </w:rPr>
        <w:t xml:space="preserve">LR3: </w:t>
      </w:r>
      <w:r w:rsidR="00AB00BD">
        <w:rPr>
          <w:lang w:val="en-US"/>
        </w:rPr>
        <w:t xml:space="preserve">Identification and analysis of </w:t>
      </w:r>
      <w:r w:rsidRPr="0048196F">
        <w:rPr>
          <w:lang w:val="en-US"/>
        </w:rPr>
        <w:t xml:space="preserve">Drivers of </w:t>
      </w:r>
      <w:r w:rsidR="00AB00BD">
        <w:rPr>
          <w:lang w:val="en-US"/>
        </w:rPr>
        <w:t>C</w:t>
      </w:r>
      <w:r w:rsidRPr="0048196F">
        <w:rPr>
          <w:lang w:val="en-US"/>
        </w:rPr>
        <w:t>hange and Trends</w:t>
      </w:r>
      <w:bookmarkEnd w:id="55"/>
      <w:r w:rsidRPr="0048196F">
        <w:rPr>
          <w:lang w:val="en-US"/>
        </w:rPr>
        <w:t xml:space="preserve"> </w:t>
      </w:r>
      <w:r w:rsidR="00AB00BD">
        <w:rPr>
          <w:lang w:val="en-US"/>
        </w:rPr>
        <w:t>based on Literature Review</w:t>
      </w:r>
    </w:p>
    <w:p w14:paraId="3399AC3B" w14:textId="77777777" w:rsidR="00392798" w:rsidRPr="0048196F" w:rsidRDefault="00392798" w:rsidP="00CC1C1C">
      <w:pPr>
        <w:pStyle w:val="Heading3"/>
        <w:spacing w:line="360" w:lineRule="auto"/>
        <w:rPr>
          <w:lang w:val="en-US"/>
        </w:rPr>
      </w:pPr>
      <w:bookmarkStart w:id="56" w:name="_Toc14347320"/>
      <w:r w:rsidRPr="0048196F">
        <w:rPr>
          <w:lang w:val="en-US"/>
        </w:rPr>
        <w:t>Drivers of Change</w:t>
      </w:r>
      <w:bookmarkEnd w:id="56"/>
    </w:p>
    <w:p w14:paraId="1B17C2D7" w14:textId="23E66C53" w:rsidR="00AB4CAE" w:rsidRDefault="00392798" w:rsidP="00AB4CAE">
      <w:pPr>
        <w:spacing w:line="360" w:lineRule="auto"/>
        <w:rPr>
          <w:lang w:val="en-US"/>
        </w:rPr>
      </w:pPr>
      <w:r w:rsidRPr="0048196F">
        <w:rPr>
          <w:lang w:val="en-US"/>
        </w:rPr>
        <w:t xml:space="preserve">Below are listed found drivers of change. All occur in at least 20% of the literature, with one exception. Despite being mentioned in only 7% of selected literature, the driver of change “Political instability” has been included due to its presence in the world economic outlook </w:t>
      </w:r>
      <w:r w:rsidRPr="0048196F">
        <w:rPr>
          <w:lang w:val="en-US"/>
        </w:rPr>
        <w:fldChar w:fldCharType="begin" w:fldLock="1"/>
      </w:r>
      <w:r w:rsidRPr="0048196F">
        <w:rPr>
          <w:lang w:val="en-US"/>
        </w:rPr>
        <w:instrText>ADDIN CSL_CITATION {"citationItems":[{"id":"ITEM-1","itemData":{"DOI":"10.1787/qna-v2017-3-37-en","ISBN":"8889338776","abstract":"Economic growth is projected to remain subdued. Despite supportive monetary conditions, investment weakness will persist, reflecting low demand, banking sector fragilities and uncertainties about European integration. High unemployment and modest wage growth will hold back private consumption, while exports will be hampered by soft global trade and by weaker growth in the United Kingdom following the Brexit referendum. Inflation is set to rise very gradually. Across euro area countries, major differences in growth and unemployment prospects will persist.","author":[{"dropping-particle":"","family":"Bank","given":"European Central","non-dropping-particle":"","parse-names":false,"suffix":""}],"container-title":"Quarterly National Accounts","id":"ITEM-1","issue":"3","issued":{"date-parts":[["2018"]]},"page":"266-267","title":"Euro area","type":"article-journal","volume":"2017"},"uris":["http://www.mendeley.com/documents/?uuid=2e7a7868-422b-4596-9c44-2d98a5603a30"]}],"mendeley":{"formattedCitation":"(Bank, 2018)","plainTextFormattedCitation":"(Bank, 2018)","previouslyFormattedCitation":"(Bank, 2018)"},"properties":{"noteIndex":0},"schema":"https://github.com/citation-style-language/schema/raw/master/csl-citation.json"}</w:instrText>
      </w:r>
      <w:r w:rsidRPr="0048196F">
        <w:rPr>
          <w:lang w:val="en-US"/>
        </w:rPr>
        <w:fldChar w:fldCharType="separate"/>
      </w:r>
      <w:r w:rsidRPr="0048196F">
        <w:rPr>
          <w:noProof/>
          <w:lang w:val="en-US"/>
        </w:rPr>
        <w:t>(Bank, 2018)</w:t>
      </w:r>
      <w:r w:rsidRPr="0048196F">
        <w:rPr>
          <w:lang w:val="en-US"/>
        </w:rPr>
        <w:fldChar w:fldCharType="end"/>
      </w:r>
      <w:r w:rsidRPr="0048196F">
        <w:rPr>
          <w:lang w:val="en-US"/>
        </w:rPr>
        <w:t xml:space="preserve"> and frequent news publications. In the following section the drivers of change and their importance for the sector are described. </w:t>
      </w:r>
    </w:p>
    <w:p w14:paraId="6AA35F59" w14:textId="6FF369C2" w:rsidR="007B7AB9" w:rsidRDefault="007B7AB9" w:rsidP="007B7AB9">
      <w:pPr>
        <w:pStyle w:val="Caption"/>
        <w:keepNext/>
      </w:pPr>
      <w:bookmarkStart w:id="57" w:name="_Toc14347493"/>
      <w:r>
        <w:t xml:space="preserve">Table </w:t>
      </w:r>
      <w:r>
        <w:fldChar w:fldCharType="begin"/>
      </w:r>
      <w:r>
        <w:instrText xml:space="preserve"> SEQ Table \* ARABIC </w:instrText>
      </w:r>
      <w:r>
        <w:fldChar w:fldCharType="separate"/>
      </w:r>
      <w:r w:rsidR="009F0429">
        <w:rPr>
          <w:noProof/>
        </w:rPr>
        <w:t>4</w:t>
      </w:r>
      <w:r>
        <w:fldChar w:fldCharType="end"/>
      </w:r>
      <w:r>
        <w:t>: Drivers of change</w:t>
      </w:r>
      <w:bookmarkEnd w:id="57"/>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49"/>
        <w:gridCol w:w="6523"/>
      </w:tblGrid>
      <w:tr w:rsidR="007B7AB9" w14:paraId="3903083D" w14:textId="77777777" w:rsidTr="007B7AB9">
        <w:trPr>
          <w:tblHeader/>
        </w:trPr>
        <w:tc>
          <w:tcPr>
            <w:tcW w:w="1949" w:type="dxa"/>
          </w:tcPr>
          <w:p w14:paraId="62409206" w14:textId="609F9145" w:rsidR="007B7AB9" w:rsidRPr="007B7AB9" w:rsidRDefault="007B7AB9" w:rsidP="00AB4CAE">
            <w:pPr>
              <w:spacing w:line="360" w:lineRule="auto"/>
              <w:rPr>
                <w:b/>
                <w:bCs/>
                <w:lang w:val="en-US"/>
              </w:rPr>
            </w:pPr>
            <w:r w:rsidRPr="007B7AB9">
              <w:rPr>
                <w:b/>
                <w:bCs/>
                <w:iCs/>
                <w:lang w:val="en-US"/>
              </w:rPr>
              <w:t>Driver of Change</w:t>
            </w:r>
          </w:p>
        </w:tc>
        <w:tc>
          <w:tcPr>
            <w:tcW w:w="6523" w:type="dxa"/>
          </w:tcPr>
          <w:p w14:paraId="622ED089" w14:textId="1E5E1BC0" w:rsidR="007B7AB9" w:rsidRPr="007B7AB9" w:rsidRDefault="007B7AB9" w:rsidP="00AB4CAE">
            <w:pPr>
              <w:spacing w:line="360" w:lineRule="auto"/>
              <w:rPr>
                <w:b/>
                <w:bCs/>
                <w:lang w:val="en-US"/>
              </w:rPr>
            </w:pPr>
            <w:r w:rsidRPr="007B7AB9">
              <w:rPr>
                <w:b/>
                <w:bCs/>
                <w:lang w:val="en-US"/>
              </w:rPr>
              <w:t>Description</w:t>
            </w:r>
          </w:p>
        </w:tc>
      </w:tr>
      <w:tr w:rsidR="007B7AB9" w:rsidRPr="00AB4713" w14:paraId="179870E3" w14:textId="77777777" w:rsidTr="007B7AB9">
        <w:tc>
          <w:tcPr>
            <w:tcW w:w="1949" w:type="dxa"/>
          </w:tcPr>
          <w:p w14:paraId="210E63C7" w14:textId="77777777" w:rsidR="007B7AB9" w:rsidRPr="007B7AB9" w:rsidRDefault="007B7AB9" w:rsidP="007B7AB9">
            <w:pPr>
              <w:pStyle w:val="Heading3"/>
              <w:keepLines/>
              <w:numPr>
                <w:ilvl w:val="0"/>
                <w:numId w:val="0"/>
              </w:numPr>
              <w:spacing w:before="40" w:line="360" w:lineRule="auto"/>
              <w:outlineLvl w:val="2"/>
              <w:rPr>
                <w:b w:val="0"/>
                <w:bCs/>
                <w:i/>
                <w:iCs/>
                <w:lang w:val="en-US"/>
              </w:rPr>
            </w:pPr>
            <w:bookmarkStart w:id="58" w:name="_Toc14347321"/>
            <w:r w:rsidRPr="007B7AB9">
              <w:rPr>
                <w:b w:val="0"/>
                <w:bCs/>
                <w:iCs/>
                <w:lang w:val="en-US"/>
              </w:rPr>
              <w:t>Political instability</w:t>
            </w:r>
            <w:bookmarkEnd w:id="58"/>
          </w:p>
          <w:p w14:paraId="445FD84A" w14:textId="77777777" w:rsidR="007B7AB9" w:rsidRDefault="007B7AB9" w:rsidP="00AB4CAE">
            <w:pPr>
              <w:spacing w:line="360" w:lineRule="auto"/>
              <w:rPr>
                <w:lang w:val="en-US"/>
              </w:rPr>
            </w:pPr>
          </w:p>
        </w:tc>
        <w:tc>
          <w:tcPr>
            <w:tcW w:w="6523" w:type="dxa"/>
          </w:tcPr>
          <w:p w14:paraId="2BF95757" w14:textId="0D298D24" w:rsidR="007B7AB9" w:rsidRDefault="007B7AB9" w:rsidP="00AB4CAE">
            <w:pPr>
              <w:spacing w:line="360" w:lineRule="auto"/>
              <w:rPr>
                <w:lang w:val="en-US"/>
              </w:rPr>
            </w:pPr>
            <w:r w:rsidRPr="00703704">
              <w:rPr>
                <w:lang w:val="en-US"/>
              </w:rPr>
              <w:t xml:space="preserve">The activities of value chains have spread over several countries forming a complex and extensive global agri-food system. Even though agricultural trade continuous to increase </w:t>
            </w:r>
            <w:r w:rsidRPr="00703704">
              <w:rPr>
                <w:lang w:val="en-US"/>
              </w:rPr>
              <w:fldChar w:fldCharType="begin" w:fldLock="1"/>
            </w:r>
            <w:r w:rsidRPr="00703704">
              <w:rPr>
                <w:lang w:val="en-US"/>
              </w:rPr>
              <w:instrText>ADDIN CSL_CITATION {"citationItems":[{"id":"ITEM-1","itemData":{"abstract":"Food and agribusiness have a massive economic, social, and environmental footprint—the $5 trillion industry represents 10 percent of global consumer spending, 40 percent of employment, and 30 percent of greenhouse-gas emissions. Although sizable productivity improvements over the past 50 years have enabled an abundant food supply in many parts of the world, feeding the global population has reemerged as a critical issue. If current trends continue, by 2050, caloric demand will increase by 70 percent, and crop demand for human consumption and animal feed will increase by at least 100 percent. At the same time, more resource constraints will emerge: for example, 40 percent of water demand in 2030 is unlikely to be met. Already, more than 20 percent of arable land is degraded.1 Moreover, food and energy production are competing, as corn and sugar are increasingly important for both. Such resource scarcity could lead to political unrest on a large scale if left unaddressed. Agricultural technologies that raise productivity even in difficult conditions and the addition of land for cultivation in Africa, Eastern Europe, and South America may ease the burden, but meeting the entire demand will require disruption of the current trend.","author":[{"dropping-particle":"","family":"Goedde","given":"Lutz","non-dropping-particle":"","parse-names":false,"suffix":""},{"dropping-particle":"","family":"Horil","given":"Maya","non-dropping-particle":"","parse-names":false,"suffix":""},{"dropping-particle":"","family":"Sanghvi","given":"Sunil","non-dropping-particle":"","parse-names":false,"suffix":""}],"container-title":"McKinsey &amp; Company","id":"ITEM-1","issued":{"date-parts":[["2015"]]},"page":"1-12","title":"Pursuing the global opportunity in food and agribusiness","type":"article-journal"},"uris":["http://www.mendeley.com/documents/?uuid=6fa220a7-9c8a-4e90-9d0a-1ca677ae25fe"]}],"mendeley":{"formattedCitation":"(Goedde, Horil, &amp; Sanghvi, 2015)","plainTextFormattedCitation":"(Goedde, Horil, &amp; Sanghvi, 2015)","previouslyFormattedCitation":"(Goedde, Horil, &amp; Sanghvi, 2015)"},"properties":{"noteIndex":0},"schema":"https://github.com/citation-style-language/schema/raw/master/csl-citation.json"}</w:instrText>
            </w:r>
            <w:r w:rsidRPr="00703704">
              <w:rPr>
                <w:lang w:val="en-US"/>
              </w:rPr>
              <w:fldChar w:fldCharType="separate"/>
            </w:r>
            <w:r w:rsidRPr="00703704">
              <w:rPr>
                <w:noProof/>
                <w:lang w:val="en-US"/>
              </w:rPr>
              <w:t>(Goedde, Horil, &amp; Sanghvi, 2015)</w:t>
            </w:r>
            <w:r w:rsidRPr="00703704">
              <w:rPr>
                <w:lang w:val="en-US"/>
              </w:rPr>
              <w:fldChar w:fldCharType="end"/>
            </w:r>
            <w:r w:rsidRPr="00703704">
              <w:rPr>
                <w:lang w:val="en-US"/>
              </w:rPr>
              <w:t xml:space="preserve">, global trade growth is slowing and stakeholders are concerned with trade tensions, political uncertainty and protectionism </w:t>
            </w:r>
            <w:r w:rsidRPr="00703704">
              <w:rPr>
                <w:lang w:val="en-US"/>
              </w:rPr>
              <w:fldChar w:fldCharType="begin" w:fldLock="1"/>
            </w:r>
            <w:r w:rsidRPr="00703704">
              <w:rPr>
                <w:lang w:val="en-US"/>
              </w:rPr>
              <w:instrText>ADDIN CSL_CITATION {"citationItems":[{"id":"ITEM-1","itemData":{"DOI":"10.1787/qna-v2017-3-37-en","ISBN":"8889338776","abstract":"Economic growth is projected to remain subdued. Despite supportive monetary conditions, investment weakness will persist, reflecting low demand, banking sector fragilities and uncertainties about European integration. High unemployment and modest wage growth will hold back private consumption, while exports will be hampered by soft global trade and by weaker growth in the United Kingdom following the Brexit referendum. Inflation is set to rise very gradually. Across euro area countries, major differences in growth and unemployment prospects will persist.","author":[{"dropping-particle":"","family":"Bank","given":"European Central","non-dropping-particle":"","parse-names":false,"suffix":""}],"container-title":"Quarterly National Accounts","id":"ITEM-1","issue":"3","issued":{"date-parts":[["2018"]]},"page":"266-267","title":"Euro area","type":"article-journal","volume":"2017"},"uris":["http://www.mendeley.com/documents/?uuid=2e7a7868-422b-4596-9c44-2d98a5603a30"]}],"mendeley":{"formattedCitation":"(Bank, 2018)","plainTextFormattedCitation":"(Bank, 2018)","previouslyFormattedCitation":"(Bank, 2018)"},"properties":{"noteIndex":0},"schema":"https://github.com/citation-style-language/schema/raw/master/csl-citation.json"}</w:instrText>
            </w:r>
            <w:r w:rsidRPr="00703704">
              <w:rPr>
                <w:lang w:val="en-US"/>
              </w:rPr>
              <w:fldChar w:fldCharType="separate"/>
            </w:r>
            <w:r w:rsidRPr="00703704">
              <w:rPr>
                <w:noProof/>
                <w:lang w:val="en-US"/>
              </w:rPr>
              <w:t>(Bank, 2018)</w:t>
            </w:r>
            <w:r w:rsidRPr="00703704">
              <w:rPr>
                <w:lang w:val="en-US"/>
              </w:rPr>
              <w:fldChar w:fldCharType="end"/>
            </w:r>
            <w:r w:rsidRPr="00703704">
              <w:rPr>
                <w:lang w:val="en-US"/>
              </w:rPr>
              <w:t xml:space="preserve">. A recent example is the plummeting of soybean prices due to imposed tariffs. </w:t>
            </w:r>
            <w:r w:rsidRPr="00703704">
              <w:rPr>
                <w:lang w:val="en-US"/>
              </w:rPr>
              <w:fldChar w:fldCharType="begin" w:fldLock="1"/>
            </w:r>
            <w:r w:rsidRPr="00703704">
              <w:rPr>
                <w:lang w:val="en-US"/>
              </w:rPr>
              <w:instrText>ADDIN CSL_CITATION {"citationItems":[{"id":"ITEM-1","itemData":{"author":[{"dropping-particle":"","family":"PWC","given":"","non-dropping-particle":"","parse-names":false,"suffix":""}],"id":"ITEM-1","issued":{"date-parts":[["2017"]]},"title":"Four possible scenarios for the AgriFood industry","type":"article-journal"},"uris":["http://www.mendeley.com/documents/?uuid=3ce5cfa4-5754-4619-84d6-fa9557890287"]}],"mendeley":{"formattedCitation":"(PWC, 2017)","plainTextFormattedCitation":"(PWC, 2017)","previouslyFormattedCitation":"(PWC, 2017)"},"properties":{"noteIndex":0},"schema":"https://github.com/citation-style-language/schema/raw/master/csl-citation.json"}</w:instrText>
            </w:r>
            <w:r w:rsidRPr="00703704">
              <w:rPr>
                <w:lang w:val="en-US"/>
              </w:rPr>
              <w:fldChar w:fldCharType="separate"/>
            </w:r>
            <w:r w:rsidRPr="00703704">
              <w:rPr>
                <w:noProof/>
                <w:lang w:val="en-US"/>
              </w:rPr>
              <w:t>(PWC, 2017)</w:t>
            </w:r>
            <w:r w:rsidRPr="00703704">
              <w:rPr>
                <w:lang w:val="en-US"/>
              </w:rPr>
              <w:fldChar w:fldCharType="end"/>
            </w:r>
            <w:r w:rsidRPr="00703704">
              <w:rPr>
                <w:lang w:val="en-US"/>
              </w:rPr>
              <w:t xml:space="preserve"> coins the question if increased globalization could regress towards protectionism and </w:t>
            </w:r>
            <w:r w:rsidRPr="00703704">
              <w:rPr>
                <w:lang w:val="en-US"/>
              </w:rPr>
              <w:fldChar w:fldCharType="begin" w:fldLock="1"/>
            </w:r>
            <w:r>
              <w:rPr>
                <w:lang w:val="en-US"/>
              </w:rPr>
              <w:instrText>ADDIN CSL_CITATION {"citationItems":[{"id":"ITEM-1","itemData":{"DOI":"10.1017/S1474745608004035","ISBN":"9789295044531","ISSN":"1474-7456","PMID":"20166286","abstract":"The WTO and preferential trade agreements: From co-existence to coherence","author":[{"dropping-particle":"","family":"World Economic Forum","given":"","non-dropping-particle":"","parse-names":false,"suffix":""}],"container-title":"World Trade Review","id":"ITEM-1","issue":"04","issued":{"date-parts":[["2017"]]},"page":"710-712","title":"Shaping the Future of Global Food Systems: A Scenarios Analysis","type":"article-journal","volume":"7"},"uris":["http://www.mendeley.com/documents/?uuid=65964991-9bf0-413a-94f4-53007aa30e17"]}],"mendeley":{"formattedCitation":"(World Economic Forum, 2017)","plainTextFormattedCitation":"(World Economic Forum, 2017)","previouslyFormattedCitation":"(World Economic Forum, 2017)"},"properties":{"noteIndex":0},"schema":"https://github.com/citation-style-language/schema/raw/master/csl-citation.json"}</w:instrText>
            </w:r>
            <w:r w:rsidRPr="00703704">
              <w:rPr>
                <w:lang w:val="en-US"/>
              </w:rPr>
              <w:fldChar w:fldCharType="separate"/>
            </w:r>
            <w:r w:rsidRPr="00612276">
              <w:rPr>
                <w:noProof/>
                <w:lang w:val="en-US"/>
              </w:rPr>
              <w:t>(World Economic Forum, 2017)</w:t>
            </w:r>
            <w:r w:rsidRPr="00703704">
              <w:rPr>
                <w:lang w:val="en-US"/>
              </w:rPr>
              <w:fldChar w:fldCharType="end"/>
            </w:r>
            <w:r w:rsidRPr="00703704">
              <w:rPr>
                <w:lang w:val="en-US"/>
              </w:rPr>
              <w:t xml:space="preserve"> take connectivity between countries and stakeholders as one of the two key dimension for their foresight analysis. Political relationships are of importance to face the national border surpassing challenges of the sector.</w:t>
            </w:r>
          </w:p>
        </w:tc>
      </w:tr>
      <w:tr w:rsidR="007B7AB9" w:rsidRPr="00AB4713" w14:paraId="29F20F21" w14:textId="77777777" w:rsidTr="007B7AB9">
        <w:tc>
          <w:tcPr>
            <w:tcW w:w="1949" w:type="dxa"/>
          </w:tcPr>
          <w:p w14:paraId="4E2F647E" w14:textId="59A85716" w:rsidR="007B7AB9" w:rsidRPr="007B7AB9" w:rsidRDefault="007B7AB9" w:rsidP="00AB4CAE">
            <w:pPr>
              <w:spacing w:line="360" w:lineRule="auto"/>
              <w:rPr>
                <w:lang w:val="en-US"/>
              </w:rPr>
            </w:pPr>
            <w:r w:rsidRPr="007B7AB9">
              <w:rPr>
                <w:iCs/>
                <w:lang w:val="en-US"/>
              </w:rPr>
              <w:t>Standards &amp; Regulation</w:t>
            </w:r>
          </w:p>
        </w:tc>
        <w:tc>
          <w:tcPr>
            <w:tcW w:w="6523" w:type="dxa"/>
          </w:tcPr>
          <w:p w14:paraId="0B2F202D" w14:textId="016982A4" w:rsidR="007B7AB9" w:rsidRDefault="007B7AB9" w:rsidP="00AB4CAE">
            <w:pPr>
              <w:spacing w:line="360" w:lineRule="auto"/>
              <w:rPr>
                <w:lang w:val="en-US"/>
              </w:rPr>
            </w:pPr>
            <w:r w:rsidRPr="00703704">
              <w:rPr>
                <w:lang w:val="en-US"/>
              </w:rPr>
              <w:t xml:space="preserve">Food scandals and international trade have resulted in a variety of standards to assure food safety </w:t>
            </w:r>
            <w:r w:rsidRPr="00703704">
              <w:rPr>
                <w:lang w:val="en-US"/>
              </w:rPr>
              <w:fldChar w:fldCharType="begin" w:fldLock="1"/>
            </w:r>
            <w:r w:rsidRPr="00703704">
              <w:rPr>
                <w:lang w:val="en-US"/>
              </w:rPr>
              <w:instrText>ADDIN CSL_CITATION {"citationItems":[{"id":"ITEM-1","itemData":{"DOI":"10.22434/ifamr2017.0051","abstract":"Global agricultural markets reflect the increasing complexity of modern consumer demand for food safety and quality. This demand has triggered changes throughout the food industry, and led to greater opportunities for product differentiation and the potential to add value to raw commodities. Greater differentiation and value adding over time has in turn dramatically changed the price spread or marketing bill between the farm value of products and the retail value. Thus a significantly greater percentage of the final price paid by consumers is now garnered down chain rather than up chain over the last 20 years. This apparent shifting of value creation or addition, as measured by the marketing margin, has invigorated empirical questions as to where, and how much value, is created along the agri-food value chain. First we define value creation/adding, and then we estimate the economic value added for 454 firms. We validate our findings by creating and employing three additional value creation measures - the modified economic value added, the creation or destruction of value, and the persistence of value creation. Finally we estimate value creation at each node of the value chain, measure the relative differences among firms and nodes, and estimate a model measuring the drivers of value adding.","author":[{"dropping-particle":"","family":"Cucagna","given":"Maria Emilia","non-dropping-particle":"","parse-names":false,"suffix":""},{"dropping-particle":"","family":"Goldsmith","given":"Peter D.","non-dropping-particle":"","parse-names":false,"suffix":""}],"container-title":"International Food and Agribusiness Management Review","id":"ITEM-1","issue":"3","issued":{"date-parts":[["2018"]]},"page":"293-316","title":"Value adding in the agri-food value chain","type":"article-journal","volume":"21"},"uris":["http://www.mendeley.com/documents/?uuid=dbb00ee0-a16f-4809-9e45-13d51011bcc5"]}],"mendeley":{"formattedCitation":"(Cucagna &amp; Goldsmith, 2018)","plainTextFormattedCitation":"(Cucagna &amp; Goldsmith, 2018)","previouslyFormattedCitation":"(Cucagna &amp; Goldsmith, 2018)"},"properties":{"noteIndex":0},"schema":"https://github.com/citation-style-language/schema/raw/master/csl-citation.json"}</w:instrText>
            </w:r>
            <w:r w:rsidRPr="00703704">
              <w:rPr>
                <w:lang w:val="en-US"/>
              </w:rPr>
              <w:fldChar w:fldCharType="separate"/>
            </w:r>
            <w:r w:rsidRPr="00703704">
              <w:rPr>
                <w:noProof/>
                <w:lang w:val="en-US"/>
              </w:rPr>
              <w:t>(Cucagna &amp; Goldsmith, 2018)</w:t>
            </w:r>
            <w:r w:rsidRPr="00703704">
              <w:rPr>
                <w:lang w:val="en-US"/>
              </w:rPr>
              <w:fldChar w:fldCharType="end"/>
            </w:r>
            <w:r w:rsidRPr="00703704">
              <w:rPr>
                <w:lang w:val="en-US"/>
              </w:rPr>
              <w:t xml:space="preserve">. In the last decade substantial changes concerning food policy and legislation have been made. Hygiene packaging and livestock traceability belong to the many examples. Standards are not only imposed by public institutions but also private standards are being adopted to the new properties of today’s food related issues </w:t>
            </w:r>
            <w:r w:rsidRPr="00703704">
              <w:rPr>
                <w:lang w:val="en-US"/>
              </w:rPr>
              <w:fldChar w:fldCharType="begin" w:fldLock="1"/>
            </w:r>
            <w:r w:rsidRPr="00703704">
              <w:rPr>
                <w:lang w:val="en-US"/>
              </w:rPr>
              <w:instrText>ADDIN CSL_CITATION {"citationItems":[{"id":"ITEM-1","itemData":{"DOI":"10.1016/j.foodcont.2012.01.051","ISSN":"09567135","abstract":"In recent times, concerns about the impact of the food that people consume on their own health, as well as the social and environmental consequences that it entails, have led to major changes in all steps of the food chain including all the agents from the producer to the retailer. These phenomena comprise complex technologic, social, economic and environmental linkages that require integrated research approaches, i.e. the changes in consumers' demand and their consequences need to be considered from all these different points of view. This piece of work reviews the main causes and consequences of these changes in consumers' attitude toward foodstuff selection, dealing with different topics as regulation modifications or the impact on rural network in Europe. In addition, some references that cast doubt on the appropriateness of expanding markets for expensive products such as functional and organic ones at a time of economic recession have been provided. © 2012 Elsevier Ltd.","author":[{"dropping-particle":"","family":"Falguera","given":"Víctor","non-dropping-particle":"","parse-names":false,"suffix":""},{"dropping-particle":"","family":"Aliguer","given":"Núria","non-dropping-particle":"","parse-names":false,"suffix":""},{"dropping-particle":"","family":"Falguera","given":"Mercè","non-dropping-particle":"","parse-names":false,"suffix":""}],"container-title":"Food Control","id":"ITEM-1","issue":"2","issued":{"date-parts":[["2012"]]},"page":"274-281","publisher":"Elsevier Ltd","title":"An integrated approach to current trends in food consumption: Moving toward functional and organic products?","type":"article-journal","volume":"26"},"uris":["http://www.mendeley.com/documents/?uuid=154d8307-e5a2-420f-b8ca-92bf9c12b46e"]}],"mendeley":{"formattedCitation":"(Falguera et al., 2012)","plainTextFormattedCitation":"(Falguera et al., 2012)","previouslyFormattedCitation":"(Falguera et al., 2012)"},"properties":{"noteIndex":0},"schema":"https://github.com/citation-style-language/schema/raw/master/csl-citation.json"}</w:instrText>
            </w:r>
            <w:r w:rsidRPr="00703704">
              <w:rPr>
                <w:lang w:val="en-US"/>
              </w:rPr>
              <w:fldChar w:fldCharType="separate"/>
            </w:r>
            <w:r w:rsidRPr="00703704">
              <w:rPr>
                <w:noProof/>
                <w:lang w:val="en-US"/>
              </w:rPr>
              <w:t>(Falguera et al., 2012)</w:t>
            </w:r>
            <w:r w:rsidRPr="00703704">
              <w:rPr>
                <w:lang w:val="en-US"/>
              </w:rPr>
              <w:fldChar w:fldCharType="end"/>
            </w:r>
            <w:r w:rsidRPr="00703704">
              <w:rPr>
                <w:lang w:val="en-US"/>
              </w:rPr>
              <w:t xml:space="preserve">. Regulation </w:t>
            </w:r>
            <w:r>
              <w:rPr>
                <w:lang w:val="en-US"/>
              </w:rPr>
              <w:t xml:space="preserve">has always been a </w:t>
            </w:r>
            <w:r w:rsidRPr="00703704">
              <w:rPr>
                <w:lang w:val="en-US"/>
              </w:rPr>
              <w:t>reason for concern, a</w:t>
            </w:r>
            <w:r>
              <w:rPr>
                <w:lang w:val="en-US"/>
              </w:rPr>
              <w:t xml:space="preserve"> current</w:t>
            </w:r>
            <w:r w:rsidRPr="00703704">
              <w:rPr>
                <w:lang w:val="en-US"/>
              </w:rPr>
              <w:t xml:space="preserve"> example is the </w:t>
            </w:r>
            <w:r>
              <w:rPr>
                <w:lang w:val="en-US"/>
              </w:rPr>
              <w:t>debate in the</w:t>
            </w:r>
            <w:r w:rsidRPr="00703704">
              <w:rPr>
                <w:lang w:val="en-US"/>
              </w:rPr>
              <w:t xml:space="preserve"> European Union </w:t>
            </w:r>
            <w:r>
              <w:rPr>
                <w:lang w:val="en-US"/>
              </w:rPr>
              <w:t>as various stakeholders</w:t>
            </w:r>
            <w:r w:rsidRPr="00703704">
              <w:rPr>
                <w:lang w:val="en-US"/>
              </w:rPr>
              <w:t xml:space="preserve"> are not benefitting from genetically modifiable technology, while other</w:t>
            </w:r>
            <w:r>
              <w:rPr>
                <w:lang w:val="en-US"/>
              </w:rPr>
              <w:t xml:space="preserve"> countries</w:t>
            </w:r>
            <w:r w:rsidRPr="00703704">
              <w:rPr>
                <w:lang w:val="en-US"/>
              </w:rPr>
              <w:t xml:space="preserve"> do </w:t>
            </w:r>
            <w:r w:rsidRPr="00703704">
              <w:rPr>
                <w:lang w:val="en-US"/>
              </w:rPr>
              <w:fldChar w:fldCharType="begin" w:fldLock="1"/>
            </w:r>
            <w:r>
              <w:rPr>
                <w:lang w:val="en-US"/>
              </w:rPr>
              <w:instrText>ADDIN CSL_CITATION {"citationItems":[{"id":"ITEM-1","itemData":{"DOI":"10.1787/9789264090101-en","ISBN":"9789264090095","abstract":"This paper describes the challenges facing irrigated agriculture today and in the future, with a focus on recent challenges, including rapid increases in non-irrigation water demands, growing water pollution, competition from biofuels, and growing impact from climate variability and change. Increased agricultural productivity is suggested as a key investment to counteract growing water shortages for food production and food security.","author":[{"dropping-particle":"","family":"OECD","given":"","non-dropping-particle":"","parse-names":false,"suffix":""}],"id":"ITEM-1","issued":{"date-parts":[["2011"]]},"title":"Challenges for Agricultural Research","type":"book"},"uris":["http://www.mendeley.com/documents/?uuid=1bf03780-3b0f-49d1-87f7-d8e74fc14492"]}],"mendeley":{"formattedCitation":"(OECD, 2011a)","plainTextFormattedCitation":"(OECD, 2011a)","previouslyFormattedCitation":"(OECD, 2011a)"},"properties":{"noteIndex":0},"schema":"https://github.com/citation-style-language/schema/raw/master/csl-citation.json"}</w:instrText>
            </w:r>
            <w:r w:rsidRPr="00703704">
              <w:rPr>
                <w:lang w:val="en-US"/>
              </w:rPr>
              <w:fldChar w:fldCharType="separate"/>
            </w:r>
            <w:r w:rsidRPr="002027ED">
              <w:rPr>
                <w:noProof/>
                <w:lang w:val="en-US"/>
              </w:rPr>
              <w:t>(OECD, 2011a)</w:t>
            </w:r>
            <w:r w:rsidRPr="00703704">
              <w:rPr>
                <w:lang w:val="en-US"/>
              </w:rPr>
              <w:fldChar w:fldCharType="end"/>
            </w:r>
          </w:p>
        </w:tc>
      </w:tr>
      <w:tr w:rsidR="007B7AB9" w:rsidRPr="00AB4713" w14:paraId="6402256B" w14:textId="77777777" w:rsidTr="007B7AB9">
        <w:tc>
          <w:tcPr>
            <w:tcW w:w="1949" w:type="dxa"/>
          </w:tcPr>
          <w:p w14:paraId="28424458" w14:textId="77777777" w:rsidR="007B7AB9" w:rsidRPr="007B7AB9" w:rsidRDefault="007B7AB9" w:rsidP="007B7AB9">
            <w:pPr>
              <w:pStyle w:val="Heading3"/>
              <w:keepLines/>
              <w:numPr>
                <w:ilvl w:val="0"/>
                <w:numId w:val="0"/>
              </w:numPr>
              <w:spacing w:before="40" w:line="360" w:lineRule="auto"/>
              <w:ind w:left="360"/>
              <w:outlineLvl w:val="2"/>
              <w:rPr>
                <w:b w:val="0"/>
                <w:bCs/>
                <w:i/>
                <w:iCs/>
                <w:lang w:val="en-US"/>
              </w:rPr>
            </w:pPr>
            <w:bookmarkStart w:id="59" w:name="_Toc14347322"/>
            <w:r w:rsidRPr="007B7AB9">
              <w:rPr>
                <w:b w:val="0"/>
                <w:bCs/>
                <w:iCs/>
                <w:lang w:val="en-US"/>
              </w:rPr>
              <w:t>Technological Legislation</w:t>
            </w:r>
            <w:bookmarkEnd w:id="59"/>
          </w:p>
          <w:p w14:paraId="463B21FB" w14:textId="77777777" w:rsidR="007B7AB9" w:rsidRDefault="007B7AB9" w:rsidP="00AB4CAE">
            <w:pPr>
              <w:spacing w:line="360" w:lineRule="auto"/>
              <w:rPr>
                <w:lang w:val="en-US"/>
              </w:rPr>
            </w:pPr>
          </w:p>
        </w:tc>
        <w:tc>
          <w:tcPr>
            <w:tcW w:w="6523" w:type="dxa"/>
          </w:tcPr>
          <w:p w14:paraId="65936E7A" w14:textId="48282FA3" w:rsidR="007B7AB9" w:rsidRDefault="007B7AB9" w:rsidP="00AB4CAE">
            <w:pPr>
              <w:spacing w:line="360" w:lineRule="auto"/>
              <w:rPr>
                <w:lang w:val="en-US"/>
              </w:rPr>
            </w:pPr>
            <w:r w:rsidRPr="00703704">
              <w:rPr>
                <w:lang w:val="en-US"/>
              </w:rPr>
              <w:t xml:space="preserve">The legislation surrounding the digital technologies is causing problems in the agri-food sector. Farmers are hacking their own tractors in order to make changes to the software as corporations continue to lobby against the right-to-repair legislation </w:t>
            </w:r>
            <w:r w:rsidRPr="00703704">
              <w:rPr>
                <w:lang w:val="en-US"/>
              </w:rPr>
              <w:fldChar w:fldCharType="begin" w:fldLock="1"/>
            </w:r>
            <w:r w:rsidRPr="00703704">
              <w:rPr>
                <w:lang w:val="en-US"/>
              </w:rPr>
              <w:instrText>ADDIN CSL_CITATION {"citationItems":[{"id":"ITEM-1","itemData":{"DOI":"10.1111/soru.12233","ISSN":"14679523","abstract":"&lt;section class=\"article-section article-section__abstract\" lang=\"en\" data-lang=\"en\" id=\"section-1-en\"&gt;\n   &lt;h3 class=\"article-section__header main main\"&gt;Abstract&lt;/h3&gt;\n   &lt;div class=\"article-section__content en main\"&gt;\n      \n      &lt;p&gt;Digital technologies are being developed and adopted across the agri‐food system, from farm to fork. Within decision‐making spaces, however, little attention is being paid to political factors arising from such technological developments. This review draws from critical social sciences to examine emerging technologies and big data systems in agriculture and assesses some key issues arising in the field. We begin with an introduction and review of the so‐called ‘digital revolution’ and then briefly outline how political economy is effective for understanding major challenges for governing technologies and data systems in agriculture. These challenges include: 1) data ownership and control, 2) the production of technologies and data development, and 3) data security. We then use literature and examples to consider the extent to which the political and economic landscape can be shifted to support greater equity in agriculture, while reflecting on structural challenges and limits. In doing so, we emphasise that while there are significant systemic tensions between digital ag‐tech development and agroecological approaches, we do not see them as mutually exclusive per se. This paper intends to provide decision‐makers, practitioners and scholars from a wide range of disciplines with a timely assessment of agri‐food digitalisation that attends to political economic factors. In doing so, this paper contributes to policy and decision‐making discussions, which, from our perspective, continue to be rather technocentric in nature while paying little attention to how digital technologies can support agroecological systems specifically.&lt;/p&gt;\n      &lt;p&gt;This article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Review","type":"article-journal","volume":"59"},"uris":["http://www.mendeley.com/documents/?uuid=2a48291f-a221-431b-a4d3-6410a642aa9b"]}],"mendeley":{"formattedCitation":"(Rotz et al., 2019)","plainTextFormattedCitation":"(Rotz et al., 2019)","previouslyFormattedCitation":"(Rotz et al., 2019)"},"properties":{"noteIndex":0},"schema":"https://github.com/citation-style-language/schema/raw/master/csl-citation.json"}</w:instrText>
            </w:r>
            <w:r w:rsidRPr="00703704">
              <w:rPr>
                <w:lang w:val="en-US"/>
              </w:rPr>
              <w:fldChar w:fldCharType="separate"/>
            </w:r>
            <w:r w:rsidRPr="00703704">
              <w:rPr>
                <w:noProof/>
                <w:lang w:val="en-US"/>
              </w:rPr>
              <w:t>(Rotz et al., 2019)</w:t>
            </w:r>
            <w:r w:rsidRPr="00703704">
              <w:rPr>
                <w:lang w:val="en-US"/>
              </w:rPr>
              <w:fldChar w:fldCharType="end"/>
            </w:r>
            <w:r w:rsidRPr="00703704">
              <w:rPr>
                <w:lang w:val="en-US"/>
              </w:rPr>
              <w:t xml:space="preserve">. Furthermore, difficulties surround legislation with respect to interoperability between devices and systems in the sector. Questions are asked what the role of policies are in this matter </w:t>
            </w:r>
            <w:r w:rsidRPr="00703704">
              <w:rPr>
                <w:lang w:val="en-US"/>
              </w:rPr>
              <w:fldChar w:fldCharType="begin" w:fldLock="1"/>
            </w:r>
            <w:r>
              <w:rPr>
                <w:lang w:val="en-US"/>
              </w:rPr>
              <w:instrText>ADDIN CSL_CITATION {"citationItems":[{"id":"ITEM-1","itemData":{"abstract":"JT03431357 This document, as well as any data and map included herein, are without prejudice to the status of or sovereignty over any territory, to the delimitation of international frontiers and boundaries and to the name of any territory, city or area.","author":[{"dropping-particle":"","family":"OECD","given":"","non-dropping-particle":"","parse-names":false,"suffix":""}],"container-title":"Tad/Ca/Gf(2018)1","id":"ITEM-1","issued":{"date-parts":[["2018"]]},"page":"1-13","title":"Global Forum on Agriculture: How Digital Technologies are Impacting the Way we Grow and Distribute Food","type":"article-journal"},"uris":["http://www.mendeley.com/documents/?uuid=c68be520-f026-40f0-9e2a-1cacc895691f"]}],"mendeley":{"formattedCitation":"(OECD, 2018)","plainTextFormattedCitation":"(OECD, 2018)","previouslyFormattedCitation":"(OECD, 2018)"},"properties":{"noteIndex":0},"schema":"https://github.com/citation-style-language/schema/raw/master/csl-citation.json"}</w:instrText>
            </w:r>
            <w:r w:rsidRPr="00703704">
              <w:rPr>
                <w:lang w:val="en-US"/>
              </w:rPr>
              <w:fldChar w:fldCharType="separate"/>
            </w:r>
            <w:r w:rsidRPr="00612276">
              <w:rPr>
                <w:noProof/>
                <w:lang w:val="en-US"/>
              </w:rPr>
              <w:t>(OECD, 2018)</w:t>
            </w:r>
            <w:r w:rsidRPr="00703704">
              <w:rPr>
                <w:lang w:val="en-US"/>
              </w:rPr>
              <w:fldChar w:fldCharType="end"/>
            </w:r>
            <w:r w:rsidRPr="00703704">
              <w:rPr>
                <w:lang w:val="en-US"/>
              </w:rPr>
              <w:t xml:space="preserve">. The blockchain technology would greatly benefit from standards to reach scale </w:t>
            </w:r>
            <w:r w:rsidRPr="00703704">
              <w:rPr>
                <w:lang w:val="en-US"/>
              </w:rPr>
              <w:fldChar w:fldCharType="begin" w:fldLock="1"/>
            </w:r>
            <w:r w:rsidRPr="00703704">
              <w:rPr>
                <w:lang w:val="en-US"/>
              </w:rPr>
              <w:instrText>ADDIN CSL_CITATION {"citationItems":[{"id":"ITEM-1","itemData":{"abstract":"Distributed ledger technologies (DLTs) and smart contracts provide a unique opportunity to bring greater efficiency, transparency and traceability to the exchange of value and information in the agriculture sector. This paper aims to facilitate a better understanding of the opportunities, benefits and applications of DLTs in agri-foods. It also identifies technical limits and possible institutional barriers to their adoption. By utilising digital records, cryptography and the disintermediation of transaction processing and data storage, DLTs can improve both agricultural supply chains and rural development interventions in a number of ways. First, the ability of the technology to trace a product’s provenance, carry detailed attributes for the product in each transaction and ensure its authenticity brings vast improvements in traceability with positive impact on food safety, quality and sustainability. Second, the disintermediation of transactions in agricultural supply chains and the use of smart contracts enable frictionless and real-time payments for agricultural financial services, which can reduce transaction costs, decrease risk for buyers and sellers and increase cash flow and working capital for farmers and sellers which is usually tied up in complex and paper-heavy settlement processes. More efficient supply chains and agricultural financial services lead to greater financial inclusion and stronger business development. Third, DLTs allow users to build digital identities with their recorded digital and physical assets. The vast amount of data generated from transactions in agricultural supply chains provides more accurate market information and data for supply chain actors and the public sector, which can be used to inform production and marketing decisions, prove a farmer’s track record to access credit and strengthen the enabling environment with better informed policies. Physical assets registered on the distributed ledger, such as land titles, can be used as collateral to access financing. DLTs are a secure, fast and immutable method to register land titles, providing greater legal clarity to land tenure systems. In addition, DLTs also have the potential to improve the implementation and monitoring of international agreements related to agriculture, such as World Trade Organization agreements and provisions relevant for agriculture, as well as the Paris Agreement on Climate Change. DLTs can bring greater transparency and accountability to co…","author":[{"dropping-particle":"","family":"Tripoli","given":"Mischa","non-dropping-particle":"","parse-names":false,"suffix":""},{"dropping-particle":"","family":"Schmidhuber","given":"Josef","non-dropping-particle":"","parse-names":false,"suffix":""}],"container-title":"Food and Agriculture Organization of the United Nations","id":"ITEM-1","issue":"August","issued":{"date-parts":[["2018"]]},"title":"Emerging Opportunities for the Application of Blockchain in the Agri-food Industry Agriculture","type":"article-journal"},"uris":["http://www.mendeley.com/documents/?uuid=c9c1558b-8043-40d9-99b1-82c77df6254a"]}],"mendeley":{"formattedCitation":"(Tripoli &amp; Schmidhuber, 2018)","plainTextFormattedCitation":"(Tripoli &amp; Schmidhuber, 2018)","previouslyFormattedCitation":"(Tripoli &amp; Schmidhuber, 2018)"},"properties":{"noteIndex":0},"schema":"https://github.com/citation-style-language/schema/raw/master/csl-citation.json"}</w:instrText>
            </w:r>
            <w:r w:rsidRPr="00703704">
              <w:rPr>
                <w:lang w:val="en-US"/>
              </w:rPr>
              <w:fldChar w:fldCharType="separate"/>
            </w:r>
            <w:r w:rsidRPr="00703704">
              <w:rPr>
                <w:noProof/>
                <w:lang w:val="en-US"/>
              </w:rPr>
              <w:t>(Tripoli &amp; Schmidhuber, 2018)</w:t>
            </w:r>
            <w:r w:rsidRPr="00703704">
              <w:rPr>
                <w:lang w:val="en-US"/>
              </w:rPr>
              <w:fldChar w:fldCharType="end"/>
            </w:r>
            <w:r w:rsidRPr="00703704">
              <w:rPr>
                <w:lang w:val="en-US"/>
              </w:rPr>
              <w:t xml:space="preserve"> and corporate concentration could be a consequence of the lack of rights for users </w:t>
            </w:r>
            <w:r w:rsidRPr="00703704">
              <w:rPr>
                <w:lang w:val="en-US"/>
              </w:rPr>
              <w:fldChar w:fldCharType="begin" w:fldLock="1"/>
            </w:r>
            <w:r w:rsidRPr="00703704">
              <w:rPr>
                <w:lang w:val="en-US"/>
              </w:rPr>
              <w:instrText>ADDIN CSL_CITATION {"citationItems":[{"id":"ITEM-1","itemData":{"DOI":"10.1111/soru.12233","ISSN":"14679523","abstract":"&lt;section class=\"article-section article-section__abstract\" lang=\"en\" data-lang=\"en\" id=\"section-1-en\"&gt;\n   &lt;h3 class=\"article-section__header main main\"&gt;Abstract&lt;/h3&gt;\n   &lt;div class=\"article-section__content en main\"&gt;\n      \n      &lt;p&gt;Digital technologies are being developed and adopted across the agri‐food system, from farm to fork. Within decision‐making spaces, however, little attention is being paid to political factors arising from such technological developments. This review draws from critical social sciences to examine emerging technologies and big data systems in agriculture and assesses some key issues arising in the field. We begin with an introduction and review of the so‐called ‘digital revolution’ and then briefly outline how political economy is effective for understanding major challenges for governing technologies and data systems in agriculture. These challenges include: 1) data ownership and control, 2) the production of technologies and data development, and 3) data security. We then use literature and examples to consider the extent to which the political and economic landscape can be shifted to support greater equity in agriculture, while reflecting on structural challenges and limits. In doing so, we emphasise that while there are significant systemic tensions between digital ag‐tech development and agroecological approaches, we do not see them as mutually exclusive per se. This paper intends to provide decision‐makers, practitioners and scholars from a wide range of disciplines with a timely assessment of agri‐food digitalisation that attends to political economic factors. In doing so, this paper contributes to policy and decision‐making discussions, which, from our perspective, continue to be rather technocentric in nature while paying little attention to how digital technologies can support agroecological systems specifically.&lt;/p&gt;\n      &lt;p&gt;This article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Review","type":"article-journal","volume":"59"},"uris":["http://www.mendeley.com/documents/?uuid=2a48291f-a221-431b-a4d3-6410a642aa9b"]}],"mendeley":{"formattedCitation":"(Rotz et al., 2019)","plainTextFormattedCitation":"(Rotz et al., 2019)","previouslyFormattedCitation":"(Rotz et al., 2019)"},"properties":{"noteIndex":0},"schema":"https://github.com/citation-style-language/schema/raw/master/csl-citation.json"}</w:instrText>
            </w:r>
            <w:r w:rsidRPr="00703704">
              <w:rPr>
                <w:lang w:val="en-US"/>
              </w:rPr>
              <w:fldChar w:fldCharType="separate"/>
            </w:r>
            <w:r w:rsidRPr="00703704">
              <w:rPr>
                <w:noProof/>
                <w:lang w:val="en-US"/>
              </w:rPr>
              <w:t>(Rotz et al., 2019)</w:t>
            </w:r>
            <w:r w:rsidRPr="00703704">
              <w:rPr>
                <w:lang w:val="en-US"/>
              </w:rPr>
              <w:fldChar w:fldCharType="end"/>
            </w:r>
            <w:r w:rsidRPr="00703704">
              <w:rPr>
                <w:lang w:val="en-US"/>
              </w:rPr>
              <w:t xml:space="preserve">. </w:t>
            </w:r>
            <w:r>
              <w:rPr>
                <w:lang w:val="en-US"/>
              </w:rPr>
              <w:t>Furthermore, the value extraction from data is increasingly important for various research directions industry stakeholders, increasing the influence of regulation on data ownership, access and more.</w:t>
            </w:r>
          </w:p>
        </w:tc>
      </w:tr>
      <w:tr w:rsidR="007B7AB9" w:rsidRPr="00AB4713" w14:paraId="0AA6304B" w14:textId="77777777" w:rsidTr="007B7AB9">
        <w:tc>
          <w:tcPr>
            <w:tcW w:w="1949" w:type="dxa"/>
          </w:tcPr>
          <w:p w14:paraId="5878889E" w14:textId="77777777" w:rsidR="007B7AB9" w:rsidRPr="007B7AB9" w:rsidRDefault="007B7AB9" w:rsidP="007B7AB9">
            <w:pPr>
              <w:pStyle w:val="Heading3"/>
              <w:keepLines/>
              <w:numPr>
                <w:ilvl w:val="0"/>
                <w:numId w:val="0"/>
              </w:numPr>
              <w:spacing w:before="40"/>
              <w:ind w:left="360"/>
              <w:outlineLvl w:val="2"/>
              <w:rPr>
                <w:b w:val="0"/>
                <w:bCs/>
                <w:i/>
                <w:iCs/>
                <w:lang w:val="en-US"/>
              </w:rPr>
            </w:pPr>
            <w:bookmarkStart w:id="60" w:name="_Toc14347323"/>
            <w:r w:rsidRPr="007B7AB9">
              <w:rPr>
                <w:b w:val="0"/>
                <w:bCs/>
                <w:iCs/>
                <w:lang w:val="en-US"/>
              </w:rPr>
              <w:t>Changing Patterns of Consumer Demand</w:t>
            </w:r>
            <w:bookmarkEnd w:id="60"/>
          </w:p>
          <w:p w14:paraId="416277AD" w14:textId="77777777" w:rsidR="007B7AB9" w:rsidRDefault="007B7AB9" w:rsidP="00AB4CAE">
            <w:pPr>
              <w:spacing w:line="360" w:lineRule="auto"/>
              <w:rPr>
                <w:lang w:val="en-US"/>
              </w:rPr>
            </w:pPr>
          </w:p>
        </w:tc>
        <w:tc>
          <w:tcPr>
            <w:tcW w:w="6523" w:type="dxa"/>
          </w:tcPr>
          <w:p w14:paraId="799600B6" w14:textId="7B90FBCC" w:rsidR="007B7AB9" w:rsidRDefault="007B7AB9" w:rsidP="00AB4CAE">
            <w:pPr>
              <w:spacing w:line="360" w:lineRule="auto"/>
              <w:rPr>
                <w:lang w:val="en-US"/>
              </w:rPr>
            </w:pPr>
            <w:r w:rsidRPr="00703704">
              <w:rPr>
                <w:lang w:val="en-US"/>
              </w:rPr>
              <w:t xml:space="preserve">Consumers are increasingly health conscious and are moving towards healthier diets that include functional foods </w:t>
            </w:r>
            <w:r w:rsidRPr="00703704">
              <w:rPr>
                <w:lang w:val="en-US"/>
              </w:rPr>
              <w:fldChar w:fldCharType="begin" w:fldLock="1"/>
            </w:r>
            <w:r w:rsidRPr="00703704">
              <w:rPr>
                <w:lang w:val="en-US"/>
              </w:rPr>
              <w:instrText>ADDIN CSL_CITATION {"citationItems":[{"id":"ITEM-1","itemData":{"abstract":"Food and agribusiness have a massive economic, social, and environmental footprint—the $5 trillion industry represents 10 percent of global consumer spending, 40 percent of employment, and 30 percent of greenhouse-gas emissions. Although sizable productivity improvements over the past 50 years have enabled an abundant food supply in many parts of the world, feeding the global population has reemerged as a critical issue. If current trends continue, by 2050, caloric demand will increase by 70 percent, and crop demand for human consumption and animal feed will increase by at least 100 percent. At the same time, more resource constraints will emerge: for example, 40 percent of water demand in 2030 is unlikely to be met. Already, more than 20 percent of arable land is degraded.1 Moreover, food and energy production are competing, as corn and sugar are increasingly important for both. Such resource scarcity could lead to political unrest on a large scale if left unaddressed. Agricultural technologies that raise productivity even in difficult conditions and the addition of land for cultivation in Africa, Eastern Europe, and South America may ease the burden, but meeting the entire demand will require disruption of the current trend.","author":[{"dropping-particle":"","family":"Goedde","given":"Lutz","non-dropping-particle":"","parse-names":false,"suffix":""},{"dropping-particle":"","family":"Horil","given":"Maya","non-dropping-particle":"","parse-names":false,"suffix":""},{"dropping-particle":"","family":"Sanghvi","given":"Sunil","non-dropping-particle":"","parse-names":false,"suffix":""}],"container-title":"McKinsey &amp; Company","id":"ITEM-1","issued":{"date-parts":[["2015"]]},"page":"1-12","title":"Pursuing the global opportunity in food and agribusiness","type":"article-journal"},"uris":["http://www.mendeley.com/documents/?uuid=6fa220a7-9c8a-4e90-9d0a-1ca677ae25fe"]}],"mendeley":{"formattedCitation":"(Goedde et al., 2015)","plainTextFormattedCitation":"(Goedde et al., 2015)","previouslyFormattedCitation":"(Goedde et al., 2015)"},"properties":{"noteIndex":0},"schema":"https://github.com/citation-style-language/schema/raw/master/csl-citation.json"}</w:instrText>
            </w:r>
            <w:r w:rsidRPr="00703704">
              <w:rPr>
                <w:lang w:val="en-US"/>
              </w:rPr>
              <w:fldChar w:fldCharType="separate"/>
            </w:r>
            <w:r w:rsidRPr="00703704">
              <w:rPr>
                <w:noProof/>
                <w:lang w:val="en-US"/>
              </w:rPr>
              <w:t>(Goedde et al., 2015)</w:t>
            </w:r>
            <w:r w:rsidRPr="00703704">
              <w:rPr>
                <w:lang w:val="en-US"/>
              </w:rPr>
              <w:fldChar w:fldCharType="end"/>
            </w:r>
            <w:r w:rsidRPr="00703704">
              <w:rPr>
                <w:lang w:val="en-US"/>
              </w:rPr>
              <w:t xml:space="preserve">. Additionally, consumers are demanding more information about food provenance as they are concerned with product characteristics relating to sustainability and animal welfare. This is causing changes in consumer preferences and attributes to already rapidly changing consumer demands </w:t>
            </w:r>
            <w:r w:rsidRPr="00703704">
              <w:rPr>
                <w:lang w:val="en-US"/>
              </w:rPr>
              <w:fldChar w:fldCharType="begin" w:fldLock="1"/>
            </w:r>
            <w:r w:rsidRPr="00703704">
              <w:rPr>
                <w:lang w:val="en-US"/>
              </w:rPr>
              <w:instrText>ADDIN CSL_CITATION {"citationItems":[{"id":"ITEM-1","itemData":{"abstract":"Technology Transforming Irish Agri-Food and Bioeconomy","author":[{"dropping-particle":"","family":"TEAGASC","given":"","non-dropping-particle":"","parse-names":false,"suffix":""}],"id":"ITEM-1","issue":"March","issued":{"date-parts":[["2016"]]},"page":"80","title":"TEAGASC Technology Foresight 2035","type":"article-journal"},"uris":["http://www.mendeley.com/documents/?uuid=fe3a1152-2571-40d1-ae63-02479794e628"]}],"mendeley":{"formattedCitation":"(TEAGASC, 2016)","plainTextFormattedCitation":"(TEAGASC, 2016)","previouslyFormattedCitation":"(TEAGASC, 2016)"},"properties":{"noteIndex":0},"schema":"https://github.com/citation-style-language/schema/raw/master/csl-citation.json"}</w:instrText>
            </w:r>
            <w:r w:rsidRPr="00703704">
              <w:rPr>
                <w:lang w:val="en-US"/>
              </w:rPr>
              <w:fldChar w:fldCharType="separate"/>
            </w:r>
            <w:r w:rsidRPr="00703704">
              <w:rPr>
                <w:noProof/>
                <w:lang w:val="en-US"/>
              </w:rPr>
              <w:t>(TEAGASC, 2016)</w:t>
            </w:r>
            <w:r w:rsidRPr="00703704">
              <w:rPr>
                <w:lang w:val="en-US"/>
              </w:rPr>
              <w:fldChar w:fldCharType="end"/>
            </w:r>
            <w:r w:rsidRPr="00703704">
              <w:rPr>
                <w:lang w:val="en-US"/>
              </w:rPr>
              <w:t>..</w:t>
            </w:r>
          </w:p>
        </w:tc>
      </w:tr>
    </w:tbl>
    <w:p w14:paraId="3879CE2B" w14:textId="77777777" w:rsidR="007B7AB9" w:rsidRDefault="007B7AB9" w:rsidP="00AB4CAE">
      <w:pPr>
        <w:spacing w:line="360" w:lineRule="auto"/>
        <w:rPr>
          <w:lang w:val="en-US"/>
        </w:rPr>
      </w:pPr>
    </w:p>
    <w:p w14:paraId="43CD2475" w14:textId="74311C4E" w:rsidR="00AB4CAE" w:rsidRDefault="00AB4CAE" w:rsidP="00AB4CAE">
      <w:pPr>
        <w:spacing w:line="360" w:lineRule="auto"/>
        <w:rPr>
          <w:lang w:val="en-US"/>
        </w:rPr>
      </w:pPr>
    </w:p>
    <w:p w14:paraId="1E13621B" w14:textId="1D4A73E8" w:rsidR="00AB4CAE" w:rsidRDefault="00AB4CAE" w:rsidP="00AB4CAE">
      <w:pPr>
        <w:rPr>
          <w:lang w:val="en-US"/>
        </w:rPr>
      </w:pPr>
    </w:p>
    <w:p w14:paraId="4C4D40DB" w14:textId="4ABDE687" w:rsidR="00AB4CAE" w:rsidRPr="00AB4CAE" w:rsidRDefault="00AB4CAE" w:rsidP="00AB4CAE">
      <w:pPr>
        <w:rPr>
          <w:lang w:val="en-US"/>
        </w:rPr>
      </w:pPr>
    </w:p>
    <w:p w14:paraId="7241A221" w14:textId="5AF5CB11" w:rsidR="00AB4CAE" w:rsidRDefault="00AB4CAE" w:rsidP="00AB4CAE">
      <w:pPr>
        <w:rPr>
          <w:lang w:val="en-US"/>
        </w:rPr>
      </w:pPr>
    </w:p>
    <w:p w14:paraId="227C276A" w14:textId="5F76A6DB" w:rsidR="00AB4CAE" w:rsidRDefault="00AB4CAE" w:rsidP="00AB4CAE">
      <w:pPr>
        <w:rPr>
          <w:lang w:val="en-US"/>
        </w:rPr>
      </w:pPr>
    </w:p>
    <w:p w14:paraId="65EC0516" w14:textId="77777777" w:rsidR="00AB4CAE" w:rsidRPr="00AB4CAE" w:rsidRDefault="00AB4CAE" w:rsidP="00AB4CAE">
      <w:pPr>
        <w:rPr>
          <w:lang w:val="en-US"/>
        </w:rPr>
      </w:pPr>
    </w:p>
    <w:p w14:paraId="44BA0230" w14:textId="77777777" w:rsidR="00971A8E" w:rsidRPr="0048196F" w:rsidRDefault="00971A8E" w:rsidP="003D386E">
      <w:pPr>
        <w:rPr>
          <w:lang w:val="en-US"/>
        </w:rPr>
      </w:pPr>
    </w:p>
    <w:p w14:paraId="60D69CE4" w14:textId="43D8552B" w:rsidR="00E41CC0" w:rsidRPr="0048196F" w:rsidRDefault="00B31276" w:rsidP="00F95CFB">
      <w:pPr>
        <w:pStyle w:val="Heading3"/>
        <w:spacing w:line="360" w:lineRule="auto"/>
        <w:rPr>
          <w:lang w:val="en-US"/>
        </w:rPr>
      </w:pPr>
      <w:bookmarkStart w:id="61" w:name="_Toc14347324"/>
      <w:r w:rsidRPr="0048196F">
        <w:rPr>
          <w:lang w:val="en-US"/>
        </w:rPr>
        <w:t>Tren</w:t>
      </w:r>
      <w:r w:rsidR="000C0ECF" w:rsidRPr="0048196F">
        <w:rPr>
          <w:lang w:val="en-US"/>
        </w:rPr>
        <w:t>d</w:t>
      </w:r>
      <w:r w:rsidR="00794FAF" w:rsidRPr="0048196F">
        <w:rPr>
          <w:lang w:val="en-US"/>
        </w:rPr>
        <w:t>s</w:t>
      </w:r>
      <w:bookmarkEnd w:id="61"/>
    </w:p>
    <w:p w14:paraId="16250958" w14:textId="72AA1776" w:rsidR="00612276" w:rsidRDefault="00794FAF" w:rsidP="00F95CFB">
      <w:pPr>
        <w:spacing w:line="360" w:lineRule="auto"/>
        <w:rPr>
          <w:lang w:val="en-US"/>
        </w:rPr>
      </w:pPr>
      <w:r w:rsidRPr="0048196F">
        <w:rPr>
          <w:lang w:val="en-US"/>
        </w:rPr>
        <w:t>The list of trends has seen quite some evolution throughout the research</w:t>
      </w:r>
      <w:r w:rsidR="00184746" w:rsidRPr="0048196F">
        <w:rPr>
          <w:lang w:val="en-US"/>
        </w:rPr>
        <w:t xml:space="preserve"> due to categorization issues, </w:t>
      </w:r>
      <w:r w:rsidR="00714BB1" w:rsidRPr="0048196F">
        <w:rPr>
          <w:lang w:val="en-US"/>
        </w:rPr>
        <w:t xml:space="preserve">determination of the </w:t>
      </w:r>
      <w:r w:rsidR="00184746" w:rsidRPr="0048196F">
        <w:rPr>
          <w:lang w:val="en-US"/>
        </w:rPr>
        <w:t xml:space="preserve">level of detail and </w:t>
      </w:r>
      <w:r w:rsidR="00714BB1" w:rsidRPr="0048196F">
        <w:rPr>
          <w:lang w:val="en-US"/>
        </w:rPr>
        <w:t xml:space="preserve">the requirement of </w:t>
      </w:r>
      <w:r w:rsidR="00184746" w:rsidRPr="0048196F">
        <w:rPr>
          <w:lang w:val="en-US"/>
        </w:rPr>
        <w:t>relevance to</w:t>
      </w:r>
      <w:r w:rsidR="00714BB1" w:rsidRPr="0048196F">
        <w:rPr>
          <w:lang w:val="en-US"/>
        </w:rPr>
        <w:t xml:space="preserve"> the</w:t>
      </w:r>
      <w:r w:rsidR="00184746" w:rsidRPr="0048196F">
        <w:rPr>
          <w:lang w:val="en-US"/>
        </w:rPr>
        <w:t xml:space="preserve"> innovation</w:t>
      </w:r>
      <w:r w:rsidR="00714BB1" w:rsidRPr="0048196F">
        <w:rPr>
          <w:lang w:val="en-US"/>
        </w:rPr>
        <w:t xml:space="preserve"> process</w:t>
      </w:r>
      <w:r w:rsidRPr="0048196F">
        <w:rPr>
          <w:lang w:val="en-US"/>
        </w:rPr>
        <w:t xml:space="preserve">. </w:t>
      </w:r>
      <w:r w:rsidR="00184746" w:rsidRPr="0048196F">
        <w:rPr>
          <w:lang w:val="en-US"/>
        </w:rPr>
        <w:t xml:space="preserve">Great difficulties arose from categorization in groups of trends, as it became clear the activities and the sector to be highly interconnected. Categorization was made according the stage of the value chain, or to the PESTEL framework, both failing due to extreme repetition and unclarities. Another difficulty arose from the level of detail to obtain a list with a length suitable for the </w:t>
      </w:r>
      <w:r w:rsidR="00714BB1" w:rsidRPr="0048196F">
        <w:rPr>
          <w:lang w:val="en-US"/>
        </w:rPr>
        <w:t>survey, applicable to the knowledge of the experts and relevant for the bigger picture of the value chain</w:t>
      </w:r>
      <w:r w:rsidR="00184746" w:rsidRPr="0048196F">
        <w:rPr>
          <w:lang w:val="en-US"/>
        </w:rPr>
        <w:t>. Additionally, importance was placed on selecting trends with value to the innovation process</w:t>
      </w:r>
      <w:r w:rsidR="00714BB1" w:rsidRPr="0048196F">
        <w:rPr>
          <w:lang w:val="en-US"/>
        </w:rPr>
        <w:t xml:space="preserve">. The original survey contained </w:t>
      </w:r>
      <w:r w:rsidR="00184746" w:rsidRPr="0048196F">
        <w:rPr>
          <w:lang w:val="en-US"/>
        </w:rPr>
        <w:t>10 main trends and 25 sub trends</w:t>
      </w:r>
      <w:r w:rsidR="00714BB1" w:rsidRPr="0048196F">
        <w:rPr>
          <w:lang w:val="en-US"/>
        </w:rPr>
        <w:t xml:space="preserve">, </w:t>
      </w:r>
      <w:r w:rsidR="00714BB1" w:rsidRPr="00E503ED">
        <w:rPr>
          <w:lang w:val="en-US"/>
        </w:rPr>
        <w:t xml:space="preserve">presented in table </w:t>
      </w:r>
      <w:r w:rsidR="00E503ED" w:rsidRPr="00E503ED">
        <w:rPr>
          <w:lang w:val="en-US"/>
        </w:rPr>
        <w:t>1</w:t>
      </w:r>
      <w:r w:rsidR="001E7232">
        <w:rPr>
          <w:lang w:val="en-US"/>
        </w:rPr>
        <w:t>3</w:t>
      </w:r>
      <w:r w:rsidR="00714BB1" w:rsidRPr="00E503ED">
        <w:rPr>
          <w:lang w:val="en-US"/>
        </w:rPr>
        <w:t xml:space="preserve"> of the</w:t>
      </w:r>
      <w:r w:rsidR="00714BB1" w:rsidRPr="0048196F">
        <w:rPr>
          <w:lang w:val="en-US"/>
        </w:rPr>
        <w:t xml:space="preserve"> annex. To prevent repetition the list with revised definitions is presented in the next section</w:t>
      </w:r>
      <w:r w:rsidR="008D2D1D" w:rsidRPr="0048196F">
        <w:rPr>
          <w:lang w:val="en-US"/>
        </w:rPr>
        <w:t xml:space="preserve"> after presenting the experts</w:t>
      </w:r>
      <w:r w:rsidR="00714BB1" w:rsidRPr="0048196F">
        <w:rPr>
          <w:lang w:val="en-US"/>
        </w:rPr>
        <w:t xml:space="preserve">, followed by figure </w:t>
      </w:r>
      <w:r w:rsidR="008D2D1D" w:rsidRPr="0048196F">
        <w:rPr>
          <w:lang w:val="en-US"/>
        </w:rPr>
        <w:t>4</w:t>
      </w:r>
      <w:r w:rsidR="00714BB1" w:rsidRPr="0048196F">
        <w:rPr>
          <w:lang w:val="en-US"/>
        </w:rPr>
        <w:t xml:space="preserve"> providing insight in </w:t>
      </w:r>
      <w:r w:rsidR="00971A8E" w:rsidRPr="0048196F">
        <w:rPr>
          <w:lang w:val="en-US"/>
        </w:rPr>
        <w:t xml:space="preserve">distribution of the results. </w:t>
      </w:r>
      <w:r w:rsidR="00714BB1" w:rsidRPr="0048196F">
        <w:rPr>
          <w:lang w:val="en-US"/>
        </w:rPr>
        <w:t xml:space="preserve"> </w:t>
      </w:r>
    </w:p>
    <w:p w14:paraId="1691C146" w14:textId="7E2FA626" w:rsidR="007B7AB9" w:rsidRDefault="007B7AB9" w:rsidP="00F95CFB">
      <w:pPr>
        <w:spacing w:line="360" w:lineRule="auto"/>
        <w:rPr>
          <w:lang w:val="en-US"/>
        </w:rPr>
      </w:pPr>
    </w:p>
    <w:p w14:paraId="0505EABB" w14:textId="4F0AC334" w:rsidR="00C926D5" w:rsidRDefault="00C926D5" w:rsidP="00F95CFB">
      <w:pPr>
        <w:spacing w:line="360" w:lineRule="auto"/>
        <w:rPr>
          <w:lang w:val="en-US"/>
        </w:rPr>
      </w:pPr>
    </w:p>
    <w:p w14:paraId="6AEF6F5D" w14:textId="7E903BF1" w:rsidR="00C926D5" w:rsidRDefault="00C926D5" w:rsidP="00F95CFB">
      <w:pPr>
        <w:spacing w:line="360" w:lineRule="auto"/>
        <w:rPr>
          <w:lang w:val="en-US"/>
        </w:rPr>
      </w:pPr>
    </w:p>
    <w:p w14:paraId="7E5881CF" w14:textId="2478ECBE" w:rsidR="00C926D5" w:rsidRDefault="00C926D5" w:rsidP="00F95CFB">
      <w:pPr>
        <w:spacing w:line="360" w:lineRule="auto"/>
        <w:rPr>
          <w:lang w:val="en-US"/>
        </w:rPr>
      </w:pPr>
    </w:p>
    <w:p w14:paraId="4E1F0951" w14:textId="17B54F88" w:rsidR="00C926D5" w:rsidRDefault="00C926D5" w:rsidP="00F95CFB">
      <w:pPr>
        <w:spacing w:line="360" w:lineRule="auto"/>
        <w:rPr>
          <w:lang w:val="en-US"/>
        </w:rPr>
      </w:pPr>
    </w:p>
    <w:p w14:paraId="21B8C57D" w14:textId="487CFEE9" w:rsidR="00C926D5" w:rsidRDefault="00C926D5" w:rsidP="00F95CFB">
      <w:pPr>
        <w:spacing w:line="360" w:lineRule="auto"/>
        <w:rPr>
          <w:lang w:val="en-US"/>
        </w:rPr>
      </w:pPr>
    </w:p>
    <w:p w14:paraId="7E4C1AD0" w14:textId="77777777" w:rsidR="00C926D5" w:rsidRDefault="00C926D5" w:rsidP="00F95CFB">
      <w:pPr>
        <w:spacing w:line="360" w:lineRule="auto"/>
        <w:rPr>
          <w:lang w:val="en-US"/>
        </w:rPr>
      </w:pPr>
    </w:p>
    <w:p w14:paraId="4F1E8E3F" w14:textId="77777777" w:rsidR="007B7AB9" w:rsidRPr="00612276" w:rsidRDefault="007B7AB9" w:rsidP="00F95CFB">
      <w:pPr>
        <w:spacing w:line="360" w:lineRule="auto"/>
        <w:rPr>
          <w:lang w:val="en-US"/>
        </w:rPr>
      </w:pPr>
    </w:p>
    <w:p w14:paraId="78151748" w14:textId="50C8AAA0" w:rsidR="00612276" w:rsidRPr="00612276" w:rsidRDefault="00612276" w:rsidP="00612276">
      <w:pPr>
        <w:pStyle w:val="Heading1"/>
        <w:rPr>
          <w:lang w:val="en-US"/>
        </w:rPr>
      </w:pPr>
      <w:bookmarkStart w:id="62" w:name="_Toc14347325"/>
      <w:r>
        <w:rPr>
          <w:lang w:val="en-US"/>
        </w:rPr>
        <w:t>Development Phase 1</w:t>
      </w:r>
      <w:bookmarkEnd w:id="62"/>
    </w:p>
    <w:p w14:paraId="63D7CF80" w14:textId="571B1B6F" w:rsidR="003D386E" w:rsidRPr="0048196F" w:rsidRDefault="00E95BE9" w:rsidP="003D386E">
      <w:pPr>
        <w:spacing w:line="360" w:lineRule="auto"/>
        <w:rPr>
          <w:lang w:val="en-US"/>
        </w:rPr>
      </w:pPr>
      <w:r w:rsidRPr="0048196F">
        <w:rPr>
          <w:lang w:val="en-US"/>
        </w:rPr>
        <w:t xml:space="preserve">In order to validate the findings from the literature review experts take part in a survey </w:t>
      </w:r>
      <w:r w:rsidR="0076644B" w:rsidRPr="0048196F">
        <w:rPr>
          <w:lang w:val="en-US"/>
        </w:rPr>
        <w:t>to provide insight in the importance of collected trends</w:t>
      </w:r>
      <w:r w:rsidRPr="0048196F">
        <w:rPr>
          <w:lang w:val="en-US"/>
        </w:rPr>
        <w:t>.  First, the design of the survey and participating experts are discussed, followed by a discussion of the results. Second, the</w:t>
      </w:r>
      <w:r w:rsidR="00EE6D9C">
        <w:rPr>
          <w:lang w:val="en-US"/>
        </w:rPr>
        <w:t xml:space="preserve"> </w:t>
      </w:r>
      <w:r w:rsidR="0076644B" w:rsidRPr="0048196F">
        <w:rPr>
          <w:lang w:val="en-US"/>
        </w:rPr>
        <w:t xml:space="preserve">main </w:t>
      </w:r>
      <w:r w:rsidRPr="0048196F">
        <w:rPr>
          <w:lang w:val="en-US"/>
        </w:rPr>
        <w:t xml:space="preserve">trends classified as most important are additionally researched in order to gain an understanding of underlying uses of the trend, challenges and possible solutions. </w:t>
      </w:r>
    </w:p>
    <w:p w14:paraId="341D1CD4" w14:textId="77777777" w:rsidR="004A1B20" w:rsidRPr="0048196F" w:rsidRDefault="004A1B20" w:rsidP="003D386E">
      <w:pPr>
        <w:spacing w:line="360" w:lineRule="auto"/>
        <w:rPr>
          <w:lang w:val="en-US"/>
        </w:rPr>
      </w:pPr>
    </w:p>
    <w:p w14:paraId="46C4FFA4" w14:textId="77777777" w:rsidR="00B31276" w:rsidRPr="0048196F" w:rsidRDefault="00B31276" w:rsidP="003D386E">
      <w:pPr>
        <w:pStyle w:val="Heading2"/>
        <w:rPr>
          <w:lang w:val="en-US"/>
        </w:rPr>
      </w:pPr>
      <w:bookmarkStart w:id="63" w:name="_Toc14347326"/>
      <w:r w:rsidRPr="0048196F">
        <w:rPr>
          <w:lang w:val="en-US"/>
        </w:rPr>
        <w:t>Survey design</w:t>
      </w:r>
      <w:bookmarkEnd w:id="63"/>
      <w:r w:rsidRPr="0048196F">
        <w:rPr>
          <w:lang w:val="en-US"/>
        </w:rPr>
        <w:t xml:space="preserve"> </w:t>
      </w:r>
    </w:p>
    <w:p w14:paraId="2330EC8C" w14:textId="4040EC9E" w:rsidR="00E503ED" w:rsidRDefault="00B31276" w:rsidP="00B31276">
      <w:pPr>
        <w:spacing w:line="360" w:lineRule="auto"/>
        <w:rPr>
          <w:lang w:val="en-US"/>
        </w:rPr>
      </w:pPr>
      <w:r w:rsidRPr="0048196F">
        <w:rPr>
          <w:lang w:val="en-US"/>
        </w:rPr>
        <w:t xml:space="preserve">Experts are asked to provide a classification between “unimportant” </w:t>
      </w:r>
      <w:r w:rsidR="00031172" w:rsidRPr="0048196F">
        <w:rPr>
          <w:lang w:val="en-US"/>
        </w:rPr>
        <w:t xml:space="preserve">(1) </w:t>
      </w:r>
      <w:r w:rsidRPr="0048196F">
        <w:rPr>
          <w:lang w:val="en-US"/>
        </w:rPr>
        <w:t>and “very important”</w:t>
      </w:r>
      <w:r w:rsidR="00031172" w:rsidRPr="0048196F">
        <w:rPr>
          <w:lang w:val="en-US"/>
        </w:rPr>
        <w:t xml:space="preserve"> (5)</w:t>
      </w:r>
      <w:r w:rsidRPr="0048196F">
        <w:rPr>
          <w:lang w:val="en-US"/>
        </w:rPr>
        <w:t xml:space="preserve"> following a five-point scale, and to provide feedback on the correctness of the descriptions. </w:t>
      </w:r>
      <w:r w:rsidR="00D73D31">
        <w:rPr>
          <w:lang w:val="en-US"/>
        </w:rPr>
        <w:t xml:space="preserve">A distinction is made between “main trends” and “sub trends”. </w:t>
      </w:r>
      <w:r w:rsidR="002574C4" w:rsidRPr="0048196F">
        <w:rPr>
          <w:lang w:val="en-US"/>
        </w:rPr>
        <w:t xml:space="preserve">based on judgment of the researcher. This division allows </w:t>
      </w:r>
      <w:r w:rsidR="002574C4">
        <w:rPr>
          <w:lang w:val="en-US"/>
        </w:rPr>
        <w:t xml:space="preserve">the </w:t>
      </w:r>
      <w:r w:rsidR="002574C4" w:rsidRPr="0048196F">
        <w:rPr>
          <w:lang w:val="en-US"/>
        </w:rPr>
        <w:t xml:space="preserve">main trends classified as </w:t>
      </w:r>
      <w:r w:rsidR="002574C4">
        <w:rPr>
          <w:lang w:val="en-US"/>
        </w:rPr>
        <w:t xml:space="preserve">most </w:t>
      </w:r>
      <w:r w:rsidR="002574C4" w:rsidRPr="0048196F">
        <w:rPr>
          <w:lang w:val="en-US"/>
        </w:rPr>
        <w:t>important to be additionally researched after the survey</w:t>
      </w:r>
      <w:r w:rsidR="002574C4">
        <w:rPr>
          <w:lang w:val="en-US"/>
        </w:rPr>
        <w:t xml:space="preserve">. This number has been set at 6 by the DIVA project. </w:t>
      </w:r>
      <w:r w:rsidRPr="0048196F">
        <w:rPr>
          <w:lang w:val="en-US"/>
        </w:rPr>
        <w:t>Following the principle of the Delphi Method</w:t>
      </w:r>
      <w:r w:rsidR="00E95BE9" w:rsidRPr="0048196F">
        <w:rPr>
          <w:lang w:val="en-US"/>
        </w:rPr>
        <w:t xml:space="preserve"> </w:t>
      </w:r>
      <w:r w:rsidR="00E95BE9" w:rsidRPr="0048196F">
        <w:rPr>
          <w:lang w:val="en-US"/>
        </w:rPr>
        <w:fldChar w:fldCharType="begin" w:fldLock="1"/>
      </w:r>
      <w:r w:rsidR="00C10CE6" w:rsidRPr="0048196F">
        <w:rPr>
          <w:lang w:val="en-US"/>
        </w:rPr>
        <w:instrText>ADDIN CSL_CITATION {"citationItems":[{"id":"ITEM-1","itemData":{"abstract":"The Delphi process is representative of an important class of techniques dealing with decision making situations. It involves one of the methodological aspects of modern practice in operations research, namely the reliance on judgment of experts.","author":[{"dropping-particle":"","family":"Brown","given":"Bernice B.","non-dropping-particle":"","parse-names":false,"suffix":""}],"container-title":"No. RAND-P-3925","id":"ITEM-1","issued":{"date-parts":[["1968"]]},"page":"14","title":"Delphi Process: A Methodology Used for the Elicitation of Opinions of Experts","type":"article"},"uris":["http://www.mendeley.com/documents/?uuid=6fad559a-2d57-4d2c-ba22-b61c622e1f16"]}],"mendeley":{"formattedCitation":"(Brown, 1968)","plainTextFormattedCitation":"(Brown, 1968)","previouslyFormattedCitation":"(Brown, 1968)"},"properties":{"noteIndex":0},"schema":"https://github.com/citation-style-language/schema/raw/master/csl-citation.json"}</w:instrText>
      </w:r>
      <w:r w:rsidR="00E95BE9" w:rsidRPr="0048196F">
        <w:rPr>
          <w:lang w:val="en-US"/>
        </w:rPr>
        <w:fldChar w:fldCharType="separate"/>
      </w:r>
      <w:r w:rsidR="00E95BE9" w:rsidRPr="0048196F">
        <w:rPr>
          <w:noProof/>
          <w:lang w:val="en-US"/>
        </w:rPr>
        <w:t>(Brown, 1968)</w:t>
      </w:r>
      <w:r w:rsidR="00E95BE9" w:rsidRPr="0048196F">
        <w:rPr>
          <w:lang w:val="en-US"/>
        </w:rPr>
        <w:fldChar w:fldCharType="end"/>
      </w:r>
      <w:r w:rsidR="00E95BE9" w:rsidRPr="0048196F">
        <w:rPr>
          <w:lang w:val="en-US"/>
        </w:rPr>
        <w:t xml:space="preserve"> </w:t>
      </w:r>
      <w:r w:rsidRPr="0048196F">
        <w:rPr>
          <w:lang w:val="en-US"/>
        </w:rPr>
        <w:t xml:space="preserve">,this survey determines the </w:t>
      </w:r>
      <w:r w:rsidR="00E95BE9" w:rsidRPr="0048196F">
        <w:rPr>
          <w:lang w:val="en-US"/>
        </w:rPr>
        <w:t xml:space="preserve">top </w:t>
      </w:r>
      <w:r w:rsidR="00EE6D9C">
        <w:rPr>
          <w:lang w:val="en-US"/>
        </w:rPr>
        <w:t xml:space="preserve">6 </w:t>
      </w:r>
      <w:r w:rsidR="002574C4">
        <w:rPr>
          <w:lang w:val="en-US"/>
        </w:rPr>
        <w:t>main</w:t>
      </w:r>
      <w:r w:rsidRPr="0048196F">
        <w:rPr>
          <w:lang w:val="en-US"/>
        </w:rPr>
        <w:t xml:space="preserve"> trends based on </w:t>
      </w:r>
      <w:r w:rsidR="00E95BE9" w:rsidRPr="0048196F">
        <w:rPr>
          <w:lang w:val="en-US"/>
        </w:rPr>
        <w:t xml:space="preserve">the </w:t>
      </w:r>
      <w:r w:rsidRPr="0048196F">
        <w:rPr>
          <w:lang w:val="en-US"/>
        </w:rPr>
        <w:t>consensus of experts</w:t>
      </w:r>
      <w:r w:rsidR="002574C4">
        <w:rPr>
          <w:lang w:val="en-US"/>
        </w:rPr>
        <w:t xml:space="preserve">. This translates to a hierarchy of trends based on the highest number of experts rating a trend higher than 3, on the 5- point scale. </w:t>
      </w:r>
    </w:p>
    <w:p w14:paraId="15C25260" w14:textId="77777777" w:rsidR="002574C4" w:rsidRPr="0048196F" w:rsidRDefault="002574C4" w:rsidP="00B31276">
      <w:pPr>
        <w:spacing w:line="360" w:lineRule="auto"/>
        <w:rPr>
          <w:lang w:val="en-US"/>
        </w:rPr>
      </w:pPr>
    </w:p>
    <w:p w14:paraId="124F0AFC" w14:textId="77777777" w:rsidR="00B31276" w:rsidRPr="0048196F" w:rsidRDefault="00B31276" w:rsidP="003D386E">
      <w:pPr>
        <w:pStyle w:val="Heading2"/>
        <w:rPr>
          <w:lang w:val="en-US"/>
        </w:rPr>
      </w:pPr>
      <w:bookmarkStart w:id="64" w:name="_Toc14347327"/>
      <w:r w:rsidRPr="0048196F">
        <w:rPr>
          <w:lang w:val="en-US"/>
        </w:rPr>
        <w:t>Experts</w:t>
      </w:r>
      <w:bookmarkEnd w:id="64"/>
    </w:p>
    <w:p w14:paraId="5A018870" w14:textId="6953CD0F" w:rsidR="000C0ECF" w:rsidRPr="0048196F" w:rsidRDefault="00B31276" w:rsidP="007B7AB9">
      <w:pPr>
        <w:spacing w:line="360" w:lineRule="auto"/>
        <w:rPr>
          <w:lang w:val="en-US"/>
        </w:rPr>
      </w:pPr>
      <w:r w:rsidRPr="0048196F">
        <w:rPr>
          <w:lang w:val="en-US"/>
        </w:rPr>
        <w:t>The DIVA project provided access to seven experts employed within the following 6 organizations</w:t>
      </w:r>
      <w:r w:rsidR="00EE77DA" w:rsidRPr="0048196F">
        <w:rPr>
          <w:lang w:val="en-US"/>
        </w:rPr>
        <w:t xml:space="preserve">, which are highly relevant to this research as they provide an overlap between the agri-food and digital technology industries. </w:t>
      </w:r>
    </w:p>
    <w:p w14:paraId="532EBCE8" w14:textId="1EF933EE" w:rsidR="00E503ED" w:rsidRPr="006D0730" w:rsidRDefault="00E503ED" w:rsidP="00E503ED">
      <w:pPr>
        <w:pStyle w:val="Caption"/>
        <w:keepNext/>
        <w:rPr>
          <w:lang w:val="en-US"/>
        </w:rPr>
      </w:pPr>
      <w:bookmarkStart w:id="65" w:name="_Toc14347494"/>
      <w:r w:rsidRPr="006D0730">
        <w:rPr>
          <w:lang w:val="en-US"/>
        </w:rPr>
        <w:t xml:space="preserve">Table </w:t>
      </w:r>
      <w:r w:rsidR="000D0D31">
        <w:rPr>
          <w:lang w:val="en-US"/>
        </w:rPr>
        <w:fldChar w:fldCharType="begin"/>
      </w:r>
      <w:r w:rsidR="000D0D31">
        <w:rPr>
          <w:lang w:val="en-US"/>
        </w:rPr>
        <w:instrText xml:space="preserve"> SEQ Table \* ARABIC </w:instrText>
      </w:r>
      <w:r w:rsidR="000D0D31">
        <w:rPr>
          <w:lang w:val="en-US"/>
        </w:rPr>
        <w:fldChar w:fldCharType="separate"/>
      </w:r>
      <w:r w:rsidR="009F0429">
        <w:rPr>
          <w:noProof/>
          <w:lang w:val="en-US"/>
        </w:rPr>
        <w:t>5</w:t>
      </w:r>
      <w:r w:rsidR="000D0D31">
        <w:rPr>
          <w:lang w:val="en-US"/>
        </w:rPr>
        <w:fldChar w:fldCharType="end"/>
      </w:r>
      <w:r w:rsidRPr="006D0730">
        <w:rPr>
          <w:lang w:val="en-US"/>
        </w:rPr>
        <w:t>: Organizations of participating experts</w:t>
      </w:r>
      <w:bookmarkEnd w:id="6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1"/>
        <w:gridCol w:w="6691"/>
      </w:tblGrid>
      <w:tr w:rsidR="00031172" w:rsidRPr="00AB4713" w14:paraId="27F4EC2F" w14:textId="77777777" w:rsidTr="007B7AB9">
        <w:trPr>
          <w:tblHeader/>
        </w:trPr>
        <w:tc>
          <w:tcPr>
            <w:tcW w:w="1791" w:type="dxa"/>
            <w:tcBorders>
              <w:bottom w:val="single" w:sz="4" w:space="0" w:color="auto"/>
            </w:tcBorders>
          </w:tcPr>
          <w:p w14:paraId="2F0DDAFB" w14:textId="77777777" w:rsidR="00031172" w:rsidRPr="007B7AB9" w:rsidRDefault="00031172" w:rsidP="00031172">
            <w:pPr>
              <w:jc w:val="center"/>
              <w:rPr>
                <w:b/>
                <w:bCs/>
                <w:lang w:val="en-US"/>
              </w:rPr>
            </w:pPr>
            <w:r w:rsidRPr="007B7AB9">
              <w:rPr>
                <w:b/>
                <w:bCs/>
                <w:lang w:val="en-US"/>
              </w:rPr>
              <w:t>Organization</w:t>
            </w:r>
          </w:p>
          <w:p w14:paraId="6597A3DE" w14:textId="77777777" w:rsidR="00031172" w:rsidRPr="007B7AB9" w:rsidRDefault="00031172" w:rsidP="00031172">
            <w:pPr>
              <w:jc w:val="center"/>
              <w:rPr>
                <w:b/>
                <w:bCs/>
                <w:lang w:val="en-US"/>
              </w:rPr>
            </w:pPr>
            <w:r w:rsidRPr="007B7AB9">
              <w:rPr>
                <w:b/>
                <w:bCs/>
                <w:lang w:val="en-US"/>
              </w:rPr>
              <w:t>&amp;</w:t>
            </w:r>
          </w:p>
          <w:p w14:paraId="10133037" w14:textId="7545C207" w:rsidR="00031172" w:rsidRPr="007B7AB9" w:rsidRDefault="00031172" w:rsidP="00031172">
            <w:pPr>
              <w:jc w:val="center"/>
              <w:rPr>
                <w:b/>
                <w:bCs/>
                <w:lang w:val="en-US"/>
              </w:rPr>
            </w:pPr>
            <w:r w:rsidRPr="007B7AB9">
              <w:rPr>
                <w:b/>
                <w:bCs/>
                <w:lang w:val="en-US"/>
              </w:rPr>
              <w:t>Country</w:t>
            </w:r>
          </w:p>
        </w:tc>
        <w:tc>
          <w:tcPr>
            <w:tcW w:w="6691" w:type="dxa"/>
            <w:tcBorders>
              <w:bottom w:val="single" w:sz="4" w:space="0" w:color="auto"/>
            </w:tcBorders>
          </w:tcPr>
          <w:p w14:paraId="4B2D67D3" w14:textId="3EF8D699" w:rsidR="00031172" w:rsidRPr="007B7AB9" w:rsidRDefault="000664B4" w:rsidP="0019245E">
            <w:pPr>
              <w:rPr>
                <w:b/>
                <w:bCs/>
                <w:lang w:val="en-US"/>
              </w:rPr>
            </w:pPr>
            <w:r w:rsidRPr="007B7AB9">
              <w:rPr>
                <w:b/>
                <w:bCs/>
                <w:lang w:val="en-US"/>
              </w:rPr>
              <w:t>Available information about function/department and</w:t>
            </w:r>
            <w:r w:rsidR="00F95CFB" w:rsidRPr="007B7AB9">
              <w:rPr>
                <w:b/>
                <w:bCs/>
                <w:lang w:val="en-US"/>
              </w:rPr>
              <w:t xml:space="preserve"> organization</w:t>
            </w:r>
          </w:p>
        </w:tc>
      </w:tr>
      <w:tr w:rsidR="00B31276" w:rsidRPr="0048196F" w14:paraId="3CC3F171" w14:textId="77777777" w:rsidTr="00E503ED">
        <w:tc>
          <w:tcPr>
            <w:tcW w:w="1791" w:type="dxa"/>
            <w:tcBorders>
              <w:top w:val="single" w:sz="4" w:space="0" w:color="auto"/>
            </w:tcBorders>
          </w:tcPr>
          <w:p w14:paraId="2A752D3E" w14:textId="77777777" w:rsidR="00B31276" w:rsidRPr="0048196F" w:rsidRDefault="00B31276" w:rsidP="0019245E">
            <w:pPr>
              <w:rPr>
                <w:lang w:val="en-US"/>
              </w:rPr>
            </w:pPr>
            <w:r w:rsidRPr="0048196F">
              <w:rPr>
                <w:lang w:val="en-US"/>
              </w:rPr>
              <w:t>AMETIC</w:t>
            </w:r>
          </w:p>
          <w:p w14:paraId="6C5562FC" w14:textId="77777777" w:rsidR="00B31276" w:rsidRPr="0048196F" w:rsidRDefault="00B31276" w:rsidP="0019245E">
            <w:pPr>
              <w:rPr>
                <w:lang w:val="en-US"/>
              </w:rPr>
            </w:pPr>
          </w:p>
          <w:p w14:paraId="22C357FB" w14:textId="77777777" w:rsidR="00B31276" w:rsidRPr="0048196F" w:rsidRDefault="00B31276" w:rsidP="0019245E">
            <w:pPr>
              <w:rPr>
                <w:lang w:val="en-US"/>
              </w:rPr>
            </w:pPr>
            <w:r w:rsidRPr="0048196F">
              <w:rPr>
                <w:lang w:val="en-US"/>
              </w:rPr>
              <w:t>Spain</w:t>
            </w:r>
          </w:p>
          <w:p w14:paraId="3B130A88" w14:textId="77777777" w:rsidR="00B31276" w:rsidRPr="0048196F" w:rsidRDefault="00B31276" w:rsidP="0019245E">
            <w:pPr>
              <w:rPr>
                <w:lang w:val="en-US"/>
              </w:rPr>
            </w:pPr>
          </w:p>
        </w:tc>
        <w:tc>
          <w:tcPr>
            <w:tcW w:w="6691" w:type="dxa"/>
            <w:tcBorders>
              <w:top w:val="single" w:sz="4" w:space="0" w:color="auto"/>
            </w:tcBorders>
          </w:tcPr>
          <w:p w14:paraId="213B5FD6" w14:textId="77032FE9" w:rsidR="00F95CFB" w:rsidRDefault="00F95CFB" w:rsidP="0019245E">
            <w:pPr>
              <w:rPr>
                <w:lang w:val="en-US"/>
              </w:rPr>
            </w:pPr>
            <w:r>
              <w:rPr>
                <w:lang w:val="en-US"/>
              </w:rPr>
              <w:t>Digital Transformation and Innov</w:t>
            </w:r>
            <w:r w:rsidR="005F3716">
              <w:rPr>
                <w:lang w:val="en-US"/>
              </w:rPr>
              <w:t>ation Manager</w:t>
            </w:r>
          </w:p>
          <w:p w14:paraId="6487CEC8" w14:textId="459932B7" w:rsidR="00B31276" w:rsidRPr="0048196F" w:rsidRDefault="00B31276" w:rsidP="0019245E">
            <w:pPr>
              <w:rPr>
                <w:lang w:val="en-US"/>
              </w:rPr>
            </w:pPr>
            <w:r w:rsidRPr="0048196F">
              <w:rPr>
                <w:lang w:val="en-US"/>
              </w:rPr>
              <w:t xml:space="preserve">This organization represents the digital technology industry of Spain by promoting economic policy and regulation that facilitates the development and use of digital technologies. </w:t>
            </w:r>
          </w:p>
          <w:p w14:paraId="4914C485" w14:textId="77777777" w:rsidR="00B31276" w:rsidRPr="0048196F" w:rsidRDefault="00AB00BD" w:rsidP="0019245E">
            <w:pPr>
              <w:rPr>
                <w:lang w:val="en-US"/>
              </w:rPr>
            </w:pPr>
            <w:hyperlink r:id="rId26" w:history="1">
              <w:r w:rsidR="00B31276" w:rsidRPr="0048196F">
                <w:rPr>
                  <w:rStyle w:val="Hyperlink"/>
                  <w:rFonts w:eastAsiaTheme="majorEastAsia"/>
                  <w:lang w:val="en-US"/>
                </w:rPr>
                <w:t>https://ametic.es/es</w:t>
              </w:r>
            </w:hyperlink>
          </w:p>
        </w:tc>
      </w:tr>
      <w:tr w:rsidR="00B31276" w:rsidRPr="0048196F" w14:paraId="7807E073" w14:textId="77777777" w:rsidTr="00E503ED">
        <w:tc>
          <w:tcPr>
            <w:tcW w:w="1791" w:type="dxa"/>
          </w:tcPr>
          <w:p w14:paraId="44124EB2" w14:textId="77777777" w:rsidR="00B31276" w:rsidRPr="0048196F" w:rsidRDefault="00B31276" w:rsidP="0019245E">
            <w:pPr>
              <w:rPr>
                <w:lang w:val="en-US"/>
              </w:rPr>
            </w:pPr>
            <w:r w:rsidRPr="0048196F">
              <w:rPr>
                <w:lang w:val="en-US"/>
              </w:rPr>
              <w:t>Agri Sud Oest Innovation</w:t>
            </w:r>
          </w:p>
          <w:p w14:paraId="0D61E9EB" w14:textId="77777777" w:rsidR="00B31276" w:rsidRPr="0048196F" w:rsidRDefault="00B31276" w:rsidP="0019245E">
            <w:pPr>
              <w:rPr>
                <w:lang w:val="en-US"/>
              </w:rPr>
            </w:pPr>
          </w:p>
          <w:p w14:paraId="00579B64" w14:textId="77777777" w:rsidR="00B31276" w:rsidRPr="0048196F" w:rsidRDefault="00B31276" w:rsidP="0019245E">
            <w:pPr>
              <w:rPr>
                <w:lang w:val="en-US"/>
              </w:rPr>
            </w:pPr>
            <w:r w:rsidRPr="0048196F">
              <w:rPr>
                <w:lang w:val="en-US"/>
              </w:rPr>
              <w:t>France</w:t>
            </w:r>
          </w:p>
        </w:tc>
        <w:tc>
          <w:tcPr>
            <w:tcW w:w="6691" w:type="dxa"/>
          </w:tcPr>
          <w:p w14:paraId="60853E14" w14:textId="6EBA87EB" w:rsidR="005F3716" w:rsidRPr="002375CC" w:rsidRDefault="005F3716" w:rsidP="0019245E">
            <w:pPr>
              <w:rPr>
                <w:lang w:val="en-US"/>
              </w:rPr>
            </w:pPr>
            <w:r w:rsidRPr="002375CC">
              <w:rPr>
                <w:lang w:val="en-US"/>
              </w:rPr>
              <w:t>R&amp;D and Innovation</w:t>
            </w:r>
          </w:p>
          <w:p w14:paraId="3BF0F597" w14:textId="3BA2683A" w:rsidR="00B31276" w:rsidRPr="0048196F" w:rsidRDefault="00B31276" w:rsidP="0019245E">
            <w:pPr>
              <w:rPr>
                <w:lang w:val="en-US"/>
              </w:rPr>
            </w:pPr>
            <w:r w:rsidRPr="0048196F">
              <w:rPr>
                <w:lang w:val="en-US"/>
              </w:rPr>
              <w:t xml:space="preserve">This organization provides a network and collaboration opportunities for private and public investors, research and education organizations, companies and other stakeholders active in the agri-food sector of several French regions. </w:t>
            </w:r>
          </w:p>
          <w:p w14:paraId="260A666B" w14:textId="77777777" w:rsidR="00B31276" w:rsidRPr="0048196F" w:rsidRDefault="00AB00BD" w:rsidP="0019245E">
            <w:pPr>
              <w:rPr>
                <w:lang w:val="en-US"/>
              </w:rPr>
            </w:pPr>
            <w:hyperlink r:id="rId27" w:history="1">
              <w:r w:rsidR="00B31276" w:rsidRPr="0048196F">
                <w:rPr>
                  <w:rStyle w:val="Hyperlink"/>
                  <w:rFonts w:eastAsiaTheme="majorEastAsia"/>
                  <w:lang w:val="en-US"/>
                </w:rPr>
                <w:t>http://www.agrisudouest.com/</w:t>
              </w:r>
            </w:hyperlink>
          </w:p>
        </w:tc>
      </w:tr>
      <w:tr w:rsidR="00B31276" w:rsidRPr="0048196F" w14:paraId="20C55FDF" w14:textId="77777777" w:rsidTr="00E503ED">
        <w:tc>
          <w:tcPr>
            <w:tcW w:w="1791" w:type="dxa"/>
          </w:tcPr>
          <w:p w14:paraId="613A83DA" w14:textId="77777777" w:rsidR="00B31276" w:rsidRPr="0048196F" w:rsidRDefault="00B31276" w:rsidP="0019245E">
            <w:pPr>
              <w:rPr>
                <w:lang w:val="en-US"/>
              </w:rPr>
            </w:pPr>
            <w:r w:rsidRPr="0048196F">
              <w:rPr>
                <w:lang w:val="en-US"/>
              </w:rPr>
              <w:t>Inovisa</w:t>
            </w:r>
          </w:p>
          <w:p w14:paraId="1CE12793" w14:textId="77777777" w:rsidR="00B31276" w:rsidRPr="0048196F" w:rsidRDefault="00B31276" w:rsidP="0019245E">
            <w:pPr>
              <w:rPr>
                <w:lang w:val="en-US"/>
              </w:rPr>
            </w:pPr>
          </w:p>
          <w:p w14:paraId="04B80307" w14:textId="77777777" w:rsidR="00B31276" w:rsidRPr="0048196F" w:rsidRDefault="00B31276" w:rsidP="0019245E">
            <w:pPr>
              <w:rPr>
                <w:lang w:val="en-US"/>
              </w:rPr>
            </w:pPr>
            <w:r w:rsidRPr="0048196F">
              <w:rPr>
                <w:lang w:val="en-US"/>
              </w:rPr>
              <w:t>Portugal</w:t>
            </w:r>
          </w:p>
        </w:tc>
        <w:tc>
          <w:tcPr>
            <w:tcW w:w="6691" w:type="dxa"/>
          </w:tcPr>
          <w:p w14:paraId="7613CDAD" w14:textId="00F61C00" w:rsidR="005F3716" w:rsidRDefault="005F3716" w:rsidP="0019245E">
            <w:pPr>
              <w:rPr>
                <w:lang w:val="en-US"/>
              </w:rPr>
            </w:pPr>
            <w:r w:rsidRPr="005F3716">
              <w:rPr>
                <w:lang w:val="en-US"/>
              </w:rPr>
              <w:t>International Cooperation Manager</w:t>
            </w:r>
          </w:p>
          <w:p w14:paraId="2258E81B" w14:textId="50520843" w:rsidR="00B31276" w:rsidRPr="0048196F" w:rsidRDefault="00B31276" w:rsidP="0019245E">
            <w:pPr>
              <w:rPr>
                <w:lang w:val="en-US"/>
              </w:rPr>
            </w:pPr>
            <w:r w:rsidRPr="0048196F">
              <w:rPr>
                <w:lang w:val="en-US"/>
              </w:rPr>
              <w:t xml:space="preserve">This organization facilitates the realization of innovative agri-food projects initiated by teachers, researchers and students in Lisbon by providing an interface between the scientific, academic and business environments. </w:t>
            </w:r>
          </w:p>
          <w:p w14:paraId="47CD0F00" w14:textId="77777777" w:rsidR="00B31276" w:rsidRPr="0048196F" w:rsidRDefault="00AB00BD" w:rsidP="0019245E">
            <w:pPr>
              <w:rPr>
                <w:lang w:val="en-US"/>
              </w:rPr>
            </w:pPr>
            <w:hyperlink r:id="rId28" w:history="1">
              <w:r w:rsidR="00B31276" w:rsidRPr="0048196F">
                <w:rPr>
                  <w:rStyle w:val="Hyperlink"/>
                  <w:rFonts w:eastAsiaTheme="majorEastAsia"/>
                  <w:lang w:val="en-US"/>
                </w:rPr>
                <w:t>http://inovisa.pt/</w:t>
              </w:r>
            </w:hyperlink>
          </w:p>
        </w:tc>
      </w:tr>
      <w:tr w:rsidR="00B31276" w:rsidRPr="0048196F" w14:paraId="0BCFE07A" w14:textId="77777777" w:rsidTr="00E503ED">
        <w:tc>
          <w:tcPr>
            <w:tcW w:w="1791" w:type="dxa"/>
          </w:tcPr>
          <w:p w14:paraId="4EFBC4EE" w14:textId="77777777" w:rsidR="00B31276" w:rsidRPr="0048196F" w:rsidRDefault="00B31276" w:rsidP="0019245E">
            <w:pPr>
              <w:rPr>
                <w:lang w:val="en-US"/>
              </w:rPr>
            </w:pPr>
            <w:r w:rsidRPr="0048196F">
              <w:rPr>
                <w:lang w:val="en-US"/>
              </w:rPr>
              <w:t>GRnet</w:t>
            </w:r>
          </w:p>
          <w:p w14:paraId="2BBEACEA" w14:textId="77777777" w:rsidR="00B31276" w:rsidRPr="0048196F" w:rsidRDefault="00B31276" w:rsidP="0019245E">
            <w:pPr>
              <w:rPr>
                <w:lang w:val="en-US"/>
              </w:rPr>
            </w:pPr>
          </w:p>
          <w:p w14:paraId="4CFC474D" w14:textId="77777777" w:rsidR="00B31276" w:rsidRPr="0048196F" w:rsidRDefault="00B31276" w:rsidP="0019245E">
            <w:pPr>
              <w:rPr>
                <w:lang w:val="en-US"/>
              </w:rPr>
            </w:pPr>
            <w:r w:rsidRPr="0048196F">
              <w:rPr>
                <w:lang w:val="en-US"/>
              </w:rPr>
              <w:t>Greece</w:t>
            </w:r>
          </w:p>
        </w:tc>
        <w:tc>
          <w:tcPr>
            <w:tcW w:w="6691" w:type="dxa"/>
          </w:tcPr>
          <w:p w14:paraId="28C8E1E9" w14:textId="525FADFB" w:rsidR="005F3716" w:rsidRPr="002375CC" w:rsidRDefault="005F3716" w:rsidP="0019245E">
            <w:pPr>
              <w:tabs>
                <w:tab w:val="left" w:pos="1724"/>
              </w:tabs>
              <w:rPr>
                <w:lang w:val="en-US"/>
              </w:rPr>
            </w:pPr>
            <w:r w:rsidRPr="002375CC">
              <w:rPr>
                <w:lang w:val="en-US"/>
              </w:rPr>
              <w:t>Programme Management and Administration</w:t>
            </w:r>
          </w:p>
          <w:p w14:paraId="05483AF4" w14:textId="7C9CDCA0" w:rsidR="00B31276" w:rsidRPr="0048196F" w:rsidRDefault="00B31276" w:rsidP="0019245E">
            <w:pPr>
              <w:tabs>
                <w:tab w:val="left" w:pos="1724"/>
              </w:tabs>
              <w:rPr>
                <w:lang w:val="en-US"/>
              </w:rPr>
            </w:pPr>
            <w:r w:rsidRPr="0048196F">
              <w:rPr>
                <w:lang w:val="en-US"/>
              </w:rPr>
              <w:t>This organization is a research and technology network concerning network infrastructure and ICT technologies. It is involved with theeducation, research, health and culture of Greece.</w:t>
            </w:r>
          </w:p>
          <w:p w14:paraId="3F0A5E49" w14:textId="77777777" w:rsidR="00B31276" w:rsidRPr="0048196F" w:rsidRDefault="00AB00BD" w:rsidP="0019245E">
            <w:pPr>
              <w:rPr>
                <w:lang w:val="en-US"/>
              </w:rPr>
            </w:pPr>
            <w:hyperlink r:id="rId29" w:history="1">
              <w:r w:rsidR="00B31276" w:rsidRPr="0048196F">
                <w:rPr>
                  <w:rStyle w:val="Hyperlink"/>
                  <w:rFonts w:eastAsiaTheme="majorEastAsia"/>
                  <w:lang w:val="en-US"/>
                </w:rPr>
                <w:t>https://grnet.gr/en/</w:t>
              </w:r>
            </w:hyperlink>
          </w:p>
        </w:tc>
      </w:tr>
      <w:tr w:rsidR="00B31276" w:rsidRPr="0048196F" w14:paraId="3E301541" w14:textId="77777777" w:rsidTr="00E503ED">
        <w:tc>
          <w:tcPr>
            <w:tcW w:w="1791" w:type="dxa"/>
          </w:tcPr>
          <w:p w14:paraId="40E36683" w14:textId="77777777" w:rsidR="00B31276" w:rsidRPr="0048196F" w:rsidRDefault="00B31276" w:rsidP="0019245E">
            <w:pPr>
              <w:rPr>
                <w:lang w:val="en-US"/>
              </w:rPr>
            </w:pPr>
            <w:r w:rsidRPr="0048196F">
              <w:rPr>
                <w:lang w:val="en-US"/>
              </w:rPr>
              <w:t>INESCTEC</w:t>
            </w:r>
          </w:p>
          <w:p w14:paraId="6EE08049" w14:textId="77777777" w:rsidR="00B31276" w:rsidRPr="0048196F" w:rsidRDefault="00B31276" w:rsidP="0019245E">
            <w:pPr>
              <w:rPr>
                <w:lang w:val="en-US"/>
              </w:rPr>
            </w:pPr>
          </w:p>
          <w:p w14:paraId="35A66269" w14:textId="77777777" w:rsidR="00B31276" w:rsidRPr="0048196F" w:rsidRDefault="00B31276" w:rsidP="0019245E">
            <w:pPr>
              <w:rPr>
                <w:lang w:val="en-US"/>
              </w:rPr>
            </w:pPr>
            <w:r w:rsidRPr="0048196F">
              <w:rPr>
                <w:lang w:val="en-US"/>
              </w:rPr>
              <w:t>Portugal</w:t>
            </w:r>
          </w:p>
        </w:tc>
        <w:tc>
          <w:tcPr>
            <w:tcW w:w="6691" w:type="dxa"/>
          </w:tcPr>
          <w:p w14:paraId="2EF6DFAC" w14:textId="5EBAF6C1" w:rsidR="00F95CFB" w:rsidRDefault="00F95CFB" w:rsidP="0019245E">
            <w:pPr>
              <w:rPr>
                <w:lang w:val="en-US"/>
              </w:rPr>
            </w:pPr>
            <w:r>
              <w:rPr>
                <w:lang w:val="en-US"/>
              </w:rPr>
              <w:t>Senior Researcher agricultural robotics</w:t>
            </w:r>
          </w:p>
          <w:p w14:paraId="7F253B34" w14:textId="4F3FF9EC" w:rsidR="00F95CFB" w:rsidRDefault="00F95CFB" w:rsidP="0019245E">
            <w:pPr>
              <w:rPr>
                <w:lang w:val="en-US"/>
              </w:rPr>
            </w:pPr>
            <w:r>
              <w:rPr>
                <w:lang w:val="en-US"/>
              </w:rPr>
              <w:t>Senior Researcher</w:t>
            </w:r>
          </w:p>
          <w:p w14:paraId="4B1A3394" w14:textId="1F3E2AA6" w:rsidR="00B31276" w:rsidRPr="0048196F" w:rsidRDefault="00B31276" w:rsidP="0019245E">
            <w:pPr>
              <w:rPr>
                <w:lang w:val="en-US"/>
              </w:rPr>
            </w:pPr>
            <w:r w:rsidRPr="0048196F">
              <w:rPr>
                <w:lang w:val="en-US"/>
              </w:rPr>
              <w:t>“INESC TEC is a private non-profit research institution, dedicated to scientific research and technological development, technology transfer, advanced consulting and training, and pre-incubation of new technology-based companies.”</w:t>
            </w:r>
          </w:p>
          <w:p w14:paraId="4739A203" w14:textId="77777777" w:rsidR="00B31276" w:rsidRPr="0048196F" w:rsidRDefault="00AB00BD" w:rsidP="0019245E">
            <w:pPr>
              <w:rPr>
                <w:lang w:val="en-US"/>
              </w:rPr>
            </w:pPr>
            <w:hyperlink r:id="rId30" w:history="1">
              <w:r w:rsidR="00B31276" w:rsidRPr="0048196F">
                <w:rPr>
                  <w:rStyle w:val="Hyperlink"/>
                  <w:rFonts w:eastAsiaTheme="majorEastAsia"/>
                  <w:lang w:val="en-US"/>
                </w:rPr>
                <w:t>https://www.inesctec.pt/en</w:t>
              </w:r>
            </w:hyperlink>
          </w:p>
          <w:p w14:paraId="0909207D" w14:textId="77777777" w:rsidR="00B31276" w:rsidRPr="0048196F" w:rsidRDefault="00B31276" w:rsidP="0019245E">
            <w:pPr>
              <w:rPr>
                <w:lang w:val="en-US"/>
              </w:rPr>
            </w:pPr>
          </w:p>
        </w:tc>
      </w:tr>
      <w:tr w:rsidR="00B31276" w:rsidRPr="00AB4713" w14:paraId="1A2E7F46" w14:textId="77777777" w:rsidTr="00E503ED">
        <w:tc>
          <w:tcPr>
            <w:tcW w:w="1791" w:type="dxa"/>
          </w:tcPr>
          <w:p w14:paraId="65D15704" w14:textId="21AD6EC0" w:rsidR="00B31276" w:rsidRDefault="005F3716" w:rsidP="0019245E">
            <w:pPr>
              <w:rPr>
                <w:lang w:val="en-US"/>
              </w:rPr>
            </w:pPr>
            <w:r>
              <w:rPr>
                <w:lang w:val="en-US"/>
              </w:rPr>
              <w:t>University Of Lisbon</w:t>
            </w:r>
          </w:p>
          <w:p w14:paraId="5AE94843" w14:textId="77777777" w:rsidR="005F3716" w:rsidRDefault="005F3716" w:rsidP="0019245E">
            <w:pPr>
              <w:rPr>
                <w:lang w:val="en-US"/>
              </w:rPr>
            </w:pPr>
          </w:p>
          <w:p w14:paraId="55AC4125" w14:textId="5508C277" w:rsidR="005F3716" w:rsidRPr="0048196F" w:rsidRDefault="005F3716" w:rsidP="0019245E">
            <w:pPr>
              <w:rPr>
                <w:lang w:val="en-US"/>
              </w:rPr>
            </w:pPr>
            <w:r>
              <w:rPr>
                <w:lang w:val="en-US"/>
              </w:rPr>
              <w:t>Portugal</w:t>
            </w:r>
          </w:p>
        </w:tc>
        <w:tc>
          <w:tcPr>
            <w:tcW w:w="6691" w:type="dxa"/>
          </w:tcPr>
          <w:p w14:paraId="30B6FC23" w14:textId="77777777" w:rsidR="00B31276" w:rsidRPr="00AB00BD" w:rsidRDefault="005F3716" w:rsidP="00031172">
            <w:pPr>
              <w:keepNext/>
              <w:rPr>
                <w:lang w:val="pt-PT"/>
              </w:rPr>
            </w:pPr>
            <w:r w:rsidRPr="00AB00BD">
              <w:rPr>
                <w:lang w:val="pt-PT"/>
              </w:rPr>
              <w:t>Professor</w:t>
            </w:r>
          </w:p>
          <w:p w14:paraId="071D92D1" w14:textId="4BF0E56D" w:rsidR="005F3716" w:rsidRPr="00AB00BD" w:rsidRDefault="005F3716" w:rsidP="00031172">
            <w:pPr>
              <w:keepNext/>
              <w:rPr>
                <w:lang w:val="pt-PT"/>
              </w:rPr>
            </w:pPr>
            <w:r w:rsidRPr="00AB00BD">
              <w:rPr>
                <w:lang w:val="pt-PT"/>
              </w:rPr>
              <w:t xml:space="preserve">Instituto Superior de Agronomia (ISA), School of </w:t>
            </w:r>
            <w:r w:rsidR="00AB00BD">
              <w:rPr>
                <w:lang w:val="pt-PT"/>
              </w:rPr>
              <w:t>A</w:t>
            </w:r>
            <w:r w:rsidRPr="00AB00BD">
              <w:rPr>
                <w:lang w:val="pt-PT"/>
              </w:rPr>
              <w:t>griculture.</w:t>
            </w:r>
          </w:p>
          <w:p w14:paraId="4C4BFCCF" w14:textId="7C67B69D" w:rsidR="005F3716" w:rsidRPr="00AB00BD" w:rsidRDefault="00AB00BD" w:rsidP="00031172">
            <w:pPr>
              <w:keepNext/>
              <w:rPr>
                <w:lang w:val="pt-PT"/>
              </w:rPr>
            </w:pPr>
            <w:hyperlink r:id="rId31" w:history="1">
              <w:r w:rsidR="005F3716" w:rsidRPr="00AB00BD">
                <w:rPr>
                  <w:rStyle w:val="Hyperlink"/>
                  <w:lang w:val="pt-PT"/>
                </w:rPr>
                <w:t>https://www.isa.ulisboa.pt/en</w:t>
              </w:r>
            </w:hyperlink>
          </w:p>
        </w:tc>
      </w:tr>
    </w:tbl>
    <w:p w14:paraId="0165FC55" w14:textId="408E02CC" w:rsidR="001C31A9" w:rsidRPr="00AB00BD" w:rsidRDefault="001C31A9" w:rsidP="001C31A9">
      <w:pPr>
        <w:rPr>
          <w:lang w:val="pt-PT"/>
        </w:rPr>
      </w:pPr>
    </w:p>
    <w:p w14:paraId="0237716E" w14:textId="77777777" w:rsidR="00077CD2" w:rsidRPr="00AB00BD" w:rsidRDefault="00077CD2" w:rsidP="003D386E">
      <w:pPr>
        <w:rPr>
          <w:lang w:val="pt-PT"/>
        </w:rPr>
      </w:pPr>
    </w:p>
    <w:p w14:paraId="12E6E3E1" w14:textId="1E0007C9" w:rsidR="00363724" w:rsidRPr="0048196F" w:rsidRDefault="00703704" w:rsidP="003D386E">
      <w:pPr>
        <w:pStyle w:val="Heading2"/>
        <w:rPr>
          <w:lang w:val="en-US"/>
        </w:rPr>
      </w:pPr>
      <w:bookmarkStart w:id="66" w:name="_Toc14347328"/>
      <w:r w:rsidRPr="0048196F">
        <w:rPr>
          <w:lang w:val="en-US"/>
        </w:rPr>
        <w:t>Results</w:t>
      </w:r>
      <w:bookmarkEnd w:id="66"/>
    </w:p>
    <w:p w14:paraId="39FF86A6" w14:textId="31C7B3C2" w:rsidR="004001DE" w:rsidRDefault="004001DE" w:rsidP="004001DE">
      <w:pPr>
        <w:spacing w:line="360" w:lineRule="auto"/>
        <w:rPr>
          <w:lang w:val="en-US"/>
        </w:rPr>
      </w:pPr>
      <w:r>
        <w:rPr>
          <w:noProof/>
          <w:lang w:val="pt-PT" w:eastAsia="pt-PT"/>
        </w:rPr>
        <w:drawing>
          <wp:anchor distT="0" distB="0" distL="114300" distR="114300" simplePos="0" relativeHeight="251665408" behindDoc="0" locked="0" layoutInCell="1" allowOverlap="1" wp14:anchorId="5FE6177D" wp14:editId="76C79396">
            <wp:simplePos x="0" y="0"/>
            <wp:positionH relativeFrom="column">
              <wp:posOffset>524510</wp:posOffset>
            </wp:positionH>
            <wp:positionV relativeFrom="paragraph">
              <wp:posOffset>2630170</wp:posOffset>
            </wp:positionV>
            <wp:extent cx="3020695" cy="236855"/>
            <wp:effectExtent l="0" t="0" r="8255" b="0"/>
            <wp:wrapTopAndBottom/>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deCogsEqn (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20695" cy="236855"/>
                    </a:xfrm>
                    <a:prstGeom prst="rect">
                      <a:avLst/>
                    </a:prstGeom>
                  </pic:spPr>
                </pic:pic>
              </a:graphicData>
            </a:graphic>
            <wp14:sizeRelH relativeFrom="page">
              <wp14:pctWidth>0</wp14:pctWidth>
            </wp14:sizeRelH>
            <wp14:sizeRelV relativeFrom="page">
              <wp14:pctHeight>0</wp14:pctHeight>
            </wp14:sizeRelV>
          </wp:anchor>
        </w:drawing>
      </w:r>
      <w:r w:rsidR="00E44C32" w:rsidRPr="0048196F">
        <w:rPr>
          <w:rFonts w:asciiTheme="minorHAnsi" w:hAnsiTheme="minorHAnsi" w:cstheme="minorHAnsi"/>
          <w:lang w:val="en-US"/>
        </w:rPr>
        <w:t xml:space="preserve">First the list of trends and their final descriptions is presented, followed by figure </w:t>
      </w:r>
      <w:r w:rsidR="008D2D1D" w:rsidRPr="0048196F">
        <w:rPr>
          <w:rFonts w:asciiTheme="minorHAnsi" w:hAnsiTheme="minorHAnsi" w:cstheme="minorHAnsi"/>
          <w:lang w:val="en-US"/>
        </w:rPr>
        <w:t>4</w:t>
      </w:r>
      <w:r w:rsidR="00E44C32" w:rsidRPr="0048196F">
        <w:rPr>
          <w:rFonts w:asciiTheme="minorHAnsi" w:hAnsiTheme="minorHAnsi" w:cstheme="minorHAnsi"/>
          <w:lang w:val="en-US"/>
        </w:rPr>
        <w:t xml:space="preserve"> visualizing the responses</w:t>
      </w:r>
      <w:r w:rsidR="005220A4" w:rsidRPr="0048196F">
        <w:rPr>
          <w:rFonts w:asciiTheme="minorHAnsi" w:hAnsiTheme="minorHAnsi" w:cstheme="minorHAnsi"/>
          <w:lang w:val="en-US"/>
        </w:rPr>
        <w:t xml:space="preserve">. This figure has been chosen to provide insight in the degree of consensus among experts. </w:t>
      </w:r>
      <w:r w:rsidR="00077CD2" w:rsidRPr="0048196F">
        <w:rPr>
          <w:rFonts w:asciiTheme="minorHAnsi" w:hAnsiTheme="minorHAnsi" w:cstheme="minorHAnsi"/>
          <w:lang w:val="en-US"/>
        </w:rPr>
        <w:t>The numbers on the sides and in the middle indicate the percentage of exp</w:t>
      </w:r>
      <w:r w:rsidR="00EF5B0D" w:rsidRPr="0048196F">
        <w:rPr>
          <w:rFonts w:asciiTheme="minorHAnsi" w:hAnsiTheme="minorHAnsi" w:cstheme="minorHAnsi"/>
          <w:lang w:val="en-US"/>
        </w:rPr>
        <w:t>e</w:t>
      </w:r>
      <w:r w:rsidR="00077CD2" w:rsidRPr="0048196F">
        <w:rPr>
          <w:rFonts w:asciiTheme="minorHAnsi" w:hAnsiTheme="minorHAnsi" w:cstheme="minorHAnsi"/>
          <w:lang w:val="en-US"/>
        </w:rPr>
        <w:t>rts to have score</w:t>
      </w:r>
      <w:r w:rsidR="00EF5B0D" w:rsidRPr="0048196F">
        <w:rPr>
          <w:rFonts w:asciiTheme="minorHAnsi" w:hAnsiTheme="minorHAnsi" w:cstheme="minorHAnsi"/>
          <w:lang w:val="en-US"/>
        </w:rPr>
        <w:t>d</w:t>
      </w:r>
      <w:r w:rsidR="00077CD2" w:rsidRPr="0048196F">
        <w:rPr>
          <w:rFonts w:asciiTheme="minorHAnsi" w:hAnsiTheme="minorHAnsi" w:cstheme="minorHAnsi"/>
          <w:lang w:val="en-US"/>
        </w:rPr>
        <w:t xml:space="preserve"> the trend below, equal or higher to three. Based on consensus of the experts </w:t>
      </w:r>
      <w:r w:rsidR="00607E07" w:rsidRPr="0048196F">
        <w:rPr>
          <w:rFonts w:asciiTheme="minorHAnsi" w:hAnsiTheme="minorHAnsi" w:cstheme="minorHAnsi"/>
          <w:lang w:val="en-US"/>
        </w:rPr>
        <w:t xml:space="preserve">six main trends have been selected for additional analysis. </w:t>
      </w:r>
      <w:r w:rsidR="0091145D" w:rsidRPr="0048196F">
        <w:rPr>
          <w:lang w:val="en-US"/>
        </w:rPr>
        <w:t xml:space="preserve">As a general score for the trends, the percentage of experts rating the trend as important or highly important does not provide the full picture. Therefore, the sum of scores is taken, and expressed as a percentage of the maximum. By coincidence, the same six primary trends are the top 6 </w:t>
      </w:r>
      <w:r w:rsidR="008D2D1D" w:rsidRPr="0048196F">
        <w:rPr>
          <w:lang w:val="en-US"/>
        </w:rPr>
        <w:t>with</w:t>
      </w:r>
      <w:r w:rsidR="0091145D" w:rsidRPr="0048196F">
        <w:rPr>
          <w:lang w:val="en-US"/>
        </w:rPr>
        <w:t xml:space="preserve"> both measures. </w:t>
      </w:r>
    </w:p>
    <w:p w14:paraId="26D68BE9" w14:textId="28AA8BF3" w:rsidR="004001DE" w:rsidRDefault="004001DE" w:rsidP="004001DE">
      <w:pPr>
        <w:spacing w:line="360" w:lineRule="auto"/>
        <w:rPr>
          <w:lang w:val="en-US"/>
        </w:rPr>
      </w:pPr>
    </w:p>
    <w:p w14:paraId="3CE42040" w14:textId="48ADAC87" w:rsidR="00EE6D9C" w:rsidRDefault="00B84C3F" w:rsidP="007B7AB9">
      <w:pPr>
        <w:spacing w:line="360" w:lineRule="auto"/>
        <w:rPr>
          <w:rFonts w:asciiTheme="minorHAnsi" w:hAnsiTheme="minorHAnsi" w:cstheme="minorHAnsi"/>
          <w:color w:val="000000"/>
          <w:lang w:val="en-US"/>
        </w:rPr>
      </w:pPr>
      <w:r w:rsidRPr="0048196F">
        <w:rPr>
          <w:rFonts w:asciiTheme="minorHAnsi" w:hAnsiTheme="minorHAnsi" w:cstheme="minorHAnsi"/>
          <w:color w:val="000000"/>
          <w:lang w:val="en-US"/>
        </w:rPr>
        <w:t xml:space="preserve">All </w:t>
      </w:r>
      <w:r w:rsidR="00714BB1" w:rsidRPr="0048196F">
        <w:rPr>
          <w:rFonts w:asciiTheme="minorHAnsi" w:hAnsiTheme="minorHAnsi" w:cstheme="minorHAnsi"/>
          <w:color w:val="000000"/>
          <w:lang w:val="en-US"/>
        </w:rPr>
        <w:t>classifications by the expert</w:t>
      </w:r>
      <w:r w:rsidR="00E44C32" w:rsidRPr="0048196F">
        <w:rPr>
          <w:rFonts w:asciiTheme="minorHAnsi" w:hAnsiTheme="minorHAnsi" w:cstheme="minorHAnsi"/>
          <w:color w:val="000000"/>
          <w:lang w:val="en-US"/>
        </w:rPr>
        <w:t>s</w:t>
      </w:r>
      <w:r w:rsidR="00714BB1" w:rsidRPr="0048196F">
        <w:rPr>
          <w:rFonts w:asciiTheme="minorHAnsi" w:hAnsiTheme="minorHAnsi" w:cstheme="minorHAnsi"/>
          <w:color w:val="000000"/>
          <w:lang w:val="en-US"/>
        </w:rPr>
        <w:t xml:space="preserve"> sound reasonable to the researcher,</w:t>
      </w:r>
      <w:r w:rsidRPr="0048196F">
        <w:rPr>
          <w:rFonts w:asciiTheme="minorHAnsi" w:hAnsiTheme="minorHAnsi" w:cstheme="minorHAnsi"/>
          <w:color w:val="000000"/>
          <w:lang w:val="en-US"/>
        </w:rPr>
        <w:t xml:space="preserve"> </w:t>
      </w:r>
      <w:r w:rsidR="00714BB1" w:rsidRPr="0048196F">
        <w:rPr>
          <w:rFonts w:asciiTheme="minorHAnsi" w:hAnsiTheme="minorHAnsi" w:cstheme="minorHAnsi"/>
          <w:color w:val="000000"/>
          <w:lang w:val="en-US"/>
        </w:rPr>
        <w:t>except for the trend vocation &amp; skills</w:t>
      </w:r>
      <w:r w:rsidRPr="0048196F">
        <w:rPr>
          <w:rFonts w:asciiTheme="minorHAnsi" w:hAnsiTheme="minorHAnsi" w:cstheme="minorHAnsi"/>
          <w:color w:val="000000"/>
          <w:lang w:val="en-US"/>
        </w:rPr>
        <w:t>. Throughout the literature the importance of digital skill development and its barrier to technology adoption is mentioned.</w:t>
      </w:r>
      <w:r w:rsidR="00E44C32" w:rsidRPr="0048196F">
        <w:rPr>
          <w:rFonts w:asciiTheme="minorHAnsi" w:hAnsiTheme="minorHAnsi" w:cstheme="minorHAnsi"/>
          <w:color w:val="000000"/>
          <w:lang w:val="en-US"/>
        </w:rPr>
        <w:t xml:space="preserve"> The low score of agroecology is understood as its relevance to the innovation process of digital technologies can be considered relatively small, leading to the conclusion of the following: Trends have been rated according to their importance for the innovation process that concerns digital technologies and SMEs in Europe. Results allow for hierarchization of trends with this purpose in mind. </w:t>
      </w:r>
    </w:p>
    <w:p w14:paraId="454D3986" w14:textId="77777777" w:rsidR="007B7AB9" w:rsidRPr="007B7AB9" w:rsidRDefault="007B7AB9" w:rsidP="007B7AB9">
      <w:pPr>
        <w:spacing w:line="360" w:lineRule="auto"/>
        <w:rPr>
          <w:rFonts w:asciiTheme="minorHAnsi" w:hAnsiTheme="minorHAnsi" w:cstheme="minorHAnsi"/>
          <w:color w:val="000000"/>
          <w:lang w:val="en-US"/>
        </w:rPr>
      </w:pPr>
    </w:p>
    <w:p w14:paraId="4DCE8566" w14:textId="1D02C210" w:rsidR="00E503ED" w:rsidRPr="006D0730" w:rsidRDefault="00E503ED" w:rsidP="00E503ED">
      <w:pPr>
        <w:pStyle w:val="Caption"/>
        <w:keepNext/>
        <w:rPr>
          <w:lang w:val="en-US"/>
        </w:rPr>
      </w:pPr>
      <w:bookmarkStart w:id="67" w:name="_Toc14347495"/>
      <w:r w:rsidRPr="006D0730">
        <w:rPr>
          <w:lang w:val="en-US"/>
        </w:rPr>
        <w:t xml:space="preserve">Table </w:t>
      </w:r>
      <w:r w:rsidR="000D0D31">
        <w:rPr>
          <w:lang w:val="en-US"/>
        </w:rPr>
        <w:fldChar w:fldCharType="begin"/>
      </w:r>
      <w:r w:rsidR="000D0D31">
        <w:rPr>
          <w:lang w:val="en-US"/>
        </w:rPr>
        <w:instrText xml:space="preserve"> SEQ Table \* ARABIC </w:instrText>
      </w:r>
      <w:r w:rsidR="000D0D31">
        <w:rPr>
          <w:lang w:val="en-US"/>
        </w:rPr>
        <w:fldChar w:fldCharType="separate"/>
      </w:r>
      <w:r w:rsidR="009F0429">
        <w:rPr>
          <w:noProof/>
          <w:lang w:val="en-US"/>
        </w:rPr>
        <w:t>6</w:t>
      </w:r>
      <w:r w:rsidR="000D0D31">
        <w:rPr>
          <w:lang w:val="en-US"/>
        </w:rPr>
        <w:fldChar w:fldCharType="end"/>
      </w:r>
      <w:r w:rsidRPr="006D0730">
        <w:rPr>
          <w:lang w:val="en-US"/>
        </w:rPr>
        <w:t>: Trends and final descriptions</w:t>
      </w:r>
      <w:bookmarkEnd w:id="67"/>
    </w:p>
    <w:tbl>
      <w:tblPr>
        <w:tblW w:w="8482" w:type="dxa"/>
        <w:tblCellMar>
          <w:top w:w="85" w:type="dxa"/>
          <w:left w:w="70" w:type="dxa"/>
          <w:bottom w:w="85" w:type="dxa"/>
          <w:right w:w="70" w:type="dxa"/>
        </w:tblCellMar>
        <w:tblLook w:val="04A0" w:firstRow="1" w:lastRow="0" w:firstColumn="1" w:lastColumn="0" w:noHBand="0" w:noVBand="1"/>
      </w:tblPr>
      <w:tblGrid>
        <w:gridCol w:w="851"/>
        <w:gridCol w:w="1687"/>
        <w:gridCol w:w="5944"/>
      </w:tblGrid>
      <w:tr w:rsidR="0091145D" w:rsidRPr="0048196F" w14:paraId="37116FFE" w14:textId="77777777" w:rsidTr="00C926D5">
        <w:trPr>
          <w:trHeight w:val="396"/>
          <w:tblHeader/>
        </w:trPr>
        <w:tc>
          <w:tcPr>
            <w:tcW w:w="851" w:type="dxa"/>
            <w:tcBorders>
              <w:top w:val="nil"/>
              <w:left w:val="nil"/>
              <w:bottom w:val="single" w:sz="4" w:space="0" w:color="auto"/>
              <w:right w:val="nil"/>
            </w:tcBorders>
            <w:shd w:val="clear" w:color="auto" w:fill="auto"/>
            <w:noWrap/>
            <w:hideMark/>
          </w:tcPr>
          <w:p w14:paraId="0608E6BC" w14:textId="67470BCF" w:rsidR="0091145D" w:rsidRPr="0048196F" w:rsidRDefault="004001DE" w:rsidP="0091145D">
            <w:pPr>
              <w:rPr>
                <w:rFonts w:ascii="Calibri" w:hAnsi="Calibri" w:cs="Calibri"/>
                <w:b/>
                <w:bCs/>
                <w:color w:val="000000"/>
                <w:lang w:val="en-US"/>
              </w:rPr>
            </w:pPr>
            <w:r>
              <w:rPr>
                <w:rFonts w:ascii="Calibri" w:hAnsi="Calibri" w:cs="Calibri"/>
                <w:b/>
                <w:bCs/>
                <w:color w:val="000000"/>
                <w:lang w:val="en-US"/>
              </w:rPr>
              <w:t xml:space="preserve">Expert </w:t>
            </w:r>
            <w:r w:rsidR="0091145D" w:rsidRPr="0048196F">
              <w:rPr>
                <w:rFonts w:ascii="Calibri" w:hAnsi="Calibri" w:cs="Calibri"/>
                <w:b/>
                <w:bCs/>
                <w:color w:val="000000"/>
                <w:lang w:val="en-US"/>
              </w:rPr>
              <w:t>Score</w:t>
            </w:r>
          </w:p>
        </w:tc>
        <w:tc>
          <w:tcPr>
            <w:tcW w:w="1487" w:type="dxa"/>
            <w:tcBorders>
              <w:top w:val="nil"/>
              <w:left w:val="nil"/>
              <w:bottom w:val="single" w:sz="4" w:space="0" w:color="auto"/>
              <w:right w:val="nil"/>
            </w:tcBorders>
            <w:shd w:val="clear" w:color="auto" w:fill="auto"/>
            <w:hideMark/>
          </w:tcPr>
          <w:p w14:paraId="1F6A6E26" w14:textId="75D2D551" w:rsidR="0091145D" w:rsidRPr="0048196F" w:rsidRDefault="00EE6D9C" w:rsidP="0091145D">
            <w:pPr>
              <w:rPr>
                <w:rFonts w:eastAsia="MS Mincho"/>
                <w:b/>
                <w:bCs/>
                <w:color w:val="000000"/>
                <w:lang w:val="en-US"/>
              </w:rPr>
            </w:pPr>
            <w:r>
              <w:rPr>
                <w:rFonts w:eastAsia="MS Mincho"/>
                <w:b/>
                <w:bCs/>
                <w:color w:val="000000"/>
                <w:lang w:val="en-US"/>
              </w:rPr>
              <w:t>Trend</w:t>
            </w:r>
          </w:p>
          <w:p w14:paraId="1E886D53" w14:textId="034D083A" w:rsidR="00E0655D" w:rsidRPr="0048196F" w:rsidRDefault="00E0655D" w:rsidP="0091145D">
            <w:pPr>
              <w:rPr>
                <w:b/>
                <w:bCs/>
                <w:color w:val="000000"/>
                <w:lang w:val="en-US"/>
              </w:rPr>
            </w:pPr>
          </w:p>
        </w:tc>
        <w:tc>
          <w:tcPr>
            <w:tcW w:w="6144" w:type="dxa"/>
            <w:tcBorders>
              <w:top w:val="nil"/>
              <w:left w:val="nil"/>
              <w:bottom w:val="single" w:sz="4" w:space="0" w:color="auto"/>
              <w:right w:val="nil"/>
            </w:tcBorders>
            <w:shd w:val="clear" w:color="auto" w:fill="auto"/>
            <w:hideMark/>
          </w:tcPr>
          <w:p w14:paraId="2BD8AB0A" w14:textId="77777777" w:rsidR="00E0655D" w:rsidRPr="0048196F" w:rsidRDefault="00E0655D" w:rsidP="0091145D">
            <w:pPr>
              <w:rPr>
                <w:rFonts w:eastAsia="MS Mincho"/>
                <w:b/>
                <w:bCs/>
                <w:color w:val="000000"/>
                <w:lang w:val="en-US"/>
              </w:rPr>
            </w:pPr>
            <w:r w:rsidRPr="0048196F">
              <w:rPr>
                <w:rFonts w:eastAsia="MS Mincho"/>
                <w:b/>
                <w:bCs/>
                <w:color w:val="000000"/>
                <w:lang w:val="en-US"/>
              </w:rPr>
              <w:t>F</w:t>
            </w:r>
            <w:r w:rsidR="0091145D" w:rsidRPr="0048196F">
              <w:rPr>
                <w:rFonts w:eastAsia="MS Mincho"/>
                <w:b/>
                <w:bCs/>
                <w:color w:val="000000"/>
                <w:lang w:val="en-US"/>
              </w:rPr>
              <w:t>inal Description</w:t>
            </w:r>
          </w:p>
          <w:p w14:paraId="72D6D760" w14:textId="5A6D2515" w:rsidR="0091145D" w:rsidRPr="007B7AB9" w:rsidRDefault="00E0655D" w:rsidP="0091145D">
            <w:pPr>
              <w:rPr>
                <w:rFonts w:eastAsia="MS Mincho"/>
                <w:b/>
                <w:bCs/>
                <w:color w:val="000000"/>
                <w:lang w:val="en-US"/>
              </w:rPr>
            </w:pPr>
            <w:r w:rsidRPr="0048196F">
              <w:rPr>
                <w:rFonts w:eastAsia="MS Mincho"/>
                <w:color w:val="000000"/>
                <w:sz w:val="20"/>
                <w:szCs w:val="20"/>
                <w:lang w:val="en-US"/>
              </w:rPr>
              <w:t>*Revised</w:t>
            </w:r>
          </w:p>
        </w:tc>
      </w:tr>
      <w:tr w:rsidR="00EE6D9C" w:rsidRPr="00EE6D9C" w14:paraId="6DFE52FC" w14:textId="77777777" w:rsidTr="00C926D5">
        <w:trPr>
          <w:trHeight w:val="396"/>
        </w:trPr>
        <w:tc>
          <w:tcPr>
            <w:tcW w:w="8482" w:type="dxa"/>
            <w:gridSpan w:val="3"/>
            <w:tcBorders>
              <w:top w:val="single" w:sz="4" w:space="0" w:color="auto"/>
              <w:left w:val="nil"/>
              <w:bottom w:val="double" w:sz="4" w:space="0" w:color="auto"/>
              <w:right w:val="nil"/>
            </w:tcBorders>
            <w:shd w:val="clear" w:color="auto" w:fill="auto"/>
            <w:noWrap/>
          </w:tcPr>
          <w:p w14:paraId="732BAFA5" w14:textId="52C284DE" w:rsidR="00EE6D9C" w:rsidRPr="0048196F" w:rsidRDefault="00EE6D9C" w:rsidP="0091145D">
            <w:pPr>
              <w:rPr>
                <w:rFonts w:eastAsia="MS Mincho"/>
                <w:b/>
                <w:bCs/>
                <w:color w:val="000000"/>
                <w:lang w:val="en-US"/>
              </w:rPr>
            </w:pPr>
            <w:r w:rsidRPr="00EE6D9C">
              <w:rPr>
                <w:rFonts w:eastAsia="MS Mincho"/>
                <w:b/>
                <w:bCs/>
                <w:color w:val="000000"/>
                <w:lang w:val="en-US"/>
              </w:rPr>
              <w:t>Main trends</w:t>
            </w:r>
            <w:r w:rsidRPr="00EE6D9C">
              <w:rPr>
                <w:rFonts w:eastAsia="MS Mincho"/>
                <w:color w:val="000000"/>
                <w:lang w:val="en-US"/>
              </w:rPr>
              <w:t>* = Top 6</w:t>
            </w:r>
          </w:p>
        </w:tc>
      </w:tr>
      <w:tr w:rsidR="0091145D" w:rsidRPr="00AB4713" w14:paraId="726A6B65" w14:textId="77777777" w:rsidTr="00C926D5">
        <w:trPr>
          <w:trHeight w:val="855"/>
        </w:trPr>
        <w:tc>
          <w:tcPr>
            <w:tcW w:w="851" w:type="dxa"/>
            <w:tcBorders>
              <w:top w:val="double" w:sz="4" w:space="0" w:color="auto"/>
              <w:left w:val="nil"/>
              <w:bottom w:val="single" w:sz="4" w:space="0" w:color="auto"/>
              <w:right w:val="nil"/>
            </w:tcBorders>
            <w:shd w:val="clear" w:color="auto" w:fill="auto"/>
            <w:noWrap/>
            <w:hideMark/>
          </w:tcPr>
          <w:p w14:paraId="5246F26C"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97</w:t>
            </w:r>
          </w:p>
        </w:tc>
        <w:tc>
          <w:tcPr>
            <w:tcW w:w="1487" w:type="dxa"/>
            <w:tcBorders>
              <w:top w:val="double" w:sz="4" w:space="0" w:color="auto"/>
              <w:left w:val="nil"/>
              <w:bottom w:val="single" w:sz="8" w:space="0" w:color="auto"/>
              <w:right w:val="nil"/>
            </w:tcBorders>
            <w:shd w:val="clear" w:color="auto" w:fill="auto"/>
            <w:hideMark/>
          </w:tcPr>
          <w:p w14:paraId="06CF07E8" w14:textId="77777777" w:rsidR="0091145D" w:rsidRPr="0048196F" w:rsidRDefault="0091145D">
            <w:pPr>
              <w:rPr>
                <w:color w:val="000000"/>
                <w:lang w:val="en-US"/>
              </w:rPr>
            </w:pPr>
            <w:r w:rsidRPr="0048196F">
              <w:rPr>
                <w:rFonts w:eastAsia="MS Mincho"/>
                <w:color w:val="000000"/>
                <w:lang w:val="en-US"/>
              </w:rPr>
              <w:t>Data Economy*</w:t>
            </w:r>
          </w:p>
        </w:tc>
        <w:tc>
          <w:tcPr>
            <w:tcW w:w="6144" w:type="dxa"/>
            <w:tcBorders>
              <w:top w:val="double" w:sz="4" w:space="0" w:color="auto"/>
              <w:left w:val="nil"/>
              <w:bottom w:val="single" w:sz="8" w:space="0" w:color="auto"/>
              <w:right w:val="nil"/>
            </w:tcBorders>
            <w:shd w:val="clear" w:color="auto" w:fill="auto"/>
            <w:hideMark/>
          </w:tcPr>
          <w:p w14:paraId="4F6F0D9F" w14:textId="77777777" w:rsidR="0091145D" w:rsidRPr="0048196F" w:rsidRDefault="0091145D">
            <w:pPr>
              <w:rPr>
                <w:color w:val="000000"/>
                <w:lang w:val="en-US"/>
              </w:rPr>
            </w:pPr>
            <w:r w:rsidRPr="0048196F">
              <w:rPr>
                <w:rFonts w:eastAsia="MS Mincho"/>
                <w:color w:val="000000"/>
                <w:lang w:val="en-US"/>
              </w:rPr>
              <w:t>Stakeholders in data sources, exploiters and consumers create a set of economic activities around the asset that has become increasingly strategic: Data.</w:t>
            </w:r>
          </w:p>
        </w:tc>
      </w:tr>
      <w:tr w:rsidR="0091145D" w:rsidRPr="00AB4713" w14:paraId="6D7F93B1"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77A6EB56"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91</w:t>
            </w:r>
          </w:p>
        </w:tc>
        <w:tc>
          <w:tcPr>
            <w:tcW w:w="1487" w:type="dxa"/>
            <w:tcBorders>
              <w:top w:val="nil"/>
              <w:left w:val="nil"/>
              <w:bottom w:val="single" w:sz="8" w:space="0" w:color="auto"/>
              <w:right w:val="nil"/>
            </w:tcBorders>
            <w:shd w:val="clear" w:color="auto" w:fill="auto"/>
            <w:hideMark/>
          </w:tcPr>
          <w:p w14:paraId="599F46F0" w14:textId="77777777" w:rsidR="0091145D" w:rsidRPr="0048196F" w:rsidRDefault="0091145D">
            <w:pPr>
              <w:rPr>
                <w:color w:val="000000"/>
                <w:lang w:val="en-US"/>
              </w:rPr>
            </w:pPr>
            <w:r w:rsidRPr="0048196F">
              <w:rPr>
                <w:rFonts w:eastAsia="MS Mincho"/>
                <w:color w:val="000000"/>
                <w:lang w:val="en-US"/>
              </w:rPr>
              <w:t>Digital Economy*</w:t>
            </w:r>
          </w:p>
        </w:tc>
        <w:tc>
          <w:tcPr>
            <w:tcW w:w="6144" w:type="dxa"/>
            <w:tcBorders>
              <w:top w:val="nil"/>
              <w:left w:val="nil"/>
              <w:bottom w:val="single" w:sz="8" w:space="0" w:color="auto"/>
              <w:right w:val="nil"/>
            </w:tcBorders>
            <w:shd w:val="clear" w:color="auto" w:fill="auto"/>
            <w:hideMark/>
          </w:tcPr>
          <w:p w14:paraId="4E715967" w14:textId="77777777" w:rsidR="0091145D" w:rsidRPr="0048196F" w:rsidRDefault="0091145D">
            <w:pPr>
              <w:rPr>
                <w:color w:val="000000"/>
                <w:lang w:val="en-US"/>
              </w:rPr>
            </w:pPr>
            <w:r w:rsidRPr="0048196F">
              <w:rPr>
                <w:rFonts w:eastAsia="MS Mincho"/>
                <w:color w:val="000000"/>
                <w:lang w:val="en-US"/>
              </w:rPr>
              <w:t>A digital transformation provides social and economic benefits resulting from online connections among people, businesses, devices, data and processes.</w:t>
            </w:r>
          </w:p>
        </w:tc>
      </w:tr>
      <w:tr w:rsidR="0091145D" w:rsidRPr="0048196F" w14:paraId="3F20DB71"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5251CDE2"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83</w:t>
            </w:r>
          </w:p>
        </w:tc>
        <w:tc>
          <w:tcPr>
            <w:tcW w:w="1487" w:type="dxa"/>
            <w:tcBorders>
              <w:top w:val="nil"/>
              <w:left w:val="nil"/>
              <w:bottom w:val="single" w:sz="8" w:space="0" w:color="auto"/>
              <w:right w:val="nil"/>
            </w:tcBorders>
            <w:shd w:val="clear" w:color="auto" w:fill="auto"/>
            <w:hideMark/>
          </w:tcPr>
          <w:p w14:paraId="27543630" w14:textId="77777777" w:rsidR="0091145D" w:rsidRPr="0048196F" w:rsidRDefault="0091145D">
            <w:pPr>
              <w:rPr>
                <w:color w:val="000000"/>
                <w:lang w:val="en-US"/>
              </w:rPr>
            </w:pPr>
            <w:r w:rsidRPr="0048196F">
              <w:rPr>
                <w:rFonts w:eastAsia="MS Mincho"/>
                <w:color w:val="000000"/>
                <w:lang w:val="en-US"/>
              </w:rPr>
              <w:t>Circular Economy*</w:t>
            </w:r>
          </w:p>
        </w:tc>
        <w:tc>
          <w:tcPr>
            <w:tcW w:w="6144" w:type="dxa"/>
            <w:tcBorders>
              <w:top w:val="nil"/>
              <w:left w:val="nil"/>
              <w:bottom w:val="single" w:sz="8" w:space="0" w:color="auto"/>
              <w:right w:val="nil"/>
            </w:tcBorders>
            <w:shd w:val="clear" w:color="auto" w:fill="auto"/>
            <w:hideMark/>
          </w:tcPr>
          <w:p w14:paraId="64AF962B" w14:textId="77777777" w:rsidR="0091145D" w:rsidRPr="0048196F" w:rsidRDefault="0091145D">
            <w:pPr>
              <w:rPr>
                <w:color w:val="000000"/>
                <w:lang w:val="en-US"/>
              </w:rPr>
            </w:pPr>
            <w:r w:rsidRPr="0048196F">
              <w:rPr>
                <w:rFonts w:eastAsia="MS Mincho"/>
                <w:color w:val="000000"/>
                <w:lang w:val="en-US"/>
              </w:rPr>
              <w:t>The value of resources is retained as long as possible by keeping products and materials within the economy through sharing, reuse, repair and recycling. *</w:t>
            </w:r>
          </w:p>
        </w:tc>
      </w:tr>
      <w:tr w:rsidR="0091145D" w:rsidRPr="00AB4713" w14:paraId="0BB12A99"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6A8F6680"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83</w:t>
            </w:r>
          </w:p>
        </w:tc>
        <w:tc>
          <w:tcPr>
            <w:tcW w:w="1487" w:type="dxa"/>
            <w:tcBorders>
              <w:top w:val="nil"/>
              <w:left w:val="nil"/>
              <w:bottom w:val="single" w:sz="8" w:space="0" w:color="auto"/>
              <w:right w:val="nil"/>
            </w:tcBorders>
            <w:shd w:val="clear" w:color="auto" w:fill="auto"/>
            <w:hideMark/>
          </w:tcPr>
          <w:p w14:paraId="1A5C1E49" w14:textId="77777777" w:rsidR="0091145D" w:rsidRPr="0048196F" w:rsidRDefault="0091145D">
            <w:pPr>
              <w:rPr>
                <w:color w:val="000000"/>
                <w:lang w:val="en-US"/>
              </w:rPr>
            </w:pPr>
            <w:r w:rsidRPr="0048196F">
              <w:rPr>
                <w:rFonts w:eastAsia="MS Mincho"/>
                <w:color w:val="000000"/>
                <w:lang w:val="en-US"/>
              </w:rPr>
              <w:t>Sharing Economy*</w:t>
            </w:r>
          </w:p>
        </w:tc>
        <w:tc>
          <w:tcPr>
            <w:tcW w:w="6144" w:type="dxa"/>
            <w:tcBorders>
              <w:top w:val="nil"/>
              <w:left w:val="nil"/>
              <w:bottom w:val="single" w:sz="8" w:space="0" w:color="auto"/>
              <w:right w:val="nil"/>
            </w:tcBorders>
            <w:shd w:val="clear" w:color="auto" w:fill="auto"/>
            <w:hideMark/>
          </w:tcPr>
          <w:p w14:paraId="5B028B91" w14:textId="77777777" w:rsidR="0091145D" w:rsidRPr="0048196F" w:rsidRDefault="0091145D">
            <w:pPr>
              <w:rPr>
                <w:color w:val="000000"/>
                <w:lang w:val="en-US"/>
              </w:rPr>
            </w:pPr>
            <w:r w:rsidRPr="0048196F">
              <w:rPr>
                <w:rFonts w:eastAsia="MS Mincho"/>
                <w:color w:val="000000"/>
                <w:lang w:val="en-US"/>
              </w:rPr>
              <w:t>Sharing is about reducing ownership and increasing access by making underutilized assets and services accessible to off and online communities.</w:t>
            </w:r>
          </w:p>
        </w:tc>
      </w:tr>
      <w:tr w:rsidR="0091145D" w:rsidRPr="0048196F" w14:paraId="76C2771C"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26BBD8CB"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83</w:t>
            </w:r>
          </w:p>
        </w:tc>
        <w:tc>
          <w:tcPr>
            <w:tcW w:w="1487" w:type="dxa"/>
            <w:tcBorders>
              <w:top w:val="nil"/>
              <w:left w:val="nil"/>
              <w:bottom w:val="single" w:sz="8" w:space="0" w:color="auto"/>
              <w:right w:val="nil"/>
            </w:tcBorders>
            <w:shd w:val="clear" w:color="auto" w:fill="auto"/>
            <w:hideMark/>
          </w:tcPr>
          <w:p w14:paraId="0F78B9D8" w14:textId="77777777" w:rsidR="0091145D" w:rsidRPr="0048196F" w:rsidRDefault="0091145D">
            <w:pPr>
              <w:rPr>
                <w:color w:val="000000"/>
                <w:lang w:val="en-US"/>
              </w:rPr>
            </w:pPr>
            <w:r w:rsidRPr="0048196F">
              <w:rPr>
                <w:rFonts w:eastAsia="MS Mincho"/>
                <w:color w:val="000000"/>
                <w:lang w:val="en-US"/>
              </w:rPr>
              <w:t>Sustainable Intensification*</w:t>
            </w:r>
          </w:p>
        </w:tc>
        <w:tc>
          <w:tcPr>
            <w:tcW w:w="6144" w:type="dxa"/>
            <w:tcBorders>
              <w:top w:val="nil"/>
              <w:left w:val="nil"/>
              <w:bottom w:val="single" w:sz="8" w:space="0" w:color="auto"/>
              <w:right w:val="nil"/>
            </w:tcBorders>
            <w:shd w:val="clear" w:color="auto" w:fill="auto"/>
            <w:hideMark/>
          </w:tcPr>
          <w:p w14:paraId="257E3BA2" w14:textId="77777777" w:rsidR="0091145D" w:rsidRPr="0048196F" w:rsidRDefault="0091145D">
            <w:pPr>
              <w:rPr>
                <w:color w:val="000000"/>
                <w:lang w:val="en-US"/>
              </w:rPr>
            </w:pPr>
            <w:r w:rsidRPr="0048196F">
              <w:rPr>
                <w:rFonts w:eastAsia="MS Mincho"/>
                <w:color w:val="000000"/>
                <w:lang w:val="en-US"/>
              </w:rPr>
              <w:t>Efficiency gains are required while conserving environmental resources and creating ecosystems resilient to climate change and market volatility. *</w:t>
            </w:r>
          </w:p>
        </w:tc>
      </w:tr>
      <w:tr w:rsidR="0091145D" w:rsidRPr="00AB4713" w14:paraId="2214B7F4"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1D607565"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80</w:t>
            </w:r>
          </w:p>
        </w:tc>
        <w:tc>
          <w:tcPr>
            <w:tcW w:w="1487" w:type="dxa"/>
            <w:tcBorders>
              <w:top w:val="nil"/>
              <w:left w:val="nil"/>
              <w:bottom w:val="single" w:sz="8" w:space="0" w:color="auto"/>
              <w:right w:val="nil"/>
            </w:tcBorders>
            <w:shd w:val="clear" w:color="auto" w:fill="auto"/>
            <w:hideMark/>
          </w:tcPr>
          <w:p w14:paraId="18845FDD" w14:textId="77777777" w:rsidR="0091145D" w:rsidRPr="0048196F" w:rsidRDefault="0091145D">
            <w:pPr>
              <w:rPr>
                <w:color w:val="000000"/>
                <w:lang w:val="en-US"/>
              </w:rPr>
            </w:pPr>
            <w:r w:rsidRPr="0048196F">
              <w:rPr>
                <w:rFonts w:eastAsia="MS Mincho"/>
                <w:color w:val="000000"/>
                <w:lang w:val="en-US"/>
              </w:rPr>
              <w:t>On Demand Economy*</w:t>
            </w:r>
          </w:p>
        </w:tc>
        <w:tc>
          <w:tcPr>
            <w:tcW w:w="6144" w:type="dxa"/>
            <w:tcBorders>
              <w:top w:val="nil"/>
              <w:left w:val="nil"/>
              <w:bottom w:val="single" w:sz="8" w:space="0" w:color="auto"/>
              <w:right w:val="nil"/>
            </w:tcBorders>
            <w:shd w:val="clear" w:color="auto" w:fill="auto"/>
            <w:hideMark/>
          </w:tcPr>
          <w:p w14:paraId="295E4F4B" w14:textId="77777777" w:rsidR="0091145D" w:rsidRPr="0048196F" w:rsidRDefault="0091145D">
            <w:pPr>
              <w:rPr>
                <w:color w:val="000000"/>
                <w:lang w:val="en-US"/>
              </w:rPr>
            </w:pPr>
            <w:r w:rsidRPr="0048196F">
              <w:rPr>
                <w:rFonts w:eastAsia="MS Mincho"/>
                <w:color w:val="000000"/>
                <w:lang w:val="en-US"/>
              </w:rPr>
              <w:t>Digital marketplaces have led to the immediate provisioning of goods and services as well as employment becoming detached, agile and adaptable.</w:t>
            </w:r>
          </w:p>
        </w:tc>
      </w:tr>
      <w:tr w:rsidR="0091145D" w:rsidRPr="00AB4713" w14:paraId="6A508D5C"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0FE1DEF7"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77</w:t>
            </w:r>
          </w:p>
        </w:tc>
        <w:tc>
          <w:tcPr>
            <w:tcW w:w="1487" w:type="dxa"/>
            <w:tcBorders>
              <w:top w:val="nil"/>
              <w:left w:val="nil"/>
              <w:bottom w:val="single" w:sz="8" w:space="0" w:color="auto"/>
              <w:right w:val="nil"/>
            </w:tcBorders>
            <w:shd w:val="clear" w:color="auto" w:fill="auto"/>
            <w:hideMark/>
          </w:tcPr>
          <w:p w14:paraId="67335C9B" w14:textId="77777777" w:rsidR="0091145D" w:rsidRPr="0048196F" w:rsidRDefault="0091145D">
            <w:pPr>
              <w:rPr>
                <w:color w:val="000000"/>
                <w:lang w:val="en-US"/>
              </w:rPr>
            </w:pPr>
            <w:r w:rsidRPr="0048196F">
              <w:rPr>
                <w:rFonts w:eastAsia="MS Mincho"/>
                <w:color w:val="000000"/>
                <w:lang w:val="en-US"/>
              </w:rPr>
              <w:t>Business Model Innovation</w:t>
            </w:r>
          </w:p>
        </w:tc>
        <w:tc>
          <w:tcPr>
            <w:tcW w:w="6144" w:type="dxa"/>
            <w:tcBorders>
              <w:top w:val="nil"/>
              <w:left w:val="nil"/>
              <w:bottom w:val="single" w:sz="8" w:space="0" w:color="auto"/>
              <w:right w:val="nil"/>
            </w:tcBorders>
            <w:shd w:val="clear" w:color="auto" w:fill="auto"/>
            <w:hideMark/>
          </w:tcPr>
          <w:p w14:paraId="38748CF6" w14:textId="77777777" w:rsidR="0091145D" w:rsidRPr="0048196F" w:rsidRDefault="0091145D">
            <w:pPr>
              <w:rPr>
                <w:color w:val="000000"/>
                <w:lang w:val="en-US"/>
              </w:rPr>
            </w:pPr>
            <w:r w:rsidRPr="0048196F">
              <w:rPr>
                <w:rFonts w:eastAsia="MS Mincho"/>
                <w:color w:val="000000"/>
                <w:lang w:val="en-US"/>
              </w:rPr>
              <w:t>Increased importance of sustainability and new technologies lead to opportunities for new business models to capture maximum value from innovation.</w:t>
            </w:r>
          </w:p>
        </w:tc>
      </w:tr>
      <w:tr w:rsidR="0091145D" w:rsidRPr="00AB4713" w14:paraId="4B75312F"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2F4BF404"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74</w:t>
            </w:r>
          </w:p>
        </w:tc>
        <w:tc>
          <w:tcPr>
            <w:tcW w:w="1487" w:type="dxa"/>
            <w:tcBorders>
              <w:top w:val="nil"/>
              <w:left w:val="nil"/>
              <w:bottom w:val="single" w:sz="8" w:space="0" w:color="auto"/>
              <w:right w:val="nil"/>
            </w:tcBorders>
            <w:shd w:val="clear" w:color="auto" w:fill="auto"/>
            <w:hideMark/>
          </w:tcPr>
          <w:p w14:paraId="0FDCFF05" w14:textId="77777777" w:rsidR="0091145D" w:rsidRPr="0048196F" w:rsidRDefault="0091145D">
            <w:pPr>
              <w:rPr>
                <w:color w:val="000000"/>
                <w:lang w:val="en-US"/>
              </w:rPr>
            </w:pPr>
            <w:r w:rsidRPr="0048196F">
              <w:rPr>
                <w:rFonts w:eastAsia="MS Mincho"/>
                <w:color w:val="000000"/>
                <w:lang w:val="en-US"/>
              </w:rPr>
              <w:t>Consumer Choice</w:t>
            </w:r>
          </w:p>
        </w:tc>
        <w:tc>
          <w:tcPr>
            <w:tcW w:w="6144" w:type="dxa"/>
            <w:tcBorders>
              <w:top w:val="nil"/>
              <w:left w:val="nil"/>
              <w:bottom w:val="single" w:sz="8" w:space="0" w:color="auto"/>
              <w:right w:val="nil"/>
            </w:tcBorders>
            <w:shd w:val="clear" w:color="auto" w:fill="auto"/>
            <w:hideMark/>
          </w:tcPr>
          <w:p w14:paraId="2C3013D2" w14:textId="77777777" w:rsidR="0091145D" w:rsidRPr="0048196F" w:rsidRDefault="0091145D">
            <w:pPr>
              <w:rPr>
                <w:color w:val="000000"/>
                <w:lang w:val="en-US"/>
              </w:rPr>
            </w:pPr>
            <w:r w:rsidRPr="0048196F">
              <w:rPr>
                <w:rFonts w:eastAsia="MS Mincho"/>
                <w:color w:val="000000"/>
                <w:lang w:val="en-US"/>
              </w:rPr>
              <w:t xml:space="preserve">Consumers buy what gives them the greatest satisfaction on a variety of dimensions, with different tiers of budget restrictions. </w:t>
            </w:r>
          </w:p>
        </w:tc>
      </w:tr>
      <w:tr w:rsidR="0091145D" w:rsidRPr="0048196F" w14:paraId="730B0C86"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69ECC65E"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60</w:t>
            </w:r>
          </w:p>
        </w:tc>
        <w:tc>
          <w:tcPr>
            <w:tcW w:w="1487" w:type="dxa"/>
            <w:tcBorders>
              <w:top w:val="nil"/>
              <w:left w:val="nil"/>
              <w:bottom w:val="single" w:sz="8" w:space="0" w:color="auto"/>
              <w:right w:val="nil"/>
            </w:tcBorders>
            <w:shd w:val="clear" w:color="auto" w:fill="auto"/>
            <w:hideMark/>
          </w:tcPr>
          <w:p w14:paraId="3B82EC60" w14:textId="77777777" w:rsidR="0091145D" w:rsidRPr="0048196F" w:rsidRDefault="0091145D">
            <w:pPr>
              <w:rPr>
                <w:color w:val="000000"/>
                <w:lang w:val="en-US"/>
              </w:rPr>
            </w:pPr>
            <w:r w:rsidRPr="0048196F">
              <w:rPr>
                <w:rFonts w:eastAsia="MS Mincho"/>
                <w:color w:val="000000"/>
                <w:lang w:val="en-US"/>
              </w:rPr>
              <w:t>Agroecology</w:t>
            </w:r>
          </w:p>
        </w:tc>
        <w:tc>
          <w:tcPr>
            <w:tcW w:w="6144" w:type="dxa"/>
            <w:tcBorders>
              <w:top w:val="nil"/>
              <w:left w:val="nil"/>
              <w:bottom w:val="single" w:sz="8" w:space="0" w:color="auto"/>
              <w:right w:val="nil"/>
            </w:tcBorders>
            <w:shd w:val="clear" w:color="auto" w:fill="auto"/>
            <w:hideMark/>
          </w:tcPr>
          <w:p w14:paraId="28B2EBC1" w14:textId="77777777" w:rsidR="0091145D" w:rsidRPr="0048196F" w:rsidRDefault="0091145D">
            <w:pPr>
              <w:rPr>
                <w:color w:val="000000"/>
                <w:lang w:val="en-US"/>
              </w:rPr>
            </w:pPr>
            <w:r w:rsidRPr="0048196F">
              <w:rPr>
                <w:rFonts w:eastAsia="MS Mincho"/>
                <w:color w:val="000000"/>
                <w:lang w:val="en-US"/>
              </w:rPr>
              <w:t>Agroecology is the marriage of agriculture and ecology; this holistic approach addresses the needs for a sustainable and fair food system. *</w:t>
            </w:r>
          </w:p>
        </w:tc>
      </w:tr>
      <w:tr w:rsidR="0091145D" w:rsidRPr="00AB4713" w14:paraId="0FF9639D" w14:textId="77777777" w:rsidTr="00C926D5">
        <w:trPr>
          <w:trHeight w:val="838"/>
        </w:trPr>
        <w:tc>
          <w:tcPr>
            <w:tcW w:w="851" w:type="dxa"/>
            <w:tcBorders>
              <w:top w:val="single" w:sz="4" w:space="0" w:color="auto"/>
              <w:left w:val="nil"/>
              <w:bottom w:val="single" w:sz="4" w:space="0" w:color="auto"/>
              <w:right w:val="nil"/>
            </w:tcBorders>
            <w:shd w:val="clear" w:color="auto" w:fill="auto"/>
            <w:noWrap/>
            <w:hideMark/>
          </w:tcPr>
          <w:p w14:paraId="09EC607A"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60</w:t>
            </w:r>
          </w:p>
        </w:tc>
        <w:tc>
          <w:tcPr>
            <w:tcW w:w="1487" w:type="dxa"/>
            <w:tcBorders>
              <w:top w:val="single" w:sz="8" w:space="0" w:color="auto"/>
              <w:left w:val="nil"/>
              <w:bottom w:val="single" w:sz="4" w:space="0" w:color="auto"/>
              <w:right w:val="nil"/>
            </w:tcBorders>
            <w:shd w:val="clear" w:color="auto" w:fill="auto"/>
            <w:hideMark/>
          </w:tcPr>
          <w:p w14:paraId="4C3DDC18" w14:textId="77777777" w:rsidR="0091145D" w:rsidRPr="0048196F" w:rsidRDefault="0091145D">
            <w:pPr>
              <w:rPr>
                <w:color w:val="000000"/>
                <w:lang w:val="en-US"/>
              </w:rPr>
            </w:pPr>
            <w:r w:rsidRPr="0048196F">
              <w:rPr>
                <w:rFonts w:eastAsia="MS Mincho"/>
                <w:color w:val="000000"/>
                <w:lang w:val="en-US"/>
              </w:rPr>
              <w:t>Social Well Being</w:t>
            </w:r>
          </w:p>
        </w:tc>
        <w:tc>
          <w:tcPr>
            <w:tcW w:w="6144" w:type="dxa"/>
            <w:tcBorders>
              <w:top w:val="single" w:sz="8" w:space="0" w:color="auto"/>
              <w:left w:val="nil"/>
              <w:bottom w:val="single" w:sz="4" w:space="0" w:color="auto"/>
              <w:right w:val="nil"/>
            </w:tcBorders>
            <w:shd w:val="clear" w:color="auto" w:fill="auto"/>
            <w:hideMark/>
          </w:tcPr>
          <w:p w14:paraId="7C317243" w14:textId="77777777" w:rsidR="0091145D" w:rsidRPr="0048196F" w:rsidRDefault="0091145D">
            <w:pPr>
              <w:rPr>
                <w:color w:val="000000"/>
                <w:lang w:val="en-US"/>
              </w:rPr>
            </w:pPr>
            <w:r w:rsidRPr="0048196F">
              <w:rPr>
                <w:rFonts w:eastAsia="MS Mincho"/>
                <w:color w:val="000000"/>
                <w:lang w:val="en-US"/>
              </w:rPr>
              <w:t>Digital technologies improve people’s quality of life in a variety of ways. Some of the current topics are education &amp; skills, self- autonomy and social inclusion</w:t>
            </w:r>
          </w:p>
        </w:tc>
      </w:tr>
      <w:tr w:rsidR="003B0607" w:rsidRPr="0048196F" w14:paraId="16A22675" w14:textId="77777777" w:rsidTr="00C926D5">
        <w:trPr>
          <w:trHeight w:val="296"/>
        </w:trPr>
        <w:tc>
          <w:tcPr>
            <w:tcW w:w="851" w:type="dxa"/>
            <w:tcBorders>
              <w:top w:val="single" w:sz="4" w:space="0" w:color="auto"/>
              <w:bottom w:val="double" w:sz="4" w:space="0" w:color="auto"/>
              <w:right w:val="nil"/>
            </w:tcBorders>
            <w:shd w:val="clear" w:color="auto" w:fill="auto"/>
            <w:noWrap/>
            <w:hideMark/>
          </w:tcPr>
          <w:p w14:paraId="76B6B433" w14:textId="01861BDF" w:rsidR="0091145D" w:rsidRPr="00EE6D9C" w:rsidRDefault="0091145D" w:rsidP="0091145D">
            <w:pPr>
              <w:jc w:val="center"/>
              <w:rPr>
                <w:b/>
                <w:bCs/>
                <w:color w:val="000000"/>
                <w:sz w:val="20"/>
                <w:szCs w:val="20"/>
                <w:lang w:val="en-US"/>
              </w:rPr>
            </w:pPr>
          </w:p>
        </w:tc>
        <w:tc>
          <w:tcPr>
            <w:tcW w:w="1487" w:type="dxa"/>
            <w:tcBorders>
              <w:top w:val="single" w:sz="4" w:space="0" w:color="auto"/>
              <w:left w:val="nil"/>
              <w:bottom w:val="double" w:sz="4" w:space="0" w:color="auto"/>
              <w:right w:val="nil"/>
            </w:tcBorders>
            <w:shd w:val="clear" w:color="auto" w:fill="auto"/>
            <w:hideMark/>
          </w:tcPr>
          <w:p w14:paraId="5A2BF9D1" w14:textId="13691946" w:rsidR="0091145D" w:rsidRPr="0048196F" w:rsidRDefault="0091145D">
            <w:pPr>
              <w:rPr>
                <w:b/>
                <w:bCs/>
                <w:color w:val="000000"/>
                <w:lang w:val="en-US"/>
              </w:rPr>
            </w:pPr>
            <w:r w:rsidRPr="0048196F">
              <w:rPr>
                <w:rFonts w:eastAsia="MS Mincho"/>
                <w:b/>
                <w:bCs/>
                <w:color w:val="000000"/>
                <w:lang w:val="en-US"/>
              </w:rPr>
              <w:t xml:space="preserve">Sub </w:t>
            </w:r>
            <w:r w:rsidR="00EE6D9C">
              <w:rPr>
                <w:rFonts w:eastAsia="MS Mincho"/>
                <w:b/>
                <w:bCs/>
                <w:color w:val="000000"/>
                <w:lang w:val="en-US"/>
              </w:rPr>
              <w:t>Trends</w:t>
            </w:r>
          </w:p>
        </w:tc>
        <w:tc>
          <w:tcPr>
            <w:tcW w:w="6144" w:type="dxa"/>
            <w:tcBorders>
              <w:top w:val="single" w:sz="4" w:space="0" w:color="auto"/>
              <w:left w:val="nil"/>
              <w:bottom w:val="double" w:sz="4" w:space="0" w:color="auto"/>
            </w:tcBorders>
            <w:shd w:val="clear" w:color="auto" w:fill="auto"/>
            <w:hideMark/>
          </w:tcPr>
          <w:p w14:paraId="641BB957" w14:textId="687F950E" w:rsidR="0091145D" w:rsidRPr="00EE6D9C" w:rsidRDefault="0091145D">
            <w:pPr>
              <w:rPr>
                <w:b/>
                <w:bCs/>
                <w:color w:val="000000"/>
                <w:sz w:val="20"/>
                <w:szCs w:val="20"/>
                <w:lang w:val="en-US"/>
              </w:rPr>
            </w:pPr>
            <w:r w:rsidRPr="00EE6D9C">
              <w:rPr>
                <w:b/>
                <w:bCs/>
                <w:color w:val="000000"/>
                <w:sz w:val="20"/>
                <w:szCs w:val="20"/>
                <w:lang w:val="en-US"/>
              </w:rPr>
              <w:t> </w:t>
            </w:r>
          </w:p>
        </w:tc>
      </w:tr>
      <w:tr w:rsidR="0091145D" w:rsidRPr="00AB4713" w14:paraId="213D73C6" w14:textId="77777777" w:rsidTr="00C926D5">
        <w:trPr>
          <w:trHeight w:val="855"/>
        </w:trPr>
        <w:tc>
          <w:tcPr>
            <w:tcW w:w="851" w:type="dxa"/>
            <w:tcBorders>
              <w:top w:val="double" w:sz="4" w:space="0" w:color="auto"/>
              <w:left w:val="nil"/>
              <w:bottom w:val="single" w:sz="4" w:space="0" w:color="auto"/>
              <w:right w:val="nil"/>
            </w:tcBorders>
            <w:shd w:val="clear" w:color="auto" w:fill="auto"/>
            <w:noWrap/>
            <w:hideMark/>
          </w:tcPr>
          <w:p w14:paraId="65AA26E6"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94</w:t>
            </w:r>
          </w:p>
        </w:tc>
        <w:tc>
          <w:tcPr>
            <w:tcW w:w="1487" w:type="dxa"/>
            <w:tcBorders>
              <w:top w:val="double" w:sz="4" w:space="0" w:color="auto"/>
              <w:left w:val="nil"/>
              <w:bottom w:val="single" w:sz="8" w:space="0" w:color="auto"/>
              <w:right w:val="nil"/>
            </w:tcBorders>
            <w:shd w:val="clear" w:color="auto" w:fill="auto"/>
            <w:hideMark/>
          </w:tcPr>
          <w:p w14:paraId="4BA341EF" w14:textId="77777777" w:rsidR="0091145D" w:rsidRPr="0048196F" w:rsidRDefault="0091145D">
            <w:pPr>
              <w:rPr>
                <w:color w:val="000000"/>
                <w:lang w:val="en-US"/>
              </w:rPr>
            </w:pPr>
            <w:r w:rsidRPr="0048196F">
              <w:rPr>
                <w:rFonts w:eastAsia="MS Mincho"/>
                <w:color w:val="000000"/>
                <w:lang w:val="en-US"/>
              </w:rPr>
              <w:t>Precision Agriculture</w:t>
            </w:r>
          </w:p>
        </w:tc>
        <w:tc>
          <w:tcPr>
            <w:tcW w:w="6144" w:type="dxa"/>
            <w:tcBorders>
              <w:top w:val="double" w:sz="4" w:space="0" w:color="auto"/>
              <w:left w:val="nil"/>
              <w:bottom w:val="single" w:sz="8" w:space="0" w:color="auto"/>
              <w:right w:val="nil"/>
            </w:tcBorders>
            <w:shd w:val="clear" w:color="auto" w:fill="auto"/>
            <w:hideMark/>
          </w:tcPr>
          <w:p w14:paraId="51255BBE" w14:textId="77777777" w:rsidR="0091145D" w:rsidRPr="0048196F" w:rsidRDefault="0091145D">
            <w:pPr>
              <w:rPr>
                <w:color w:val="000000"/>
                <w:lang w:val="en-US"/>
              </w:rPr>
            </w:pPr>
            <w:r w:rsidRPr="0048196F">
              <w:rPr>
                <w:rFonts w:eastAsia="MS Mincho"/>
                <w:color w:val="000000"/>
                <w:lang w:val="en-US"/>
              </w:rPr>
              <w:t>Digital techniques measure variations among the field to add exactness to inputs and timing, resulting in higher yields and a lower environmental impact.</w:t>
            </w:r>
          </w:p>
        </w:tc>
      </w:tr>
      <w:tr w:rsidR="0091145D" w:rsidRPr="0048196F" w14:paraId="081A3051"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4D8F2E0C"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94</w:t>
            </w:r>
          </w:p>
        </w:tc>
        <w:tc>
          <w:tcPr>
            <w:tcW w:w="1487" w:type="dxa"/>
            <w:tcBorders>
              <w:top w:val="nil"/>
              <w:left w:val="nil"/>
              <w:bottom w:val="single" w:sz="8" w:space="0" w:color="auto"/>
              <w:right w:val="nil"/>
            </w:tcBorders>
            <w:shd w:val="clear" w:color="auto" w:fill="auto"/>
            <w:hideMark/>
          </w:tcPr>
          <w:p w14:paraId="08E66844" w14:textId="77777777" w:rsidR="0091145D" w:rsidRPr="0048196F" w:rsidRDefault="0091145D">
            <w:pPr>
              <w:rPr>
                <w:color w:val="000000"/>
                <w:lang w:val="en-US"/>
              </w:rPr>
            </w:pPr>
            <w:r w:rsidRPr="0048196F">
              <w:rPr>
                <w:rFonts w:eastAsia="MS Mincho"/>
                <w:color w:val="000000"/>
                <w:lang w:val="en-US"/>
              </w:rPr>
              <w:t>Predictive Analytics</w:t>
            </w:r>
          </w:p>
        </w:tc>
        <w:tc>
          <w:tcPr>
            <w:tcW w:w="6144" w:type="dxa"/>
            <w:tcBorders>
              <w:top w:val="nil"/>
              <w:left w:val="nil"/>
              <w:bottom w:val="single" w:sz="8" w:space="0" w:color="auto"/>
              <w:right w:val="nil"/>
            </w:tcBorders>
            <w:shd w:val="clear" w:color="auto" w:fill="auto"/>
            <w:hideMark/>
          </w:tcPr>
          <w:p w14:paraId="0A3AAD62" w14:textId="77777777" w:rsidR="0091145D" w:rsidRPr="0048196F" w:rsidRDefault="0091145D">
            <w:pPr>
              <w:rPr>
                <w:color w:val="000000"/>
                <w:lang w:val="en-US"/>
              </w:rPr>
            </w:pPr>
            <w:r w:rsidRPr="0048196F">
              <w:rPr>
                <w:rFonts w:eastAsia="MS Mincho"/>
                <w:color w:val="000000"/>
                <w:lang w:val="en-US"/>
              </w:rPr>
              <w:t>The practice of extracting information from data, in order to identify trends and patterns to predict future outcomes of processes and behavior. *</w:t>
            </w:r>
          </w:p>
        </w:tc>
      </w:tr>
      <w:tr w:rsidR="0091145D" w:rsidRPr="0048196F" w14:paraId="27C75218"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6FBC513D"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86</w:t>
            </w:r>
          </w:p>
        </w:tc>
        <w:tc>
          <w:tcPr>
            <w:tcW w:w="1487" w:type="dxa"/>
            <w:tcBorders>
              <w:top w:val="nil"/>
              <w:left w:val="nil"/>
              <w:bottom w:val="single" w:sz="8" w:space="0" w:color="auto"/>
              <w:right w:val="nil"/>
            </w:tcBorders>
            <w:shd w:val="clear" w:color="auto" w:fill="auto"/>
            <w:hideMark/>
          </w:tcPr>
          <w:p w14:paraId="26858BBF" w14:textId="77777777" w:rsidR="0091145D" w:rsidRPr="0048196F" w:rsidRDefault="0091145D">
            <w:pPr>
              <w:rPr>
                <w:color w:val="000000"/>
                <w:lang w:val="en-US"/>
              </w:rPr>
            </w:pPr>
            <w:r w:rsidRPr="0048196F">
              <w:rPr>
                <w:rFonts w:eastAsia="MS Mincho"/>
                <w:color w:val="000000"/>
                <w:lang w:val="en-US"/>
              </w:rPr>
              <w:t>Bio Economy</w:t>
            </w:r>
          </w:p>
        </w:tc>
        <w:tc>
          <w:tcPr>
            <w:tcW w:w="6144" w:type="dxa"/>
            <w:tcBorders>
              <w:top w:val="nil"/>
              <w:left w:val="nil"/>
              <w:bottom w:val="single" w:sz="8" w:space="0" w:color="auto"/>
              <w:right w:val="nil"/>
            </w:tcBorders>
            <w:shd w:val="clear" w:color="auto" w:fill="auto"/>
            <w:hideMark/>
          </w:tcPr>
          <w:p w14:paraId="6C4ED827" w14:textId="77777777" w:rsidR="0091145D" w:rsidRPr="0048196F" w:rsidRDefault="0091145D">
            <w:pPr>
              <w:rPr>
                <w:color w:val="000000"/>
                <w:lang w:val="en-US"/>
              </w:rPr>
            </w:pPr>
            <w:r w:rsidRPr="0048196F">
              <w:rPr>
                <w:rFonts w:eastAsia="MS Mincho"/>
                <w:color w:val="000000"/>
                <w:lang w:val="en-US"/>
              </w:rPr>
              <w:t>The invention, development, production and use of renewable biomass across all sectors to replace fossil fuels and produce other biobased products. *</w:t>
            </w:r>
          </w:p>
        </w:tc>
      </w:tr>
      <w:tr w:rsidR="0091145D" w:rsidRPr="00AB4713" w14:paraId="0DCF1F3A"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24A53B5C"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86</w:t>
            </w:r>
          </w:p>
        </w:tc>
        <w:tc>
          <w:tcPr>
            <w:tcW w:w="1487" w:type="dxa"/>
            <w:tcBorders>
              <w:top w:val="nil"/>
              <w:left w:val="nil"/>
              <w:bottom w:val="single" w:sz="8" w:space="0" w:color="auto"/>
              <w:right w:val="nil"/>
            </w:tcBorders>
            <w:shd w:val="clear" w:color="auto" w:fill="auto"/>
            <w:hideMark/>
          </w:tcPr>
          <w:p w14:paraId="71E30DB0" w14:textId="77777777" w:rsidR="0091145D" w:rsidRPr="0048196F" w:rsidRDefault="0091145D">
            <w:pPr>
              <w:rPr>
                <w:color w:val="000000"/>
                <w:lang w:val="en-US"/>
              </w:rPr>
            </w:pPr>
            <w:r w:rsidRPr="0048196F">
              <w:rPr>
                <w:rFonts w:eastAsia="MS Mincho"/>
                <w:color w:val="000000"/>
                <w:lang w:val="en-US"/>
              </w:rPr>
              <w:t>Energy Efficiency</w:t>
            </w:r>
          </w:p>
        </w:tc>
        <w:tc>
          <w:tcPr>
            <w:tcW w:w="6144" w:type="dxa"/>
            <w:tcBorders>
              <w:top w:val="nil"/>
              <w:left w:val="nil"/>
              <w:bottom w:val="single" w:sz="8" w:space="0" w:color="auto"/>
              <w:right w:val="nil"/>
            </w:tcBorders>
            <w:shd w:val="clear" w:color="auto" w:fill="auto"/>
            <w:hideMark/>
          </w:tcPr>
          <w:p w14:paraId="2E910DE7" w14:textId="77777777" w:rsidR="0091145D" w:rsidRPr="0048196F" w:rsidRDefault="0091145D">
            <w:pPr>
              <w:rPr>
                <w:color w:val="000000"/>
                <w:lang w:val="en-US"/>
              </w:rPr>
            </w:pPr>
            <w:r w:rsidRPr="0048196F">
              <w:rPr>
                <w:rFonts w:eastAsia="MS Mincho"/>
                <w:color w:val="000000"/>
                <w:lang w:val="en-US"/>
              </w:rPr>
              <w:t>Current energy intensive systems contain numerous opportunities for improvement based on monitoring, consumption reduction and renewable energy adoption.</w:t>
            </w:r>
          </w:p>
        </w:tc>
      </w:tr>
      <w:tr w:rsidR="0091145D" w:rsidRPr="00AB4713" w14:paraId="5D544EBD"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5DEDB269"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86</w:t>
            </w:r>
          </w:p>
        </w:tc>
        <w:tc>
          <w:tcPr>
            <w:tcW w:w="1487" w:type="dxa"/>
            <w:tcBorders>
              <w:top w:val="nil"/>
              <w:left w:val="nil"/>
              <w:bottom w:val="single" w:sz="8" w:space="0" w:color="auto"/>
              <w:right w:val="nil"/>
            </w:tcBorders>
            <w:shd w:val="clear" w:color="auto" w:fill="auto"/>
            <w:hideMark/>
          </w:tcPr>
          <w:p w14:paraId="02E244C8" w14:textId="77777777" w:rsidR="0091145D" w:rsidRPr="0048196F" w:rsidRDefault="0091145D">
            <w:pPr>
              <w:rPr>
                <w:color w:val="000000"/>
                <w:lang w:val="en-US"/>
              </w:rPr>
            </w:pPr>
            <w:r w:rsidRPr="0048196F">
              <w:rPr>
                <w:rFonts w:eastAsia="MS Mincho"/>
                <w:color w:val="000000"/>
                <w:lang w:val="en-US"/>
              </w:rPr>
              <w:t>Innovation Hubs</w:t>
            </w:r>
          </w:p>
        </w:tc>
        <w:tc>
          <w:tcPr>
            <w:tcW w:w="6144" w:type="dxa"/>
            <w:tcBorders>
              <w:top w:val="nil"/>
              <w:left w:val="nil"/>
              <w:bottom w:val="single" w:sz="8" w:space="0" w:color="auto"/>
              <w:right w:val="nil"/>
            </w:tcBorders>
            <w:shd w:val="clear" w:color="auto" w:fill="auto"/>
            <w:hideMark/>
          </w:tcPr>
          <w:p w14:paraId="3D756FF1" w14:textId="77777777" w:rsidR="0091145D" w:rsidRPr="0048196F" w:rsidRDefault="0091145D">
            <w:pPr>
              <w:rPr>
                <w:color w:val="000000"/>
                <w:lang w:val="en-US"/>
              </w:rPr>
            </w:pPr>
            <w:r w:rsidRPr="0048196F">
              <w:rPr>
                <w:rFonts w:eastAsia="MS Mincho"/>
                <w:color w:val="000000"/>
                <w:lang w:val="en-US"/>
              </w:rPr>
              <w:t xml:space="preserve">To aid innovation and adoption these hubs and centres provide physical and digital infrastructure to facilitate connections and access to resources. </w:t>
            </w:r>
          </w:p>
        </w:tc>
      </w:tr>
      <w:tr w:rsidR="0091145D" w:rsidRPr="00AB4713" w14:paraId="0F883FFE"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065D7F82"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86</w:t>
            </w:r>
          </w:p>
        </w:tc>
        <w:tc>
          <w:tcPr>
            <w:tcW w:w="1487" w:type="dxa"/>
            <w:tcBorders>
              <w:top w:val="nil"/>
              <w:left w:val="nil"/>
              <w:bottom w:val="single" w:sz="8" w:space="0" w:color="auto"/>
              <w:right w:val="nil"/>
            </w:tcBorders>
            <w:shd w:val="clear" w:color="auto" w:fill="auto"/>
            <w:hideMark/>
          </w:tcPr>
          <w:p w14:paraId="4BF13F58" w14:textId="77777777" w:rsidR="0091145D" w:rsidRPr="0048196F" w:rsidRDefault="0091145D">
            <w:pPr>
              <w:rPr>
                <w:color w:val="000000"/>
                <w:lang w:val="en-US"/>
              </w:rPr>
            </w:pPr>
            <w:r w:rsidRPr="0048196F">
              <w:rPr>
                <w:rFonts w:eastAsia="MS Mincho"/>
                <w:color w:val="000000"/>
                <w:lang w:val="en-US"/>
              </w:rPr>
              <w:t>Social Inclusion</w:t>
            </w:r>
          </w:p>
        </w:tc>
        <w:tc>
          <w:tcPr>
            <w:tcW w:w="6144" w:type="dxa"/>
            <w:tcBorders>
              <w:top w:val="nil"/>
              <w:left w:val="nil"/>
              <w:bottom w:val="single" w:sz="8" w:space="0" w:color="auto"/>
              <w:right w:val="nil"/>
            </w:tcBorders>
            <w:shd w:val="clear" w:color="auto" w:fill="auto"/>
            <w:hideMark/>
          </w:tcPr>
          <w:p w14:paraId="0117F7C0" w14:textId="77777777" w:rsidR="0091145D" w:rsidRPr="0048196F" w:rsidRDefault="0091145D">
            <w:pPr>
              <w:rPr>
                <w:color w:val="000000"/>
                <w:lang w:val="en-US"/>
              </w:rPr>
            </w:pPr>
            <w:r w:rsidRPr="0048196F">
              <w:rPr>
                <w:rFonts w:eastAsia="MS Mincho"/>
                <w:color w:val="000000"/>
                <w:lang w:val="en-US"/>
              </w:rPr>
              <w:t>It is about improving the terms on which individuals and groups take part in society by increasing access to develop opportunities</w:t>
            </w:r>
          </w:p>
        </w:tc>
      </w:tr>
      <w:tr w:rsidR="0091145D" w:rsidRPr="00AB4713" w14:paraId="5FA84B22"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790BB270"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83</w:t>
            </w:r>
          </w:p>
        </w:tc>
        <w:tc>
          <w:tcPr>
            <w:tcW w:w="1487" w:type="dxa"/>
            <w:tcBorders>
              <w:top w:val="nil"/>
              <w:left w:val="nil"/>
              <w:bottom w:val="single" w:sz="8" w:space="0" w:color="auto"/>
              <w:right w:val="nil"/>
            </w:tcBorders>
            <w:shd w:val="clear" w:color="auto" w:fill="auto"/>
            <w:hideMark/>
          </w:tcPr>
          <w:p w14:paraId="50C95CBF" w14:textId="77777777" w:rsidR="0091145D" w:rsidRPr="0048196F" w:rsidRDefault="0091145D">
            <w:pPr>
              <w:rPr>
                <w:color w:val="000000"/>
                <w:lang w:val="en-US"/>
              </w:rPr>
            </w:pPr>
            <w:r w:rsidRPr="0048196F">
              <w:rPr>
                <w:rFonts w:eastAsia="MS Mincho"/>
                <w:color w:val="000000"/>
                <w:lang w:val="en-US"/>
              </w:rPr>
              <w:t>E-Commerce</w:t>
            </w:r>
          </w:p>
        </w:tc>
        <w:tc>
          <w:tcPr>
            <w:tcW w:w="6144" w:type="dxa"/>
            <w:tcBorders>
              <w:top w:val="nil"/>
              <w:left w:val="nil"/>
              <w:bottom w:val="single" w:sz="8" w:space="0" w:color="auto"/>
              <w:right w:val="nil"/>
            </w:tcBorders>
            <w:shd w:val="clear" w:color="auto" w:fill="auto"/>
            <w:hideMark/>
          </w:tcPr>
          <w:p w14:paraId="57F7FCC1" w14:textId="77777777" w:rsidR="0091145D" w:rsidRPr="0048196F" w:rsidRDefault="0091145D">
            <w:pPr>
              <w:rPr>
                <w:color w:val="000000"/>
                <w:lang w:val="en-US"/>
              </w:rPr>
            </w:pPr>
            <w:r w:rsidRPr="0048196F">
              <w:rPr>
                <w:rFonts w:eastAsia="MS Mincho"/>
                <w:color w:val="000000"/>
                <w:lang w:val="en-US"/>
              </w:rPr>
              <w:t>By conducting business activities increasingly online, wider access exists to consumer goods, production inputs, financial services and more.</w:t>
            </w:r>
          </w:p>
        </w:tc>
      </w:tr>
      <w:tr w:rsidR="0091145D" w:rsidRPr="00AB4713" w14:paraId="2F0BD466"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56573B15"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83</w:t>
            </w:r>
          </w:p>
        </w:tc>
        <w:tc>
          <w:tcPr>
            <w:tcW w:w="1487" w:type="dxa"/>
            <w:tcBorders>
              <w:top w:val="nil"/>
              <w:left w:val="nil"/>
              <w:bottom w:val="single" w:sz="8" w:space="0" w:color="auto"/>
              <w:right w:val="nil"/>
            </w:tcBorders>
            <w:shd w:val="clear" w:color="auto" w:fill="auto"/>
            <w:hideMark/>
          </w:tcPr>
          <w:p w14:paraId="6B826566" w14:textId="77777777" w:rsidR="0091145D" w:rsidRPr="0048196F" w:rsidRDefault="0091145D">
            <w:pPr>
              <w:rPr>
                <w:color w:val="000000"/>
                <w:lang w:val="en-US"/>
              </w:rPr>
            </w:pPr>
            <w:r w:rsidRPr="0048196F">
              <w:rPr>
                <w:rFonts w:eastAsia="MS Mincho"/>
                <w:color w:val="000000"/>
                <w:lang w:val="en-US"/>
              </w:rPr>
              <w:t>Decision Support Systems</w:t>
            </w:r>
          </w:p>
        </w:tc>
        <w:tc>
          <w:tcPr>
            <w:tcW w:w="6144" w:type="dxa"/>
            <w:tcBorders>
              <w:top w:val="nil"/>
              <w:left w:val="nil"/>
              <w:bottom w:val="single" w:sz="8" w:space="0" w:color="auto"/>
              <w:right w:val="nil"/>
            </w:tcBorders>
            <w:shd w:val="clear" w:color="auto" w:fill="auto"/>
            <w:hideMark/>
          </w:tcPr>
          <w:p w14:paraId="0478F2EB" w14:textId="77777777" w:rsidR="0091145D" w:rsidRPr="0048196F" w:rsidRDefault="0091145D">
            <w:pPr>
              <w:rPr>
                <w:color w:val="000000"/>
                <w:lang w:val="en-US"/>
              </w:rPr>
            </w:pPr>
            <w:r w:rsidRPr="0048196F">
              <w:rPr>
                <w:rFonts w:eastAsia="MS Mincho"/>
                <w:color w:val="000000"/>
                <w:lang w:val="en-US"/>
              </w:rPr>
              <w:t>There is a need to make evidence-based decisions to increase efficiency, automate processes, reduce uncertainty and manage short to long term actions.</w:t>
            </w:r>
          </w:p>
        </w:tc>
      </w:tr>
      <w:tr w:rsidR="0091145D" w:rsidRPr="0048196F" w14:paraId="037E3698"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73E01B47"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83</w:t>
            </w:r>
          </w:p>
        </w:tc>
        <w:tc>
          <w:tcPr>
            <w:tcW w:w="1487" w:type="dxa"/>
            <w:tcBorders>
              <w:top w:val="nil"/>
              <w:left w:val="nil"/>
              <w:bottom w:val="single" w:sz="8" w:space="0" w:color="auto"/>
              <w:right w:val="nil"/>
            </w:tcBorders>
            <w:shd w:val="clear" w:color="auto" w:fill="auto"/>
            <w:hideMark/>
          </w:tcPr>
          <w:p w14:paraId="778364E8" w14:textId="77777777" w:rsidR="0091145D" w:rsidRPr="0048196F" w:rsidRDefault="0091145D">
            <w:pPr>
              <w:rPr>
                <w:color w:val="000000"/>
                <w:lang w:val="en-US"/>
              </w:rPr>
            </w:pPr>
            <w:r w:rsidRPr="0048196F">
              <w:rPr>
                <w:rFonts w:eastAsia="MS Mincho"/>
                <w:color w:val="000000"/>
                <w:lang w:val="en-US"/>
              </w:rPr>
              <w:t>Deplastification</w:t>
            </w:r>
          </w:p>
        </w:tc>
        <w:tc>
          <w:tcPr>
            <w:tcW w:w="6144" w:type="dxa"/>
            <w:tcBorders>
              <w:top w:val="nil"/>
              <w:left w:val="nil"/>
              <w:bottom w:val="single" w:sz="8" w:space="0" w:color="auto"/>
              <w:right w:val="nil"/>
            </w:tcBorders>
            <w:shd w:val="clear" w:color="auto" w:fill="auto"/>
            <w:hideMark/>
          </w:tcPr>
          <w:p w14:paraId="06C30AB3" w14:textId="77777777" w:rsidR="0091145D" w:rsidRPr="0048196F" w:rsidRDefault="0091145D">
            <w:pPr>
              <w:rPr>
                <w:color w:val="000000"/>
                <w:lang w:val="en-US"/>
              </w:rPr>
            </w:pPr>
            <w:r w:rsidRPr="0048196F">
              <w:rPr>
                <w:rFonts w:eastAsia="MS Mincho"/>
                <w:color w:val="000000"/>
                <w:lang w:val="en-US"/>
              </w:rPr>
              <w:t>The most of plastic not being biodegradable leads to the necessity of using alternative materials as well as removal and recycling of existing plastic. *</w:t>
            </w:r>
          </w:p>
        </w:tc>
      </w:tr>
      <w:tr w:rsidR="0091145D" w:rsidRPr="0048196F" w14:paraId="035D7064"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1C011639"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83</w:t>
            </w:r>
          </w:p>
        </w:tc>
        <w:tc>
          <w:tcPr>
            <w:tcW w:w="1487" w:type="dxa"/>
            <w:tcBorders>
              <w:top w:val="nil"/>
              <w:left w:val="nil"/>
              <w:bottom w:val="single" w:sz="8" w:space="0" w:color="auto"/>
              <w:right w:val="nil"/>
            </w:tcBorders>
            <w:shd w:val="clear" w:color="auto" w:fill="auto"/>
            <w:hideMark/>
          </w:tcPr>
          <w:p w14:paraId="70BE5A9A" w14:textId="77777777" w:rsidR="0091145D" w:rsidRPr="0048196F" w:rsidRDefault="0091145D">
            <w:pPr>
              <w:rPr>
                <w:color w:val="000000"/>
                <w:lang w:val="en-US"/>
              </w:rPr>
            </w:pPr>
            <w:r w:rsidRPr="0048196F">
              <w:rPr>
                <w:rFonts w:eastAsia="MS Mincho"/>
                <w:color w:val="000000"/>
                <w:lang w:val="en-US"/>
              </w:rPr>
              <w:t>Traceability</w:t>
            </w:r>
          </w:p>
        </w:tc>
        <w:tc>
          <w:tcPr>
            <w:tcW w:w="6144" w:type="dxa"/>
            <w:tcBorders>
              <w:top w:val="nil"/>
              <w:left w:val="nil"/>
              <w:bottom w:val="single" w:sz="8" w:space="0" w:color="auto"/>
              <w:right w:val="nil"/>
            </w:tcBorders>
            <w:shd w:val="clear" w:color="auto" w:fill="auto"/>
            <w:hideMark/>
          </w:tcPr>
          <w:p w14:paraId="51A6B43D" w14:textId="77777777" w:rsidR="0091145D" w:rsidRPr="0048196F" w:rsidRDefault="0091145D">
            <w:pPr>
              <w:rPr>
                <w:color w:val="000000"/>
                <w:lang w:val="en-US"/>
              </w:rPr>
            </w:pPr>
            <w:r w:rsidRPr="0048196F">
              <w:rPr>
                <w:rFonts w:eastAsia="MS Mincho"/>
                <w:color w:val="000000"/>
                <w:lang w:val="en-US"/>
              </w:rPr>
              <w:t>The ability to follow the movement of a resource through various stages. This allows faster and precise identification of a product under review. *</w:t>
            </w:r>
          </w:p>
        </w:tc>
      </w:tr>
      <w:tr w:rsidR="0091145D" w:rsidRPr="0048196F" w14:paraId="2AA0D78C"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32AD52D8"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80</w:t>
            </w:r>
          </w:p>
        </w:tc>
        <w:tc>
          <w:tcPr>
            <w:tcW w:w="1487" w:type="dxa"/>
            <w:tcBorders>
              <w:top w:val="nil"/>
              <w:left w:val="nil"/>
              <w:bottom w:val="single" w:sz="8" w:space="0" w:color="auto"/>
              <w:right w:val="nil"/>
            </w:tcBorders>
            <w:shd w:val="clear" w:color="auto" w:fill="auto"/>
            <w:hideMark/>
          </w:tcPr>
          <w:p w14:paraId="3E4FE9E2" w14:textId="77777777" w:rsidR="0091145D" w:rsidRPr="0048196F" w:rsidRDefault="0091145D">
            <w:pPr>
              <w:rPr>
                <w:color w:val="000000"/>
                <w:lang w:val="en-US"/>
              </w:rPr>
            </w:pPr>
            <w:r w:rsidRPr="0048196F">
              <w:rPr>
                <w:rFonts w:eastAsia="MS Mincho"/>
                <w:color w:val="000000"/>
                <w:lang w:val="en-US"/>
              </w:rPr>
              <w:t>Act Local: Businesses</w:t>
            </w:r>
          </w:p>
        </w:tc>
        <w:tc>
          <w:tcPr>
            <w:tcW w:w="6144" w:type="dxa"/>
            <w:tcBorders>
              <w:top w:val="nil"/>
              <w:left w:val="nil"/>
              <w:bottom w:val="single" w:sz="8" w:space="0" w:color="auto"/>
              <w:right w:val="nil"/>
            </w:tcBorders>
            <w:shd w:val="clear" w:color="auto" w:fill="auto"/>
            <w:hideMark/>
          </w:tcPr>
          <w:p w14:paraId="1ACC4C89" w14:textId="77777777" w:rsidR="0091145D" w:rsidRPr="0048196F" w:rsidRDefault="0091145D">
            <w:pPr>
              <w:rPr>
                <w:color w:val="000000"/>
                <w:lang w:val="en-US"/>
              </w:rPr>
            </w:pPr>
            <w:r w:rsidRPr="0048196F">
              <w:rPr>
                <w:rFonts w:eastAsia="MS Mincho"/>
                <w:color w:val="000000"/>
                <w:lang w:val="en-US"/>
              </w:rPr>
              <w:t>Within regions stakeholders organize to foster local innovation, attract investment and strengthen communication. *</w:t>
            </w:r>
          </w:p>
        </w:tc>
      </w:tr>
      <w:tr w:rsidR="0091145D" w:rsidRPr="0048196F" w14:paraId="2E249F7B"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7779DD0A"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77</w:t>
            </w:r>
          </w:p>
        </w:tc>
        <w:tc>
          <w:tcPr>
            <w:tcW w:w="1487" w:type="dxa"/>
            <w:tcBorders>
              <w:top w:val="nil"/>
              <w:left w:val="nil"/>
              <w:bottom w:val="single" w:sz="8" w:space="0" w:color="auto"/>
              <w:right w:val="nil"/>
            </w:tcBorders>
            <w:shd w:val="clear" w:color="auto" w:fill="auto"/>
            <w:hideMark/>
          </w:tcPr>
          <w:p w14:paraId="1921B7E7" w14:textId="77777777" w:rsidR="0091145D" w:rsidRPr="0048196F" w:rsidRDefault="0091145D">
            <w:pPr>
              <w:rPr>
                <w:color w:val="000000"/>
                <w:lang w:val="en-US"/>
              </w:rPr>
            </w:pPr>
            <w:r w:rsidRPr="0048196F">
              <w:rPr>
                <w:rFonts w:eastAsia="MS Mincho"/>
                <w:color w:val="000000"/>
                <w:lang w:val="en-US"/>
              </w:rPr>
              <w:t>Act Local: General</w:t>
            </w:r>
          </w:p>
        </w:tc>
        <w:tc>
          <w:tcPr>
            <w:tcW w:w="6144" w:type="dxa"/>
            <w:tcBorders>
              <w:top w:val="nil"/>
              <w:left w:val="nil"/>
              <w:bottom w:val="single" w:sz="8" w:space="0" w:color="auto"/>
              <w:right w:val="nil"/>
            </w:tcBorders>
            <w:shd w:val="clear" w:color="auto" w:fill="auto"/>
            <w:hideMark/>
          </w:tcPr>
          <w:p w14:paraId="3D98E8B8" w14:textId="77777777" w:rsidR="0091145D" w:rsidRPr="0048196F" w:rsidRDefault="0091145D">
            <w:pPr>
              <w:rPr>
                <w:color w:val="000000"/>
                <w:lang w:val="en-US"/>
              </w:rPr>
            </w:pPr>
            <w:r w:rsidRPr="0048196F">
              <w:rPr>
                <w:rFonts w:eastAsia="MS Mincho"/>
                <w:color w:val="000000"/>
                <w:lang w:val="en-US"/>
              </w:rPr>
              <w:t>To solve global problems action is needed at the local level. This is part of a new mindset that increasingly re-appreciates the local environment. *</w:t>
            </w:r>
          </w:p>
        </w:tc>
      </w:tr>
      <w:tr w:rsidR="0091145D" w:rsidRPr="00AB4713" w14:paraId="12902539"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4E06F3D8"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77</w:t>
            </w:r>
          </w:p>
        </w:tc>
        <w:tc>
          <w:tcPr>
            <w:tcW w:w="1487" w:type="dxa"/>
            <w:tcBorders>
              <w:top w:val="nil"/>
              <w:left w:val="nil"/>
              <w:bottom w:val="single" w:sz="8" w:space="0" w:color="auto"/>
              <w:right w:val="nil"/>
            </w:tcBorders>
            <w:shd w:val="clear" w:color="auto" w:fill="auto"/>
            <w:hideMark/>
          </w:tcPr>
          <w:p w14:paraId="7BC58E37" w14:textId="77777777" w:rsidR="0091145D" w:rsidRPr="0048196F" w:rsidRDefault="0091145D">
            <w:pPr>
              <w:rPr>
                <w:color w:val="000000"/>
                <w:lang w:val="en-US"/>
              </w:rPr>
            </w:pPr>
            <w:r w:rsidRPr="0048196F">
              <w:rPr>
                <w:rFonts w:eastAsia="MS Mincho"/>
                <w:color w:val="000000"/>
                <w:lang w:val="en-US"/>
              </w:rPr>
              <w:t>User-Centered Design</w:t>
            </w:r>
          </w:p>
        </w:tc>
        <w:tc>
          <w:tcPr>
            <w:tcW w:w="6144" w:type="dxa"/>
            <w:tcBorders>
              <w:top w:val="nil"/>
              <w:left w:val="nil"/>
              <w:bottom w:val="single" w:sz="8" w:space="0" w:color="auto"/>
              <w:right w:val="nil"/>
            </w:tcBorders>
            <w:shd w:val="clear" w:color="auto" w:fill="auto"/>
            <w:hideMark/>
          </w:tcPr>
          <w:p w14:paraId="64EDD1A2" w14:textId="77777777" w:rsidR="0091145D" w:rsidRPr="0048196F" w:rsidRDefault="0091145D">
            <w:pPr>
              <w:rPr>
                <w:color w:val="000000"/>
                <w:lang w:val="en-US"/>
              </w:rPr>
            </w:pPr>
            <w:r w:rsidRPr="0048196F">
              <w:rPr>
                <w:rFonts w:eastAsia="MS Mincho"/>
                <w:color w:val="000000"/>
                <w:lang w:val="en-US"/>
              </w:rPr>
              <w:t>To ensure products correspond to users’ needs they are involved in the design process, resulting in a shorter R&amp;D phase and easier, better fit products.</w:t>
            </w:r>
          </w:p>
        </w:tc>
      </w:tr>
      <w:tr w:rsidR="0091145D" w:rsidRPr="0048196F" w14:paraId="0559DD12"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3EF0A85D"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74</w:t>
            </w:r>
          </w:p>
        </w:tc>
        <w:tc>
          <w:tcPr>
            <w:tcW w:w="1487" w:type="dxa"/>
            <w:tcBorders>
              <w:top w:val="nil"/>
              <w:left w:val="nil"/>
              <w:bottom w:val="single" w:sz="8" w:space="0" w:color="auto"/>
              <w:right w:val="nil"/>
            </w:tcBorders>
            <w:shd w:val="clear" w:color="auto" w:fill="auto"/>
            <w:hideMark/>
          </w:tcPr>
          <w:p w14:paraId="3177DB84" w14:textId="77777777" w:rsidR="0091145D" w:rsidRPr="0048196F" w:rsidRDefault="0091145D">
            <w:pPr>
              <w:rPr>
                <w:color w:val="000000"/>
                <w:lang w:val="en-US"/>
              </w:rPr>
            </w:pPr>
            <w:r w:rsidRPr="0048196F">
              <w:rPr>
                <w:rFonts w:eastAsia="MS Mincho"/>
                <w:color w:val="000000"/>
                <w:lang w:val="en-US"/>
              </w:rPr>
              <w:t>Co-creation</w:t>
            </w:r>
          </w:p>
        </w:tc>
        <w:tc>
          <w:tcPr>
            <w:tcW w:w="6144" w:type="dxa"/>
            <w:tcBorders>
              <w:top w:val="nil"/>
              <w:left w:val="nil"/>
              <w:bottom w:val="single" w:sz="8" w:space="0" w:color="auto"/>
              <w:right w:val="nil"/>
            </w:tcBorders>
            <w:shd w:val="clear" w:color="auto" w:fill="auto"/>
            <w:hideMark/>
          </w:tcPr>
          <w:p w14:paraId="5E2D27B9" w14:textId="77777777" w:rsidR="0091145D" w:rsidRPr="0048196F" w:rsidRDefault="0091145D">
            <w:pPr>
              <w:rPr>
                <w:color w:val="000000"/>
                <w:lang w:val="en-US"/>
              </w:rPr>
            </w:pPr>
            <w:r w:rsidRPr="0048196F">
              <w:rPr>
                <w:rFonts w:eastAsia="MS Mincho"/>
                <w:color w:val="000000"/>
                <w:lang w:val="en-US"/>
              </w:rPr>
              <w:t>Actors from different environments such as science and practice, complement each other to develop appropriate solutions. *</w:t>
            </w:r>
          </w:p>
        </w:tc>
      </w:tr>
      <w:tr w:rsidR="0091145D" w:rsidRPr="0048196F" w14:paraId="39AB9542"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6382AE7D"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74</w:t>
            </w:r>
          </w:p>
        </w:tc>
        <w:tc>
          <w:tcPr>
            <w:tcW w:w="1487" w:type="dxa"/>
            <w:tcBorders>
              <w:top w:val="nil"/>
              <w:left w:val="nil"/>
              <w:bottom w:val="single" w:sz="8" w:space="0" w:color="auto"/>
              <w:right w:val="nil"/>
            </w:tcBorders>
            <w:shd w:val="clear" w:color="auto" w:fill="auto"/>
            <w:hideMark/>
          </w:tcPr>
          <w:p w14:paraId="276CDF08" w14:textId="1BE380A7" w:rsidR="0091145D" w:rsidRPr="0048196F" w:rsidRDefault="004C3DC7">
            <w:pPr>
              <w:rPr>
                <w:color w:val="000000"/>
                <w:lang w:val="en-US"/>
              </w:rPr>
            </w:pPr>
            <w:r w:rsidRPr="0048196F">
              <w:rPr>
                <w:rFonts w:eastAsia="MS Mincho"/>
                <w:color w:val="000000"/>
                <w:lang w:val="en-US"/>
              </w:rPr>
              <w:t>Crowdsourcing</w:t>
            </w:r>
          </w:p>
        </w:tc>
        <w:tc>
          <w:tcPr>
            <w:tcW w:w="6144" w:type="dxa"/>
            <w:tcBorders>
              <w:top w:val="nil"/>
              <w:left w:val="nil"/>
              <w:bottom w:val="single" w:sz="8" w:space="0" w:color="auto"/>
              <w:right w:val="nil"/>
            </w:tcBorders>
            <w:shd w:val="clear" w:color="auto" w:fill="auto"/>
            <w:hideMark/>
          </w:tcPr>
          <w:p w14:paraId="16B505C8" w14:textId="77777777" w:rsidR="0091145D" w:rsidRPr="0048196F" w:rsidRDefault="0091145D">
            <w:pPr>
              <w:rPr>
                <w:color w:val="000000"/>
                <w:lang w:val="en-US"/>
              </w:rPr>
            </w:pPr>
            <w:r w:rsidRPr="0048196F">
              <w:rPr>
                <w:rFonts w:eastAsia="MS Mincho"/>
                <w:color w:val="000000"/>
                <w:lang w:val="en-US"/>
              </w:rPr>
              <w:t>Gathering information or resources from an undefined network of people to harness skills, collective knowledge and wisdom of the crowds. *</w:t>
            </w:r>
          </w:p>
        </w:tc>
      </w:tr>
      <w:tr w:rsidR="0091145D" w:rsidRPr="00AB4713" w14:paraId="703D0A6B"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0689E962"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71</w:t>
            </w:r>
          </w:p>
        </w:tc>
        <w:tc>
          <w:tcPr>
            <w:tcW w:w="1487" w:type="dxa"/>
            <w:tcBorders>
              <w:top w:val="nil"/>
              <w:left w:val="nil"/>
              <w:bottom w:val="single" w:sz="8" w:space="0" w:color="auto"/>
              <w:right w:val="nil"/>
            </w:tcBorders>
            <w:shd w:val="clear" w:color="auto" w:fill="auto"/>
            <w:hideMark/>
          </w:tcPr>
          <w:p w14:paraId="73CB175C" w14:textId="77777777" w:rsidR="0091145D" w:rsidRPr="0048196F" w:rsidRDefault="0091145D">
            <w:pPr>
              <w:rPr>
                <w:color w:val="000000"/>
                <w:lang w:val="en-US"/>
              </w:rPr>
            </w:pPr>
            <w:r w:rsidRPr="0048196F">
              <w:rPr>
                <w:rFonts w:eastAsia="MS Mincho"/>
                <w:color w:val="000000"/>
                <w:lang w:val="en-US"/>
              </w:rPr>
              <w:t>Act Local: Consumers</w:t>
            </w:r>
          </w:p>
        </w:tc>
        <w:tc>
          <w:tcPr>
            <w:tcW w:w="6144" w:type="dxa"/>
            <w:tcBorders>
              <w:top w:val="nil"/>
              <w:left w:val="nil"/>
              <w:bottom w:val="single" w:sz="8" w:space="0" w:color="auto"/>
              <w:right w:val="nil"/>
            </w:tcBorders>
            <w:shd w:val="clear" w:color="auto" w:fill="auto"/>
            <w:hideMark/>
          </w:tcPr>
          <w:p w14:paraId="514C1E8E" w14:textId="77777777" w:rsidR="0091145D" w:rsidRPr="0048196F" w:rsidRDefault="0091145D">
            <w:pPr>
              <w:rPr>
                <w:color w:val="000000"/>
                <w:lang w:val="en-US"/>
              </w:rPr>
            </w:pPr>
            <w:r w:rsidRPr="0048196F">
              <w:rPr>
                <w:rFonts w:eastAsia="MS Mincho"/>
                <w:color w:val="000000"/>
                <w:lang w:val="en-US"/>
              </w:rPr>
              <w:t>Individuals can support a more sustainable food system through local consumption and initiatives</w:t>
            </w:r>
          </w:p>
        </w:tc>
      </w:tr>
      <w:tr w:rsidR="0091145D" w:rsidRPr="00AB4713" w14:paraId="11F5941A"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70C5AD18"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71</w:t>
            </w:r>
          </w:p>
        </w:tc>
        <w:tc>
          <w:tcPr>
            <w:tcW w:w="1487" w:type="dxa"/>
            <w:tcBorders>
              <w:top w:val="nil"/>
              <w:left w:val="nil"/>
              <w:bottom w:val="single" w:sz="8" w:space="0" w:color="auto"/>
              <w:right w:val="nil"/>
            </w:tcBorders>
            <w:shd w:val="clear" w:color="auto" w:fill="auto"/>
            <w:hideMark/>
          </w:tcPr>
          <w:p w14:paraId="6A8E663B" w14:textId="77777777" w:rsidR="0091145D" w:rsidRPr="0048196F" w:rsidRDefault="0091145D">
            <w:pPr>
              <w:rPr>
                <w:color w:val="000000"/>
                <w:lang w:val="en-US"/>
              </w:rPr>
            </w:pPr>
            <w:r w:rsidRPr="0048196F">
              <w:rPr>
                <w:rFonts w:eastAsia="MS Mincho"/>
                <w:color w:val="000000"/>
                <w:lang w:val="en-US"/>
              </w:rPr>
              <w:t>Blockchain</w:t>
            </w:r>
          </w:p>
        </w:tc>
        <w:tc>
          <w:tcPr>
            <w:tcW w:w="6144" w:type="dxa"/>
            <w:tcBorders>
              <w:top w:val="nil"/>
              <w:left w:val="nil"/>
              <w:bottom w:val="single" w:sz="8" w:space="0" w:color="auto"/>
              <w:right w:val="nil"/>
            </w:tcBorders>
            <w:shd w:val="clear" w:color="auto" w:fill="auto"/>
            <w:hideMark/>
          </w:tcPr>
          <w:p w14:paraId="73F4D0A7" w14:textId="77777777" w:rsidR="0091145D" w:rsidRPr="0048196F" w:rsidRDefault="0091145D">
            <w:pPr>
              <w:rPr>
                <w:color w:val="000000"/>
                <w:lang w:val="en-US"/>
              </w:rPr>
            </w:pPr>
            <w:r w:rsidRPr="0048196F">
              <w:rPr>
                <w:rFonts w:eastAsia="MS Mincho"/>
                <w:color w:val="000000"/>
                <w:lang w:val="en-US"/>
              </w:rPr>
              <w:t>The Blockchain is relevant for business because this type of database is recorded among many computers, allowing increased transparency and traceability.</w:t>
            </w:r>
          </w:p>
        </w:tc>
      </w:tr>
      <w:tr w:rsidR="0091145D" w:rsidRPr="00AB4713" w14:paraId="5E41B382" w14:textId="77777777" w:rsidTr="00C926D5">
        <w:trPr>
          <w:trHeight w:val="1135"/>
        </w:trPr>
        <w:tc>
          <w:tcPr>
            <w:tcW w:w="851" w:type="dxa"/>
            <w:tcBorders>
              <w:top w:val="single" w:sz="4" w:space="0" w:color="auto"/>
              <w:left w:val="nil"/>
              <w:bottom w:val="single" w:sz="4" w:space="0" w:color="auto"/>
              <w:right w:val="nil"/>
            </w:tcBorders>
            <w:shd w:val="clear" w:color="auto" w:fill="auto"/>
            <w:noWrap/>
            <w:hideMark/>
          </w:tcPr>
          <w:p w14:paraId="153F5F9F"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69</w:t>
            </w:r>
          </w:p>
        </w:tc>
        <w:tc>
          <w:tcPr>
            <w:tcW w:w="1487" w:type="dxa"/>
            <w:tcBorders>
              <w:top w:val="nil"/>
              <w:left w:val="nil"/>
              <w:bottom w:val="single" w:sz="8" w:space="0" w:color="auto"/>
              <w:right w:val="nil"/>
            </w:tcBorders>
            <w:shd w:val="clear" w:color="auto" w:fill="auto"/>
            <w:hideMark/>
          </w:tcPr>
          <w:p w14:paraId="3B4416C0" w14:textId="77777777" w:rsidR="0091145D" w:rsidRPr="0048196F" w:rsidRDefault="0091145D">
            <w:pPr>
              <w:rPr>
                <w:color w:val="000000"/>
                <w:lang w:val="en-US"/>
              </w:rPr>
            </w:pPr>
            <w:r w:rsidRPr="0048196F">
              <w:rPr>
                <w:rFonts w:eastAsia="MS Mincho"/>
                <w:color w:val="000000"/>
                <w:lang w:val="en-US"/>
              </w:rPr>
              <w:t>Energy Efficiency: Understanding</w:t>
            </w:r>
          </w:p>
        </w:tc>
        <w:tc>
          <w:tcPr>
            <w:tcW w:w="6144" w:type="dxa"/>
            <w:tcBorders>
              <w:top w:val="nil"/>
              <w:left w:val="nil"/>
              <w:bottom w:val="single" w:sz="8" w:space="0" w:color="auto"/>
              <w:right w:val="nil"/>
            </w:tcBorders>
            <w:shd w:val="clear" w:color="auto" w:fill="auto"/>
            <w:hideMark/>
          </w:tcPr>
          <w:p w14:paraId="3E29A23C" w14:textId="77777777" w:rsidR="0091145D" w:rsidRPr="0048196F" w:rsidRDefault="0091145D">
            <w:pPr>
              <w:rPr>
                <w:color w:val="000000"/>
                <w:lang w:val="en-US"/>
              </w:rPr>
            </w:pPr>
            <w:r w:rsidRPr="0048196F">
              <w:rPr>
                <w:rFonts w:eastAsia="MS Mincho"/>
                <w:color w:val="000000"/>
                <w:lang w:val="en-US"/>
              </w:rPr>
              <w:t xml:space="preserve">Understanding the relationship between inputs and outputs through monitoring and measurement aids understanding and optimization of energy usage.  </w:t>
            </w:r>
          </w:p>
        </w:tc>
      </w:tr>
      <w:tr w:rsidR="0091145D" w:rsidRPr="00AB4713" w14:paraId="7603F1FE"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199068A8"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66</w:t>
            </w:r>
          </w:p>
        </w:tc>
        <w:tc>
          <w:tcPr>
            <w:tcW w:w="1487" w:type="dxa"/>
            <w:tcBorders>
              <w:top w:val="nil"/>
              <w:left w:val="nil"/>
              <w:bottom w:val="single" w:sz="8" w:space="0" w:color="auto"/>
              <w:right w:val="nil"/>
            </w:tcBorders>
            <w:shd w:val="clear" w:color="auto" w:fill="auto"/>
            <w:hideMark/>
          </w:tcPr>
          <w:p w14:paraId="540BB41F" w14:textId="77777777" w:rsidR="0091145D" w:rsidRPr="0048196F" w:rsidRDefault="0091145D">
            <w:pPr>
              <w:rPr>
                <w:color w:val="000000"/>
                <w:lang w:val="en-US"/>
              </w:rPr>
            </w:pPr>
            <w:r w:rsidRPr="0048196F">
              <w:rPr>
                <w:rFonts w:eastAsia="MS Mincho"/>
                <w:color w:val="000000"/>
                <w:lang w:val="en-US"/>
              </w:rPr>
              <w:t>Multi Stakeholder Processes</w:t>
            </w:r>
          </w:p>
        </w:tc>
        <w:tc>
          <w:tcPr>
            <w:tcW w:w="6144" w:type="dxa"/>
            <w:tcBorders>
              <w:top w:val="nil"/>
              <w:left w:val="nil"/>
              <w:bottom w:val="single" w:sz="8" w:space="0" w:color="auto"/>
              <w:right w:val="nil"/>
            </w:tcBorders>
            <w:shd w:val="clear" w:color="auto" w:fill="auto"/>
            <w:hideMark/>
          </w:tcPr>
          <w:p w14:paraId="6009E0DA" w14:textId="77777777" w:rsidR="0091145D" w:rsidRPr="0048196F" w:rsidRDefault="0091145D">
            <w:pPr>
              <w:rPr>
                <w:color w:val="000000"/>
                <w:lang w:val="en-US"/>
              </w:rPr>
            </w:pPr>
            <w:r w:rsidRPr="0048196F">
              <w:rPr>
                <w:rFonts w:eastAsia="MS Mincho"/>
                <w:color w:val="000000"/>
                <w:lang w:val="en-US"/>
              </w:rPr>
              <w:t>Such a process is about bringing together experts and stakeholders on a country level to decide on joint action and information sharing.</w:t>
            </w:r>
          </w:p>
        </w:tc>
      </w:tr>
      <w:tr w:rsidR="0091145D" w:rsidRPr="00AB4713" w14:paraId="7140DEEB"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1067A592"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66</w:t>
            </w:r>
          </w:p>
        </w:tc>
        <w:tc>
          <w:tcPr>
            <w:tcW w:w="1487" w:type="dxa"/>
            <w:tcBorders>
              <w:top w:val="nil"/>
              <w:left w:val="nil"/>
              <w:bottom w:val="single" w:sz="8" w:space="0" w:color="auto"/>
              <w:right w:val="nil"/>
            </w:tcBorders>
            <w:shd w:val="clear" w:color="auto" w:fill="auto"/>
            <w:hideMark/>
          </w:tcPr>
          <w:p w14:paraId="73479519" w14:textId="77777777" w:rsidR="0091145D" w:rsidRPr="0048196F" w:rsidRDefault="0091145D">
            <w:pPr>
              <w:rPr>
                <w:color w:val="000000"/>
                <w:lang w:val="en-US"/>
              </w:rPr>
            </w:pPr>
            <w:r w:rsidRPr="0048196F">
              <w:rPr>
                <w:rFonts w:eastAsia="MS Mincho"/>
                <w:color w:val="000000"/>
                <w:lang w:val="en-US"/>
              </w:rPr>
              <w:t>Vocation &amp; Skills</w:t>
            </w:r>
          </w:p>
        </w:tc>
        <w:tc>
          <w:tcPr>
            <w:tcW w:w="6144" w:type="dxa"/>
            <w:tcBorders>
              <w:top w:val="nil"/>
              <w:left w:val="nil"/>
              <w:bottom w:val="single" w:sz="8" w:space="0" w:color="auto"/>
              <w:right w:val="nil"/>
            </w:tcBorders>
            <w:shd w:val="clear" w:color="auto" w:fill="auto"/>
            <w:hideMark/>
          </w:tcPr>
          <w:p w14:paraId="1C2FCFBA" w14:textId="77777777" w:rsidR="0091145D" w:rsidRPr="0048196F" w:rsidRDefault="0091145D">
            <w:pPr>
              <w:rPr>
                <w:color w:val="000000"/>
                <w:lang w:val="en-US"/>
              </w:rPr>
            </w:pPr>
            <w:r w:rsidRPr="0048196F">
              <w:rPr>
                <w:rFonts w:eastAsia="MS Mincho"/>
                <w:color w:val="000000"/>
                <w:lang w:val="en-US"/>
              </w:rPr>
              <w:t>To adapt to new sources of growth, new teaching methods are required in order to develop the right skills and increase the attractiveness of the sector.</w:t>
            </w:r>
          </w:p>
        </w:tc>
      </w:tr>
      <w:tr w:rsidR="0091145D" w:rsidRPr="0048196F" w14:paraId="0288F4C9" w14:textId="77777777" w:rsidTr="00C926D5">
        <w:trPr>
          <w:trHeight w:val="764"/>
        </w:trPr>
        <w:tc>
          <w:tcPr>
            <w:tcW w:w="851" w:type="dxa"/>
            <w:tcBorders>
              <w:top w:val="single" w:sz="4" w:space="0" w:color="auto"/>
              <w:left w:val="nil"/>
              <w:bottom w:val="single" w:sz="4" w:space="0" w:color="auto"/>
              <w:right w:val="nil"/>
            </w:tcBorders>
            <w:shd w:val="clear" w:color="auto" w:fill="auto"/>
            <w:noWrap/>
            <w:hideMark/>
          </w:tcPr>
          <w:p w14:paraId="60B4E118"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63</w:t>
            </w:r>
          </w:p>
        </w:tc>
        <w:tc>
          <w:tcPr>
            <w:tcW w:w="1487" w:type="dxa"/>
            <w:tcBorders>
              <w:top w:val="nil"/>
              <w:left w:val="nil"/>
              <w:bottom w:val="single" w:sz="8" w:space="0" w:color="auto"/>
              <w:right w:val="nil"/>
            </w:tcBorders>
            <w:shd w:val="clear" w:color="auto" w:fill="auto"/>
            <w:hideMark/>
          </w:tcPr>
          <w:p w14:paraId="162C3C26" w14:textId="17812FC7" w:rsidR="003D386E" w:rsidRPr="0048196F" w:rsidRDefault="0091145D" w:rsidP="003D386E">
            <w:pPr>
              <w:rPr>
                <w:rFonts w:eastAsia="MS Mincho"/>
                <w:color w:val="000000"/>
                <w:lang w:val="en-US"/>
              </w:rPr>
            </w:pPr>
            <w:r w:rsidRPr="0048196F">
              <w:rPr>
                <w:rFonts w:eastAsia="MS Mincho"/>
                <w:color w:val="000000"/>
                <w:lang w:val="en-US"/>
              </w:rPr>
              <w:t>Differentiation/ Personalization: Consumers</w:t>
            </w:r>
          </w:p>
        </w:tc>
        <w:tc>
          <w:tcPr>
            <w:tcW w:w="6144" w:type="dxa"/>
            <w:tcBorders>
              <w:top w:val="nil"/>
              <w:left w:val="nil"/>
              <w:bottom w:val="single" w:sz="8" w:space="0" w:color="auto"/>
              <w:right w:val="nil"/>
            </w:tcBorders>
            <w:shd w:val="clear" w:color="auto" w:fill="auto"/>
            <w:hideMark/>
          </w:tcPr>
          <w:p w14:paraId="7FB02473" w14:textId="77777777" w:rsidR="0091145D" w:rsidRPr="0048196F" w:rsidRDefault="0091145D">
            <w:pPr>
              <w:rPr>
                <w:rFonts w:eastAsia="MS Mincho"/>
                <w:color w:val="000000"/>
                <w:lang w:val="en-US"/>
              </w:rPr>
            </w:pPr>
            <w:r w:rsidRPr="0048196F">
              <w:rPr>
                <w:rFonts w:eastAsia="MS Mincho"/>
                <w:color w:val="000000"/>
                <w:lang w:val="en-US"/>
              </w:rPr>
              <w:t>An increasingly complex suite of differentiated products is demanded by consumers. *</w:t>
            </w:r>
          </w:p>
          <w:p w14:paraId="591FE74F" w14:textId="77777777" w:rsidR="003D386E" w:rsidRPr="0048196F" w:rsidRDefault="003D386E" w:rsidP="003D386E">
            <w:pPr>
              <w:rPr>
                <w:rFonts w:eastAsia="MS Mincho"/>
                <w:color w:val="000000"/>
                <w:lang w:val="en-US"/>
              </w:rPr>
            </w:pPr>
          </w:p>
          <w:p w14:paraId="3A0C3CE5" w14:textId="74721F19" w:rsidR="003D386E" w:rsidRPr="0048196F" w:rsidRDefault="003D386E" w:rsidP="003D386E">
            <w:pPr>
              <w:rPr>
                <w:lang w:val="en-US"/>
              </w:rPr>
            </w:pPr>
          </w:p>
        </w:tc>
      </w:tr>
      <w:tr w:rsidR="0091145D" w:rsidRPr="00AB4713" w14:paraId="2F236F88"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5B238375"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60</w:t>
            </w:r>
          </w:p>
        </w:tc>
        <w:tc>
          <w:tcPr>
            <w:tcW w:w="1487" w:type="dxa"/>
            <w:tcBorders>
              <w:top w:val="nil"/>
              <w:left w:val="nil"/>
              <w:bottom w:val="single" w:sz="8" w:space="0" w:color="auto"/>
              <w:right w:val="nil"/>
            </w:tcBorders>
            <w:shd w:val="clear" w:color="auto" w:fill="auto"/>
            <w:hideMark/>
          </w:tcPr>
          <w:p w14:paraId="7C77016F" w14:textId="77777777" w:rsidR="0091145D" w:rsidRPr="0048196F" w:rsidRDefault="0091145D">
            <w:pPr>
              <w:rPr>
                <w:color w:val="000000"/>
                <w:lang w:val="en-US"/>
              </w:rPr>
            </w:pPr>
            <w:r w:rsidRPr="0048196F">
              <w:rPr>
                <w:rFonts w:eastAsia="MS Mincho"/>
                <w:color w:val="000000"/>
                <w:lang w:val="en-US"/>
              </w:rPr>
              <w:t>Differentiation: Farms</w:t>
            </w:r>
          </w:p>
        </w:tc>
        <w:tc>
          <w:tcPr>
            <w:tcW w:w="6144" w:type="dxa"/>
            <w:tcBorders>
              <w:top w:val="nil"/>
              <w:left w:val="nil"/>
              <w:bottom w:val="single" w:sz="8" w:space="0" w:color="auto"/>
              <w:right w:val="nil"/>
            </w:tcBorders>
            <w:shd w:val="clear" w:color="auto" w:fill="auto"/>
            <w:hideMark/>
          </w:tcPr>
          <w:p w14:paraId="7C7EFFAC" w14:textId="77777777" w:rsidR="0091145D" w:rsidRPr="0048196F" w:rsidRDefault="0091145D">
            <w:pPr>
              <w:rPr>
                <w:color w:val="000000"/>
                <w:lang w:val="en-US"/>
              </w:rPr>
            </w:pPr>
            <w:r w:rsidRPr="0048196F">
              <w:rPr>
                <w:rFonts w:eastAsia="MS Mincho"/>
                <w:color w:val="000000"/>
                <w:lang w:val="en-US"/>
              </w:rPr>
              <w:t>Farmers are increasingly responsible for product attributes, making agricultural production itself a differentiated product industry.</w:t>
            </w:r>
          </w:p>
        </w:tc>
      </w:tr>
      <w:tr w:rsidR="0091145D" w:rsidRPr="0048196F" w14:paraId="7211565E" w14:textId="77777777" w:rsidTr="00C926D5">
        <w:trPr>
          <w:trHeight w:val="855"/>
        </w:trPr>
        <w:tc>
          <w:tcPr>
            <w:tcW w:w="851" w:type="dxa"/>
            <w:tcBorders>
              <w:top w:val="single" w:sz="4" w:space="0" w:color="auto"/>
              <w:left w:val="nil"/>
              <w:bottom w:val="single" w:sz="4" w:space="0" w:color="auto"/>
              <w:right w:val="nil"/>
            </w:tcBorders>
            <w:shd w:val="clear" w:color="auto" w:fill="auto"/>
            <w:noWrap/>
            <w:hideMark/>
          </w:tcPr>
          <w:p w14:paraId="7D7A8C98"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60</w:t>
            </w:r>
          </w:p>
        </w:tc>
        <w:tc>
          <w:tcPr>
            <w:tcW w:w="1487" w:type="dxa"/>
            <w:tcBorders>
              <w:top w:val="nil"/>
              <w:left w:val="nil"/>
              <w:bottom w:val="single" w:sz="8" w:space="0" w:color="auto"/>
              <w:right w:val="nil"/>
            </w:tcBorders>
            <w:shd w:val="clear" w:color="auto" w:fill="auto"/>
            <w:hideMark/>
          </w:tcPr>
          <w:p w14:paraId="61709B67" w14:textId="77777777" w:rsidR="0091145D" w:rsidRPr="0048196F" w:rsidRDefault="0091145D">
            <w:pPr>
              <w:rPr>
                <w:color w:val="000000"/>
                <w:lang w:val="en-US"/>
              </w:rPr>
            </w:pPr>
            <w:r w:rsidRPr="0048196F">
              <w:rPr>
                <w:rFonts w:eastAsia="MS Mincho"/>
                <w:color w:val="000000"/>
                <w:lang w:val="en-US"/>
              </w:rPr>
              <w:t>Market responsiveness</w:t>
            </w:r>
          </w:p>
        </w:tc>
        <w:tc>
          <w:tcPr>
            <w:tcW w:w="6144" w:type="dxa"/>
            <w:tcBorders>
              <w:top w:val="nil"/>
              <w:left w:val="nil"/>
              <w:bottom w:val="single" w:sz="8" w:space="0" w:color="auto"/>
              <w:right w:val="nil"/>
            </w:tcBorders>
            <w:shd w:val="clear" w:color="auto" w:fill="auto"/>
            <w:hideMark/>
          </w:tcPr>
          <w:p w14:paraId="3806A5BF" w14:textId="77777777" w:rsidR="0091145D" w:rsidRPr="0048196F" w:rsidRDefault="0091145D">
            <w:pPr>
              <w:rPr>
                <w:color w:val="000000"/>
                <w:lang w:val="en-US"/>
              </w:rPr>
            </w:pPr>
            <w:r w:rsidRPr="0048196F">
              <w:rPr>
                <w:rFonts w:eastAsia="MS Mincho"/>
                <w:color w:val="000000"/>
                <w:lang w:val="en-US"/>
              </w:rPr>
              <w:t>Because of volatility due to consumer demands and uncertainty of supply, companies must consider a tradeoff between efficiency and reactivity. *</w:t>
            </w:r>
          </w:p>
        </w:tc>
      </w:tr>
      <w:tr w:rsidR="0091145D" w:rsidRPr="0048196F" w14:paraId="2850D728"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1E2B4704"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60</w:t>
            </w:r>
          </w:p>
        </w:tc>
        <w:tc>
          <w:tcPr>
            <w:tcW w:w="1487" w:type="dxa"/>
            <w:tcBorders>
              <w:top w:val="nil"/>
              <w:left w:val="nil"/>
              <w:bottom w:val="single" w:sz="8" w:space="0" w:color="auto"/>
              <w:right w:val="nil"/>
            </w:tcBorders>
            <w:shd w:val="clear" w:color="auto" w:fill="auto"/>
            <w:hideMark/>
          </w:tcPr>
          <w:p w14:paraId="7D502975" w14:textId="77777777" w:rsidR="0091145D" w:rsidRPr="0048196F" w:rsidRDefault="0091145D">
            <w:pPr>
              <w:rPr>
                <w:color w:val="000000"/>
                <w:lang w:val="en-US"/>
              </w:rPr>
            </w:pPr>
            <w:r w:rsidRPr="0048196F">
              <w:rPr>
                <w:rFonts w:eastAsia="MS Mincho"/>
                <w:color w:val="000000"/>
                <w:lang w:val="en-US"/>
              </w:rPr>
              <w:t>Marketing Innovation</w:t>
            </w:r>
          </w:p>
        </w:tc>
        <w:tc>
          <w:tcPr>
            <w:tcW w:w="6144" w:type="dxa"/>
            <w:tcBorders>
              <w:top w:val="nil"/>
              <w:left w:val="nil"/>
              <w:bottom w:val="single" w:sz="8" w:space="0" w:color="auto"/>
              <w:right w:val="nil"/>
            </w:tcBorders>
            <w:shd w:val="clear" w:color="auto" w:fill="auto"/>
            <w:hideMark/>
          </w:tcPr>
          <w:p w14:paraId="075378E0" w14:textId="77777777" w:rsidR="0091145D" w:rsidRPr="0048196F" w:rsidRDefault="0091145D">
            <w:pPr>
              <w:rPr>
                <w:color w:val="000000"/>
                <w:lang w:val="en-US"/>
              </w:rPr>
            </w:pPr>
            <w:r w:rsidRPr="0048196F">
              <w:rPr>
                <w:rFonts w:eastAsia="MS Mincho"/>
                <w:color w:val="000000"/>
                <w:lang w:val="en-US"/>
              </w:rPr>
              <w:t>Developments have led to new forms of marketing and different characteristics to promote. *</w:t>
            </w:r>
          </w:p>
        </w:tc>
      </w:tr>
      <w:tr w:rsidR="0091145D" w:rsidRPr="0048196F" w14:paraId="13B462A2" w14:textId="77777777" w:rsidTr="00C926D5">
        <w:trPr>
          <w:trHeight w:val="575"/>
        </w:trPr>
        <w:tc>
          <w:tcPr>
            <w:tcW w:w="851" w:type="dxa"/>
            <w:tcBorders>
              <w:top w:val="single" w:sz="4" w:space="0" w:color="auto"/>
              <w:left w:val="nil"/>
              <w:bottom w:val="single" w:sz="4" w:space="0" w:color="auto"/>
              <w:right w:val="nil"/>
            </w:tcBorders>
            <w:shd w:val="clear" w:color="auto" w:fill="auto"/>
            <w:noWrap/>
            <w:hideMark/>
          </w:tcPr>
          <w:p w14:paraId="405AF2B2" w14:textId="77777777" w:rsidR="0091145D" w:rsidRPr="0048196F" w:rsidRDefault="0091145D" w:rsidP="0091145D">
            <w:pPr>
              <w:jc w:val="center"/>
              <w:rPr>
                <w:rFonts w:ascii="Calibri" w:hAnsi="Calibri" w:cs="Calibri"/>
                <w:color w:val="000000"/>
                <w:lang w:val="en-US"/>
              </w:rPr>
            </w:pPr>
            <w:r w:rsidRPr="0048196F">
              <w:rPr>
                <w:rFonts w:ascii="Calibri" w:hAnsi="Calibri" w:cs="Calibri"/>
                <w:color w:val="000000"/>
                <w:lang w:val="en-US"/>
              </w:rPr>
              <w:t>54</w:t>
            </w:r>
          </w:p>
        </w:tc>
        <w:tc>
          <w:tcPr>
            <w:tcW w:w="1487" w:type="dxa"/>
            <w:tcBorders>
              <w:top w:val="nil"/>
              <w:left w:val="nil"/>
              <w:bottom w:val="single" w:sz="8" w:space="0" w:color="auto"/>
              <w:right w:val="nil"/>
            </w:tcBorders>
            <w:shd w:val="clear" w:color="auto" w:fill="auto"/>
            <w:hideMark/>
          </w:tcPr>
          <w:p w14:paraId="7C1D7658" w14:textId="77777777" w:rsidR="0091145D" w:rsidRPr="0048196F" w:rsidRDefault="0091145D">
            <w:pPr>
              <w:rPr>
                <w:color w:val="000000"/>
                <w:lang w:val="en-US"/>
              </w:rPr>
            </w:pPr>
            <w:r w:rsidRPr="0048196F">
              <w:rPr>
                <w:rFonts w:eastAsia="MS Mincho"/>
                <w:color w:val="000000"/>
                <w:lang w:val="en-US"/>
              </w:rPr>
              <w:t>Certification</w:t>
            </w:r>
          </w:p>
        </w:tc>
        <w:tc>
          <w:tcPr>
            <w:tcW w:w="6144" w:type="dxa"/>
            <w:tcBorders>
              <w:top w:val="nil"/>
              <w:left w:val="nil"/>
              <w:bottom w:val="single" w:sz="8" w:space="0" w:color="auto"/>
              <w:right w:val="nil"/>
            </w:tcBorders>
            <w:shd w:val="clear" w:color="auto" w:fill="auto"/>
            <w:hideMark/>
          </w:tcPr>
          <w:p w14:paraId="11520C73" w14:textId="77777777" w:rsidR="0091145D" w:rsidRPr="0048196F" w:rsidRDefault="0091145D">
            <w:pPr>
              <w:rPr>
                <w:color w:val="000000"/>
                <w:lang w:val="en-US"/>
              </w:rPr>
            </w:pPr>
            <w:r w:rsidRPr="0048196F">
              <w:rPr>
                <w:rFonts w:eastAsia="MS Mincho"/>
                <w:color w:val="000000"/>
                <w:lang w:val="en-US"/>
              </w:rPr>
              <w:t>Certification is a process whereby an independent third party assesses the quality and production against a set of requirements. *</w:t>
            </w:r>
          </w:p>
        </w:tc>
      </w:tr>
    </w:tbl>
    <w:p w14:paraId="59F2FF70" w14:textId="77777777" w:rsidR="00607E07" w:rsidRPr="0048196F" w:rsidRDefault="00607E07" w:rsidP="00607E07">
      <w:pPr>
        <w:rPr>
          <w:lang w:val="en-US"/>
        </w:rPr>
      </w:pPr>
    </w:p>
    <w:p w14:paraId="5A3E47EC" w14:textId="77777777" w:rsidR="00607E07" w:rsidRPr="0048196F" w:rsidRDefault="00607E07" w:rsidP="00607E07">
      <w:pPr>
        <w:rPr>
          <w:lang w:val="en-US"/>
        </w:rPr>
      </w:pPr>
    </w:p>
    <w:p w14:paraId="225A1994" w14:textId="77777777" w:rsidR="00607E07" w:rsidRPr="0048196F" w:rsidRDefault="00607E07" w:rsidP="00607E07">
      <w:pPr>
        <w:rPr>
          <w:lang w:val="en-US"/>
        </w:rPr>
      </w:pPr>
    </w:p>
    <w:p w14:paraId="75940B5E" w14:textId="77777777" w:rsidR="00607E07" w:rsidRPr="0048196F" w:rsidRDefault="00607E07" w:rsidP="00607E07">
      <w:pPr>
        <w:spacing w:line="360" w:lineRule="auto"/>
        <w:rPr>
          <w:lang w:val="en-US"/>
        </w:rPr>
      </w:pPr>
    </w:p>
    <w:p w14:paraId="4B8515BA" w14:textId="77777777" w:rsidR="00607E07" w:rsidRPr="0048196F" w:rsidRDefault="00607E07" w:rsidP="00607E07">
      <w:pPr>
        <w:spacing w:line="360" w:lineRule="auto"/>
        <w:rPr>
          <w:lang w:val="en-US"/>
        </w:rPr>
      </w:pPr>
    </w:p>
    <w:p w14:paraId="73E7E439" w14:textId="340CDAC8" w:rsidR="00363724" w:rsidRPr="0048196F" w:rsidRDefault="00363724" w:rsidP="00363724">
      <w:pPr>
        <w:rPr>
          <w:lang w:val="en-US"/>
        </w:rPr>
      </w:pPr>
    </w:p>
    <w:p w14:paraId="68BA6D7C" w14:textId="53072050" w:rsidR="00297B3A" w:rsidRPr="0048196F" w:rsidRDefault="00297B3A" w:rsidP="00363724">
      <w:pPr>
        <w:rPr>
          <w:lang w:val="en-US"/>
        </w:rPr>
      </w:pPr>
    </w:p>
    <w:p w14:paraId="5DA0B51A" w14:textId="77777777" w:rsidR="008E2C26" w:rsidRDefault="009439BB" w:rsidP="008E2C26">
      <w:pPr>
        <w:keepNext/>
      </w:pPr>
      <w:r w:rsidRPr="0048196F">
        <w:rPr>
          <w:noProof/>
          <w:lang w:val="pt-PT" w:eastAsia="pt-PT"/>
        </w:rPr>
        <w:drawing>
          <wp:inline distT="0" distB="0" distL="0" distR="0" wp14:anchorId="664C9BFE" wp14:editId="4ED9CB64">
            <wp:extent cx="5449285" cy="7107382"/>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4058" r="1187"/>
                    <a:stretch/>
                  </pic:blipFill>
                  <pic:spPr bwMode="auto">
                    <a:xfrm>
                      <a:off x="0" y="0"/>
                      <a:ext cx="5503970" cy="7178707"/>
                    </a:xfrm>
                    <a:prstGeom prst="rect">
                      <a:avLst/>
                    </a:prstGeom>
                    <a:ln>
                      <a:noFill/>
                    </a:ln>
                    <a:extLst>
                      <a:ext uri="{53640926-AAD7-44D8-BBD7-CCE9431645EC}">
                        <a14:shadowObscured xmlns:a14="http://schemas.microsoft.com/office/drawing/2010/main"/>
                      </a:ext>
                    </a:extLst>
                  </pic:spPr>
                </pic:pic>
              </a:graphicData>
            </a:graphic>
          </wp:inline>
        </w:drawing>
      </w:r>
    </w:p>
    <w:p w14:paraId="536F76FA" w14:textId="15C0A055" w:rsidR="00297B3A" w:rsidRPr="0048196F" w:rsidRDefault="008E2C26" w:rsidP="008E2C26">
      <w:pPr>
        <w:pStyle w:val="Caption"/>
        <w:rPr>
          <w:lang w:val="en-US"/>
        </w:rPr>
      </w:pPr>
      <w:bookmarkStart w:id="68" w:name="_Toc14347572"/>
      <w:r w:rsidRPr="008E2C26">
        <w:rPr>
          <w:lang w:val="en-US"/>
        </w:rPr>
        <w:t xml:space="preserve">Figure </w:t>
      </w:r>
      <w:r>
        <w:fldChar w:fldCharType="begin"/>
      </w:r>
      <w:r w:rsidRPr="008E2C26">
        <w:rPr>
          <w:lang w:val="en-US"/>
        </w:rPr>
        <w:instrText xml:space="preserve"> SEQ Figure \* ARABIC </w:instrText>
      </w:r>
      <w:r>
        <w:fldChar w:fldCharType="separate"/>
      </w:r>
      <w:r w:rsidR="00634236">
        <w:rPr>
          <w:noProof/>
          <w:lang w:val="en-US"/>
        </w:rPr>
        <w:t>4</w:t>
      </w:r>
      <w:r>
        <w:fldChar w:fldCharType="end"/>
      </w:r>
      <w:r w:rsidRPr="008E2C26">
        <w:rPr>
          <w:lang w:val="en-US"/>
        </w:rPr>
        <w:t>: Distribution of survey responses</w:t>
      </w:r>
      <w:bookmarkEnd w:id="68"/>
    </w:p>
    <w:p w14:paraId="5E5C6E36" w14:textId="647FD2F8" w:rsidR="0076644B" w:rsidRDefault="0076644B" w:rsidP="0060097B">
      <w:pPr>
        <w:rPr>
          <w:lang w:val="en-US"/>
        </w:rPr>
      </w:pPr>
    </w:p>
    <w:p w14:paraId="16CD664A" w14:textId="60D9D177" w:rsidR="00AA5234" w:rsidRDefault="00AA5234" w:rsidP="0060097B">
      <w:pPr>
        <w:rPr>
          <w:lang w:val="en-US"/>
        </w:rPr>
      </w:pPr>
    </w:p>
    <w:p w14:paraId="1F459EFE" w14:textId="4FED8FDC" w:rsidR="00AA5234" w:rsidRDefault="00AA5234" w:rsidP="0060097B">
      <w:pPr>
        <w:rPr>
          <w:lang w:val="en-US"/>
        </w:rPr>
      </w:pPr>
    </w:p>
    <w:p w14:paraId="67B4C6C8" w14:textId="77777777" w:rsidR="00AA5234" w:rsidRPr="0048196F" w:rsidRDefault="00AA5234" w:rsidP="0060097B">
      <w:pPr>
        <w:rPr>
          <w:lang w:val="en-US"/>
        </w:rPr>
      </w:pPr>
    </w:p>
    <w:p w14:paraId="13D92742" w14:textId="2C85C81F" w:rsidR="00B31276" w:rsidRPr="0048196F" w:rsidRDefault="005A1B55" w:rsidP="004C3DC7">
      <w:pPr>
        <w:pStyle w:val="Heading2"/>
        <w:rPr>
          <w:lang w:val="en-US"/>
        </w:rPr>
      </w:pPr>
      <w:bookmarkStart w:id="69" w:name="_Toc14347329"/>
      <w:r w:rsidRPr="0048196F">
        <w:rPr>
          <w:lang w:val="en-US"/>
        </w:rPr>
        <w:t>Centered</w:t>
      </w:r>
      <w:r w:rsidR="003A0778" w:rsidRPr="0048196F">
        <w:rPr>
          <w:lang w:val="en-US"/>
        </w:rPr>
        <w:t xml:space="preserve"> scanning of </w:t>
      </w:r>
      <w:r w:rsidR="007B7AB9">
        <w:rPr>
          <w:lang w:val="en-US"/>
        </w:rPr>
        <w:t>trends: Top 6</w:t>
      </w:r>
      <w:bookmarkEnd w:id="69"/>
    </w:p>
    <w:p w14:paraId="7350E4C9" w14:textId="69088427" w:rsidR="0076644B" w:rsidRPr="0048196F" w:rsidRDefault="0076644B" w:rsidP="0076644B">
      <w:pPr>
        <w:spacing w:line="360" w:lineRule="auto"/>
        <w:rPr>
          <w:lang w:val="en-US"/>
        </w:rPr>
      </w:pPr>
      <w:r w:rsidRPr="0048196F">
        <w:rPr>
          <w:lang w:val="en-US"/>
        </w:rPr>
        <w:t>After having conducted exploratory scanning in the literature review, this section is devoted to finding information specific to the 6 main trends identified as most important in the survey. For each trend the (revised) definition is presented, followed by the relevance of this trend in the sector, related challenges and possible solutions. The objective is to increase general understanding, and more specifically the interaction between challenges and technology.</w:t>
      </w:r>
    </w:p>
    <w:p w14:paraId="0CC3C9A6" w14:textId="77777777" w:rsidR="00B31276" w:rsidRPr="0048196F" w:rsidRDefault="00B31276" w:rsidP="00B31276">
      <w:pPr>
        <w:spacing w:line="360" w:lineRule="auto"/>
        <w:rPr>
          <w:lang w:val="en-US"/>
        </w:rPr>
      </w:pPr>
    </w:p>
    <w:p w14:paraId="4E1BA166" w14:textId="2C2F4CA7" w:rsidR="00B31276" w:rsidRPr="0048196F" w:rsidRDefault="00B31276" w:rsidP="004C3DC7">
      <w:pPr>
        <w:pStyle w:val="Heading3"/>
        <w:rPr>
          <w:lang w:val="en-US"/>
        </w:rPr>
      </w:pPr>
      <w:bookmarkStart w:id="70" w:name="_Toc14347330"/>
      <w:r w:rsidRPr="0048196F">
        <w:rPr>
          <w:lang w:val="en-US"/>
        </w:rPr>
        <w:t>Data Economy</w:t>
      </w:r>
      <w:bookmarkEnd w:id="70"/>
    </w:p>
    <w:p w14:paraId="2D9C6402" w14:textId="17593D06" w:rsidR="00A05EE1" w:rsidRPr="0048196F" w:rsidRDefault="00A05EE1" w:rsidP="00A05EE1">
      <w:pPr>
        <w:rPr>
          <w:lang w:val="en-US"/>
        </w:rPr>
      </w:pPr>
      <w:r w:rsidRPr="0048196F">
        <w:rPr>
          <w:lang w:val="en-US"/>
        </w:rPr>
        <w:t xml:space="preserve">Keywords: </w:t>
      </w:r>
      <w:r w:rsidRPr="0048196F">
        <w:rPr>
          <w:i/>
          <w:iCs/>
          <w:lang w:val="en-US"/>
        </w:rPr>
        <w:t>Value extraction, Data sharing &amp; aggregation, Traceability, Business model innovation</w:t>
      </w:r>
      <w:r w:rsidRPr="0048196F">
        <w:rPr>
          <w:lang w:val="en-US"/>
        </w:rPr>
        <w:t xml:space="preserve"> </w:t>
      </w:r>
    </w:p>
    <w:p w14:paraId="40AB06B3" w14:textId="77777777" w:rsidR="00A05EE1" w:rsidRPr="0048196F" w:rsidRDefault="00A05EE1" w:rsidP="00A05EE1">
      <w:pPr>
        <w:rPr>
          <w:lang w:val="en-US"/>
        </w:rPr>
      </w:pPr>
    </w:p>
    <w:p w14:paraId="150B9375" w14:textId="40BAAC9C" w:rsidR="00B31276" w:rsidRPr="0048196F" w:rsidRDefault="00B31276" w:rsidP="00B31276">
      <w:pPr>
        <w:spacing w:line="360" w:lineRule="auto"/>
        <w:rPr>
          <w:b/>
          <w:lang w:val="en-US"/>
        </w:rPr>
      </w:pPr>
      <w:r w:rsidRPr="0048196F">
        <w:rPr>
          <w:b/>
          <w:lang w:val="en-US"/>
        </w:rPr>
        <w:t>D</w:t>
      </w:r>
      <w:r w:rsidR="005A1B55" w:rsidRPr="0048196F">
        <w:rPr>
          <w:b/>
          <w:lang w:val="en-US"/>
        </w:rPr>
        <w:t>escription</w:t>
      </w:r>
    </w:p>
    <w:p w14:paraId="34337ED3" w14:textId="51188DFB" w:rsidR="00B31276" w:rsidRPr="0048196F" w:rsidRDefault="00B31276" w:rsidP="00B31276">
      <w:pPr>
        <w:spacing w:line="360" w:lineRule="auto"/>
        <w:rPr>
          <w:lang w:val="en-US"/>
        </w:rPr>
      </w:pPr>
      <w:r w:rsidRPr="0048196F">
        <w:rPr>
          <w:lang w:val="en-US"/>
        </w:rPr>
        <w:t>Stakeholders in data sources, exploiters and consumers create a set of economic activities around the asset that has become increasingly strategic: Data.</w:t>
      </w:r>
    </w:p>
    <w:p w14:paraId="3695417D" w14:textId="77777777" w:rsidR="00B31276" w:rsidRPr="0048196F" w:rsidRDefault="00B31276" w:rsidP="00B31276">
      <w:pPr>
        <w:spacing w:line="360" w:lineRule="auto"/>
        <w:rPr>
          <w:b/>
          <w:lang w:val="en-US"/>
        </w:rPr>
      </w:pPr>
      <w:r w:rsidRPr="0048196F">
        <w:rPr>
          <w:b/>
          <w:lang w:val="en-US"/>
        </w:rPr>
        <w:t>Uses</w:t>
      </w:r>
    </w:p>
    <w:p w14:paraId="31282F6E" w14:textId="1C6A69F2" w:rsidR="00B31276" w:rsidRPr="0048196F" w:rsidRDefault="00B31276" w:rsidP="00B31276">
      <w:pPr>
        <w:spacing w:line="360" w:lineRule="auto"/>
        <w:rPr>
          <w:noProof/>
          <w:lang w:val="en-US"/>
        </w:rPr>
      </w:pPr>
      <w:r w:rsidRPr="0048196F">
        <w:rPr>
          <w:lang w:val="en-US"/>
        </w:rPr>
        <w:t xml:space="preserve">Data is generated exponentially and adds value throughout the value chain. Current efficiency gains in developed countries such as Ireland are largely driven by knowledge and data </w:t>
      </w:r>
      <w:r w:rsidRPr="0048196F">
        <w:rPr>
          <w:lang w:val="en-US"/>
        </w:rPr>
        <w:fldChar w:fldCharType="begin" w:fldLock="1"/>
      </w:r>
      <w:r w:rsidRPr="0048196F">
        <w:rPr>
          <w:lang w:val="en-US"/>
        </w:rPr>
        <w:instrText>ADDIN CSL_CITATION {"citationItems":[{"id":"ITEM-1","itemData":{"abstract":"Technology Transforming Irish Agri-Food and Bioeconomy","author":[{"dropping-particle":"","family":"TEAGASC","given":"","non-dropping-particle":"","parse-names":false,"suffix":""}],"id":"ITEM-1","issue":"March","issued":{"date-parts":[["2016"]]},"page":"80","title":"TEAGASC Technology Foresight 2035","type":"article-journal"},"uris":["http://www.mendeley.com/documents/?uuid=fe3a1152-2571-40d1-ae63-02479794e628"]}],"mendeley":{"formattedCitation":"(TEAGASC, 2016)","plainTextFormattedCitation":"(TEAGASC, 2016)","previouslyFormattedCitation":"(TEAGASC, 2016)"},"properties":{"noteIndex":0},"schema":"https://github.com/citation-style-language/schema/raw/master/csl-citation.json"}</w:instrText>
      </w:r>
      <w:r w:rsidRPr="0048196F">
        <w:rPr>
          <w:lang w:val="en-US"/>
        </w:rPr>
        <w:fldChar w:fldCharType="separate"/>
      </w:r>
      <w:r w:rsidRPr="0048196F">
        <w:rPr>
          <w:noProof/>
          <w:lang w:val="en-US"/>
        </w:rPr>
        <w:t>(TEAGASC, 2016)</w:t>
      </w:r>
      <w:r w:rsidRPr="0048196F">
        <w:rPr>
          <w:lang w:val="en-US"/>
        </w:rPr>
        <w:fldChar w:fldCharType="end"/>
      </w:r>
      <w:r w:rsidRPr="0048196F">
        <w:rPr>
          <w:lang w:val="en-US"/>
        </w:rPr>
        <w:t xml:space="preserve"> making the asset being described as “the world’s most valuable resource” </w:t>
      </w:r>
      <w:r w:rsidRPr="0048196F">
        <w:rPr>
          <w:lang w:val="en-US"/>
        </w:rPr>
        <w:fldChar w:fldCharType="begin" w:fldLock="1"/>
      </w:r>
      <w:r w:rsidRPr="0048196F">
        <w:rPr>
          <w:lang w:val="en-US"/>
        </w:rPr>
        <w:instrText>ADDIN CSL_CITATION {"citationItems":[{"id":"ITEM-1","itemData":{"author":[{"dropping-particle":"","family":"EIP-AGRI network","given":"","non-dropping-particle":"","parse-names":false,"suffix":""}],"id":"ITEM-1","issue":"July","issued":{"date-parts":[["2017"]]},"page":"16","title":"Eip-Agri Workshop Data Sharing: Ensuring Fair Sharing of Digitisation Benefits in Agriculture","type":"article-journal"},"uris":["http://www.mendeley.com/documents/?uuid=e5aa6435-fe3e-4517-b398-dea8ae1b9d62"]}],"mendeley":{"formattedCitation":"(EIP-AGRI network, 2017a)","plainTextFormattedCitation":"(EIP-AGRI network, 2017a)","previouslyFormattedCitation":"(EIP-AGRI network, 2017a)"},"properties":{"noteIndex":0},"schema":"https://github.com/citation-style-language/schema/raw/master/csl-citation.json"}</w:instrText>
      </w:r>
      <w:r w:rsidRPr="0048196F">
        <w:rPr>
          <w:lang w:val="en-US"/>
        </w:rPr>
        <w:fldChar w:fldCharType="separate"/>
      </w:r>
      <w:r w:rsidRPr="0048196F">
        <w:rPr>
          <w:noProof/>
          <w:lang w:val="en-US"/>
        </w:rPr>
        <w:t>(EIP-AGRI network, 2017a)</w:t>
      </w:r>
      <w:r w:rsidRPr="0048196F">
        <w:rPr>
          <w:lang w:val="en-US"/>
        </w:rPr>
        <w:fldChar w:fldCharType="end"/>
      </w:r>
      <w:r w:rsidRPr="0048196F">
        <w:rPr>
          <w:lang w:val="en-US"/>
        </w:rPr>
        <w:t xml:space="preserve">.  At the core of the agricultural revolution lies the use and collection of data to drive management decisions </w:t>
      </w:r>
      <w:r w:rsidRPr="0048196F">
        <w:rPr>
          <w:lang w:val="en-US"/>
        </w:rPr>
        <w:fldChar w:fldCharType="begin" w:fldLock="1"/>
      </w:r>
      <w:r w:rsidRPr="0048196F">
        <w:rPr>
          <w:lang w:val="en-US"/>
        </w:rPr>
        <w:instrText>ADDIN CSL_CITATION {"citationItems":[{"id":"ITEM-1","itemData":{"DOI":"10.1111/soru.12233","ISSN":"14679523","abstract":"&lt;section class=\"article-section article-section__abstract\" lang=\"en\" data-lang=\"en\" id=\"section-1-en\"&gt;\n   &lt;h3 class=\"article-section__header main main\"&gt;Abstract&lt;/h3&gt;\n   &lt;div class=\"article-section__content en main\"&gt;\n      \n      &lt;p&gt;Digital technologies are being developed and adopted across the agri‐food system, from farm to fork. Within decision‐making spaces, however, little attention is being paid to political factors arising from such technological developments. This review draws from critical social sciences to examine emerging technologies and big data systems in agriculture and assesses some key issues arising in the field. We begin with an introduction and review of the so‐called ‘digital revolution’ and then briefly outline how political economy is effective for understanding major challenges for governing technologies and data systems in agriculture. These challenges include: 1) data ownership and control, 2) the production of technologies and data development, and 3) data security. We then use literature and examples to consider the extent to which the political and economic landscape can be shifted to support greater equity in agriculture, while reflecting on structural challenges and limits. In doing so, we emphasise that while there are significant systemic tensions between digital ag‐tech development and agroecological approaches, we do not see them as mutually exclusive per se. This paper intends to provide decision‐makers, practitioners and scholars from a wide range of disciplines with a timely assessment of agri‐food digitalisation that attends to political economic factors. In doing so, this paper contributes to policy and decision‐making discussions, which, from our perspective, continue to be rather technocentric in nature while paying little attention to how digital technologies can support agroecological systems specifically.&lt;/p&gt;\n      &lt;p&gt;This article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Review","type":"article-journal","volume":"59"},"uris":["http://www.mendeley.com/documents/?uuid=31184e33-6374-453b-8302-c1c836206c28"]}],"mendeley":{"formattedCitation":"(Rotz et al., 2019)","plainTextFormattedCitation":"(Rotz et al., 2019)","previouslyFormattedCitation":"(Rotz et al., 2019)"},"properties":{"noteIndex":0},"schema":"https://github.com/citation-style-language/schema/raw/master/csl-citation.json"}</w:instrText>
      </w:r>
      <w:r w:rsidRPr="0048196F">
        <w:rPr>
          <w:lang w:val="en-US"/>
        </w:rPr>
        <w:fldChar w:fldCharType="separate"/>
      </w:r>
      <w:r w:rsidRPr="0048196F">
        <w:rPr>
          <w:noProof/>
          <w:lang w:val="en-US"/>
        </w:rPr>
        <w:t>(Rotz et al., 2019)</w:t>
      </w:r>
      <w:r w:rsidRPr="0048196F">
        <w:rPr>
          <w:lang w:val="en-US"/>
        </w:rPr>
        <w:fldChar w:fldCharType="end"/>
      </w:r>
      <w:r w:rsidRPr="0048196F">
        <w:rPr>
          <w:lang w:val="en-US"/>
        </w:rPr>
        <w:t xml:space="preserve">. Additional uses are automation, product tracing and to gain consumer insights. Data creates value </w:t>
      </w:r>
      <w:r w:rsidR="00BC2978" w:rsidRPr="0048196F">
        <w:rPr>
          <w:lang w:val="en-US"/>
        </w:rPr>
        <w:t xml:space="preserve">for a variety of research fields, </w:t>
      </w:r>
      <w:r w:rsidRPr="0048196F">
        <w:rPr>
          <w:lang w:val="en-US"/>
        </w:rPr>
        <w:t xml:space="preserve">suppliers use farmers’ data to market fertilizers, farmers optimize decision making and implement risk management practices, food processors use social media to anticipate consumer demand and consumers have access to data providing the demanded information about their food’s provenance </w:t>
      </w:r>
      <w:r w:rsidRPr="0048196F">
        <w:rPr>
          <w:lang w:val="en-US"/>
        </w:rPr>
        <w:fldChar w:fldCharType="begin" w:fldLock="1"/>
      </w:r>
      <w:r w:rsidRPr="0048196F">
        <w:rPr>
          <w:lang w:val="en-US"/>
        </w:rPr>
        <w:instrText>ADDIN CSL_CITATION {"citationItems":[{"id":"ITEM-1","itemData":{"DOI":"10.5281/zenodo.893700","author":[{"dropping-particle":"","family":"Wolfert","given":"Sjaak","non-dropping-particle":"","parse-names":false,"suffix":""},{"dropping-particle":"","family":"Bogaardt","given":"Marc-jeroen","non-dropping-particle":"","parse-names":false,"suffix":""},{"dropping-particle":"","family":"Ge","given":"Lan","non-dropping-particle":"","parse-names":false,"suffix":""},{"dropping-particle":"","family":"Soma","given":"Katrine","non-dropping-particle":"","parse-names":false,"suffix":""},{"dropping-particle":"","family":"Verdouw","given":"Cor","non-dropping-particle":"","parse-names":false,"suffix":""}],"id":"ITEM-1","issue":"October","issued":{"date-parts":[["2016"]]},"page":"1-11","title":"Guidelines for governance of data sharing in agri-food networks","type":"article-journal"},"uris":["http://www.mendeley.com/documents/?uuid=0e056403-9da0-4d26-b402-efc3f315ff11"]}],"mendeley":{"formattedCitation":"(S. Wolfert, Bogaardt, Ge, Soma, &amp; Verdouw, 2016)","plainTextFormattedCitation":"(S. Wolfert, Bogaardt, Ge, Soma, &amp; Verdouw, 2016)","previouslyFormattedCitation":"(S. Wolfert, Bogaardt, Ge, Soma, &amp; Verdouw, 2016)"},"properties":{"noteIndex":0},"schema":"https://github.com/citation-style-language/schema/raw/master/csl-citation.json"}</w:instrText>
      </w:r>
      <w:r w:rsidRPr="0048196F">
        <w:rPr>
          <w:lang w:val="en-US"/>
        </w:rPr>
        <w:fldChar w:fldCharType="separate"/>
      </w:r>
      <w:r w:rsidRPr="0048196F">
        <w:rPr>
          <w:noProof/>
          <w:lang w:val="en-US"/>
        </w:rPr>
        <w:t>(S. Wolfert, Bogaardt, Ge, Soma, &amp; Verdouw, 2016)</w:t>
      </w:r>
      <w:r w:rsidRPr="0048196F">
        <w:rPr>
          <w:lang w:val="en-US"/>
        </w:rPr>
        <w:fldChar w:fldCharType="end"/>
      </w:r>
      <w:r w:rsidRPr="0048196F">
        <w:rPr>
          <w:lang w:val="en-US"/>
        </w:rPr>
        <w:t>. Data not only provides individual actors benefits; it has been proven that data driven leadership of global agri-food supply chains increases the chain’s productivity significantly (</w:t>
      </w:r>
      <w:r w:rsidRPr="0048196F">
        <w:rPr>
          <w:noProof/>
          <w:lang w:val="en-US"/>
        </w:rPr>
        <w:t xml:space="preserve">Akhtar et al., 2016). Data collection supports transparancy and trust, and allows the coordination of activities, strategic development and </w:t>
      </w:r>
      <w:r w:rsidR="00BC2978" w:rsidRPr="0048196F">
        <w:rPr>
          <w:noProof/>
          <w:lang w:val="en-US"/>
        </w:rPr>
        <w:t xml:space="preserve">execution of </w:t>
      </w:r>
      <w:r w:rsidRPr="0048196F">
        <w:rPr>
          <w:noProof/>
          <w:lang w:val="en-US"/>
        </w:rPr>
        <w:t xml:space="preserve">radically new business models </w:t>
      </w:r>
      <w:r w:rsidRPr="0048196F">
        <w:rPr>
          <w:noProof/>
          <w:lang w:val="en-US"/>
        </w:rPr>
        <w:fldChar w:fldCharType="begin" w:fldLock="1"/>
      </w:r>
      <w:r w:rsidRPr="0048196F">
        <w:rPr>
          <w:noProof/>
          <w:lang w:val="en-US"/>
        </w:rPr>
        <w:instrText>ADDIN CSL_CITATION {"citationItems":[{"id":"ITEM-1","itemData":{"abstract":"Digital technologies can support European farmers in providing safe, sustainable and quality food. They can also contribute to fighting climate change. Although the digitisation of the farming sector comes with many benefits, and a number of actions and instruments have already been implemented, barriers to realise its full potential across Europe still exist. This brochure looks into what can be done to continue moving forward, highlighting inspiring examples and key areas for action.","author":[{"dropping-particle":"","family":"EIP-AGRI network","given":"","non-dropping-particle":"","parse-names":false,"suffix":""}],"id":"ITEM-1","issued":{"date-parts":[["2017"]]},"page":"12","title":"Shaping the digital (r)evolution in agriculture","type":"article-journal"},"uris":["http://www.mendeley.com/documents/?uuid=0b290d96-462e-44cb-84f8-846c71dba435"]}],"mendeley":{"formattedCitation":"(EIP-AGRI network, 2017b)","plainTextFormattedCitation":"(EIP-AGRI network, 2017b)","previouslyFormattedCitation":"(EIP-AGRI network, 2017b)"},"properties":{"noteIndex":0},"schema":"https://github.com/citation-style-language/schema/raw/master/csl-citation.json"}</w:instrText>
      </w:r>
      <w:r w:rsidRPr="0048196F">
        <w:rPr>
          <w:noProof/>
          <w:lang w:val="en-US"/>
        </w:rPr>
        <w:fldChar w:fldCharType="separate"/>
      </w:r>
      <w:r w:rsidRPr="0048196F">
        <w:rPr>
          <w:noProof/>
          <w:lang w:val="en-US"/>
        </w:rPr>
        <w:t>(EIP-AGRI network, 2017b)</w:t>
      </w:r>
      <w:r w:rsidRPr="0048196F">
        <w:rPr>
          <w:noProof/>
          <w:lang w:val="en-US"/>
        </w:rPr>
        <w:fldChar w:fldCharType="end"/>
      </w:r>
      <w:r w:rsidRPr="0048196F">
        <w:rPr>
          <w:noProof/>
          <w:lang w:val="en-US"/>
        </w:rPr>
        <w:t xml:space="preserve">. An entire economy is forming around the valuable and strategic asset, bringing along technological and regulatory challenges. </w:t>
      </w:r>
    </w:p>
    <w:p w14:paraId="6DB06C2B" w14:textId="77777777" w:rsidR="00B31276" w:rsidRPr="0048196F" w:rsidRDefault="00B31276" w:rsidP="00B31276">
      <w:pPr>
        <w:spacing w:line="360" w:lineRule="auto"/>
        <w:rPr>
          <w:b/>
          <w:noProof/>
          <w:lang w:val="en-US"/>
        </w:rPr>
      </w:pPr>
      <w:r w:rsidRPr="0048196F">
        <w:rPr>
          <w:b/>
          <w:noProof/>
          <w:lang w:val="en-US"/>
        </w:rPr>
        <w:t>Challenges</w:t>
      </w:r>
    </w:p>
    <w:p w14:paraId="4709CBFC" w14:textId="396F1B0B" w:rsidR="00B31276" w:rsidRPr="0048196F" w:rsidRDefault="00B31276" w:rsidP="00B31276">
      <w:pPr>
        <w:spacing w:line="360" w:lineRule="auto"/>
        <w:rPr>
          <w:lang w:val="en-US"/>
        </w:rPr>
      </w:pPr>
      <w:r w:rsidRPr="0048196F">
        <w:rPr>
          <w:noProof/>
          <w:lang w:val="en-US"/>
        </w:rPr>
        <w:t>It is of great importance</w:t>
      </w:r>
      <w:r w:rsidR="00BC2978" w:rsidRPr="0048196F">
        <w:rPr>
          <w:noProof/>
          <w:lang w:val="en-US"/>
        </w:rPr>
        <w:t xml:space="preserve"> (1)</w:t>
      </w:r>
      <w:r w:rsidRPr="0048196F">
        <w:rPr>
          <w:noProof/>
          <w:lang w:val="en-US"/>
        </w:rPr>
        <w:t xml:space="preserve"> to prevent the creation of monopolies withtin data ecosystems and markets </w:t>
      </w:r>
      <w:r w:rsidRPr="0048196F">
        <w:rPr>
          <w:noProof/>
          <w:lang w:val="en-US"/>
        </w:rPr>
        <w:fldChar w:fldCharType="begin" w:fldLock="1"/>
      </w:r>
      <w:r w:rsidRPr="0048196F">
        <w:rPr>
          <w:noProof/>
          <w:lang w:val="en-US"/>
        </w:rPr>
        <w:instrText>ADDIN CSL_CITATION {"citationItems":[{"id":"ITEM-1","itemData":{"author":[{"dropping-particle":"","family":"EIP-AGRI network","given":"","non-dropping-particle":"","parse-names":false,"suffix":""}],"id":"ITEM-1","issue":"July","issued":{"date-parts":[["2017"]]},"page":"16","title":"Eip-Agri Workshop Data Sharing: Ensuring Fair Sharing of Digitisation Benefits in Agriculture","type":"article-journal"},"uris":["http://www.mendeley.com/documents/?uuid=e5aa6435-fe3e-4517-b398-dea8ae1b9d62"]}],"mendeley":{"formattedCitation":"(EIP-AGRI network, 2017a)","plainTextFormattedCitation":"(EIP-AGRI network, 2017a)","previouslyFormattedCitation":"(EIP-AGRI network, 2017a)"},"properties":{"noteIndex":0},"schema":"https://github.com/citation-style-language/schema/raw/master/csl-citation.json"}</w:instrText>
      </w:r>
      <w:r w:rsidRPr="0048196F">
        <w:rPr>
          <w:noProof/>
          <w:lang w:val="en-US"/>
        </w:rPr>
        <w:fldChar w:fldCharType="separate"/>
      </w:r>
      <w:r w:rsidRPr="0048196F">
        <w:rPr>
          <w:noProof/>
          <w:lang w:val="en-US"/>
        </w:rPr>
        <w:t>(EIP-AGRI network, 2017a)</w:t>
      </w:r>
      <w:r w:rsidRPr="0048196F">
        <w:rPr>
          <w:noProof/>
          <w:lang w:val="en-US"/>
        </w:rPr>
        <w:fldChar w:fldCharType="end"/>
      </w:r>
      <w:r w:rsidRPr="0048196F">
        <w:rPr>
          <w:noProof/>
          <w:lang w:val="en-US"/>
        </w:rPr>
        <w:t xml:space="preserve">, and </w:t>
      </w:r>
      <w:r w:rsidR="00BC2978" w:rsidRPr="0048196F">
        <w:rPr>
          <w:noProof/>
          <w:lang w:val="en-US"/>
        </w:rPr>
        <w:t xml:space="preserve"> (2) </w:t>
      </w:r>
      <w:r w:rsidRPr="0048196F">
        <w:rPr>
          <w:noProof/>
          <w:lang w:val="en-US"/>
        </w:rPr>
        <w:t xml:space="preserve">to optimize value extracted from data. This results in the European’s commision active involvement to protect data privacy, ownership and movement </w:t>
      </w:r>
      <w:r w:rsidRPr="0048196F">
        <w:rPr>
          <w:noProof/>
          <w:lang w:val="en-US"/>
        </w:rPr>
        <w:fldChar w:fldCharType="begin" w:fldLock="1"/>
      </w:r>
      <w:r w:rsidRPr="0048196F">
        <w:rPr>
          <w:noProof/>
          <w:lang w:val="en-US"/>
        </w:rPr>
        <w:instrText>ADDIN CSL_CITATION {"citationItems":[{"id":"ITEM-1","itemData":{"abstract":"Digital technologies can support European farmers in providing safe, sustainable and quality food. They can also contribute to fighting climate change. Although the digitisation of the farming sector comes with many benefits, and a number of actions and instruments have already been implemented, barriers to realise its full potential across Europe still exist. This brochure looks into what can be done to continue moving forward, highlighting inspiring examples and key areas for action.","author":[{"dropping-particle":"","family":"EIP-AGRI network","given":"","non-dropping-particle":"","parse-names":false,"suffix":""}],"id":"ITEM-1","issued":{"date-parts":[["2017"]]},"page":"12","title":"Shaping the digital (r)evolution in agriculture","type":"article-journal"},"uris":["http://www.mendeley.com/documents/?uuid=0b290d96-462e-44cb-84f8-846c71dba435"]}],"mendeley":{"formattedCitation":"(EIP-AGRI network, 2017b)","plainTextFormattedCitation":"(EIP-AGRI network, 2017b)","previouslyFormattedCitation":"(EIP-AGRI network, 2017b)"},"properties":{"noteIndex":0},"schema":"https://github.com/citation-style-language/schema/raw/master/csl-citation.json"}</w:instrText>
      </w:r>
      <w:r w:rsidRPr="0048196F">
        <w:rPr>
          <w:noProof/>
          <w:lang w:val="en-US"/>
        </w:rPr>
        <w:fldChar w:fldCharType="separate"/>
      </w:r>
      <w:r w:rsidRPr="0048196F">
        <w:rPr>
          <w:noProof/>
          <w:lang w:val="en-US"/>
        </w:rPr>
        <w:t>(EIP-AGRI network, 2017b)</w:t>
      </w:r>
      <w:r w:rsidRPr="0048196F">
        <w:rPr>
          <w:noProof/>
          <w:lang w:val="en-US"/>
        </w:rPr>
        <w:fldChar w:fldCharType="end"/>
      </w:r>
      <w:r w:rsidRPr="0048196F">
        <w:rPr>
          <w:noProof/>
          <w:lang w:val="en-US"/>
        </w:rPr>
        <w:t xml:space="preserve">. These objectives are in line with the </w:t>
      </w:r>
      <w:r w:rsidR="00E21B62" w:rsidRPr="0048196F">
        <w:rPr>
          <w:noProof/>
          <w:lang w:val="en-US"/>
        </w:rPr>
        <w:t xml:space="preserve">two </w:t>
      </w:r>
      <w:r w:rsidRPr="0048196F">
        <w:rPr>
          <w:noProof/>
          <w:lang w:val="en-US"/>
        </w:rPr>
        <w:t xml:space="preserve">challenges identified by </w:t>
      </w:r>
      <w:r w:rsidRPr="0048196F">
        <w:rPr>
          <w:noProof/>
          <w:lang w:val="en-US"/>
        </w:rPr>
        <w:fldChar w:fldCharType="begin" w:fldLock="1"/>
      </w:r>
      <w:r w:rsidRPr="0048196F">
        <w:rPr>
          <w:noProof/>
          <w:lang w:val="en-US"/>
        </w:rPr>
        <w:instrText>ADDIN CSL_CITATION {"citationItems":[{"id":"ITEM-1","itemData":{"DOI":"10.1111/soru.12233","ISSN":"14679523","abstract":"&lt;section class=\"article-section article-section__abstract\" lang=\"en\" data-lang=\"en\" id=\"section-1-en\"&gt;\n   &lt;h3 class=\"article-section__header main main\"&gt;Abstract&lt;/h3&gt;\n   &lt;div class=\"article-section__content en main\"&gt;\n      \n      &lt;p&gt;Digital technologies are being developed and adopted across the agri‐food system, from farm to fork. Within decision‐making spaces, however, little attention is being paid to political factors arising from such technological developments. This review draws from critical social sciences to examine emerging technologies and big data systems in agriculture and assesses some key issues arising in the field. We begin with an introduction and review of the so‐called ‘digital revolution’ and then briefly outline how political economy is effective for understanding major challenges for governing technologies and data systems in agriculture. These challenges include: 1) data ownership and control, 2) the production of technologies and data development, and 3) data security. We then use literature and examples to consider the extent to which the political and economic landscape can be shifted to support greater equity in agriculture, while reflecting on structural challenges and limits. In doing so, we emphasise that while there are significant systemic tensions between digital ag‐tech development and agroecological approaches, we do not see them as mutually exclusive per se. This paper intends to provide decision‐makers, practitioners and scholars from a wide range of disciplines with a timely assessment of agri‐food digitalisation that attends to political economic factors. In doing so, this paper contributes to policy and decision‐making discussions, which, from our perspective, continue to be rather technocentric in nature while paying little attention to how digital technologies can support agroecological systems specifically.&lt;/p&gt;\n      &lt;p&gt;This article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Review","type":"article-journal","volume":"59"},"uris":["http://www.mendeley.com/documents/?uuid=31184e33-6374-453b-8302-c1c836206c28"]}],"mendeley":{"formattedCitation":"(Rotz et al., 2019)","plainTextFormattedCitation":"(Rotz et al., 2019)","previouslyFormattedCitation":"(Rotz et al., 2019)"},"properties":{"noteIndex":0},"schema":"https://github.com/citation-style-language/schema/raw/master/csl-citation.json"}</w:instrText>
      </w:r>
      <w:r w:rsidRPr="0048196F">
        <w:rPr>
          <w:noProof/>
          <w:lang w:val="en-US"/>
        </w:rPr>
        <w:fldChar w:fldCharType="separate"/>
      </w:r>
      <w:r w:rsidRPr="0048196F">
        <w:rPr>
          <w:noProof/>
          <w:lang w:val="en-US"/>
        </w:rPr>
        <w:t>(Rotz et al., 2019)</w:t>
      </w:r>
      <w:r w:rsidRPr="0048196F">
        <w:rPr>
          <w:noProof/>
          <w:lang w:val="en-US"/>
        </w:rPr>
        <w:fldChar w:fldCharType="end"/>
      </w:r>
      <w:r w:rsidRPr="0048196F">
        <w:rPr>
          <w:noProof/>
          <w:lang w:val="en-US"/>
        </w:rPr>
        <w:t xml:space="preserve">; (1) data ownership (2) </w:t>
      </w:r>
      <w:r w:rsidRPr="0048196F">
        <w:rPr>
          <w:lang w:val="en-US"/>
        </w:rPr>
        <w:t xml:space="preserve">the production of technologies &amp; data development. Many data owners are refraining from sharing data because of fear of governance issues such as data insecurity, lack of privacy or liability and others </w:t>
      </w:r>
      <w:r w:rsidRPr="0048196F">
        <w:rPr>
          <w:lang w:val="en-US"/>
        </w:rPr>
        <w:fldChar w:fldCharType="begin" w:fldLock="1"/>
      </w:r>
      <w:r w:rsidRPr="0048196F">
        <w:rPr>
          <w:lang w:val="en-US"/>
        </w:rPr>
        <w:instrText>ADDIN CSL_CITATION {"citationItems":[{"id":"ITEM-1","itemData":{"DOI":"10.5281/zenodo.893700","author":[{"dropping-particle":"","family":"Wolfert","given":"Sjaak","non-dropping-particle":"","parse-names":false,"suffix":""},{"dropping-particle":"","family":"Bogaardt","given":"Marc-jeroen","non-dropping-particle":"","parse-names":false,"suffix":""},{"dropping-particle":"","family":"Ge","given":"Lan","non-dropping-particle":"","parse-names":false,"suffix":""},{"dropping-particle":"","family":"Soma","given":"Katrine","non-dropping-particle":"","parse-names":false,"suffix":""},{"dropping-particle":"","family":"Verdouw","given":"Cor","non-dropping-particle":"","parse-names":false,"suffix":""}],"id":"ITEM-1","issue":"October","issued":{"date-parts":[["2016"]]},"page":"1-11","title":"Guidelines for governance of data sharing in agri-food networks","type":"article-journal"},"uris":["http://www.mendeley.com/documents/?uuid=0e056403-9da0-4d26-b402-efc3f315ff11"]}],"mendeley":{"formattedCitation":"(S. Wolfert et al., 2016)","plainTextFormattedCitation":"(S. Wolfert et al., 2016)","previouslyFormattedCitation":"(S. Wolfert et al., 2016)"},"properties":{"noteIndex":0},"schema":"https://github.com/citation-style-language/schema/raw/master/csl-citation.json"}</w:instrText>
      </w:r>
      <w:r w:rsidRPr="0048196F">
        <w:rPr>
          <w:lang w:val="en-US"/>
        </w:rPr>
        <w:fldChar w:fldCharType="separate"/>
      </w:r>
      <w:r w:rsidRPr="0048196F">
        <w:rPr>
          <w:noProof/>
          <w:lang w:val="en-US"/>
        </w:rPr>
        <w:t>(S. Wolfert et al., 2016)</w:t>
      </w:r>
      <w:r w:rsidRPr="0048196F">
        <w:rPr>
          <w:lang w:val="en-US"/>
        </w:rPr>
        <w:fldChar w:fldCharType="end"/>
      </w:r>
      <w:r w:rsidRPr="0048196F">
        <w:rPr>
          <w:lang w:val="en-US"/>
        </w:rPr>
        <w:t xml:space="preserve">. The limitation of data sharing and </w:t>
      </w:r>
      <w:r w:rsidR="00BC2978" w:rsidRPr="0048196F">
        <w:rPr>
          <w:lang w:val="en-US"/>
        </w:rPr>
        <w:t>additional</w:t>
      </w:r>
      <w:r w:rsidRPr="0048196F">
        <w:rPr>
          <w:lang w:val="en-US"/>
        </w:rPr>
        <w:t xml:space="preserve"> aggregation inhibits optimal use for scientific, societal and industrial purposes. </w:t>
      </w:r>
      <w:r w:rsidR="00BC2978" w:rsidRPr="0048196F">
        <w:rPr>
          <w:lang w:val="en-US"/>
        </w:rPr>
        <w:t>To improve value extracted from data t</w:t>
      </w:r>
      <w:r w:rsidRPr="0048196F">
        <w:rPr>
          <w:lang w:val="en-US"/>
        </w:rPr>
        <w:t xml:space="preserve">he European Commission aims to achieve a free flow of data between locations, borders, and within a single data space </w:t>
      </w:r>
      <w:r w:rsidRPr="0048196F">
        <w:rPr>
          <w:lang w:val="en-US"/>
        </w:rPr>
        <w:fldChar w:fldCharType="begin" w:fldLock="1"/>
      </w:r>
      <w:r w:rsidRPr="0048196F">
        <w:rPr>
          <w:lang w:val="en-US"/>
        </w:rPr>
        <w:instrText>ADDIN CSL_CITATION {"citationItems":[{"id":"ITEM-1","itemData":{"author":[{"dropping-particle":"","family":"EIP-AGRI network","given":"","non-dropping-particle":"","parse-names":false,"suffix":""}],"id":"ITEM-1","issue":"July","issued":{"date-parts":[["2017"]]},"page":"16","title":"Eip-Agri Workshop Data Sharing: Ensuring Fair Sharing of Digitisation Benefits in Agriculture","type":"article-journal"},"uris":["http://www.mendeley.com/documents/?uuid=e5aa6435-fe3e-4517-b398-dea8ae1b9d62"]}],"mendeley":{"formattedCitation":"(EIP-AGRI network, 2017a)","plainTextFormattedCitation":"(EIP-AGRI network, 2017a)","previouslyFormattedCitation":"(EIP-AGRI network, 2017a)"},"properties":{"noteIndex":0},"schema":"https://github.com/citation-style-language/schema/raw/master/csl-citation.json"}</w:instrText>
      </w:r>
      <w:r w:rsidRPr="0048196F">
        <w:rPr>
          <w:lang w:val="en-US"/>
        </w:rPr>
        <w:fldChar w:fldCharType="separate"/>
      </w:r>
      <w:r w:rsidRPr="0048196F">
        <w:rPr>
          <w:noProof/>
          <w:lang w:val="en-US"/>
        </w:rPr>
        <w:t>(EIP-AGRI network, 2017a)</w:t>
      </w:r>
      <w:r w:rsidRPr="0048196F">
        <w:rPr>
          <w:lang w:val="en-US"/>
        </w:rPr>
        <w:fldChar w:fldCharType="end"/>
      </w:r>
      <w:r w:rsidRPr="0048196F">
        <w:rPr>
          <w:lang w:val="en-US"/>
        </w:rPr>
        <w:t xml:space="preserve">. </w:t>
      </w:r>
      <w:r w:rsidR="00BC2978" w:rsidRPr="0048196F">
        <w:rPr>
          <w:lang w:val="en-US"/>
        </w:rPr>
        <w:t xml:space="preserve">The protectionist climate of data adds to </w:t>
      </w:r>
      <w:r w:rsidR="00363724" w:rsidRPr="0048196F">
        <w:rPr>
          <w:lang w:val="en-US"/>
        </w:rPr>
        <w:t>inefficiencies</w:t>
      </w:r>
      <w:r w:rsidR="00BC2978" w:rsidRPr="0048196F">
        <w:rPr>
          <w:lang w:val="en-US"/>
        </w:rPr>
        <w:t xml:space="preserve"> in the development of technologies. A top down approach of development limits usability for smaller stakeholders, and incompatibility between data sources </w:t>
      </w:r>
      <w:r w:rsidR="00495F39" w:rsidRPr="0048196F">
        <w:rPr>
          <w:lang w:val="en-US"/>
        </w:rPr>
        <w:t>limits decision support systems</w:t>
      </w:r>
      <w:r w:rsidR="00BC2978" w:rsidRPr="0048196F">
        <w:rPr>
          <w:lang w:val="en-US"/>
        </w:rPr>
        <w:t xml:space="preserve"> </w:t>
      </w:r>
      <w:r w:rsidR="00BC2978" w:rsidRPr="0048196F">
        <w:rPr>
          <w:lang w:val="en-US"/>
        </w:rPr>
        <w:fldChar w:fldCharType="begin" w:fldLock="1"/>
      </w:r>
      <w:r w:rsidR="00205B8A" w:rsidRPr="0048196F">
        <w:rPr>
          <w:lang w:val="en-US"/>
        </w:rPr>
        <w:instrText>ADDIN CSL_CITATION {"citationItems":[{"id":"ITEM-1","itemData":{"DOI":"10.1111/soru.12233","ISSN":"14679523","abstract":"&lt;section class=\"article-section article-section__abstract\" lang=\"en\" data-lang=\"en\" id=\"section-1-en\"&gt;\n   &lt;h3 class=\"article-section__header main main\"&gt;Abstract&lt;/h3&gt;\n   &lt;div class=\"article-section__content en main\"&gt;\n      \n      &lt;p&gt;Digital technologies are being developed and adopted across the agri‐food system, from farm to fork. Within decision‐making spaces, however, little attention is being paid to political factors arising from such technological developments. This review draws from critical social sciences to examine emerging technologies and big data systems in agriculture and assesses some key issues arising in the field. We begin with an introduction and review of the so‐called ‘digital revolution’ and then briefly outline how political economy is effective for understanding major challenges for governing technologies and data systems in agriculture. These challenges include: 1) data ownership and control, 2) the production of technologies and data development, and 3) data security. We then use literature and examples to consider the extent to which the political and economic landscape can be shifted to support greater equity in agriculture, while reflecting on structural challenges and limits. In doing so, we emphasise that while there are significant systemic tensions between digital ag‐tech development and agroecological approaches, we do not see them as mutually exclusive per se. This paper intends to provide decision‐makers, practitioners and scholars from a wide range of disciplines with a timely assessment of agri‐food digitalisation that attends to political economic factors. In doing so, this paper contributes to policy and decision‐making discussions, which, from our perspective, continue to be rather technocentric in nature while paying little attention to how digital technologies can support agroecological systems specifically.&lt;/p&gt;\n      &lt;p&gt;This article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Review","type":"article-journal","volume":"59"},"uris":["http://www.mendeley.com/documents/?uuid=2a48291f-a221-431b-a4d3-6410a642aa9b"]}],"mendeley":{"formattedCitation":"(Rotz et al., 2019)","plainTextFormattedCitation":"(Rotz et al., 2019)","previouslyFormattedCitation":"(Rotz et al., 2019)"},"properties":{"noteIndex":0},"schema":"https://github.com/citation-style-language/schema/raw/master/csl-citation.json"}</w:instrText>
      </w:r>
      <w:r w:rsidR="00BC2978" w:rsidRPr="0048196F">
        <w:rPr>
          <w:lang w:val="en-US"/>
        </w:rPr>
        <w:fldChar w:fldCharType="separate"/>
      </w:r>
      <w:r w:rsidR="00BC2978" w:rsidRPr="0048196F">
        <w:rPr>
          <w:noProof/>
          <w:lang w:val="en-US"/>
        </w:rPr>
        <w:t>(Rotz et al., 2019)</w:t>
      </w:r>
      <w:r w:rsidR="00BC2978" w:rsidRPr="0048196F">
        <w:rPr>
          <w:lang w:val="en-US"/>
        </w:rPr>
        <w:fldChar w:fldCharType="end"/>
      </w:r>
      <w:r w:rsidR="00BC2978" w:rsidRPr="0048196F">
        <w:rPr>
          <w:lang w:val="en-US"/>
        </w:rPr>
        <w:t xml:space="preserve">. </w:t>
      </w:r>
      <w:r w:rsidRPr="0048196F">
        <w:rPr>
          <w:lang w:val="en-US"/>
        </w:rPr>
        <w:t>The current climate has resulted in interoperability and legal challenges, caus</w:t>
      </w:r>
      <w:r w:rsidR="00BC2978" w:rsidRPr="0048196F">
        <w:rPr>
          <w:lang w:val="en-US"/>
        </w:rPr>
        <w:t>ing</w:t>
      </w:r>
      <w:r w:rsidRPr="0048196F">
        <w:rPr>
          <w:lang w:val="en-US"/>
        </w:rPr>
        <w:t xml:space="preserve"> companies to gain control over data generated across the food system</w:t>
      </w:r>
      <w:r w:rsidR="00BC2978" w:rsidRPr="0048196F">
        <w:rPr>
          <w:lang w:val="en-US"/>
        </w:rPr>
        <w:t>,</w:t>
      </w:r>
      <w:r w:rsidRPr="0048196F">
        <w:rPr>
          <w:lang w:val="en-US"/>
        </w:rPr>
        <w:t xml:space="preserve"> </w:t>
      </w:r>
      <w:r w:rsidR="00495F39" w:rsidRPr="0048196F">
        <w:rPr>
          <w:lang w:val="en-US"/>
        </w:rPr>
        <w:t>causing further</w:t>
      </w:r>
      <w:r w:rsidRPr="0048196F">
        <w:rPr>
          <w:lang w:val="en-US"/>
        </w:rPr>
        <w:t xml:space="preserve"> market integration and </w:t>
      </w:r>
      <w:r w:rsidR="00495F39" w:rsidRPr="0048196F">
        <w:rPr>
          <w:lang w:val="en-US"/>
        </w:rPr>
        <w:t xml:space="preserve">increased </w:t>
      </w:r>
      <w:r w:rsidRPr="0048196F">
        <w:rPr>
          <w:lang w:val="en-US"/>
        </w:rPr>
        <w:t xml:space="preserve">corporate concentration </w:t>
      </w:r>
      <w:r w:rsidRPr="0048196F">
        <w:rPr>
          <w:lang w:val="en-US"/>
        </w:rPr>
        <w:fldChar w:fldCharType="begin" w:fldLock="1"/>
      </w:r>
      <w:r w:rsidRPr="0048196F">
        <w:rPr>
          <w:lang w:val="en-US"/>
        </w:rPr>
        <w:instrText>ADDIN CSL_CITATION {"citationItems":[{"id":"ITEM-1","itemData":{"DOI":"10.1111/soru.12233","ISSN":"14679523","abstract":"&lt;section class=\"article-section article-section__abstract\" lang=\"en\" data-lang=\"en\" id=\"section-1-en\"&gt;\n   &lt;h3 class=\"article-section__header main main\"&gt;Abstract&lt;/h3&gt;\n   &lt;div class=\"article-section__content en main\"&gt;\n      \n      &lt;p&gt;Digital technologies are being developed and adopted across the agri‐food system, from farm to fork. Within decision‐making spaces, however, little attention is being paid to political factors arising from such technological developments. This review draws from critical social sciences to examine emerging technologies and big data systems in agriculture and assesses some key issues arising in the field. We begin with an introduction and review of the so‐called ‘digital revolution’ and then briefly outline how political economy is effective for understanding major challenges for governing technologies and data systems in agriculture. These challenges include: 1) data ownership and control, 2) the production of technologies and data development, and 3) data security. We then use literature and examples to consider the extent to which the political and economic landscape can be shifted to support greater equity in agriculture, while reflecting on structural challenges and limits. In doing so, we emphasise that while there are significant systemic tensions between digital ag‐tech development and agroecological approaches, we do not see them as mutually exclusive per se. This paper intends to provide decision‐makers, practitioners and scholars from a wide range of disciplines with a timely assessment of agri‐food digitalisation that attends to political economic factors. In doing so, this paper contributes to policy and decision‐making discussions, which, from our perspective, continue to be rather technocentric in nature while paying little attention to how digital technologies can support agroecological systems specifically.&lt;/p&gt;\n      &lt;p&gt;This article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Review","type":"article-journal","volume":"59"},"uris":["http://www.mendeley.com/documents/?uuid=31184e33-6374-453b-8302-c1c836206c28"]}],"mendeley":{"formattedCitation":"(Rotz et al., 2019)","plainTextFormattedCitation":"(Rotz et al., 2019)","previouslyFormattedCitation":"(Rotz et al., 2019)"},"properties":{"noteIndex":0},"schema":"https://github.com/citation-style-language/schema/raw/master/csl-citation.json"}</w:instrText>
      </w:r>
      <w:r w:rsidRPr="0048196F">
        <w:rPr>
          <w:lang w:val="en-US"/>
        </w:rPr>
        <w:fldChar w:fldCharType="separate"/>
      </w:r>
      <w:r w:rsidRPr="0048196F">
        <w:rPr>
          <w:noProof/>
          <w:lang w:val="en-US"/>
        </w:rPr>
        <w:t>(Rotz et al., 2019)</w:t>
      </w:r>
      <w:r w:rsidRPr="0048196F">
        <w:rPr>
          <w:lang w:val="en-US"/>
        </w:rPr>
        <w:fldChar w:fldCharType="end"/>
      </w:r>
      <w:r w:rsidRPr="0048196F">
        <w:rPr>
          <w:lang w:val="en-US"/>
        </w:rPr>
        <w:t xml:space="preserve">. This is one of the ways digitalization is contributing to the growing problem of power inequalities in the supply chain. </w:t>
      </w:r>
    </w:p>
    <w:p w14:paraId="5DE36899" w14:textId="77777777" w:rsidR="00B31276" w:rsidRPr="0048196F" w:rsidRDefault="00B31276" w:rsidP="00B31276">
      <w:pPr>
        <w:spacing w:line="360" w:lineRule="auto"/>
        <w:rPr>
          <w:b/>
          <w:lang w:val="en-US"/>
        </w:rPr>
      </w:pPr>
      <w:r w:rsidRPr="0048196F">
        <w:rPr>
          <w:b/>
          <w:lang w:val="en-US"/>
        </w:rPr>
        <w:t>Solutions</w:t>
      </w:r>
    </w:p>
    <w:p w14:paraId="4C6EEB81" w14:textId="4B20BB7F" w:rsidR="00495F39" w:rsidRPr="0048196F" w:rsidRDefault="00B31276" w:rsidP="00B31276">
      <w:pPr>
        <w:spacing w:line="360" w:lineRule="auto"/>
        <w:rPr>
          <w:lang w:val="en-US"/>
        </w:rPr>
      </w:pPr>
      <w:r w:rsidRPr="0048196F">
        <w:rPr>
          <w:lang w:val="en-US"/>
        </w:rPr>
        <w:t xml:space="preserve">Distributed Ledger Technology (DLT) or better known as the “blockchain”, potentially provides a solution by facilitating scalability, interoperability and product authenticity </w:t>
      </w:r>
      <w:r w:rsidRPr="0048196F">
        <w:rPr>
          <w:lang w:val="en-US"/>
        </w:rPr>
        <w:fldChar w:fldCharType="begin" w:fldLock="1"/>
      </w:r>
      <w:r w:rsidRPr="0048196F">
        <w:rPr>
          <w:lang w:val="en-US"/>
        </w:rPr>
        <w:instrText>ADDIN CSL_CITATION {"citationItems":[{"id":"ITEM-1","itemData":{"abstract":"Distributed ledger technologies (DLTs) and smart contracts provide a unique opportunity to bring greater efficiency, transparency and traceability to the exchange of value and information in the agriculture sector. This paper aims to facilitate a better understanding of the opportunities, benefits and applications of DLTs in agri-foods. It also identifies technical limits and possible institutional barriers to their adoption. By utilising digital records, cryptography and the disintermediation of transaction processing and data storage, DLTs can improve both agricultural supply chains and rural development interventions in a number of ways. First, the ability of the technology to trace a product’s provenance, carry detailed attributes for the product in each transaction and ensure its authenticity brings vast improvements in traceability with positive impact on food safety, quality and sustainability. Second, the disintermediation of transactions in agricultural supply chains and the use of smart contracts enable frictionless and real-time payments for agricultural financial services, which can reduce transaction costs, decrease risk for buyers and sellers and increase cash flow and working capital for farmers and sellers which is usually tied up in complex and paper-heavy settlement processes. More efficient supply chains and agricultural financial services lead to greater financial inclusion and stronger business development. Third, DLTs allow users to build digital identities with their recorded digital and physical assets. The vast amount of data generated from transactions in agricultural supply chains provides more accurate market information and data for supply chain actors and the public sector, which can be used to inform production and marketing decisions, prove a farmer’s track record to access credit and strengthen the enabling environment with better informed policies. Physical assets registered on the distributed ledger, such as land titles, can be used as collateral to access financing. DLTs are a secure, fast and immutable method to register land titles, providing greater legal clarity to land tenure systems. In addition, DLTs also have the potential to improve the implementation and monitoring of international agreements related to agriculture, such as World Trade Organization agreements and provisions relevant for agriculture, as well as the Paris Agreement on Climate Change. DLTs can bring greater transparency and accountability to co…","author":[{"dropping-particle":"","family":"Tripoli","given":"Mischa","non-dropping-particle":"","parse-names":false,"suffix":""},{"dropping-particle":"","family":"Schmidhuber","given":"Josef","non-dropping-particle":"","parse-names":false,"suffix":""}],"container-title":"Food and Agriculture Organization of the United Nations","id":"ITEM-1","issue":"August","issued":{"date-parts":[["2018"]]},"title":"Emerging Opportunities for the Application of Blockchain in the Agri-food Industry Agriculture","type":"article-journal"},"uris":["http://www.mendeley.com/documents/?uuid=c9c1558b-8043-40d9-99b1-82c77df6254a"]}],"mendeley":{"formattedCitation":"(Tripoli &amp; Schmidhuber, 2018)","plainTextFormattedCitation":"(Tripoli &amp; Schmidhuber, 2018)","previouslyFormattedCitation":"(Tripoli &amp; Schmidhuber, 2018)"},"properties":{"noteIndex":0},"schema":"https://github.com/citation-style-language/schema/raw/master/csl-citation.json"}</w:instrText>
      </w:r>
      <w:r w:rsidRPr="0048196F">
        <w:rPr>
          <w:lang w:val="en-US"/>
        </w:rPr>
        <w:fldChar w:fldCharType="separate"/>
      </w:r>
      <w:r w:rsidRPr="0048196F">
        <w:rPr>
          <w:noProof/>
          <w:lang w:val="en-US"/>
        </w:rPr>
        <w:t>(Tripoli &amp; Schmidhuber, 2018)</w:t>
      </w:r>
      <w:r w:rsidRPr="0048196F">
        <w:rPr>
          <w:lang w:val="en-US"/>
        </w:rPr>
        <w:fldChar w:fldCharType="end"/>
      </w:r>
      <w:r w:rsidRPr="0048196F">
        <w:rPr>
          <w:lang w:val="en-US"/>
        </w:rPr>
        <w:t xml:space="preserve">. In order to increase the use of data among small and medium sized enterprises, open source platforms are developed helping to gain efficiency and allow ownership of data </w:t>
      </w:r>
      <w:r w:rsidRPr="0048196F">
        <w:rPr>
          <w:lang w:val="en-US"/>
        </w:rPr>
        <w:fldChar w:fldCharType="begin" w:fldLock="1"/>
      </w:r>
      <w:r w:rsidRPr="0048196F">
        <w:rPr>
          <w:lang w:val="en-US"/>
        </w:rPr>
        <w:instrText>ADDIN CSL_CITATION {"citationItems":[{"id":"ITEM-1","itemData":{"DOI":"10.1111/soru.12233","ISSN":"14679523","abstract":"&lt;section class=\"article-section article-section__abstract\" lang=\"en\" data-lang=\"en\" id=\"section-1-en\"&gt;\n   &lt;h3 class=\"article-section__header main main\"&gt;Abstract&lt;/h3&gt;\n   &lt;div class=\"article-section__content en main\"&gt;\n      \n      &lt;p&gt;Digital technologies are being developed and adopted across the agri‐food system, from farm to fork. Within decision‐making spaces, however, little attention is being paid to political factors arising from such technological developments. This review draws from critical social sciences to examine emerging technologies and big data systems in agriculture and assesses some key issues arising in the field. We begin with an introduction and review of the so‐called ‘digital revolution’ and then briefly outline how political economy is effective for understanding major challenges for governing technologies and data systems in agriculture. These challenges include: 1) data ownership and control, 2) the production of technologies and data development, and 3) data security. We then use literature and examples to consider the extent to which the political and economic landscape can be shifted to support greater equity in agriculture, while reflecting on structural challenges and limits. In doing so, we emphasise that while there are significant systemic tensions between digital ag‐tech development and agroecological approaches, we do not see them as mutually exclusive per se. This paper intends to provide decision‐makers, practitioners and scholars from a wide range of disciplines with a timely assessment of agri‐food digitalisation that attends to political economic factors. In doing so, this paper contributes to policy and decision‐making discussions, which, from our perspective, continue to be rather technocentric in nature while paying little attention to how digital technologies can support agroecological systems specifically.&lt;/p&gt;\n      &lt;p&gt;This article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Review","type":"article-journal","volume":"59"},"uris":["http://www.mendeley.com/documents/?uuid=31184e33-6374-453b-8302-c1c836206c28"]}],"mendeley":{"formattedCitation":"(Rotz et al., 2019)","plainTextFormattedCitation":"(Rotz et al., 2019)","previouslyFormattedCitation":"(Rotz et al., 2019)"},"properties":{"noteIndex":0},"schema":"https://github.com/citation-style-language/schema/raw/master/csl-citation.json"}</w:instrText>
      </w:r>
      <w:r w:rsidRPr="0048196F">
        <w:rPr>
          <w:lang w:val="en-US"/>
        </w:rPr>
        <w:fldChar w:fldCharType="separate"/>
      </w:r>
      <w:r w:rsidRPr="0048196F">
        <w:rPr>
          <w:noProof/>
          <w:lang w:val="en-US"/>
        </w:rPr>
        <w:t>(Rotz et al., 2019)</w:t>
      </w:r>
      <w:r w:rsidRPr="0048196F">
        <w:rPr>
          <w:lang w:val="en-US"/>
        </w:rPr>
        <w:fldChar w:fldCharType="end"/>
      </w:r>
      <w:r w:rsidRPr="0048196F">
        <w:rPr>
          <w:lang w:val="en-US"/>
        </w:rPr>
        <w:t>. While regulatory frameworks are being developed the collection of data continues by sensors placed on farms, transports, packaging and more, allowing big data to be analyzed by the actively evolving fields artificial intelligence, machine learning</w:t>
      </w:r>
      <w:r w:rsidR="00495F39" w:rsidRPr="0048196F">
        <w:rPr>
          <w:lang w:val="en-US"/>
        </w:rPr>
        <w:t>, predictive modelling</w:t>
      </w:r>
      <w:r w:rsidRPr="0048196F">
        <w:rPr>
          <w:lang w:val="en-US"/>
        </w:rPr>
        <w:t xml:space="preserve"> and database systems </w:t>
      </w:r>
      <w:r w:rsidRPr="0048196F">
        <w:rPr>
          <w:lang w:val="en-US"/>
        </w:rPr>
        <w:fldChar w:fldCharType="begin" w:fldLock="1"/>
      </w:r>
      <w:r w:rsidRPr="0048196F">
        <w:rPr>
          <w:lang w:val="en-US"/>
        </w:rPr>
        <w:instrText>ADDIN CSL_CITATION {"citationItems":[{"id":"ITEM-1","itemData":{"DOI":"10.1016/j.compag.2012.09.005","ISSN":"01681699","abstract":"The food sector is one of the most important sectors of the economy, encompassing agriculture, the food industry, retail, and eventually, all members of society as consumers. With its responsibility of serving consumers with food that is safe, readily available, affordable and of the quality and diversity consumers expect, the food sector needs to be efficient, to build on an appropriate organization and control of processes, and to provide assurance on the safety and quality of its products which consumers could trust. Efficiency, process control and consumer communications are all closely related to the use of information and communication technology (ICT). Global networks, the internet, networked devices, sensors, and communication intelligence are of foremost relevance for the sustainability of the food sector in meeting its responsibility. This paper provides an overview on the state-of-the-art in three use cases within the application domain of the food sector. The three use cases capture the flow of food products from agriculture (use case 'agriculture') through the food industry (use case 'agri-food logistics') to the consumer as the final customer (use case 'food awareness'). In dealing with the state-of-the-art the paper has to focus on the major research and application domains that are of relevance in assuring the successful utilization of the potential of the future internet for reaching a concept for the organization of the use cases that has the potential for major improvements in coordination and communication activities along the chain but also for large scale adoption throughout the sector. © 2012 Elsevier B.V.","author":[{"dropping-particle":"","family":"Lehmann","given":"Richard J.","non-dropping-particle":"","parse-names":false,"suffix":""},{"dropping-particle":"","family":"Reiche","given":"Robert","non-dropping-particle":"","parse-names":false,"suffix":""},{"dropping-particle":"","family":"Schiefer","given":"Gerhard","non-dropping-particle":"","parse-names":false,"suffix":""}],"container-title":"Computers and Electronics in Agriculture","id":"ITEM-1","issued":{"date-parts":[["2012"]]},"page":"158-174","publisher":"Elsevier B.V.","title":"Future internet and the agri-food sector: State-of-the-art in literature and research","type":"article-journal","volume":"89"},"uris":["http://www.mendeley.com/documents/?uuid=cc19e14a-94d4-440b-9c95-1802b730715a"]}],"mendeley":{"formattedCitation":"(Lehmann, Reiche, &amp; Schiefer, 2012)","plainTextFormattedCitation":"(Lehmann, Reiche, &amp; Schiefer, 2012)","previouslyFormattedCitation":"(Lehmann, Reiche, &amp; Schiefer, 2012)"},"properties":{"noteIndex":0},"schema":"https://github.com/citation-style-language/schema/raw/master/csl-citation.json"}</w:instrText>
      </w:r>
      <w:r w:rsidRPr="0048196F">
        <w:rPr>
          <w:lang w:val="en-US"/>
        </w:rPr>
        <w:fldChar w:fldCharType="separate"/>
      </w:r>
      <w:r w:rsidRPr="0048196F">
        <w:rPr>
          <w:noProof/>
          <w:lang w:val="en-US"/>
        </w:rPr>
        <w:t>(Lehmann, Reiche, &amp; Schiefer, 2012)</w:t>
      </w:r>
      <w:r w:rsidRPr="0048196F">
        <w:rPr>
          <w:lang w:val="en-US"/>
        </w:rPr>
        <w:fldChar w:fldCharType="end"/>
      </w:r>
      <w:r w:rsidRPr="0048196F">
        <w:rPr>
          <w:lang w:val="en-US"/>
        </w:rPr>
        <w:t xml:space="preserve">. </w:t>
      </w:r>
    </w:p>
    <w:p w14:paraId="7C3F99C7" w14:textId="77777777" w:rsidR="00B31276" w:rsidRPr="0048196F" w:rsidRDefault="00B31276" w:rsidP="00B31276">
      <w:pPr>
        <w:spacing w:line="360" w:lineRule="auto"/>
        <w:rPr>
          <w:lang w:val="en-US"/>
        </w:rPr>
      </w:pPr>
    </w:p>
    <w:p w14:paraId="2EFB7296" w14:textId="5586DE9A" w:rsidR="00B31276" w:rsidRPr="0048196F" w:rsidRDefault="00B31276" w:rsidP="004C3DC7">
      <w:pPr>
        <w:pStyle w:val="Heading3"/>
        <w:rPr>
          <w:lang w:val="en-US"/>
        </w:rPr>
      </w:pPr>
      <w:bookmarkStart w:id="71" w:name="_Toc14347331"/>
      <w:r w:rsidRPr="0048196F">
        <w:rPr>
          <w:lang w:val="en-US"/>
        </w:rPr>
        <w:t>Digital Economy</w:t>
      </w:r>
      <w:bookmarkEnd w:id="71"/>
    </w:p>
    <w:p w14:paraId="59D03DA7" w14:textId="56F267A6" w:rsidR="00A05EE1" w:rsidRPr="0048196F" w:rsidRDefault="00A05EE1" w:rsidP="00A05EE1">
      <w:pPr>
        <w:rPr>
          <w:lang w:val="en-US"/>
        </w:rPr>
      </w:pPr>
      <w:r w:rsidRPr="0048196F">
        <w:rPr>
          <w:lang w:val="en-US"/>
        </w:rPr>
        <w:t xml:space="preserve">Keywords: </w:t>
      </w:r>
      <w:r w:rsidRPr="0048196F">
        <w:rPr>
          <w:i/>
          <w:iCs/>
          <w:lang w:val="en-US"/>
        </w:rPr>
        <w:t>Connectivity, Technology adoption, Digital skills, Innovation support services</w:t>
      </w:r>
    </w:p>
    <w:p w14:paraId="5C71E8F9" w14:textId="77777777" w:rsidR="00A05EE1" w:rsidRPr="0048196F" w:rsidRDefault="00A05EE1" w:rsidP="00A05EE1">
      <w:pPr>
        <w:rPr>
          <w:lang w:val="en-US"/>
        </w:rPr>
      </w:pPr>
    </w:p>
    <w:p w14:paraId="56069EB9" w14:textId="77777777" w:rsidR="005A1B55" w:rsidRPr="0048196F" w:rsidRDefault="005A1B55" w:rsidP="005A1B55">
      <w:pPr>
        <w:spacing w:line="360" w:lineRule="auto"/>
        <w:rPr>
          <w:b/>
          <w:lang w:val="en-US"/>
        </w:rPr>
      </w:pPr>
      <w:r w:rsidRPr="0048196F">
        <w:rPr>
          <w:b/>
          <w:lang w:val="en-US"/>
        </w:rPr>
        <w:t>Description</w:t>
      </w:r>
    </w:p>
    <w:p w14:paraId="481AAA47" w14:textId="77777777" w:rsidR="00B31276" w:rsidRPr="0048196F" w:rsidRDefault="00B31276" w:rsidP="00B31276">
      <w:pPr>
        <w:spacing w:line="360" w:lineRule="auto"/>
        <w:rPr>
          <w:lang w:val="en-US"/>
        </w:rPr>
      </w:pPr>
      <w:r w:rsidRPr="0048196F">
        <w:rPr>
          <w:lang w:val="en-US"/>
        </w:rPr>
        <w:t>A digital transformation provides social and economic benefits resulting from online connections among people, businesses, devices, data and processes.</w:t>
      </w:r>
    </w:p>
    <w:p w14:paraId="11E678F1" w14:textId="7D246793" w:rsidR="00B31276" w:rsidRPr="00EE6D9C" w:rsidRDefault="00B31276" w:rsidP="00B31276">
      <w:pPr>
        <w:rPr>
          <w:b/>
          <w:lang w:val="en-US"/>
        </w:rPr>
      </w:pPr>
      <w:r w:rsidRPr="0048196F">
        <w:rPr>
          <w:b/>
          <w:lang w:val="en-US"/>
        </w:rPr>
        <w:t>Uses</w:t>
      </w:r>
    </w:p>
    <w:p w14:paraId="51BA62E2" w14:textId="7D915E85" w:rsidR="00B31276" w:rsidRPr="0048196F" w:rsidRDefault="00B31276" w:rsidP="00B31276">
      <w:pPr>
        <w:spacing w:line="360" w:lineRule="auto"/>
        <w:rPr>
          <w:lang w:val="en-US"/>
        </w:rPr>
      </w:pPr>
      <w:r w:rsidRPr="0048196F">
        <w:rPr>
          <w:lang w:val="en-US"/>
        </w:rPr>
        <w:t xml:space="preserve">The value of technology in the agri-food sector has been widespread and integrated in everyday practice, change due to technology appears to have become a normal part of the agri-food sector </w:t>
      </w:r>
      <w:r w:rsidRPr="0048196F">
        <w:rPr>
          <w:lang w:val="en-US"/>
        </w:rPr>
        <w:fldChar w:fldCharType="begin" w:fldLock="1"/>
      </w:r>
      <w:r w:rsidRPr="0048196F">
        <w:rPr>
          <w:lang w:val="en-US"/>
        </w:rPr>
        <w:instrText>ADDIN CSL_CITATION {"citationItems":[{"id":"ITEM-1","itemData":{"DOI":"10.13140/RG.2.2.19520.02566","author":[{"dropping-particle":"","family":"Kelly","given":"Stephen","non-dropping-particle":"","parse-names":false,"suffix":""},{"dropping-particle":"","family":"Bensemann","given":"Joanne","non-dropping-particle":"","parse-names":false,"suffix":""},{"dropping-particle":"","family":"Bhide","given":"Vasudha","non-dropping-particle":"","parse-names":false,"suffix":""},{"dropping-particle":"","family":"Eweje","given":"Gabriel","non-dropping-particle":"","parse-names":false,"suffix":""},{"dropping-particle":"","family":"Imbeau","given":"JS","non-dropping-particle":"","parse-names":false,"suffix":""},{"dropping-particle":"","family":"Scott","given":"Jennifer","non-dropping-particle":"","parse-names":false,"suffix":""},{"dropping-particle":"","family":"Lockhart","given":"James","non-dropping-particle":"","parse-names":false,"suffix":""},{"dropping-particle":"","family":"Taskin","given":"Nazim","non-dropping-particle":"","parse-names":false,"suffix":""},{"dropping-particle":"","family":"Warren","given":"Lorraine","non-dropping-particle":"","parse-names":false,"suffix":""}],"id":"ITEM-1","issue":"August","issued":{"date-parts":[["2017"]]},"page":"141","title":"Disruptive Technology Agri-Food Sector","type":"article-journal"},"uris":["http://www.mendeley.com/documents/?uuid=03a20766-a748-4edd-90ed-b9fa2fce231b"]}],"mendeley":{"formattedCitation":"(Kelly et al., 2017)","plainTextFormattedCitation":"(Kelly et al., 2017)","previouslyFormattedCitation":"(Kelly et al., 2017)"},"properties":{"noteIndex":0},"schema":"https://github.com/citation-style-language/schema/raw/master/csl-citation.json"}</w:instrText>
      </w:r>
      <w:r w:rsidRPr="0048196F">
        <w:rPr>
          <w:lang w:val="en-US"/>
        </w:rPr>
        <w:fldChar w:fldCharType="separate"/>
      </w:r>
      <w:r w:rsidRPr="0048196F">
        <w:rPr>
          <w:noProof/>
          <w:lang w:val="en-US"/>
        </w:rPr>
        <w:t>(Kelly et al., 2017)</w:t>
      </w:r>
      <w:r w:rsidRPr="0048196F">
        <w:rPr>
          <w:lang w:val="en-US"/>
        </w:rPr>
        <w:fldChar w:fldCharType="end"/>
      </w:r>
      <w:r w:rsidRPr="0048196F">
        <w:rPr>
          <w:lang w:val="en-US"/>
        </w:rPr>
        <w:t>. There is however a difference in perception of the future, technologist</w:t>
      </w:r>
      <w:r w:rsidR="0029681F" w:rsidRPr="0048196F">
        <w:rPr>
          <w:lang w:val="en-US"/>
        </w:rPr>
        <w:t>s</w:t>
      </w:r>
      <w:r w:rsidRPr="0048196F">
        <w:rPr>
          <w:lang w:val="en-US"/>
        </w:rPr>
        <w:t xml:space="preserve"> believe a disruptive change will impact the industry, while industry participants expect the change to be incremental </w:t>
      </w:r>
      <w:r w:rsidRPr="0048196F">
        <w:rPr>
          <w:lang w:val="en-US"/>
        </w:rPr>
        <w:fldChar w:fldCharType="begin" w:fldLock="1"/>
      </w:r>
      <w:r w:rsidRPr="0048196F">
        <w:rPr>
          <w:lang w:val="en-US"/>
        </w:rPr>
        <w:instrText>ADDIN CSL_CITATION {"citationItems":[{"id":"ITEM-1","itemData":{"DOI":"10.13140/RG.2.2.19520.02566","author":[{"dropping-particle":"","family":"Kelly","given":"Stephen","non-dropping-particle":"","parse-names":false,"suffix":""},{"dropping-particle":"","family":"Bensemann","given":"Joanne","non-dropping-particle":"","parse-names":false,"suffix":""},{"dropping-particle":"","family":"Bhide","given":"Vasudha","non-dropping-particle":"","parse-names":false,"suffix":""},{"dropping-particle":"","family":"Eweje","given":"Gabriel","non-dropping-particle":"","parse-names":false,"suffix":""},{"dropping-particle":"","family":"Imbeau","given":"JS","non-dropping-particle":"","parse-names":false,"suffix":""},{"dropping-particle":"","family":"Scott","given":"Jennifer","non-dropping-particle":"","parse-names":false,"suffix":""},{"dropping-particle":"","family":"Lockhart","given":"James","non-dropping-particle":"","parse-names":false,"suffix":""},{"dropping-particle":"","family":"Taskin","given":"Nazim","non-dropping-particle":"","parse-names":false,"suffix":""},{"dropping-particle":"","family":"Warren","given":"Lorraine","non-dropping-particle":"","parse-names":false,"suffix":""}],"id":"ITEM-1","issue":"August","issued":{"date-parts":[["2017"]]},"page":"141","title":"Disruptive Technology Agri-Food Sector","type":"article-journal"},"uris":["http://www.mendeley.com/documents/?uuid=03a20766-a748-4edd-90ed-b9fa2fce231b"]}],"mendeley":{"formattedCitation":"(Kelly et al., 2017)","plainTextFormattedCitation":"(Kelly et al., 2017)","previouslyFormattedCitation":"(Kelly et al., 2017)"},"properties":{"noteIndex":0},"schema":"https://github.com/citation-style-language/schema/raw/master/csl-citation.json"}</w:instrText>
      </w:r>
      <w:r w:rsidRPr="0048196F">
        <w:rPr>
          <w:lang w:val="en-US"/>
        </w:rPr>
        <w:fldChar w:fldCharType="separate"/>
      </w:r>
      <w:r w:rsidRPr="0048196F">
        <w:rPr>
          <w:noProof/>
          <w:lang w:val="en-US"/>
        </w:rPr>
        <w:t>(Kelly et al., 2017)</w:t>
      </w:r>
      <w:r w:rsidRPr="0048196F">
        <w:rPr>
          <w:lang w:val="en-US"/>
        </w:rPr>
        <w:fldChar w:fldCharType="end"/>
      </w:r>
      <w:r w:rsidRPr="0048196F">
        <w:rPr>
          <w:lang w:val="en-US"/>
        </w:rPr>
        <w:t xml:space="preserve">. There are numerous investment opportunities for every stakeholder in the value chain: Automation of harvesting, additive manufacturing, smart supermarkets and other consumer engaging technologies that are stakeholder specific. The center of digitization, and a universal trend throughout the value chain is the placement of sensors </w:t>
      </w:r>
      <w:r w:rsidRPr="0048196F">
        <w:rPr>
          <w:lang w:val="en-US"/>
        </w:rPr>
        <w:fldChar w:fldCharType="begin" w:fldLock="1"/>
      </w:r>
      <w:r w:rsidRPr="0048196F">
        <w:rPr>
          <w:lang w:val="en-US"/>
        </w:rPr>
        <w:instrText>ADDIN CSL_CITATION {"citationItems":[{"id":"ITEM-1","itemData":{"DOI":"10.1016/j.compag.2012.09.005","ISSN":"01681699","abstract":"The food sector is one of the most important sectors of the economy, encompassing agriculture, the food industry, retail, and eventually, all members of society as consumers. With its responsibility of serving consumers with food that is safe, readily available, affordable and of the quality and diversity consumers expect, the food sector needs to be efficient, to build on an appropriate organization and control of processes, and to provide assurance on the safety and quality of its products which consumers could trust. Efficiency, process control and consumer communications are all closely related to the use of information and communication technology (ICT). Global networks, the internet, networked devices, sensors, and communication intelligence are of foremost relevance for the sustainability of the food sector in meeting its responsibility. This paper provides an overview on the state-of-the-art in three use cases within the application domain of the food sector. The three use cases capture the flow of food products from agriculture (use case 'agriculture') through the food industry (use case 'agri-food logistics') to the consumer as the final customer (use case 'food awareness'). In dealing with the state-of-the-art the paper has to focus on the major research and application domains that are of relevance in assuring the successful utilization of the potential of the future internet for reaching a concept for the organization of the use cases that has the potential for major improvements in coordination and communication activities along the chain but also for large scale adoption throughout the sector. © 2012 Elsevier B.V.","author":[{"dropping-particle":"","family":"Lehmann","given":"Richard J.","non-dropping-particle":"","parse-names":false,"suffix":""},{"dropping-particle":"","family":"Reiche","given":"Robert","non-dropping-particle":"","parse-names":false,"suffix":""},{"dropping-particle":"","family":"Schiefer","given":"Gerhard","non-dropping-particle":"","parse-names":false,"suffix":""}],"container-title":"Computers and Electronics in Agriculture","id":"ITEM-1","issued":{"date-parts":[["2012"]]},"page":"158-174","publisher":"Elsevier B.V.","title":"Future internet and the agri-food sector: State-of-the-art in literature and research","type":"article-journal","volume":"89"},"uris":["http://www.mendeley.com/documents/?uuid=cc19e14a-94d4-440b-9c95-1802b730715a"]}],"mendeley":{"formattedCitation":"(Lehmann et al., 2012)","plainTextFormattedCitation":"(Lehmann et al., 2012)","previouslyFormattedCitation":"(Lehmann et al., 2012)"},"properties":{"noteIndex":0},"schema":"https://github.com/citation-style-language/schema/raw/master/csl-citation.json"}</w:instrText>
      </w:r>
      <w:r w:rsidRPr="0048196F">
        <w:rPr>
          <w:lang w:val="en-US"/>
        </w:rPr>
        <w:fldChar w:fldCharType="separate"/>
      </w:r>
      <w:r w:rsidRPr="0048196F">
        <w:rPr>
          <w:noProof/>
          <w:lang w:val="en-US"/>
        </w:rPr>
        <w:t>(Lehmann et al., 2012)</w:t>
      </w:r>
      <w:r w:rsidRPr="0048196F">
        <w:rPr>
          <w:lang w:val="en-US"/>
        </w:rPr>
        <w:fldChar w:fldCharType="end"/>
      </w:r>
      <w:r w:rsidRPr="0048196F">
        <w:rPr>
          <w:lang w:val="en-US"/>
        </w:rPr>
        <w:t>. Data capturing sensors can be placed practically everywhere. On the farm sensors provide data about production indicators such as water level in soil and use of pesticides, driving lanes of farmer machines etc and within logistics sensors provide information on location, temperature and humidity to improve logistic efficiency, shell life and safety. All these sensors and more can be connected forming the Internet of Things (IoT). This connectivity allows, among others the tracing and tracking of products throughout the supply chain</w:t>
      </w:r>
      <w:r w:rsidR="00205B8A" w:rsidRPr="0048196F">
        <w:rPr>
          <w:lang w:val="en-US"/>
        </w:rPr>
        <w:t xml:space="preserve"> for remote monitoring, proof of compliance and communication of characteristics</w:t>
      </w:r>
      <w:r w:rsidRPr="0048196F">
        <w:rPr>
          <w:lang w:val="en-US"/>
        </w:rPr>
        <w:t xml:space="preserve">. Until recently products were traced relating to product identification while new technology allows the tracing product’s lifecycle for quality, fraud, adulteration and authentication requirements for health, marketing and business purposes </w:t>
      </w:r>
      <w:r w:rsidRPr="0048196F">
        <w:rPr>
          <w:lang w:val="en-US"/>
        </w:rPr>
        <w:fldChar w:fldCharType="begin" w:fldLock="1"/>
      </w:r>
      <w:r w:rsidR="00E171A9">
        <w:rPr>
          <w:lang w:val="en-US"/>
        </w:rPr>
        <w:instrText>ADDIN CSL_CITATION {"citationItems":[{"id":"ITEM-1","itemData":{"DOI":"10.1109/RTSI.2016.7740612","ISBN":"9781509011315","abstract":"© 2016 IEEE. The food sector is challenged to provide safe and qualitative food to consumers at affordable price and to feed appropriately increasing population using natural resources, like soil and water, in a sustainable way. Consumers awareness about food origin, nutritional and wellness properties, attention to processed meals ingredients, due to health issues, and requests of new customized portions formats and receipts, related to habits changes, are also demanding trends in the sector. Several technologies can help to address those responsibilities of efficient, safe and environmental respectful production, and strict communication and connection with the consumers. This paper provides a state of the art of smart and other emerging technologies framed in the whole food supply-chain, to create a picture of the added value that the technology can bring to the sector. Moreover, the evolutions towards the Internet of Things (IoT) paradigm adoption are presented.","author":[{"dropping-particle":"","family":"Ramundo","given":"Lucia","non-dropping-particle":"","parse-names":false,"suffix":""},{"dropping-particle":"","family":"Taisch","given":"Marco","non-dropping-particle":"","parse-names":false,"suffix":""},{"dropping-particle":"","family":"Terzi","given":"Sergio","non-dropping-particle":"","parse-names":false,"suffix":""}],"container-title":"2016 IEEE 2nd International Forum on Research and Technologies for Society and Industry Leveraging a Better Tomorrow, RTSI 2016","id":"ITEM-1","issued":{"date-parts":[["2016"]]},"page":"1-6","title":"State of the art of technology in the food sector value chain towards the IoT","type":"article-journal"},"uris":["http://www.mendeley.com/documents/?uuid=b645f605-7e61-4f4f-9523-29fc3fbb5c42"]}],"mendeley":{"formattedCitation":"(Ramundo, Taisch, &amp; Terzi, 2016)","plainTextFormattedCitation":"(Ramundo, Taisch, &amp; Terzi, 2016)","previouslyFormattedCitation":"(Ramundo, Taisch, &amp; Terzi, 2016)"},"properties":{"noteIndex":0},"schema":"https://github.com/citation-style-language/schema/raw/master/csl-citation.json"}</w:instrText>
      </w:r>
      <w:r w:rsidRPr="0048196F">
        <w:rPr>
          <w:lang w:val="en-US"/>
        </w:rPr>
        <w:fldChar w:fldCharType="separate"/>
      </w:r>
      <w:r w:rsidR="00612276" w:rsidRPr="00612276">
        <w:rPr>
          <w:noProof/>
          <w:lang w:val="en-US"/>
        </w:rPr>
        <w:t>(Ramundo, Taisch, &amp; Terzi, 2016)</w:t>
      </w:r>
      <w:r w:rsidRPr="0048196F">
        <w:rPr>
          <w:lang w:val="en-US"/>
        </w:rPr>
        <w:fldChar w:fldCharType="end"/>
      </w:r>
      <w:r w:rsidRPr="0048196F">
        <w:rPr>
          <w:lang w:val="en-US"/>
        </w:rPr>
        <w:t xml:space="preserve">. Additionally this increasingly allows life cycle assessment and therefore an analysis of a products environmental impact </w:t>
      </w:r>
      <w:r w:rsidRPr="0048196F">
        <w:rPr>
          <w:lang w:val="en-US"/>
        </w:rPr>
        <w:fldChar w:fldCharType="begin" w:fldLock="1"/>
      </w:r>
      <w:r w:rsidRPr="0048196F">
        <w:rPr>
          <w:lang w:val="en-US"/>
        </w:rPr>
        <w:instrText>ADDIN CSL_CITATION {"citationItems":[{"id":"ITEM-1","itemData":{"DOI":"10.2991/ict4s-16.2016.23","abstract":"The food system is burdened by many and severe negative environmental\nand social impacts. Two of the reasons for the impacts are the\nincreasing scale and globalisation of the food system. ICT has been put\nforward as a means to enhance sustainability in society, yet the\npotential for food systems is un-derexplored. In this paper we review\nICT solutions for improved sustainability of food systems, which are\nused in practice or are discussed as potential solutions. The aim is to\nidentify ICT solutions that can potentially enhance sustainability in\nthe food system. We review mostly scientific literature. The ICT\nsolutions are categorized according to four main purposes of the\napproach, to 1) efficiency through monitoring and assessment of\nenvironmental impact, 2) enhance transparency and traceability in the\nfood system, 3) creating network between actors in the food chains, 4)\ninfluence and change food practices. We conclude that there is no\ncoherent research field covering ICT in food systems. The papers\nreviewed are scattered over several disciplines and scientific journals.\nWe also conclude that there is a predominance of research on monitoring\nof food production and transparency and traceability in the food chain.\nMore research is needed that take on holistic approaches and include\nseveral parts of the food system. Furthermore, we would also like to see\nmore research on what sustainable food systems could be like and how ICT\ncould support and perhaps sometimes hinder such developments.","author":[{"dropping-particle":"","family":"Svenfelt","given":"Asa","non-dropping-particle":"","parse-names":false,"suffix":""},{"dropping-particle":"","family":"Zapico","given":"Jorge Luis","non-dropping-particle":"","parse-names":false,"suffix":""}],"id":"ITEM-1","issue":"Ict4s","issued":{"date-parts":[["2016"]]},"page":"194-201","title":"Sustainable food systems with ICT","type":"article-journal"},"uris":["http://www.mendeley.com/documents/?uuid=585872cd-8a11-462a-932c-3ff4b9472714"]}],"mendeley":{"formattedCitation":"(Svenfelt &amp; Zapico, 2016)","plainTextFormattedCitation":"(Svenfelt &amp; Zapico, 2016)","previouslyFormattedCitation":"(Svenfelt &amp; Zapico, 2016)"},"properties":{"noteIndex":0},"schema":"https://github.com/citation-style-language/schema/raw/master/csl-citation.json"}</w:instrText>
      </w:r>
      <w:r w:rsidRPr="0048196F">
        <w:rPr>
          <w:lang w:val="en-US"/>
        </w:rPr>
        <w:fldChar w:fldCharType="separate"/>
      </w:r>
      <w:r w:rsidRPr="0048196F">
        <w:rPr>
          <w:noProof/>
          <w:lang w:val="en-US"/>
        </w:rPr>
        <w:t>(Svenfelt &amp; Zapico, 2016)</w:t>
      </w:r>
      <w:r w:rsidRPr="0048196F">
        <w:rPr>
          <w:lang w:val="en-US"/>
        </w:rPr>
        <w:fldChar w:fldCharType="end"/>
      </w:r>
      <w:r w:rsidRPr="0048196F">
        <w:rPr>
          <w:lang w:val="en-US"/>
        </w:rPr>
        <w:t xml:space="preserve">. </w:t>
      </w:r>
      <w:r w:rsidR="00495F39" w:rsidRPr="0048196F">
        <w:rPr>
          <w:lang w:val="en-US"/>
        </w:rPr>
        <w:t>The digital economy is characterized by numerous investment opportunities</w:t>
      </w:r>
      <w:r w:rsidR="00896AD4" w:rsidRPr="0048196F">
        <w:rPr>
          <w:lang w:val="en-US"/>
        </w:rPr>
        <w:t xml:space="preserve"> through </w:t>
      </w:r>
      <w:r w:rsidR="00495F39" w:rsidRPr="0048196F">
        <w:rPr>
          <w:lang w:val="en-US"/>
        </w:rPr>
        <w:t>efficiency gains</w:t>
      </w:r>
      <w:r w:rsidR="00896AD4" w:rsidRPr="0048196F">
        <w:rPr>
          <w:lang w:val="en-US"/>
        </w:rPr>
        <w:t xml:space="preserve"> and transparency.</w:t>
      </w:r>
      <w:r w:rsidR="00495F39" w:rsidRPr="0048196F">
        <w:rPr>
          <w:lang w:val="en-US"/>
        </w:rPr>
        <w:t xml:space="preserve"> </w:t>
      </w:r>
    </w:p>
    <w:p w14:paraId="76704DD1" w14:textId="77777777" w:rsidR="00B31276" w:rsidRPr="0048196F" w:rsidRDefault="00B31276" w:rsidP="00B31276">
      <w:pPr>
        <w:rPr>
          <w:lang w:val="en-US"/>
        </w:rPr>
      </w:pPr>
    </w:p>
    <w:p w14:paraId="4D664356" w14:textId="77777777" w:rsidR="00B31276" w:rsidRPr="0048196F" w:rsidRDefault="00B31276" w:rsidP="00B31276">
      <w:pPr>
        <w:rPr>
          <w:b/>
          <w:lang w:val="en-US"/>
        </w:rPr>
      </w:pPr>
      <w:r w:rsidRPr="0048196F">
        <w:rPr>
          <w:b/>
          <w:lang w:val="en-US"/>
        </w:rPr>
        <w:t>Challenges</w:t>
      </w:r>
    </w:p>
    <w:p w14:paraId="06A3C208" w14:textId="53FF1DBB" w:rsidR="00B31276" w:rsidRPr="0048196F" w:rsidRDefault="00B31276" w:rsidP="00B31276">
      <w:pPr>
        <w:spacing w:line="360" w:lineRule="auto"/>
        <w:rPr>
          <w:lang w:val="en-US"/>
        </w:rPr>
      </w:pPr>
      <w:r w:rsidRPr="0048196F">
        <w:rPr>
          <w:rFonts w:ascii="Calibri" w:hAnsi="Calibri" w:cs="Calibri"/>
          <w:lang w:val="en-US"/>
        </w:rPr>
        <w:t>﻿</w:t>
      </w:r>
      <w:r w:rsidRPr="0048196F">
        <w:rPr>
          <w:lang w:val="en-US"/>
        </w:rPr>
        <w:t xml:space="preserve">When the benefits of new technologies are more easily captured by powerful actors one speaks of “elite capture” </w:t>
      </w:r>
      <w:r w:rsidRPr="0048196F">
        <w:rPr>
          <w:lang w:val="en-US"/>
        </w:rPr>
        <w:fldChar w:fldCharType="begin" w:fldLock="1"/>
      </w:r>
      <w:r w:rsidRPr="0048196F">
        <w:rPr>
          <w:lang w:val="en-US"/>
        </w:rPr>
        <w:instrText>ADDIN CSL_CITATION {"citationItems":[{"id":"ITEM-1","itemData":{"DOI":"10.1111/soru.12233","ISSN":"14679523","abstract":"&lt;section class=\"article-section article-section__abstract\" lang=\"en\" data-lang=\"en\" id=\"section-1-en\"&gt;\n   &lt;h3 class=\"article-section__header main main\"&gt;Abstract&lt;/h3&gt;\n   &lt;div class=\"article-section__content en main\"&gt;\n      \n      &lt;p&gt;Digital technologies are being developed and adopted across the agri‐food system, from farm to fork. Within decision‐making spaces, however, little attention is being paid to political factors arising from such technological developments. This review draws from critical social sciences to examine emerging technologies and big data systems in agriculture and assesses some key issues arising in the field. We begin with an introduction and review of the so‐called ‘digital revolution’ and then briefly outline how political economy is effective for understanding major challenges for governing technologies and data systems in agriculture. These challenges include: 1) data ownership and control, 2) the production of technologies and data development, and 3) data security. We then use literature and examples to consider the extent to which the political and economic landscape can be shifted to support greater equity in agriculture, while reflecting on structural challenges and limits. In doing so, we emphasise that while there are significant systemic tensions between digital ag‐tech development and agroecological approaches, we do not see them as mutually exclusive per se. This paper intends to provide decision‐makers, practitioners and scholars from a wide range of disciplines with a timely assessment of agri‐food digitalisation that attends to political economic factors. In doing so, this paper contributes to policy and decision‐making discussions, which, from our perspective, continue to be rather technocentric in nature while paying little attention to how digital technologies can support agroecological systems specifically.&lt;/p&gt;\n      &lt;p&gt;This article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Review","type":"article-journal","volume":"59"},"uris":["http://www.mendeley.com/documents/?uuid=2a48291f-a221-431b-a4d3-6410a642aa9b"]}],"mendeley":{"formattedCitation":"(Rotz et al., 2019)","plainTextFormattedCitation":"(Rotz et al., 2019)","previouslyFormattedCitation":"(Rotz et al., 2019)"},"properties":{"noteIndex":0},"schema":"https://github.com/citation-style-language/schema/raw/master/csl-citation.json"}</w:instrText>
      </w:r>
      <w:r w:rsidRPr="0048196F">
        <w:rPr>
          <w:lang w:val="en-US"/>
        </w:rPr>
        <w:fldChar w:fldCharType="separate"/>
      </w:r>
      <w:r w:rsidRPr="0048196F">
        <w:rPr>
          <w:noProof/>
          <w:lang w:val="en-US"/>
        </w:rPr>
        <w:t>(Rotz et al., 2019)</w:t>
      </w:r>
      <w:r w:rsidRPr="0048196F">
        <w:rPr>
          <w:lang w:val="en-US"/>
        </w:rPr>
        <w:fldChar w:fldCharType="end"/>
      </w:r>
      <w:r w:rsidRPr="0048196F">
        <w:rPr>
          <w:lang w:val="en-US"/>
        </w:rPr>
        <w:t xml:space="preserve">. Apart from political and economic drivers making the adoption of digital technologies complex, real and perceived applicability are significant barriers to technology adoption for farmers </w:t>
      </w:r>
      <w:r w:rsidRPr="0048196F">
        <w:rPr>
          <w:lang w:val="en-US"/>
        </w:rPr>
        <w:fldChar w:fldCharType="begin" w:fldLock="1"/>
      </w:r>
      <w:r w:rsidRPr="0048196F">
        <w:rPr>
          <w:lang w:val="en-US"/>
        </w:rPr>
        <w:instrText>ADDIN CSL_CITATION {"citationItems":[{"id":"ITEM-1","itemData":{"DOI":"10.1111/soru.12233","ISSN":"14679523","abstract":"&lt;section class=\"article-section article-section__abstract\" lang=\"en\" data-lang=\"en\" id=\"section-1-en\"&gt;\n   &lt;h3 class=\"article-section__header main main\"&gt;Abstract&lt;/h3&gt;\n   &lt;div class=\"article-section__content en main\"&gt;\n      \n      &lt;p&gt;Digital technologies are being developed and adopted across the agri‐food system, from farm to fork. Within decision‐making spaces, however, little attention is being paid to political factors arising from such technological developments. This review draws from critical social sciences to examine emerging technologies and big data systems in agriculture and assesses some key issues arising in the field. We begin with an introduction and review of the so‐called ‘digital revolution’ and then briefly outline how political economy is effective for understanding major challenges for governing technologies and data systems in agriculture. These challenges include: 1) data ownership and control, 2) the production of technologies and data development, and 3) data security. We then use literature and examples to consider the extent to which the political and economic landscape can be shifted to support greater equity in agriculture, while reflecting on structural challenges and limits. In doing so, we emphasise that while there are significant systemic tensions between digital ag‐tech development and agroecological approaches, we do not see them as mutually exclusive per se. This paper intends to provide decision‐makers, practitioners and scholars from a wide range of disciplines with a timely assessment of agri‐food digitalisation that attends to political economic factors. In doing so, this paper contributes to policy and decision‐making discussions, which, from our perspective, continue to be rather technocentric in nature while paying little attention to how digital technologies can support agroecological systems specifically.&lt;/p&gt;\n      &lt;p&gt;This article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Review","type":"article-journal","volume":"59"},"uris":["http://www.mendeley.com/documents/?uuid=2a48291f-a221-431b-a4d3-6410a642aa9b"]}],"mendeley":{"formattedCitation":"(Rotz et al., 2019)","plainTextFormattedCitation":"(Rotz et al., 2019)","previouslyFormattedCitation":"(Rotz et al., 2019)"},"properties":{"noteIndex":0},"schema":"https://github.com/citation-style-language/schema/raw/master/csl-citation.json"}</w:instrText>
      </w:r>
      <w:r w:rsidRPr="0048196F">
        <w:rPr>
          <w:lang w:val="en-US"/>
        </w:rPr>
        <w:fldChar w:fldCharType="separate"/>
      </w:r>
      <w:r w:rsidRPr="0048196F">
        <w:rPr>
          <w:noProof/>
          <w:lang w:val="en-US"/>
        </w:rPr>
        <w:t>(Rotz et al., 2019)</w:t>
      </w:r>
      <w:r w:rsidRPr="0048196F">
        <w:rPr>
          <w:lang w:val="en-US"/>
        </w:rPr>
        <w:fldChar w:fldCharType="end"/>
      </w:r>
      <w:r w:rsidRPr="0048196F">
        <w:rPr>
          <w:lang w:val="en-US"/>
        </w:rPr>
        <w:t xml:space="preserve">. One cause for such a development is the development of digital technologies being aimed at large-scale, capital rich farmers </w:t>
      </w:r>
      <w:r w:rsidRPr="0048196F">
        <w:rPr>
          <w:lang w:val="en-US"/>
        </w:rPr>
        <w:fldChar w:fldCharType="begin" w:fldLock="1"/>
      </w:r>
      <w:r w:rsidRPr="0048196F">
        <w:rPr>
          <w:lang w:val="en-US"/>
        </w:rPr>
        <w:instrText>ADDIN CSL_CITATION {"citationItems":[{"id":"ITEM-1","itemData":{"DOI":"10.1111/soru.12233","ISSN":"14679523","abstract":"&lt;section class=\"article-section article-section__abstract\" lang=\"en\" data-lang=\"en\" id=\"section-1-en\"&gt;\n   &lt;h3 class=\"article-section__header main main\"&gt;Abstract&lt;/h3&gt;\n   &lt;div class=\"article-section__content en main\"&gt;\n      \n      &lt;p&gt;Digital technologies are being developed and adopted across the agri‐food system, from farm to fork. Within decision‐making spaces, however, little attention is being paid to political factors arising from such technological developments. This review draws from critical social sciences to examine emerging technologies and big data systems in agriculture and assesses some key issues arising in the field. We begin with an introduction and review of the so‐called ‘digital revolution’ and then briefly outline how political economy is effective for understanding major challenges for governing technologies and data systems in agriculture. These challenges include: 1) data ownership and control, 2) the production of technologies and data development, and 3) data security. We then use literature and examples to consider the extent to which the political and economic landscape can be shifted to support greater equity in agriculture, while reflecting on structural challenges and limits. In doing so, we emphasise that while there are significant systemic tensions between digital ag‐tech development and agroecological approaches, we do not see them as mutually exclusive per se. This paper intends to provide decision‐makers, practitioners and scholars from a wide range of disciplines with a timely assessment of agri‐food digitalisation that attends to political economic factors. In doing so, this paper contributes to policy and decision‐making discussions, which, from our perspective, continue to be rather technocentric in nature while paying little attention to how digital technologies can support agroecological systems specifically.&lt;/p&gt;\n      &lt;p&gt;This article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Review","type":"article-journal","volume":"59"},"uris":["http://www.mendeley.com/documents/?uuid=2a48291f-a221-431b-a4d3-6410a642aa9b"]}],"mendeley":{"formattedCitation":"(Rotz et al., 2019)","plainTextFormattedCitation":"(Rotz et al., 2019)","previouslyFormattedCitation":"(Rotz et al., 2019)"},"properties":{"noteIndex":0},"schema":"https://github.com/citation-style-language/schema/raw/master/csl-citation.json"}</w:instrText>
      </w:r>
      <w:r w:rsidRPr="0048196F">
        <w:rPr>
          <w:lang w:val="en-US"/>
        </w:rPr>
        <w:fldChar w:fldCharType="separate"/>
      </w:r>
      <w:r w:rsidRPr="0048196F">
        <w:rPr>
          <w:noProof/>
          <w:lang w:val="en-US"/>
        </w:rPr>
        <w:t>(Rotz et al., 2019)</w:t>
      </w:r>
      <w:r w:rsidRPr="0048196F">
        <w:rPr>
          <w:lang w:val="en-US"/>
        </w:rPr>
        <w:fldChar w:fldCharType="end"/>
      </w:r>
      <w:r w:rsidRPr="0048196F">
        <w:rPr>
          <w:lang w:val="en-US"/>
        </w:rPr>
        <w:t xml:space="preserve">. Additionally a skill gap exist hindering the development and use of innovation and new technologies </w:t>
      </w:r>
      <w:r w:rsidRPr="0048196F">
        <w:rPr>
          <w:lang w:val="en-US"/>
        </w:rPr>
        <w:fldChar w:fldCharType="begin" w:fldLock="1"/>
      </w:r>
      <w:r w:rsidR="002027ED" w:rsidRPr="0048196F">
        <w:rPr>
          <w:lang w:val="en-US"/>
        </w:rPr>
        <w:instrText>ADDIN CSL_CITATION {"citationItems":[{"id":"ITEM-1","itemData":{"author":[{"dropping-particle":"","family":"HM Government","given":"","non-dropping-particle":"","parse-names":false,"suffix":""}],"id":"ITEM-1","issue":"July","issued":{"date-parts":[["2013"]]},"page":"52","title":"A UK Strategy for Agricultural Technologies Industrial Strategy","type":"article-journal"},"uris":["http://www.mendeley.com/documents/?uuid=719b06ba-0877-4a35-82ec-8d26f6a7c033"]}],"mendeley":{"formattedCitation":"(HM Government, 2013)","plainTextFormattedCitation":"(HM Government, 2013)","previouslyFormattedCitation":"(HM Government, 2013)"},"properties":{"noteIndex":0},"schema":"https://github.com/citation-style-language/schema/raw/master/csl-citation.json"}</w:instrText>
      </w:r>
      <w:r w:rsidRPr="0048196F">
        <w:rPr>
          <w:lang w:val="en-US"/>
        </w:rPr>
        <w:fldChar w:fldCharType="separate"/>
      </w:r>
      <w:r w:rsidR="002027ED" w:rsidRPr="0048196F">
        <w:rPr>
          <w:noProof/>
          <w:lang w:val="en-US"/>
        </w:rPr>
        <w:t>(HM Government, 2013)</w:t>
      </w:r>
      <w:r w:rsidRPr="0048196F">
        <w:rPr>
          <w:lang w:val="en-US"/>
        </w:rPr>
        <w:fldChar w:fldCharType="end"/>
      </w:r>
      <w:r w:rsidRPr="0048196F">
        <w:rPr>
          <w:lang w:val="en-US"/>
        </w:rPr>
        <w:t xml:space="preserve">. Innovation systems may struggle with finding an appropriate balance between investment in research and the training and advisory services that enable the adoption and diffusion of innovation by farmers </w:t>
      </w:r>
      <w:r w:rsidRPr="0048196F">
        <w:rPr>
          <w:lang w:val="en-US"/>
        </w:rPr>
        <w:fldChar w:fldCharType="begin" w:fldLock="1"/>
      </w:r>
      <w:r w:rsidRPr="0048196F">
        <w:rPr>
          <w:lang w:val="en-US"/>
        </w:rPr>
        <w:instrText>ADDIN CSL_CITATION {"citationItems":[{"id":"ITEM-1","itemData":{"DOI":"10.1787/agr_pol-2018-en","ISBN":"9789264302341","abstract":"Compared with the 1995-97 average, the level of support to agricultural producers increased, but remained lower than the OECD average. While transfers from taxpayers have steadily been increasing, transfers from consumers have strongly fluctuated, but also along a rising trend. ● The negative market price support in 2008 was largely driven by a sharp increase in world prices that was not fully transmitted to the domestic market, partly due to constraints on grain exports. The taxing effects of relatively low domestic prices on agricultural producers were partly compensated by an increase in budgetary transfers to farmers. In 2009 and 2010, the growing trend of support through prices resumed and was further accentuated by a progressive appreciation of the Chinese Yuan. ● The number and scope of programmes providing budgetary support to agriculture has been increasing. To an increasing extent they take the form of direct income support payments. This evolution should help decrease the production distortion associated with agricultural support policies and should enhance farmers’ incomes more effectively. ● A significant part of budgetary transfers is still allocated to lower prices of agricultural inputs, including chemical fertilisers. Such payments not only are distortive but also have negative impacts on the environment. Thus, discontinuation of such subsidies, or at least converting them to payments per unit of land, would be a prerequisite for changing agricultural practices to protect the environment. ● China’s efforts to improve rural infrastructure and to improve access to basic public services such as education, health care, and social security for the rural population should be further enhanced. As China’s population is aging, in particular in rural areas, the new nationwide rural social pension scheme introduced on an experimental basis in 2009 is a step in the right direction.","id":"ITEM-1","issued":{"date-parts":[["2018"]]},"title":"Agricultural Policy Monitoring and Evaluation","type":"book"},"uris":["http://www.mendeley.com/documents/?uuid=2c53dd69-dd70-4c62-81de-b351c0bdce8c"]}],"mendeley":{"formattedCitation":"(&lt;i&gt;Agricultural Policy Monitoring and Evaluation&lt;/i&gt;, 2018)","plainTextFormattedCitation":"(Agricultural Policy Monitoring and Evaluation, 2018)","previouslyFormattedCitation":"(&lt;i&gt;Agricultural Policy Monitoring and Evaluation&lt;/i&gt;, 2018)"},"properties":{"noteIndex":0},"schema":"https://github.com/citation-style-language/schema/raw/master/csl-citation.json"}</w:instrText>
      </w:r>
      <w:r w:rsidRPr="0048196F">
        <w:rPr>
          <w:lang w:val="en-US"/>
        </w:rPr>
        <w:fldChar w:fldCharType="separate"/>
      </w:r>
      <w:r w:rsidRPr="0048196F">
        <w:rPr>
          <w:noProof/>
          <w:lang w:val="en-US"/>
        </w:rPr>
        <w:t>(</w:t>
      </w:r>
      <w:r w:rsidRPr="0048196F">
        <w:rPr>
          <w:i/>
          <w:noProof/>
          <w:lang w:val="en-US"/>
        </w:rPr>
        <w:t>Agricultural Policy Monitoring and Evaluation</w:t>
      </w:r>
      <w:r w:rsidRPr="0048196F">
        <w:rPr>
          <w:noProof/>
          <w:lang w:val="en-US"/>
        </w:rPr>
        <w:t>, 2018)</w:t>
      </w:r>
      <w:r w:rsidRPr="0048196F">
        <w:rPr>
          <w:lang w:val="en-US"/>
        </w:rPr>
        <w:fldChar w:fldCharType="end"/>
      </w:r>
      <w:r w:rsidRPr="0048196F">
        <w:rPr>
          <w:lang w:val="en-US"/>
        </w:rPr>
        <w:t>.</w:t>
      </w:r>
    </w:p>
    <w:p w14:paraId="5357500C" w14:textId="77777777" w:rsidR="00B31276" w:rsidRPr="0048196F" w:rsidRDefault="00B31276" w:rsidP="00B31276">
      <w:pPr>
        <w:spacing w:line="360" w:lineRule="auto"/>
        <w:rPr>
          <w:b/>
          <w:lang w:val="en-US"/>
        </w:rPr>
      </w:pPr>
      <w:r w:rsidRPr="0048196F">
        <w:rPr>
          <w:b/>
          <w:lang w:val="en-US"/>
        </w:rPr>
        <w:t>Solutions</w:t>
      </w:r>
    </w:p>
    <w:p w14:paraId="58BCE6FE" w14:textId="78A65EAC" w:rsidR="00EE6D9C" w:rsidRDefault="00B31276" w:rsidP="00EE6D9C">
      <w:pPr>
        <w:spacing w:line="360" w:lineRule="auto"/>
        <w:rPr>
          <w:lang w:val="en-US"/>
        </w:rPr>
      </w:pPr>
      <w:r w:rsidRPr="0048196F">
        <w:rPr>
          <w:lang w:val="en-US"/>
        </w:rPr>
        <w:t xml:space="preserve">To aid the adoption of technology various innovation support services are in development. Digital Innovation Hubs help the uptake of digital technologies by bringing together various stakeholders of the innovation process. This allows user-centered design and co-creation, resulting in products adapted to the real needs of the users </w:t>
      </w:r>
      <w:r w:rsidRPr="0048196F">
        <w:rPr>
          <w:lang w:val="en-US"/>
        </w:rPr>
        <w:fldChar w:fldCharType="begin" w:fldLock="1"/>
      </w:r>
      <w:r w:rsidRPr="0048196F">
        <w:rPr>
          <w:lang w:val="en-US"/>
        </w:rPr>
        <w:instrText>ADDIN CSL_CITATION {"citationItems":[{"id":"ITEM-1","itemData":{"abstract":"Digital technologies can support European farmers in providing safe, sustainable and quality food. They can also contribute to fighting climate change. Although the digitisation of the farming sector comes with many benefits, and a number of actions and instruments have already been implemented, barriers to realise its full potential across Europe still exist. This brochure looks into what can be done to continue moving forward, highlighting inspiring examples and key areas for action.","author":[{"dropping-particle":"","family":"EIP-AGRI network","given":"","non-dropping-particle":"","parse-names":false,"suffix":""}],"id":"ITEM-1","issued":{"date-parts":[["2017"]]},"page":"12","title":"Shaping the digital (r)evolution in agriculture","type":"article-journal"},"uris":["http://www.mendeley.com/documents/?uuid=0b290d96-462e-44cb-84f8-846c71dba435"]}],"mendeley":{"formattedCitation":"(EIP-AGRI network, 2017b)","plainTextFormattedCitation":"(EIP-AGRI network, 2017b)","previouslyFormattedCitation":"(EIP-AGRI network, 2017b)"},"properties":{"noteIndex":0},"schema":"https://github.com/citation-style-language/schema/raw/master/csl-citation.json"}</w:instrText>
      </w:r>
      <w:r w:rsidRPr="0048196F">
        <w:rPr>
          <w:lang w:val="en-US"/>
        </w:rPr>
        <w:fldChar w:fldCharType="separate"/>
      </w:r>
      <w:r w:rsidRPr="0048196F">
        <w:rPr>
          <w:noProof/>
          <w:lang w:val="en-US"/>
        </w:rPr>
        <w:t>(EIP-AGRI network, 2017b)</w:t>
      </w:r>
      <w:r w:rsidRPr="0048196F">
        <w:rPr>
          <w:lang w:val="en-US"/>
        </w:rPr>
        <w:fldChar w:fldCharType="end"/>
      </w:r>
      <w:r w:rsidRPr="0048196F">
        <w:rPr>
          <w:lang w:val="en-US"/>
        </w:rPr>
        <w:t xml:space="preserve">. Public investment in advisory services is critical to enable uptake of appropriate technologies to the needs of actors in different food system contexts </w:t>
      </w:r>
      <w:r w:rsidRPr="0048196F">
        <w:rPr>
          <w:lang w:val="en-US"/>
        </w:rPr>
        <w:fldChar w:fldCharType="begin" w:fldLock="1"/>
      </w:r>
      <w:r w:rsidR="00E171A9">
        <w:rPr>
          <w:lang w:val="en-US"/>
        </w:rPr>
        <w:instrText>ADDIN CSL_CITATION {"citationItems":[{"id":"ITEM-1","itemData":{"DOI":"10.1017/S1474745608004035","ISBN":"9789295044531","ISSN":"1474-7456","PMID":"20166286","abstract":"The WTO and preferential trade agreements: From co-existence to coherence","author":[{"dropping-particle":"","family":"World Economic Forum","given":"","non-dropping-particle":"","parse-names":false,"suffix":""}],"container-title":"World Trade Review","id":"ITEM-1","issue":"04","issued":{"date-parts":[["2017"]]},"page":"710-712","title":"Shaping the Future of Global Food Systems: A Scenarios Analysis","type":"article-journal","volume":"7"},"uris":["http://www.mendeley.com/documents/?uuid=65964991-9bf0-413a-94f4-53007aa30e17"]}],"mendeley":{"formattedCitation":"(World Economic Forum, 2017)","plainTextFormattedCitation":"(World Economic Forum, 2017)","previouslyFormattedCitation":"(World Economic Forum, 2017)"},"properties":{"noteIndex":0},"schema":"https://github.com/citation-style-language/schema/raw/master/csl-citation.json"}</w:instrText>
      </w:r>
      <w:r w:rsidRPr="0048196F">
        <w:rPr>
          <w:lang w:val="en-US"/>
        </w:rPr>
        <w:fldChar w:fldCharType="separate"/>
      </w:r>
      <w:r w:rsidR="00612276" w:rsidRPr="00612276">
        <w:rPr>
          <w:noProof/>
          <w:lang w:val="en-US"/>
        </w:rPr>
        <w:t>(World Economic Forum, 2017)</w:t>
      </w:r>
      <w:r w:rsidRPr="0048196F">
        <w:rPr>
          <w:lang w:val="en-US"/>
        </w:rPr>
        <w:fldChar w:fldCharType="end"/>
      </w:r>
      <w:r w:rsidRPr="0048196F">
        <w:rPr>
          <w:lang w:val="en-US"/>
        </w:rPr>
        <w:t xml:space="preserve">. </w:t>
      </w:r>
      <w:r w:rsidR="00896AD4" w:rsidRPr="0048196F">
        <w:rPr>
          <w:lang w:val="en-US"/>
        </w:rPr>
        <w:t>Furthermore, r</w:t>
      </w:r>
      <w:r w:rsidRPr="0048196F">
        <w:rPr>
          <w:lang w:val="en-US"/>
        </w:rPr>
        <w:t xml:space="preserve">isk management tools, digital identities enabling automated insurance systems and improved access to capital markets are </w:t>
      </w:r>
      <w:r w:rsidR="00896AD4" w:rsidRPr="0048196F">
        <w:rPr>
          <w:lang w:val="en-US"/>
        </w:rPr>
        <w:t>available to stimulate investment and uptake of technology</w:t>
      </w:r>
      <w:r w:rsidRPr="0048196F">
        <w:rPr>
          <w:lang w:val="en-US"/>
        </w:rPr>
        <w:t xml:space="preserve">.  </w:t>
      </w:r>
    </w:p>
    <w:p w14:paraId="5414DC07" w14:textId="77777777" w:rsidR="00FC7D20" w:rsidRPr="0048196F" w:rsidRDefault="00FC7D20" w:rsidP="00FC7D20">
      <w:pPr>
        <w:rPr>
          <w:lang w:val="en-US"/>
        </w:rPr>
      </w:pPr>
    </w:p>
    <w:p w14:paraId="1ABA0644" w14:textId="48452307" w:rsidR="00B31276" w:rsidRPr="0048196F" w:rsidRDefault="00B31276" w:rsidP="004C3DC7">
      <w:pPr>
        <w:pStyle w:val="Heading3"/>
        <w:rPr>
          <w:lang w:val="en-US"/>
        </w:rPr>
      </w:pPr>
      <w:bookmarkStart w:id="72" w:name="_Toc14347332"/>
      <w:r w:rsidRPr="0048196F">
        <w:rPr>
          <w:lang w:val="en-US"/>
        </w:rPr>
        <w:t>Circular Economy</w:t>
      </w:r>
      <w:bookmarkEnd w:id="72"/>
    </w:p>
    <w:p w14:paraId="6C47DBB0" w14:textId="01CB3FC4" w:rsidR="00A05EE1" w:rsidRPr="0048196F" w:rsidRDefault="00A05EE1" w:rsidP="00A05EE1">
      <w:pPr>
        <w:rPr>
          <w:lang w:val="en-US"/>
        </w:rPr>
      </w:pPr>
      <w:r w:rsidRPr="0048196F">
        <w:rPr>
          <w:lang w:val="en-US"/>
        </w:rPr>
        <w:t xml:space="preserve">Keywords: </w:t>
      </w:r>
      <w:r w:rsidRPr="0048196F">
        <w:rPr>
          <w:i/>
          <w:iCs/>
          <w:lang w:val="en-US"/>
        </w:rPr>
        <w:t>Closing &amp; narrowing the loop, BioEconomy, Waste infrastructure</w:t>
      </w:r>
    </w:p>
    <w:p w14:paraId="45F6929E" w14:textId="77777777" w:rsidR="00A05EE1" w:rsidRPr="0048196F" w:rsidRDefault="00A05EE1" w:rsidP="00A05EE1">
      <w:pPr>
        <w:rPr>
          <w:lang w:val="en-US"/>
        </w:rPr>
      </w:pPr>
    </w:p>
    <w:p w14:paraId="57040A34" w14:textId="77777777" w:rsidR="005A1B55" w:rsidRPr="0048196F" w:rsidRDefault="005A1B55" w:rsidP="005A1B55">
      <w:pPr>
        <w:spacing w:line="360" w:lineRule="auto"/>
        <w:rPr>
          <w:b/>
          <w:lang w:val="en-US"/>
        </w:rPr>
      </w:pPr>
      <w:r w:rsidRPr="0048196F">
        <w:rPr>
          <w:b/>
          <w:lang w:val="en-US"/>
        </w:rPr>
        <w:t>Description</w:t>
      </w:r>
    </w:p>
    <w:p w14:paraId="0CC67C1A" w14:textId="6D5A0569" w:rsidR="00B31276" w:rsidRPr="0048196F" w:rsidRDefault="00B31276" w:rsidP="00B31276">
      <w:pPr>
        <w:spacing w:line="360" w:lineRule="auto"/>
        <w:rPr>
          <w:lang w:val="en-US"/>
        </w:rPr>
      </w:pPr>
      <w:r w:rsidRPr="0048196F">
        <w:rPr>
          <w:lang w:val="en-US"/>
        </w:rPr>
        <w:t xml:space="preserve">More value can be extracted from resources by using them more efficiently and for longer through sharing, reusing, repairing and recycling.  </w:t>
      </w:r>
    </w:p>
    <w:p w14:paraId="3593B256" w14:textId="77777777" w:rsidR="00B31276" w:rsidRPr="0048196F" w:rsidRDefault="00B31276" w:rsidP="00B31276">
      <w:pPr>
        <w:spacing w:line="360" w:lineRule="auto"/>
        <w:rPr>
          <w:b/>
          <w:lang w:val="en-US"/>
        </w:rPr>
      </w:pPr>
      <w:r w:rsidRPr="0048196F">
        <w:rPr>
          <w:b/>
          <w:lang w:val="en-US"/>
        </w:rPr>
        <w:t>Uses</w:t>
      </w:r>
    </w:p>
    <w:p w14:paraId="2AD3509A" w14:textId="218AD875" w:rsidR="00B31276" w:rsidRPr="0048196F" w:rsidRDefault="00B31276" w:rsidP="00B31276">
      <w:pPr>
        <w:spacing w:line="360" w:lineRule="auto"/>
        <w:rPr>
          <w:lang w:val="en-US"/>
        </w:rPr>
      </w:pPr>
      <w:r w:rsidRPr="0048196F">
        <w:rPr>
          <w:lang w:val="en-US"/>
        </w:rPr>
        <w:t xml:space="preserve">Using resources more efficiently is the main objective of the circular economy. By various re- strategies such as reuse and recycle, the nutrient loop is narrowed, slowed and preferably completely closed. Limiting resource scarcity, waste and pollution has environmental and economic benefits. The support for a biological input based system to replace the globalized chemical input based systems is growing strongly </w:t>
      </w:r>
      <w:r w:rsidRPr="0048196F">
        <w:rPr>
          <w:lang w:val="en-US"/>
        </w:rPr>
        <w:fldChar w:fldCharType="begin" w:fldLock="1"/>
      </w:r>
      <w:r w:rsidRPr="0048196F">
        <w:rPr>
          <w:lang w:val="en-US"/>
        </w:rPr>
        <w:instrText>ADDIN CSL_CITATION {"citationItems":[{"id":"ITEM-1","itemData":{"DOI":"10.1007/s13593-017-0429-7","ISBN":"1359301704","ISSN":"17730155","abstract":"© 2017, The Author(s). In most current farming system classifications (e.g. “conventional” versus “organic”), each type of farming system encompasses a wide variety of farming practices and performances. Classifying farming systems using concepts such as “ecological”, “sustainable intensification” or “agro-ecology” is not satisfactory because the concepts “overlap in…definitions, principles and practices, thus creating…confusion in their meanings, interpretations and implications”. Existing classifications most often focus either on biotechnical functioning or on socio-economic contexts of farming systems. We reviewed the literature to develop an original analytical framework of the diversity of farming systems and agriculture models that deal with these limits. To describe this framework, we first present the main differences between three biotechnical types of farming systems differing in the role of ecosystem services and external inputs: chemical input-, biological input- and biodiversity-based farming systems. Second, we describe four key socio-economic contexts which determine development and functioning of these farming systems: globalised commodity-based food systems, circular economies, alternative food systems and integrated landscape approaches. Third, we present our original analytical framework of agriculture models, defined as biotechnical types of farming systems associated with one or a combination of socio-economic contexts differing in the role of relationships based on global market prices and “territorial embeddedness”. We demonstrate the potential of this framework by describing six key agriculture models and reviewing key scientific issues in agronomy associated with each one. We then analyse the added value of our analytical framework and its generic character. Lastly, we discuss transversal research issues of the agriculture models, concerning the technologies required, their function in the bioeconomy, their multi-criteria and multi-level assessments, their co-existence and the transitions between them.","author":[{"dropping-particle":"","family":"Therond","given":"Olivier","non-dropping-particle":"","parse-names":false,"suffix":""},{"dropping-particle":"","family":"Duru","given":"Michel","non-dropping-particle":"","parse-names":false,"suffix":""},{"dropping-particle":"","family":"Roger-Estrade","given":"Jean","non-dropping-particle":"","parse-names":false,"suffix":""},{"dropping-particle":"","family":"Richard","given":"Guy","non-dropping-particle":"","parse-names":false,"suffix":""}],"container-title":"Agronomy for Sustainable Development","id":"ITEM-1","issue":"3","issued":{"date-parts":[["2017"]]},"title":"A new analytical framework of farming system and agriculture model diversities. A review","type":"article-journal","volume":"37"},"uris":["http://www.mendeley.com/documents/?uuid=2e681ad4-00c6-4c30-93b2-14bef3207596"]}],"mendeley":{"formattedCitation":"(Therond, Duru, Roger-Estrade, &amp; Richard, 2017)","plainTextFormattedCitation":"(Therond, Duru, Roger-Estrade, &amp; Richard, 2017)","previouslyFormattedCitation":"(Therond, Duru, Roger-Estrade, &amp; Richard, 2017)"},"properties":{"noteIndex":0},"schema":"https://github.com/citation-style-language/schema/raw/master/csl-citation.json"}</w:instrText>
      </w:r>
      <w:r w:rsidRPr="0048196F">
        <w:rPr>
          <w:lang w:val="en-US"/>
        </w:rPr>
        <w:fldChar w:fldCharType="separate"/>
      </w:r>
      <w:r w:rsidRPr="0048196F">
        <w:rPr>
          <w:noProof/>
          <w:lang w:val="en-US"/>
        </w:rPr>
        <w:t>(Therond, Duru, Roger-Estrade, &amp; Richard, 2017)</w:t>
      </w:r>
      <w:r w:rsidRPr="0048196F">
        <w:rPr>
          <w:lang w:val="en-US"/>
        </w:rPr>
        <w:fldChar w:fldCharType="end"/>
      </w:r>
      <w:r w:rsidRPr="0048196F">
        <w:rPr>
          <w:lang w:val="en-US"/>
        </w:rPr>
        <w:t xml:space="preserve">. A System using organic matter and producing biomass for energy gives rise to the “Bioeconomy”. For farmers this gives the opportunity of diversification and shortcutting the globalized supply chains for locally managed inputs and products </w:t>
      </w:r>
      <w:r w:rsidRPr="0048196F">
        <w:rPr>
          <w:lang w:val="en-US"/>
        </w:rPr>
        <w:fldChar w:fldCharType="begin" w:fldLock="1"/>
      </w:r>
      <w:r w:rsidRPr="0048196F">
        <w:rPr>
          <w:lang w:val="en-US"/>
        </w:rPr>
        <w:instrText>ADDIN CSL_CITATION {"citationItems":[{"id":"ITEM-1","itemData":{"DOI":"10.1007/s13593-017-0429-7","ISBN":"1359301704","ISSN":"17730155","abstract":"© 2017, The Author(s). In most current farming system classifications (e.g. “conventional” versus “organic”), each type of farming system encompasses a wide variety of farming practices and performances. Classifying farming systems using concepts such as “ecological”, “sustainable intensification” or “agro-ecology” is not satisfactory because the concepts “overlap in…definitions, principles and practices, thus creating…confusion in their meanings, interpretations and implications”. Existing classifications most often focus either on biotechnical functioning or on socio-economic contexts of farming systems. We reviewed the literature to develop an original analytical framework of the diversity of farming systems and agriculture models that deal with these limits. To describe this framework, we first present the main differences between three biotechnical types of farming systems differing in the role of ecosystem services and external inputs: chemical input-, biological input- and biodiversity-based farming systems. Second, we describe four key socio-economic contexts which determine development and functioning of these farming systems: globalised commodity-based food systems, circular economies, alternative food systems and integrated landscape approaches. Third, we present our original analytical framework of agriculture models, defined as biotechnical types of farming systems associated with one or a combination of socio-economic contexts differing in the role of relationships based on global market prices and “territorial embeddedness”. We demonstrate the potential of this framework by describing six key agriculture models and reviewing key scientific issues in agronomy associated with each one. We then analyse the added value of our analytical framework and its generic character. Lastly, we discuss transversal research issues of the agriculture models, concerning the technologies required, their function in the bioeconomy, their multi-criteria and multi-level assessments, their co-existence and the transitions between them.","author":[{"dropping-particle":"","family":"Therond","given":"Olivier","non-dropping-particle":"","parse-names":false,"suffix":""},{"dropping-particle":"","family":"Duru","given":"Michel","non-dropping-particle":"","parse-names":false,"suffix":""},{"dropping-particle":"","family":"Roger-Estrade","given":"Jean","non-dropping-particle":"","parse-names":false,"suffix":""},{"dropping-particle":"","family":"Richard","given":"Guy","non-dropping-particle":"","parse-names":false,"suffix":""}],"container-title":"Agronomy for Sustainable Development","id":"ITEM-1","issue":"3","issued":{"date-parts":[["2017"]]},"title":"A new analytical framework of farming system and agriculture model diversities. A review","type":"article-journal","volume":"37"},"uris":["http://www.mendeley.com/documents/?uuid=2e681ad4-00c6-4c30-93b2-14bef3207596"]}],"mendeley":{"formattedCitation":"(Therond et al., 2017)","plainTextFormattedCitation":"(Therond et al., 2017)","previouslyFormattedCitation":"(Therond et al., 2017)"},"properties":{"noteIndex":0},"schema":"https://github.com/citation-style-language/schema/raw/master/csl-citation.json"}</w:instrText>
      </w:r>
      <w:r w:rsidRPr="0048196F">
        <w:rPr>
          <w:lang w:val="en-US"/>
        </w:rPr>
        <w:fldChar w:fldCharType="separate"/>
      </w:r>
      <w:r w:rsidRPr="0048196F">
        <w:rPr>
          <w:noProof/>
          <w:lang w:val="en-US"/>
        </w:rPr>
        <w:t>(Therond et al., 2017)</w:t>
      </w:r>
      <w:r w:rsidRPr="0048196F">
        <w:rPr>
          <w:lang w:val="en-US"/>
        </w:rPr>
        <w:fldChar w:fldCharType="end"/>
      </w:r>
      <w:r w:rsidRPr="0048196F">
        <w:rPr>
          <w:lang w:val="en-US"/>
        </w:rPr>
        <w:t xml:space="preserve">,  other stages of the value chain can decrease their dependence on volatile commodity markets and reduce resource costs through efficiency. Engaging consumers in the recycling process allows for increased touchpoints and is one of the potential drivers of revenue. </w:t>
      </w:r>
    </w:p>
    <w:p w14:paraId="07C7E882" w14:textId="77777777" w:rsidR="00B31276" w:rsidRPr="0048196F" w:rsidRDefault="00B31276" w:rsidP="00B31276">
      <w:pPr>
        <w:spacing w:line="360" w:lineRule="auto"/>
        <w:rPr>
          <w:b/>
          <w:lang w:val="en-US"/>
        </w:rPr>
      </w:pPr>
      <w:r w:rsidRPr="0048196F">
        <w:rPr>
          <w:b/>
          <w:lang w:val="en-US"/>
        </w:rPr>
        <w:t>Challenges</w:t>
      </w:r>
    </w:p>
    <w:p w14:paraId="0811BBBF" w14:textId="669ED09A" w:rsidR="00B31276" w:rsidRPr="00EE6D9C" w:rsidRDefault="00B31276" w:rsidP="00B31276">
      <w:pPr>
        <w:spacing w:line="360" w:lineRule="auto"/>
        <w:rPr>
          <w:lang w:val="en-US"/>
        </w:rPr>
      </w:pPr>
      <w:r w:rsidRPr="0048196F">
        <w:rPr>
          <w:lang w:val="en-US"/>
        </w:rPr>
        <w:t>The Circular Economy paradigm</w:t>
      </w:r>
      <w:r w:rsidR="00201501" w:rsidRPr="0048196F">
        <w:rPr>
          <w:lang w:val="en-US"/>
        </w:rPr>
        <w:t xml:space="preserve"> of closing the loop</w:t>
      </w:r>
      <w:r w:rsidRPr="0048196F">
        <w:rPr>
          <w:lang w:val="en-US"/>
        </w:rPr>
        <w:t xml:space="preserve"> is still little adopted by companies</w:t>
      </w:r>
      <w:r w:rsidRPr="0048196F">
        <w:rPr>
          <w:b/>
          <w:lang w:val="en-US"/>
        </w:rPr>
        <w:t xml:space="preserve"> </w:t>
      </w:r>
      <w:r w:rsidRPr="0048196F">
        <w:rPr>
          <w:lang w:val="en-US"/>
        </w:rPr>
        <w:t xml:space="preserve">as disposing is often cheaper than re-using because it requires transformational change, incurs transaction costs and increases logistical risks </w:t>
      </w:r>
      <w:r w:rsidRPr="0048196F">
        <w:rPr>
          <w:lang w:val="en-US"/>
        </w:rPr>
        <w:fldChar w:fldCharType="begin" w:fldLock="1"/>
      </w:r>
      <w:r w:rsidRPr="0048196F">
        <w:rPr>
          <w:lang w:val="en-US"/>
        </w:rPr>
        <w:instrText>ADDIN CSL_CITATION {"citationItems":[{"id":"ITEM-1","itemData":{"DOI":"10.1007/s13593-017-0429-7","ISBN":"1359301704","ISSN":"17730155","abstract":"© 2017, The Author(s). In most current farming system classifications (e.g. “conventional” versus “organic”), each type of farming system encompasses a wide variety of farming practices and performances. Classifying farming systems using concepts such as “ecological”, “sustainable intensification” or “agro-ecology” is not satisfactory because the concepts “overlap in…definitions, principles and practices, thus creating…confusion in their meanings, interpretations and implications”. Existing classifications most often focus either on biotechnical functioning or on socio-economic contexts of farming systems. We reviewed the literature to develop an original analytical framework of the diversity of farming systems and agriculture models that deal with these limits. To describe this framework, we first present the main differences between three biotechnical types of farming systems differing in the role of ecosystem services and external inputs: chemical input-, biological input- and biodiversity-based farming systems. Second, we describe four key socio-economic contexts which determine development and functioning of these farming systems: globalised commodity-based food systems, circular economies, alternative food systems and integrated landscape approaches. Third, we present our original analytical framework of agriculture models, defined as biotechnical types of farming systems associated with one or a combination of socio-economic contexts differing in the role of relationships based on global market prices and “territorial embeddedness”. We demonstrate the potential of this framework by describing six key agriculture models and reviewing key scientific issues in agronomy associated with each one. We then analyse the added value of our analytical framework and its generic character. Lastly, we discuss transversal research issues of the agriculture models, concerning the technologies required, their function in the bioeconomy, their multi-criteria and multi-level assessments, their co-existence and the transitions between them.","author":[{"dropping-particle":"","family":"Therond","given":"Olivier","non-dropping-particle":"","parse-names":false,"suffix":""},{"dropping-particle":"","family":"Duru","given":"Michel","non-dropping-particle":"","parse-names":false,"suffix":""},{"dropping-particle":"","family":"Roger-Estrade","given":"Jean","non-dropping-particle":"","parse-names":false,"suffix":""},{"dropping-particle":"","family":"Richard","given":"Guy","non-dropping-particle":"","parse-names":false,"suffix":""}],"container-title":"Agronomy for Sustainable Development","id":"ITEM-1","issue":"3","issued":{"date-parts":[["2017"]]},"title":"A new analytical framework of farming system and agriculture model diversities. A review","type":"article-journal","volume":"37"},"uris":["http://www.mendeley.com/documents/?uuid=2e681ad4-00c6-4c30-93b2-14bef3207596"]}],"mendeley":{"formattedCitation":"(Therond et al., 2017)","plainTextFormattedCitation":"(Therond et al., 2017)","previouslyFormattedCitation":"(Therond et al., 2017)"},"properties":{"noteIndex":0},"schema":"https://github.com/citation-style-language/schema/raw/master/csl-citation.json"}</w:instrText>
      </w:r>
      <w:r w:rsidRPr="0048196F">
        <w:rPr>
          <w:lang w:val="en-US"/>
        </w:rPr>
        <w:fldChar w:fldCharType="separate"/>
      </w:r>
      <w:r w:rsidRPr="0048196F">
        <w:rPr>
          <w:noProof/>
          <w:lang w:val="en-US"/>
        </w:rPr>
        <w:t>(Therond et al., 2017)</w:t>
      </w:r>
      <w:r w:rsidRPr="0048196F">
        <w:rPr>
          <w:lang w:val="en-US"/>
        </w:rPr>
        <w:fldChar w:fldCharType="end"/>
      </w:r>
      <w:r w:rsidRPr="0048196F">
        <w:rPr>
          <w:lang w:val="en-US"/>
        </w:rPr>
        <w:t xml:space="preserve">. Research, development and execution require the involvement of several stakeholders giving rise to the need for creating consortia of interested parties </w:t>
      </w:r>
      <w:r w:rsidRPr="0048196F">
        <w:rPr>
          <w:lang w:val="en-US"/>
        </w:rPr>
        <w:fldChar w:fldCharType="begin" w:fldLock="1"/>
      </w:r>
      <w:r w:rsidRPr="0048196F">
        <w:rPr>
          <w:lang w:val="en-US"/>
        </w:rPr>
        <w:instrText>ADDIN CSL_CITATION {"citationItems":[{"id":"ITEM-1","itemData":{"DOI":"10.1016/j.jclepro.2013.10.051","ISSN":"09596526","abstract":"The production of food waste covers all the food life cycle: from agriculture, up to industrial manufacturing and processing, retail and household consumption. In developed countries, 42% of food waste is produced by households, while 39% losses occur in the food manufacturing industry, 14% in food service sector and remaining 5% in retail and distribution. Increasingly, industrial ecology concepts such as cradle to cradle and circular economy are considered leading principle for eco-innovation, aiming at \"zero waste economy\" in which waste are used as raw material for new products and applications. The large amount of waste produced by the food industry, in addition to being a great loss of valuable materials, also raises serious management problems, both from the economic and environmental point of view. Many of these residues, however, have the potential to be reused into other production systems, trough e.g. biorefineries. The present work focuses on the use of food waste coming from food manufacturing (FWm). Through extensive literature review, the authors present feasibility and constraints of applying industrial symbiosis in recovering waste from food processing, focusing on recycling (excluding energy recovery) of the solid and liquid waste from food processing industry. The main uses of functional ingredients derived from this transformation are presented and discussed, highlighting mainstream sectors of application, e.g. in the nutraceutical and pharmaceutical industry. © 2013 Elsevier Ltd. All rights reserved.","author":[{"dropping-particle":"","family":"Mirabella","given":"Nadia","non-dropping-particle":"","parse-names":false,"suffix":""},{"dropping-particle":"","family":"Castellani","given":"Valentina","non-dropping-particle":"","parse-names":false,"suffix":""},{"dropping-particle":"","family":"Sala","given":"Serenella","non-dropping-particle":"","parse-names":false,"suffix":""}],"container-title":"Journal of Cleaner Production","id":"ITEM-1","issued":{"date-parts":[["2014"]]},"page":"28-41","publisher":"Elsevier Ltd","title":"Current options for the valorization of food manufacturing waste: A review","type":"article-journal","volume":"65"},"uris":["http://www.mendeley.com/documents/?uuid=e8d65318-85d2-42b7-8551-1af495e6ac32"]}],"mendeley":{"formattedCitation":"(Mirabella, Castellani, &amp; Sala, 2014)","plainTextFormattedCitation":"(Mirabella, Castellani, &amp; Sala, 2014)","previouslyFormattedCitation":"(Mirabella, Castellani, &amp; Sala, 2014)"},"properties":{"noteIndex":0},"schema":"https://github.com/citation-style-language/schema/raw/master/csl-citation.json"}</w:instrText>
      </w:r>
      <w:r w:rsidRPr="0048196F">
        <w:rPr>
          <w:lang w:val="en-US"/>
        </w:rPr>
        <w:fldChar w:fldCharType="separate"/>
      </w:r>
      <w:r w:rsidRPr="0048196F">
        <w:rPr>
          <w:noProof/>
          <w:lang w:val="en-US"/>
        </w:rPr>
        <w:t>(Mirabella, Castellani, &amp; Sala, 2014)</w:t>
      </w:r>
      <w:r w:rsidRPr="0048196F">
        <w:rPr>
          <w:lang w:val="en-US"/>
        </w:rPr>
        <w:fldChar w:fldCharType="end"/>
      </w:r>
      <w:r w:rsidRPr="0048196F">
        <w:rPr>
          <w:lang w:val="en-US"/>
        </w:rPr>
        <w:t xml:space="preserve">. It often requires the redesigning of the production system, infrastructure, cultural frameworks or social systems </w:t>
      </w:r>
      <w:r w:rsidRPr="0048196F">
        <w:rPr>
          <w:lang w:val="en-US"/>
        </w:rPr>
        <w:fldChar w:fldCharType="begin" w:fldLock="1"/>
      </w:r>
      <w:r w:rsidRPr="0048196F">
        <w:rPr>
          <w:lang w:val="en-US"/>
        </w:rPr>
        <w:instrText>ADDIN CSL_CITATION {"citationItems":[{"id":"ITEM-1","itemData":{"DOI":"10.1007/s13593-017-0429-7","ISBN":"1359301704","ISSN":"17730155","abstract":"© 2017, The Author(s). In most current farming system classifications (e.g. “conventional” versus “organic”), each type of farming system encompasses a wide variety of farming practices and performances. Classifying farming systems using concepts such as “ecological”, “sustainable intensification” or “agro-ecology” is not satisfactory because the concepts “overlap in…definitions, principles and practices, thus creating…confusion in their meanings, interpretations and implications”. Existing classifications most often focus either on biotechnical functioning or on socio-economic contexts of farming systems. We reviewed the literature to develop an original analytical framework of the diversity of farming systems and agriculture models that deal with these limits. To describe this framework, we first present the main differences between three biotechnical types of farming systems differing in the role of ecosystem services and external inputs: chemical input-, biological input- and biodiversity-based farming systems. Second, we describe four key socio-economic contexts which determine development and functioning of these farming systems: globalised commodity-based food systems, circular economies, alternative food systems and integrated landscape approaches. Third, we present our original analytical framework of agriculture models, defined as biotechnical types of farming systems associated with one or a combination of socio-economic contexts differing in the role of relationships based on global market prices and “territorial embeddedness”. We demonstrate the potential of this framework by describing six key agriculture models and reviewing key scientific issues in agronomy associated with each one. We then analyse the added value of our analytical framework and its generic character. Lastly, we discuss transversal research issues of the agriculture models, concerning the technologies required, their function in the bioeconomy, their multi-criteria and multi-level assessments, their co-existence and the transitions between them.","author":[{"dropping-particle":"","family":"Therond","given":"Olivier","non-dropping-particle":"","parse-names":false,"suffix":""},{"dropping-particle":"","family":"Duru","given":"Michel","non-dropping-particle":"","parse-names":false,"suffix":""},{"dropping-particle":"","family":"Roger-Estrade","given":"Jean","non-dropping-particle":"","parse-names":false,"suffix":""},{"dropping-particle":"","family":"Richard","given":"Guy","non-dropping-particle":"","parse-names":false,"suffix":""}],"container-title":"Agronomy for Sustainable Development","id":"ITEM-1","issue":"3","issued":{"date-parts":[["2017"]]},"title":"A new analytical framework of farming system and agriculture model diversities. A review","type":"article-journal","volume":"37"},"uris":["http://www.mendeley.com/documents/?uuid=2e681ad4-00c6-4c30-93b2-14bef3207596"]}],"mendeley":{"formattedCitation":"(Therond et al., 2017)","plainTextFormattedCitation":"(Therond et al., 2017)","previouslyFormattedCitation":"(Therond et al., 2017)"},"properties":{"noteIndex":0},"schema":"https://github.com/citation-style-language/schema/raw/master/csl-citation.json"}</w:instrText>
      </w:r>
      <w:r w:rsidRPr="0048196F">
        <w:rPr>
          <w:lang w:val="en-US"/>
        </w:rPr>
        <w:fldChar w:fldCharType="separate"/>
      </w:r>
      <w:r w:rsidRPr="0048196F">
        <w:rPr>
          <w:noProof/>
          <w:lang w:val="en-US"/>
        </w:rPr>
        <w:t>(Therond et al., 2017)</w:t>
      </w:r>
      <w:r w:rsidRPr="0048196F">
        <w:rPr>
          <w:lang w:val="en-US"/>
        </w:rPr>
        <w:fldChar w:fldCharType="end"/>
      </w:r>
      <w:r w:rsidRPr="0048196F">
        <w:rPr>
          <w:lang w:val="en-US"/>
        </w:rPr>
        <w:t xml:space="preserve">. Additionally, consumer awareness, acceptance and habit changes are required to accept new products, minimize waste and increase recycling </w:t>
      </w:r>
      <w:r w:rsidRPr="0048196F">
        <w:rPr>
          <w:lang w:val="en-US"/>
        </w:rPr>
        <w:fldChar w:fldCharType="begin" w:fldLock="1"/>
      </w:r>
      <w:r w:rsidRPr="0048196F">
        <w:rPr>
          <w:lang w:val="en-US"/>
        </w:rPr>
        <w:instrText>ADDIN CSL_CITATION {"citationItems":[{"id":"ITEM-1","itemData":{"DOI":"10.1016/j.procir.2018.04.027","ISSN":"22128271","abstract":"Digitalisation can boost the transformation towards a more sustainable circular economy. It can help closing the material loops by providing accurate information on the availability, location and condition of products. Digitalisation also enables more efficient processes in companies, helps minimise waste, promotes longer life for products and minimises the transaction costs. Thus, digitalisation boosts the circular economy business models by helping to close the loop, slow the material loop and narrow the loop with increased resource efficiency. However, there are still many challenges to be solved in order to gain the desired benefits and gaps hindering digital technology-aided circular business models implementation. The existing literature that discusses the opportunities and challenges of digitalisation is still very limited, and therefore, our exploratory and qualitative study seeks to clarify these perspectives. There is a significant research gap in understanding those challenges and finding solutions to them. In our study, we identified challenges related to adopting novel business models, data collection and management, collaboration and competence requirements. The virtualization of products and processes, collaboration with stakeholders and utilising digitalization were highlighted to be major opportunities in adopting CE-based business models.","author":[{"dropping-particle":"","family":"Antikainen","given":"Maria","non-dropping-particle":"","parse-names":false,"suffix":""},{"dropping-particle":"","family":"Uusitalo","given":"Teuvo","non-dropping-particle":"","parse-names":false,"suffix":""},{"dropping-particle":"","family":"Kivikytö-Reponen","given":"Päivi","non-dropping-particle":"","parse-names":false,"suffix":""}],"container-title":"Procedia CIRP","id":"ITEM-1","issued":{"date-parts":[["2018"]]},"page":"45-49","publisher":"Elsevier B.V.","title":"Digitalisation as an Enabler of Circular Economy","type":"article-journal","volume":"73"},"uris":["http://www.mendeley.com/documents/?uuid=b53223cf-2aa7-4e06-9fc2-4602e92dbd04"]}],"mendeley":{"formattedCitation":"(Antikainen, Uusitalo, &amp; Kivikytö-Reponen, 2018)","plainTextFormattedCitation":"(Antikainen, Uusitalo, &amp; Kivikytö-Reponen, 2018)","previouslyFormattedCitation":"(Antikainen, Uusitalo, &amp; Kivikytö-Reponen, 2018)"},"properties":{"noteIndex":0},"schema":"https://github.com/citation-style-language/schema/raw/master/csl-citation.json"}</w:instrText>
      </w:r>
      <w:r w:rsidRPr="0048196F">
        <w:rPr>
          <w:lang w:val="en-US"/>
        </w:rPr>
        <w:fldChar w:fldCharType="separate"/>
      </w:r>
      <w:r w:rsidRPr="0048196F">
        <w:rPr>
          <w:noProof/>
          <w:lang w:val="en-US"/>
        </w:rPr>
        <w:t>(Antikainen, Uusitalo, &amp; Kivikytö-Reponen, 2018)</w:t>
      </w:r>
      <w:r w:rsidRPr="0048196F">
        <w:rPr>
          <w:lang w:val="en-US"/>
        </w:rPr>
        <w:fldChar w:fldCharType="end"/>
      </w:r>
      <w:r w:rsidRPr="0048196F">
        <w:rPr>
          <w:lang w:val="en-US"/>
        </w:rPr>
        <w:t xml:space="preserve">. Current systems are not designed to exchange materials between two or three actors, examples are the absence of collection systems and incapability of transport. Furthermore such transactions bring along transaction costs and confusion around responsibility </w:t>
      </w:r>
      <w:r w:rsidRPr="0048196F">
        <w:rPr>
          <w:lang w:val="en-US"/>
        </w:rPr>
        <w:fldChar w:fldCharType="begin" w:fldLock="1"/>
      </w:r>
      <w:r w:rsidRPr="0048196F">
        <w:rPr>
          <w:lang w:val="en-US"/>
        </w:rPr>
        <w:instrText>ADDIN CSL_CITATION {"citationItems":[{"id":"ITEM-1","itemData":{"DOI":"10.2174/221279840801160304143939","ISSN":"22127984","abstract":"Background: Closed-loop agri-food supply chains have a high potential to reduce environ- mental and economic costs resulting from food waste disposal. This paper illustrates an alternative to the traditional supply chain of bread based on the principles of a circular economy. Methods: Six circular interactions among seven actors (grain farmers, bread producers, retailers, com- postable packaging manufacturers, insect breeders, livestock farmers, consumers) of the circular filière are created in order to achieve the goal of “zero waste”. In the model, two radical technological innovations are consid- ered: insects used as animal feed and polylactic acid compostable packaging. Results: The main challenges for the implementation of the new supply chain are identified. Finally, some recent patents related to bread sustainable production, investigated in the current paper, are considered. Conclusion: Recommendations are given to academics and practitioners interested in the bio-based circular economy model approach for transforming agri-food supply chains.","author":[{"dropping-particle":"","family":"Borrello","given":"Massimiliano","non-dropping-particle":"","parse-names":false,"suffix":""},{"dropping-particle":"","family":"Lombardi","given":"Alessia","non-dropping-particle":"","parse-names":false,"suffix":""},{"dropping-particle":"","family":"Pascucci","given":"Stefano","non-dropping-particle":"","parse-names":false,"suffix":""},{"dropping-particle":"","family":"Cembalo","given":"Luigi","non-dropping-particle":"","parse-names":false,"suffix":""}],"container-title":"Recent Patents on Food, Nutrition &amp; Agriculture","id":"ITEM-1","issue":"1","issued":{"date-parts":[["2016"]]},"page":"39-47","title":"The Seven Challenges for Transitioning into a Bio-based Circular Economy in the Agri-food Sector","type":"article-journal","volume":"8"},"uris":["http://www.mendeley.com/documents/?uuid=867d3604-56c2-40a6-bbdd-c04a9e5021bf"]}],"mendeley":{"formattedCitation":"(Borrello, Lombardi, Pascucci, &amp; Cembalo, 2016)","plainTextFormattedCitation":"(Borrello, Lombardi, Pascucci, &amp; Cembalo, 2016)","previouslyFormattedCitation":"(Borrello, Lombardi, Pascucci, &amp; Cembalo, 2016)"},"properties":{"noteIndex":0},"schema":"https://github.com/citation-style-language/schema/raw/master/csl-citation.json"}</w:instrText>
      </w:r>
      <w:r w:rsidRPr="0048196F">
        <w:rPr>
          <w:lang w:val="en-US"/>
        </w:rPr>
        <w:fldChar w:fldCharType="separate"/>
      </w:r>
      <w:r w:rsidRPr="0048196F">
        <w:rPr>
          <w:noProof/>
          <w:lang w:val="en-US"/>
        </w:rPr>
        <w:t>(Borrello, Lombardi, Pascucci, &amp; Cembalo, 2016)</w:t>
      </w:r>
      <w:r w:rsidRPr="0048196F">
        <w:rPr>
          <w:lang w:val="en-US"/>
        </w:rPr>
        <w:fldChar w:fldCharType="end"/>
      </w:r>
      <w:r w:rsidRPr="0048196F">
        <w:rPr>
          <w:lang w:val="en-US"/>
        </w:rPr>
        <w:t xml:space="preserve">. Next to scientific, organizational and logistical issues there is a need to find financing for new business ideas and the development of new business models </w:t>
      </w:r>
      <w:r w:rsidRPr="0048196F">
        <w:rPr>
          <w:lang w:val="en-US"/>
        </w:rPr>
        <w:fldChar w:fldCharType="begin" w:fldLock="1"/>
      </w:r>
      <w:r w:rsidRPr="0048196F">
        <w:rPr>
          <w:lang w:val="en-US"/>
        </w:rPr>
        <w:instrText>ADDIN CSL_CITATION {"citationItems":[{"id":"ITEM-1","itemData":{"DOI":"10.1016/j.procir.2018.04.027","ISSN":"22128271","abstract":"Digitalisation can boost the transformation towards a more sustainable circular economy. It can help closing the material loops by providing accurate information on the availability, location and condition of products. Digitalisation also enables more efficient processes in companies, helps minimise waste, promotes longer life for products and minimises the transaction costs. Thus, digitalisation boosts the circular economy business models by helping to close the loop, slow the material loop and narrow the loop with increased resource efficiency. However, there are still many challenges to be solved in order to gain the desired benefits and gaps hindering digital technology-aided circular business models implementation. The existing literature that discusses the opportunities and challenges of digitalisation is still very limited, and therefore, our exploratory and qualitative study seeks to clarify these perspectives. There is a significant research gap in understanding those challenges and finding solutions to them. In our study, we identified challenges related to adopting novel business models, data collection and management, collaboration and competence requirements. The virtualization of products and processes, collaboration with stakeholders and utilising digitalization were highlighted to be major opportunities in adopting CE-based business models.","author":[{"dropping-particle":"","family":"Antikainen","given":"Maria","non-dropping-particle":"","parse-names":false,"suffix":""},{"dropping-particle":"","family":"Uusitalo","given":"Teuvo","non-dropping-particle":"","parse-names":false,"suffix":""},{"dropping-particle":"","family":"Kivikytö-Reponen","given":"Päivi","non-dropping-particle":"","parse-names":false,"suffix":""}],"container-title":"Procedia CIRP","id":"ITEM-1","issued":{"date-parts":[["2018"]]},"page":"45-49","publisher":"Elsevier B.V.","title":"Digitalisation as an Enabler of Circular Economy","type":"article-journal","volume":"73"},"uris":["http://www.mendeley.com/documents/?uuid=b53223cf-2aa7-4e06-9fc2-4602e92dbd04"]}],"mendeley":{"formattedCitation":"(Antikainen et al., 2018)","plainTextFormattedCitation":"(Antikainen et al., 2018)","previouslyFormattedCitation":"(Antikainen et al., 2018)"},"properties":{"noteIndex":0},"schema":"https://github.com/citation-style-language/schema/raw/master/csl-citation.json"}</w:instrText>
      </w:r>
      <w:r w:rsidRPr="0048196F">
        <w:rPr>
          <w:lang w:val="en-US"/>
        </w:rPr>
        <w:fldChar w:fldCharType="separate"/>
      </w:r>
      <w:r w:rsidRPr="0048196F">
        <w:rPr>
          <w:noProof/>
          <w:lang w:val="en-US"/>
        </w:rPr>
        <w:t>(Antikainen et al., 2018)</w:t>
      </w:r>
      <w:r w:rsidRPr="0048196F">
        <w:rPr>
          <w:lang w:val="en-US"/>
        </w:rPr>
        <w:fldChar w:fldCharType="end"/>
      </w:r>
      <w:r w:rsidRPr="0048196F">
        <w:rPr>
          <w:lang w:val="en-US"/>
        </w:rPr>
        <w:t xml:space="preserve">. </w:t>
      </w:r>
    </w:p>
    <w:p w14:paraId="2B5C3EF1" w14:textId="77777777" w:rsidR="00B31276" w:rsidRPr="0048196F" w:rsidRDefault="00B31276" w:rsidP="00B31276">
      <w:pPr>
        <w:spacing w:line="360" w:lineRule="auto"/>
        <w:rPr>
          <w:b/>
          <w:lang w:val="en-US"/>
        </w:rPr>
      </w:pPr>
      <w:r w:rsidRPr="0048196F">
        <w:rPr>
          <w:b/>
          <w:lang w:val="en-US"/>
        </w:rPr>
        <w:t>Solutions</w:t>
      </w:r>
    </w:p>
    <w:p w14:paraId="0CE77201" w14:textId="201FC396" w:rsidR="00B31276" w:rsidRPr="0048196F" w:rsidRDefault="00110D6B" w:rsidP="00B31276">
      <w:pPr>
        <w:spacing w:line="360" w:lineRule="auto"/>
        <w:rPr>
          <w:lang w:val="en-US"/>
        </w:rPr>
      </w:pPr>
      <w:r w:rsidRPr="0048196F">
        <w:rPr>
          <w:lang w:val="en-US"/>
        </w:rPr>
        <w:t>A great example of narrowing the loop, or  improved resource efficiency is precision agriculture; A subset of smart farming that optimizes the use of pesticides</w:t>
      </w:r>
      <w:r w:rsidR="00570CC7" w:rsidRPr="0048196F">
        <w:rPr>
          <w:lang w:val="en-US"/>
        </w:rPr>
        <w:t>,</w:t>
      </w:r>
      <w:r w:rsidRPr="0048196F">
        <w:rPr>
          <w:lang w:val="en-US"/>
        </w:rPr>
        <w:t xml:space="preserve"> fertilizers and water by using sensors</w:t>
      </w:r>
      <w:r w:rsidR="00570CC7" w:rsidRPr="0048196F">
        <w:rPr>
          <w:lang w:val="en-US"/>
        </w:rPr>
        <w:t xml:space="preserve"> as the foundation for decision support syste</w:t>
      </w:r>
      <w:r w:rsidR="00A05EE1" w:rsidRPr="0048196F">
        <w:rPr>
          <w:lang w:val="en-US"/>
        </w:rPr>
        <w:t>ms</w:t>
      </w:r>
      <w:r w:rsidRPr="0048196F">
        <w:rPr>
          <w:lang w:val="en-US"/>
        </w:rPr>
        <w:t xml:space="preserve"> </w:t>
      </w:r>
      <w:r w:rsidRPr="0048196F">
        <w:rPr>
          <w:lang w:val="en-US"/>
        </w:rPr>
        <w:fldChar w:fldCharType="begin" w:fldLock="1"/>
      </w:r>
      <w:r w:rsidR="00E95BE9" w:rsidRPr="0048196F">
        <w:rPr>
          <w:lang w:val="en-US"/>
        </w:rPr>
        <w:instrText>ADDIN CSL_CITATION {"citationItems":[{"id":"ITEM-1","itemData":{"DOI":"10.1016/j.inpa.2018.06.006","ISSN":"22143173","abstract":"Food sustainability transitions refer to transformation processes necessary to move towards sustainable food systems. Digitization is one of the most important ongoing transformation processes in global agriculture and food chains. The review paper explores the contribution of information and communication technologies (ICTs) to transition towards sustainability along the food chain (production, processing, distribution, consumption). A particular attention is devoted to precision agriculture as a food production model that integrates many ICTs. ICTs can contribute to agro-food sustainability transition by increasing resource productivity, reducing inefficiencies, decreasing management costs, and improving food chain coordination. The paper also explores some drawbacks of ICTs as well as the factors limiting their uptake in agriculture.","author":[{"dropping-particle":"","family":"Bilali","given":"Hamid","non-dropping-particle":"El","parse-names":false,"suffix":""},{"dropping-particle":"","family":"Allahyari","given":"Mohammad Sadegh","non-dropping-particle":"","parse-names":false,"suffix":""}],"container-title":"Information Processing in Agriculture","id":"ITEM-1","issue":"4","issued":{"date-parts":[["2018"]]},"page":"456-464","publisher":"China Agricultural University","title":"Transition towards sustainability in agriculture and food systems: Role of information and communication technologies","type":"article-journal","volume":"5"},"uris":["http://www.mendeley.com/documents/?uuid=54f59517-d037-4806-8a54-a55f8dad256e"]}],"mendeley":{"formattedCitation":"(El Bilali &amp; Allahyari, 2018)","plainTextFormattedCitation":"(El Bilali &amp; Allahyari, 2018)","previouslyFormattedCitation":"(El Bilali &amp; Allahyari, 2018)"},"properties":{"noteIndex":0},"schema":"https://github.com/citation-style-language/schema/raw/master/csl-citation.json"}</w:instrText>
      </w:r>
      <w:r w:rsidRPr="0048196F">
        <w:rPr>
          <w:lang w:val="en-US"/>
        </w:rPr>
        <w:fldChar w:fldCharType="separate"/>
      </w:r>
      <w:r w:rsidRPr="0048196F">
        <w:rPr>
          <w:noProof/>
          <w:lang w:val="en-US"/>
        </w:rPr>
        <w:t>(El Bilali &amp; Allahyari, 2018)</w:t>
      </w:r>
      <w:r w:rsidRPr="0048196F">
        <w:rPr>
          <w:lang w:val="en-US"/>
        </w:rPr>
        <w:fldChar w:fldCharType="end"/>
      </w:r>
      <w:r w:rsidRPr="0048196F">
        <w:rPr>
          <w:lang w:val="en-US"/>
        </w:rPr>
        <w:t xml:space="preserve">. Concerning the closing of the loop, virtualization is enabling </w:t>
      </w:r>
      <w:r w:rsidR="00B31276" w:rsidRPr="0048196F">
        <w:rPr>
          <w:lang w:val="en-US"/>
        </w:rPr>
        <w:t xml:space="preserve">the coordination of material and information flows. This reduces reverse logistic problems and return flow uncertainties by providing accurate information on the availability, location and condition of products </w:t>
      </w:r>
      <w:r w:rsidR="00B31276" w:rsidRPr="0048196F">
        <w:rPr>
          <w:lang w:val="en-US"/>
        </w:rPr>
        <w:fldChar w:fldCharType="begin" w:fldLock="1"/>
      </w:r>
      <w:r w:rsidR="00B31276" w:rsidRPr="0048196F">
        <w:rPr>
          <w:lang w:val="en-US"/>
        </w:rPr>
        <w:instrText>ADDIN CSL_CITATION {"citationItems":[{"id":"ITEM-1","itemData":{"DOI":"10.1016/j.procir.2018.04.027","ISSN":"22128271","abstract":"Digitalisation can boost the transformation towards a more sustainable circular economy. It can help closing the material loops by providing accurate information on the availability, location and condition of products. Digitalisation also enables more efficient processes in companies, helps minimise waste, promotes longer life for products and minimises the transaction costs. Thus, digitalisation boosts the circular economy business models by helping to close the loop, slow the material loop and narrow the loop with increased resource efficiency. However, there are still many challenges to be solved in order to gain the desired benefits and gaps hindering digital technology-aided circular business models implementation. The existing literature that discusses the opportunities and challenges of digitalisation is still very limited, and therefore, our exploratory and qualitative study seeks to clarify these perspectives. There is a significant research gap in understanding those challenges and finding solutions to them. In our study, we identified challenges related to adopting novel business models, data collection and management, collaboration and competence requirements. The virtualization of products and processes, collaboration with stakeholders and utilising digitalization were highlighted to be major opportunities in adopting CE-based business models.","author":[{"dropping-particle":"","family":"Antikainen","given":"Maria","non-dropping-particle":"","parse-names":false,"suffix":""},{"dropping-particle":"","family":"Uusitalo","given":"Teuvo","non-dropping-particle":"","parse-names":false,"suffix":""},{"dropping-particle":"","family":"Kivikytö-Reponen","given":"Päivi","non-dropping-particle":"","parse-names":false,"suffix":""}],"container-title":"Procedia CIRP","id":"ITEM-1","issued":{"date-parts":[["2018"]]},"page":"45-49","publisher":"Elsevier B.V.","title":"Digitalisation as an Enabler of Circular Economy","type":"article-journal","volume":"73"},"uris":["http://www.mendeley.com/documents/?uuid=b53223cf-2aa7-4e06-9fc2-4602e92dbd04"]}],"mendeley":{"formattedCitation":"(Antikainen et al., 2018)","plainTextFormattedCitation":"(Antikainen et al., 2018)","previouslyFormattedCitation":"(Antikainen et al., 2018)"},"properties":{"noteIndex":0},"schema":"https://github.com/citation-style-language/schema/raw/master/csl-citation.json"}</w:instrText>
      </w:r>
      <w:r w:rsidR="00B31276" w:rsidRPr="0048196F">
        <w:rPr>
          <w:lang w:val="en-US"/>
        </w:rPr>
        <w:fldChar w:fldCharType="separate"/>
      </w:r>
      <w:r w:rsidR="00B31276" w:rsidRPr="0048196F">
        <w:rPr>
          <w:noProof/>
          <w:lang w:val="en-US"/>
        </w:rPr>
        <w:t>(Antikainen et al., 2018)</w:t>
      </w:r>
      <w:r w:rsidR="00B31276" w:rsidRPr="0048196F">
        <w:rPr>
          <w:lang w:val="en-US"/>
        </w:rPr>
        <w:fldChar w:fldCharType="end"/>
      </w:r>
      <w:r w:rsidR="00B31276" w:rsidRPr="0048196F">
        <w:rPr>
          <w:lang w:val="en-US"/>
        </w:rPr>
        <w:t>.</w:t>
      </w:r>
      <w:r w:rsidRPr="0048196F">
        <w:rPr>
          <w:lang w:val="en-US"/>
        </w:rPr>
        <w:t xml:space="preserve"> To set up such a loop,</w:t>
      </w:r>
      <w:r w:rsidR="00B31276" w:rsidRPr="0048196F">
        <w:rPr>
          <w:lang w:val="en-US"/>
        </w:rPr>
        <w:t xml:space="preserve"> </w:t>
      </w:r>
      <w:r w:rsidRPr="0048196F">
        <w:rPr>
          <w:lang w:val="en-US"/>
        </w:rPr>
        <w:t>d</w:t>
      </w:r>
      <w:r w:rsidR="00B31276" w:rsidRPr="0048196F">
        <w:rPr>
          <w:lang w:val="en-US"/>
        </w:rPr>
        <w:t xml:space="preserve">igital platforms help to create new markets and facilitate collaboration by providing networking opportunities. Social media serves as a major enabler as it increases consumer awareness and involvement through interactive relationships </w:t>
      </w:r>
      <w:r w:rsidR="00B31276" w:rsidRPr="0048196F">
        <w:rPr>
          <w:lang w:val="en-US"/>
        </w:rPr>
        <w:fldChar w:fldCharType="begin" w:fldLock="1"/>
      </w:r>
      <w:r w:rsidR="00B31276" w:rsidRPr="0048196F">
        <w:rPr>
          <w:lang w:val="en-US"/>
        </w:rPr>
        <w:instrText>ADDIN CSL_CITATION {"citationItems":[{"id":"ITEM-1","itemData":{"DOI":"10.1016/j.procir.2018.04.027","ISSN":"22128271","abstract":"Digitalisation can boost the transformation towards a more sustainable circular economy. It can help closing the material loops by providing accurate information on the availability, location and condition of products. Digitalisation also enables more efficient processes in companies, helps minimise waste, promotes longer life for products and minimises the transaction costs. Thus, digitalisation boosts the circular economy business models by helping to close the loop, slow the material loop and narrow the loop with increased resource efficiency. However, there are still many challenges to be solved in order to gain the desired benefits and gaps hindering digital technology-aided circular business models implementation. The existing literature that discusses the opportunities and challenges of digitalisation is still very limited, and therefore, our exploratory and qualitative study seeks to clarify these perspectives. There is a significant research gap in understanding those challenges and finding solutions to them. In our study, we identified challenges related to adopting novel business models, data collection and management, collaboration and competence requirements. The virtualization of products and processes, collaboration with stakeholders and utilising digitalization were highlighted to be major opportunities in adopting CE-based business models.","author":[{"dropping-particle":"","family":"Antikainen","given":"Maria","non-dropping-particle":"","parse-names":false,"suffix":""},{"dropping-particle":"","family":"Uusitalo","given":"Teuvo","non-dropping-particle":"","parse-names":false,"suffix":""},{"dropping-particle":"","family":"Kivikytö-Reponen","given":"Päivi","non-dropping-particle":"","parse-names":false,"suffix":""}],"container-title":"Procedia CIRP","id":"ITEM-1","issued":{"date-parts":[["2018"]]},"page":"45-49","publisher":"Elsevier B.V.","title":"Digitalisation as an Enabler of Circular Economy","type":"article-journal","volume":"73"},"uris":["http://www.mendeley.com/documents/?uuid=b53223cf-2aa7-4e06-9fc2-4602e92dbd04"]}],"mendeley":{"formattedCitation":"(Antikainen et al., 2018)","plainTextFormattedCitation":"(Antikainen et al., 2018)","previouslyFormattedCitation":"(Antikainen et al., 2018)"},"properties":{"noteIndex":0},"schema":"https://github.com/citation-style-language/schema/raw/master/csl-citation.json"}</w:instrText>
      </w:r>
      <w:r w:rsidR="00B31276" w:rsidRPr="0048196F">
        <w:rPr>
          <w:lang w:val="en-US"/>
        </w:rPr>
        <w:fldChar w:fldCharType="separate"/>
      </w:r>
      <w:r w:rsidR="00B31276" w:rsidRPr="0048196F">
        <w:rPr>
          <w:noProof/>
          <w:lang w:val="en-US"/>
        </w:rPr>
        <w:t>(Antikainen et al., 2018)</w:t>
      </w:r>
      <w:r w:rsidR="00B31276" w:rsidRPr="0048196F">
        <w:rPr>
          <w:lang w:val="en-US"/>
        </w:rPr>
        <w:fldChar w:fldCharType="end"/>
      </w:r>
      <w:r w:rsidR="00B31276" w:rsidRPr="0048196F">
        <w:rPr>
          <w:lang w:val="en-US"/>
        </w:rPr>
        <w:t xml:space="preserve">. </w:t>
      </w:r>
      <w:r w:rsidRPr="0048196F">
        <w:rPr>
          <w:lang w:val="en-US"/>
        </w:rPr>
        <w:t>Such</w:t>
      </w:r>
      <w:r w:rsidR="00B31276" w:rsidRPr="0048196F">
        <w:rPr>
          <w:lang w:val="en-US"/>
        </w:rPr>
        <w:t xml:space="preserve"> </w:t>
      </w:r>
      <w:r w:rsidRPr="0048196F">
        <w:rPr>
          <w:lang w:val="en-US"/>
        </w:rPr>
        <w:t>i</w:t>
      </w:r>
      <w:r w:rsidR="00B31276" w:rsidRPr="0048196F">
        <w:rPr>
          <w:lang w:val="en-US"/>
        </w:rPr>
        <w:t xml:space="preserve">nitiatives can be at the company, local or regional level with top down or bottom up approaches, it however always involves a variety of stakeholders </w:t>
      </w:r>
      <w:r w:rsidRPr="0048196F">
        <w:rPr>
          <w:lang w:val="en-US"/>
        </w:rPr>
        <w:t xml:space="preserve">to close the loop, contributing to </w:t>
      </w:r>
      <w:r w:rsidR="00B31276" w:rsidRPr="0048196F">
        <w:rPr>
          <w:lang w:val="en-US"/>
        </w:rPr>
        <w:t>the difficulty of</w:t>
      </w:r>
      <w:r w:rsidRPr="0048196F">
        <w:rPr>
          <w:lang w:val="en-US"/>
        </w:rPr>
        <w:t xml:space="preserve"> establishing a circular economy</w:t>
      </w:r>
      <w:r w:rsidR="00B31276" w:rsidRPr="0048196F">
        <w:rPr>
          <w:lang w:val="en-US"/>
        </w:rPr>
        <w:t>.</w:t>
      </w:r>
    </w:p>
    <w:p w14:paraId="5F8F80BC" w14:textId="77777777" w:rsidR="00110D6B" w:rsidRPr="0048196F" w:rsidRDefault="00110D6B" w:rsidP="003A0778">
      <w:pPr>
        <w:rPr>
          <w:lang w:val="en-US"/>
        </w:rPr>
      </w:pPr>
    </w:p>
    <w:p w14:paraId="66F5F502" w14:textId="7D9F1CA4" w:rsidR="00B31276" w:rsidRPr="0048196F" w:rsidRDefault="00B31276" w:rsidP="004C3DC7">
      <w:pPr>
        <w:pStyle w:val="Heading3"/>
        <w:rPr>
          <w:lang w:val="en-US"/>
        </w:rPr>
      </w:pPr>
      <w:bookmarkStart w:id="73" w:name="_Toc14347333"/>
      <w:r w:rsidRPr="0048196F">
        <w:rPr>
          <w:lang w:val="en-US"/>
        </w:rPr>
        <w:t>On Demand Economy</w:t>
      </w:r>
      <w:bookmarkEnd w:id="73"/>
    </w:p>
    <w:p w14:paraId="5C1AC6E6" w14:textId="0B6EEFCF" w:rsidR="00A05EE1" w:rsidRPr="0048196F" w:rsidRDefault="00A05EE1" w:rsidP="00A05EE1">
      <w:pPr>
        <w:rPr>
          <w:lang w:val="en-US"/>
        </w:rPr>
      </w:pPr>
      <w:r w:rsidRPr="0048196F">
        <w:rPr>
          <w:lang w:val="en-US"/>
        </w:rPr>
        <w:t xml:space="preserve">Keywords: </w:t>
      </w:r>
      <w:r w:rsidRPr="0048196F">
        <w:rPr>
          <w:i/>
          <w:iCs/>
          <w:lang w:val="en-US"/>
        </w:rPr>
        <w:t>Supply &amp; Demand, E-Commerce, On demand Labour &amp; Learning</w:t>
      </w:r>
      <w:r w:rsidR="00060E5A" w:rsidRPr="0048196F">
        <w:rPr>
          <w:i/>
          <w:iCs/>
          <w:lang w:val="en-US"/>
        </w:rPr>
        <w:t>, Corporate Social Responsibility</w:t>
      </w:r>
    </w:p>
    <w:p w14:paraId="50CAD442" w14:textId="77777777" w:rsidR="00A05EE1" w:rsidRPr="0048196F" w:rsidRDefault="00A05EE1" w:rsidP="00A05EE1">
      <w:pPr>
        <w:rPr>
          <w:lang w:val="en-US"/>
        </w:rPr>
      </w:pPr>
    </w:p>
    <w:p w14:paraId="5108556A" w14:textId="77777777" w:rsidR="005A1B55" w:rsidRPr="0048196F" w:rsidRDefault="005A1B55" w:rsidP="005A1B55">
      <w:pPr>
        <w:spacing w:line="360" w:lineRule="auto"/>
        <w:rPr>
          <w:b/>
          <w:lang w:val="en-US"/>
        </w:rPr>
      </w:pPr>
      <w:r w:rsidRPr="0048196F">
        <w:rPr>
          <w:b/>
          <w:lang w:val="en-US"/>
        </w:rPr>
        <w:t>Description</w:t>
      </w:r>
    </w:p>
    <w:p w14:paraId="71D27DE8" w14:textId="75B58473" w:rsidR="004A1B20" w:rsidRPr="0048196F" w:rsidRDefault="00B31276" w:rsidP="00EE6D9C">
      <w:pPr>
        <w:spacing w:line="360" w:lineRule="auto"/>
        <w:rPr>
          <w:lang w:val="en-US"/>
        </w:rPr>
      </w:pPr>
      <w:r w:rsidRPr="0048196F">
        <w:rPr>
          <w:lang w:val="en-US"/>
        </w:rPr>
        <w:t xml:space="preserve">Digital marketplaces have led to the immediate provisioning of goods and services as well as employment becoming detached, agile and adaptable. </w:t>
      </w:r>
    </w:p>
    <w:p w14:paraId="44F16F89" w14:textId="77777777" w:rsidR="00B31276" w:rsidRPr="0048196F" w:rsidRDefault="00B31276" w:rsidP="00B31276">
      <w:pPr>
        <w:rPr>
          <w:b/>
          <w:lang w:val="en-US"/>
        </w:rPr>
      </w:pPr>
      <w:r w:rsidRPr="0048196F">
        <w:rPr>
          <w:b/>
          <w:lang w:val="en-US"/>
        </w:rPr>
        <w:t>Uses</w:t>
      </w:r>
    </w:p>
    <w:p w14:paraId="1A0B6EEB" w14:textId="4FA72E2E" w:rsidR="00B31276" w:rsidRPr="0048196F" w:rsidRDefault="00B31276" w:rsidP="00B31276">
      <w:pPr>
        <w:spacing w:line="360" w:lineRule="auto"/>
        <w:rPr>
          <w:lang w:val="en-US"/>
        </w:rPr>
      </w:pPr>
      <w:r w:rsidRPr="0048196F">
        <w:rPr>
          <w:lang w:val="en-US"/>
        </w:rPr>
        <w:t>Products and services, provided based on demand are enabled by the spread of smartphones and social media which allow the more efficient matching of supply and demand</w:t>
      </w:r>
      <w:r w:rsidR="00570CC7" w:rsidRPr="0048196F">
        <w:rPr>
          <w:lang w:val="en-US"/>
        </w:rPr>
        <w:t xml:space="preserve"> and </w:t>
      </w:r>
      <w:r w:rsidR="00E665B7" w:rsidRPr="0048196F">
        <w:rPr>
          <w:lang w:val="en-US"/>
        </w:rPr>
        <w:t>dealing with (peak) capacity problems</w:t>
      </w:r>
      <w:r w:rsidRPr="0048196F">
        <w:rPr>
          <w:lang w:val="en-US"/>
        </w:rPr>
        <w:t xml:space="preserve"> </w:t>
      </w:r>
      <w:r w:rsidRPr="0048196F">
        <w:rPr>
          <w:lang w:val="en-US"/>
        </w:rPr>
        <w:fldChar w:fldCharType="begin" w:fldLock="1"/>
      </w:r>
      <w:r w:rsidRPr="0048196F">
        <w:rPr>
          <w:lang w:val="en-US"/>
        </w:rPr>
        <w:instrText>ADDIN CSL_CITATION {"citationItems":[{"id":"ITEM-1","itemData":{"author":[{"dropping-particle":"","family":"Nomura","given":"Yuji","non-dropping-particle":"","parse-names":false,"suffix":""}],"id":"ITEM-1","issued":{"date-parts":[["2017"]]},"title":"Future Technology Trends and How They Will Affect Us Power of the Individual","type":"article-journal"},"uris":["http://www.mendeley.com/documents/?uuid=65c1d336-d555-47a0-82c3-49b8728dfe8c"]}],"mendeley":{"formattedCitation":"(Nomura, 2017)","plainTextFormattedCitation":"(Nomura, 2017)","previouslyFormattedCitation":"(Nomura, 2017)"},"properties":{"noteIndex":0},"schema":"https://github.com/citation-style-language/schema/raw/master/csl-citation.json"}</w:instrText>
      </w:r>
      <w:r w:rsidRPr="0048196F">
        <w:rPr>
          <w:lang w:val="en-US"/>
        </w:rPr>
        <w:fldChar w:fldCharType="separate"/>
      </w:r>
      <w:r w:rsidRPr="0048196F">
        <w:rPr>
          <w:noProof/>
          <w:lang w:val="en-US"/>
        </w:rPr>
        <w:t>(Nomura, 2017)</w:t>
      </w:r>
      <w:r w:rsidRPr="0048196F">
        <w:rPr>
          <w:lang w:val="en-US"/>
        </w:rPr>
        <w:fldChar w:fldCharType="end"/>
      </w:r>
      <w:r w:rsidRPr="0048196F">
        <w:rPr>
          <w:lang w:val="en-US"/>
        </w:rPr>
        <w:t xml:space="preserve">. Physical products are ordered online, labor is increasingly flexible, and virtualization allows the supply of previously physical products on demand. </w:t>
      </w:r>
      <w:r w:rsidR="00570CC7" w:rsidRPr="0048196F">
        <w:rPr>
          <w:lang w:val="en-US"/>
        </w:rPr>
        <w:t>Another essential element</w:t>
      </w:r>
      <w:r w:rsidRPr="0048196F">
        <w:rPr>
          <w:lang w:val="en-US"/>
        </w:rPr>
        <w:t xml:space="preserve"> for the shift</w:t>
      </w:r>
      <w:r w:rsidR="00570CC7" w:rsidRPr="0048196F">
        <w:rPr>
          <w:lang w:val="en-US"/>
        </w:rPr>
        <w:t xml:space="preserve"> to E-commerce</w:t>
      </w:r>
      <w:r w:rsidRPr="0048196F">
        <w:rPr>
          <w:lang w:val="en-US"/>
        </w:rPr>
        <w:t xml:space="preserve"> were the digital technologies changing logistics by narrowing information gaps for effectivity and </w:t>
      </w:r>
      <w:r w:rsidR="00570CC7" w:rsidRPr="0048196F">
        <w:rPr>
          <w:lang w:val="en-US"/>
        </w:rPr>
        <w:t xml:space="preserve">enabling of </w:t>
      </w:r>
      <w:r w:rsidR="005A049E" w:rsidRPr="0048196F">
        <w:rPr>
          <w:lang w:val="en-US"/>
        </w:rPr>
        <w:t>algorithmic</w:t>
      </w:r>
      <w:r w:rsidRPr="0048196F">
        <w:rPr>
          <w:lang w:val="en-US"/>
        </w:rPr>
        <w:t xml:space="preserve"> efficiency. By having a delivery system that is industry agnostic, peak capacity is spread, and aggregators achieve unbeatable efficiencies. Trustworthy and efficient logistical systems have changed the mentality of “can’t touch won’t buy” turning logistics into a competitive advantage. Next to physical products, software or cloud computing is available as an on demand service, facilitating access and growth </w:t>
      </w:r>
      <w:r w:rsidRPr="0048196F">
        <w:rPr>
          <w:lang w:val="en-US"/>
        </w:rPr>
        <w:fldChar w:fldCharType="begin" w:fldLock="1"/>
      </w:r>
      <w:r w:rsidRPr="0048196F">
        <w:rPr>
          <w:lang w:val="en-US"/>
        </w:rPr>
        <w:instrText>ADDIN CSL_CITATION {"citationItems":[{"id":"ITEM-1","itemData":{"DOI":"10.1016/j.compag.2009.07.015","ISSN":"01681699","abstract":"Agri-food enterprises operate in a complex and dynamic environment. To meet increasing demands of consumers, government and business partners, enterprises continuously have to work on innovations of products, processes and ways of cooperation in agri-food supply chain networks (AFSCN). Hence, a development towards a more knowledge-based economy is needed. The Lisbon strategy, launched by the European Union, to attain this knowledge-based economy, has failed so far. This paper argues that information sharing and organizing ICT are main critical areas to overcome this deadlock. However, ICT development in AFSCN involves an information integration task that has to deal with technical and organizational requirements and starts with an existing installed base. Traditional software engineering approaches are inadequate to address these issues. This paper provides an overall method for analysis, design and implementation of information integration, taking technical as well as organizational development into account. The method was derived from experiences in a research and development program in the Dutch arable farming sector. A generic integration framework forms the backbone of the method to ensure systematic and sustainable ICT development. Business process management (BPM), in combination with reference information models, plays an important role. The technical architecture and infrastructure are based on a service-oriented architecture (SOA). Attention is paid to the organizational infrastructure that is needed to embed the results in the right context, so that they will be broadly supported and used. The method is divided into three phases: analysis, basic design and iterative implementation. Analysis of the current situation in AFSCN is supported by an information integration framework. The basic design is a first version of the generic integration framework. In the iterative implementation phase, pilot projects are guided by this basic design, which results in incremental growth of the framework. The pilot projects follow a Living Lab (LL) approach. LLs represent a user-centric, open innovation approach for sensing, prototyping, validating and refining complex solutions in multiple and evolving real life contexts. The method is illustrated by an application to the Dutch arable farming sector. It can be concluded that the contribution of the presented method lies in combining different methodologies into a design approach for information integration, b…","author":[{"dropping-particle":"","family":"Wolfert","given":"J.","non-dropping-particle":"","parse-names":false,"suffix":""},{"dropping-particle":"","family":"Verdouw","given":"C. N.","non-dropping-particle":"","parse-names":false,"suffix":""},{"dropping-particle":"","family":"Verloop","given":"C. M.","non-dropping-particle":"","parse-names":false,"suffix":""},{"dropping-particle":"","family":"Beulens","given":"A. J.M.","non-dropping-particle":"","parse-names":false,"suffix":""}],"container-title":"Computers and Electronics in Agriculture","id":"ITEM-1","issue":"2","issued":{"date-parts":[["2010"]]},"page":"389-405","title":"Organizing information integration in agri-food-A method based on a service-oriented architecture and living lab approach","type":"article-journal","volume":"70"},"uris":["http://www.mendeley.com/documents/?uuid=6bb3a92e-d6ae-43cc-aea1-d3751416e3ae"]}],"mendeley":{"formattedCitation":"(J. Wolfert, Verdouw, Verloop, &amp; Beulens, 2010)","plainTextFormattedCitation":"(J. Wolfert, Verdouw, Verloop, &amp; Beulens, 2010)","previouslyFormattedCitation":"(J. Wolfert, Verdouw, Verloop, &amp; Beulens, 2010)"},"properties":{"noteIndex":0},"schema":"https://github.com/citation-style-language/schema/raw/master/csl-citation.json"}</w:instrText>
      </w:r>
      <w:r w:rsidRPr="0048196F">
        <w:rPr>
          <w:lang w:val="en-US"/>
        </w:rPr>
        <w:fldChar w:fldCharType="separate"/>
      </w:r>
      <w:r w:rsidRPr="0048196F">
        <w:rPr>
          <w:noProof/>
          <w:lang w:val="en-US"/>
        </w:rPr>
        <w:t>(J. Wolfert, Verdouw, Verloop, &amp; Beulens, 2010)</w:t>
      </w:r>
      <w:r w:rsidRPr="0048196F">
        <w:rPr>
          <w:lang w:val="en-US"/>
        </w:rPr>
        <w:fldChar w:fldCharType="end"/>
      </w:r>
      <w:r w:rsidRPr="0048196F">
        <w:rPr>
          <w:lang w:val="en-US"/>
        </w:rPr>
        <w:t xml:space="preserve">. The connection of people through digital infrastructures has resulted in the detachment of work and workplace, increasing labor flexibility and giving rise to “on demand labor”. The needed advisory services and technical assistance in the digital revolution could benefit from such labor availability. Another example of </w:t>
      </w:r>
      <w:r w:rsidR="00926E42" w:rsidRPr="0048196F">
        <w:rPr>
          <w:lang w:val="en-US"/>
        </w:rPr>
        <w:t xml:space="preserve">services virtualized </w:t>
      </w:r>
      <w:r w:rsidRPr="0048196F">
        <w:rPr>
          <w:lang w:val="en-US"/>
        </w:rPr>
        <w:t xml:space="preserve">is platform learning where actors can access courses and teachers on demand forming the new learning economy. These flexibilities allow for promising synergies between learning and working, causing a shift towards a “gig economy” </w:t>
      </w:r>
      <w:r w:rsidRPr="0048196F">
        <w:rPr>
          <w:lang w:val="en-US"/>
        </w:rPr>
        <w:fldChar w:fldCharType="begin" w:fldLock="1"/>
      </w:r>
      <w:r w:rsidRPr="0048196F">
        <w:rPr>
          <w:lang w:val="en-US"/>
        </w:rPr>
        <w:instrText>ADDIN CSL_CITATION {"citationItems":[{"id":"ITEM-1","itemData":{"DOI":"10.1080/17439884.2018.1504792","ISSN":"17439892","abstract":"Platform learning harnesses the operating capabilities and logics of digital\r\nplatforms such as Uber and Amazon to imagine synergies between ondemand\r\nlabor and on-demand learning, transforming living into\r\nlearning, and learning into labor. This paper seeks to make three original\r\ncontributions to critical analysis of platform learning. First, as an\r\nanalytical foundation, it brings together two distinct strands of\r\nscholarship on the evolving relationship between learning and late\r\ncapitalism, and the digitalization of education policy and governance,\r\nsynthesizing them in relation to questions concerning labor and work in\r\nthe emergent on-demand economy. Second, it draws on these ideas to\r\nengage the learning and work projections of two strategic forecasting\r\norganizations, Institute for the Future and Knowledge Works, as case\r\nstudies of platform learning. Third, the last section of the paper builds\r\non the sociotechnical projections of these organizations as the basis for\r\na critique of the political economy of platform learning, highlighting\r\nfour areas requiring further inquiry: (1) value extraction; (2) exploitation\r\nof labor; (3) efficacy and inequality; (4) imagination.","author":[{"dropping-particle":"","family":"Means","given":"Alexander J.","non-dropping-particle":"","parse-names":false,"suffix":""}],"container-title":"Learning, Media and Technology","id":"ITEM-1","issue":"3","issued":{"date-parts":[["2018"]]},"page":"326-338","publisher":"Taylor &amp; Francis","title":"Platform learning and on-demand labor: sociotechnical projections on the future of education and work","type":"article-journal","volume":"43"},"uris":["http://www.mendeley.com/documents/?uuid=dc2c0e0f-062e-44de-a1b7-d692135eff04"]}],"mendeley":{"formattedCitation":"(Means, 2018)","plainTextFormattedCitation":"(Means, 2018)","previouslyFormattedCitation":"(Means, 2018)"},"properties":{"noteIndex":0},"schema":"https://github.com/citation-style-language/schema/raw/master/csl-citation.json"}</w:instrText>
      </w:r>
      <w:r w:rsidRPr="0048196F">
        <w:rPr>
          <w:lang w:val="en-US"/>
        </w:rPr>
        <w:fldChar w:fldCharType="separate"/>
      </w:r>
      <w:r w:rsidRPr="0048196F">
        <w:rPr>
          <w:noProof/>
          <w:lang w:val="en-US"/>
        </w:rPr>
        <w:t>(Means, 2018)</w:t>
      </w:r>
      <w:r w:rsidRPr="0048196F">
        <w:rPr>
          <w:lang w:val="en-US"/>
        </w:rPr>
        <w:fldChar w:fldCharType="end"/>
      </w:r>
      <w:r w:rsidRPr="0048196F">
        <w:rPr>
          <w:lang w:val="en-US"/>
        </w:rPr>
        <w:t xml:space="preserve">. </w:t>
      </w:r>
    </w:p>
    <w:p w14:paraId="43AAF022" w14:textId="77777777" w:rsidR="00B31276" w:rsidRPr="0048196F" w:rsidRDefault="00B31276" w:rsidP="00B31276">
      <w:pPr>
        <w:spacing w:line="360" w:lineRule="auto"/>
        <w:rPr>
          <w:b/>
          <w:lang w:val="en-US"/>
        </w:rPr>
      </w:pPr>
      <w:r w:rsidRPr="0048196F">
        <w:rPr>
          <w:b/>
          <w:lang w:val="en-US"/>
        </w:rPr>
        <w:t>Challenges</w:t>
      </w:r>
    </w:p>
    <w:p w14:paraId="163455EE" w14:textId="5BA38508" w:rsidR="00EE0B69" w:rsidRPr="00EE6D9C" w:rsidRDefault="00B31276" w:rsidP="00B31276">
      <w:pPr>
        <w:spacing w:line="360" w:lineRule="auto"/>
        <w:rPr>
          <w:lang w:val="en-US"/>
        </w:rPr>
      </w:pPr>
      <w:r w:rsidRPr="0048196F">
        <w:rPr>
          <w:lang w:val="en-US"/>
        </w:rPr>
        <w:t xml:space="preserve">Most types of products find their way to consumers, grocery shopping however remains difficult. Consumers are not willing to sacrifice price, quality or range of products and neither are they willing to put up with inconvenient delivery or pickup arrangements </w:t>
      </w:r>
      <w:r w:rsidRPr="0048196F">
        <w:rPr>
          <w:lang w:val="en-US"/>
        </w:rPr>
        <w:fldChar w:fldCharType="begin" w:fldLock="1"/>
      </w:r>
      <w:r w:rsidRPr="0048196F">
        <w:rPr>
          <w:lang w:val="en-US"/>
        </w:rPr>
        <w:instrText>ADDIN CSL_CITATION {"citationItems":[{"id":"ITEM-1","itemData":{"abstract":"The online-grocery market is poised for growth. But only early movers will win—and only if they are adept, disciplined, and agile.","author":[{"dropping-particle":"","family":"López","given":"Enrique García","non-dropping-particle":"","parse-names":false,"suffix":""},{"dropping-particle":"","family":"Gelante","given":"Nicolo","non-dropping-particle":"","parse-names":false,"suffix":""},{"dropping-particle":"","family":"Monroe","given":"Sarah","non-dropping-particle":"","parse-names":false,"suffix":""}],"container-title":"McKinsey","id":"ITEM-1","issued":{"date-parts":[["2013"]]},"page":"22-31","title":"The future of online grocery in Europe","type":"article-journal"},"uris":["http://www.mendeley.com/documents/?uuid=807e9013-d80b-4f29-9d61-16cca60f72e5"]}],"mendeley":{"formattedCitation":"(López, Gelante, &amp; Monroe, 2013)","plainTextFormattedCitation":"(López, Gelante, &amp; Monroe, 2013)","previouslyFormattedCitation":"(López, Gelante, &amp; Monroe, 2013)"},"properties":{"noteIndex":0},"schema":"https://github.com/citation-style-language/schema/raw/master/csl-citation.json"}</w:instrText>
      </w:r>
      <w:r w:rsidRPr="0048196F">
        <w:rPr>
          <w:lang w:val="en-US"/>
        </w:rPr>
        <w:fldChar w:fldCharType="separate"/>
      </w:r>
      <w:r w:rsidRPr="0048196F">
        <w:rPr>
          <w:noProof/>
          <w:lang w:val="en-US"/>
        </w:rPr>
        <w:t>(López, Gelante, &amp; Monroe, 2013)</w:t>
      </w:r>
      <w:r w:rsidRPr="0048196F">
        <w:rPr>
          <w:lang w:val="en-US"/>
        </w:rPr>
        <w:fldChar w:fldCharType="end"/>
      </w:r>
      <w:r w:rsidRPr="0048196F">
        <w:rPr>
          <w:lang w:val="en-US"/>
        </w:rPr>
        <w:t xml:space="preserve">. Concerning on demand labor, several platforms have been in the news being scrutinized that workers are exploited through extreme flexibility, low pay and insecurity as a way of life. A system is created of “cloud based” labor where labor is provisioned at will, and as it is increasingly performed in bits, resulting in workers being released by the day or even hour. This is the worrisome difference digital technologies make; Subcontracting small tasks allows maximum value extraction from workers with minimum responsibility </w:t>
      </w:r>
      <w:r w:rsidRPr="0048196F">
        <w:rPr>
          <w:lang w:val="en-US"/>
        </w:rPr>
        <w:fldChar w:fldCharType="begin" w:fldLock="1"/>
      </w:r>
      <w:r w:rsidRPr="0048196F">
        <w:rPr>
          <w:lang w:val="en-US"/>
        </w:rPr>
        <w:instrText>ADDIN CSL_CITATION {"citationItems":[{"id":"ITEM-1","itemData":{"DOI":"10.1080/17439884.2018.1504792","ISSN":"17439892","abstract":"Platform learning harnesses the operating capabilities and logics of digital\r\nplatforms such as Uber and Amazon to imagine synergies between ondemand\r\nlabor and on-demand learning, transforming living into\r\nlearning, and learning into labor. This paper seeks to make three original\r\ncontributions to critical analysis of platform learning. First, as an\r\nanalytical foundation, it brings together two distinct strands of\r\nscholarship on the evolving relationship between learning and late\r\ncapitalism, and the digitalization of education policy and governance,\r\nsynthesizing them in relation to questions concerning labor and work in\r\nthe emergent on-demand economy. Second, it draws on these ideas to\r\nengage the learning and work projections of two strategic forecasting\r\norganizations, Institute for the Future and Knowledge Works, as case\r\nstudies of platform learning. Third, the last section of the paper builds\r\non the sociotechnical projections of these organizations as the basis for\r\na critique of the political economy of platform learning, highlighting\r\nfour areas requiring further inquiry: (1) value extraction; (2) exploitation\r\nof labor; (3) efficacy and inequality; (4) imagination.","author":[{"dropping-particle":"","family":"Means","given":"Alexander J.","non-dropping-particle":"","parse-names":false,"suffix":""}],"container-title":"Learning, Media and Technology","id":"ITEM-1","issue":"3","issued":{"date-parts":[["2018"]]},"page":"326-338","publisher":"Taylor &amp; Francis","title":"Platform learning and on-demand labor: sociotechnical projections on the future of education and work","type":"article-journal","volume":"43"},"uris":["http://www.mendeley.com/documents/?uuid=dc2c0e0f-062e-44de-a1b7-d692135eff04"]}],"mendeley":{"formattedCitation":"(Means, 2018)","plainTextFormattedCitation":"(Means, 2018)","previouslyFormattedCitation":"(Means, 2018)"},"properties":{"noteIndex":0},"schema":"https://github.com/citation-style-language/schema/raw/master/csl-citation.json"}</w:instrText>
      </w:r>
      <w:r w:rsidRPr="0048196F">
        <w:rPr>
          <w:lang w:val="en-US"/>
        </w:rPr>
        <w:fldChar w:fldCharType="separate"/>
      </w:r>
      <w:r w:rsidRPr="0048196F">
        <w:rPr>
          <w:noProof/>
          <w:lang w:val="en-US"/>
        </w:rPr>
        <w:t>(Means, 2018)</w:t>
      </w:r>
      <w:r w:rsidRPr="0048196F">
        <w:rPr>
          <w:lang w:val="en-US"/>
        </w:rPr>
        <w:fldChar w:fldCharType="end"/>
      </w:r>
      <w:r w:rsidRPr="0048196F">
        <w:rPr>
          <w:lang w:val="en-US"/>
        </w:rPr>
        <w:t xml:space="preserve">. Additional moral objections exist around the blurred lines between working, learning and living, forcing individuals to hustle from one temporary gig to another. </w:t>
      </w:r>
    </w:p>
    <w:p w14:paraId="7E02ADF2" w14:textId="5AC016B7" w:rsidR="00B31276" w:rsidRPr="0048196F" w:rsidRDefault="00B31276" w:rsidP="00B31276">
      <w:pPr>
        <w:spacing w:line="360" w:lineRule="auto"/>
        <w:rPr>
          <w:b/>
          <w:lang w:val="en-US"/>
        </w:rPr>
      </w:pPr>
      <w:r w:rsidRPr="0048196F">
        <w:rPr>
          <w:b/>
          <w:lang w:val="en-US"/>
        </w:rPr>
        <w:t>Solutions</w:t>
      </w:r>
    </w:p>
    <w:p w14:paraId="22BB730B" w14:textId="28E8D381" w:rsidR="003D7554" w:rsidRPr="0048196F" w:rsidRDefault="00B31276" w:rsidP="00B31276">
      <w:pPr>
        <w:spacing w:line="360" w:lineRule="auto"/>
        <w:rPr>
          <w:lang w:val="en-US"/>
        </w:rPr>
      </w:pPr>
      <w:r w:rsidRPr="0048196F">
        <w:rPr>
          <w:lang w:val="en-US"/>
        </w:rPr>
        <w:t>Even though some parties are showing fully automated fulfillment centers and home delivery models, it is anticipated that European E-Grocery will be characterized by a “click and collect” model. The on-demand learning and labor economy are not so much hindered by technological limitations from the digital platforms, data analytics and AI, but i</w:t>
      </w:r>
      <w:r w:rsidR="00E665B7" w:rsidRPr="0048196F">
        <w:rPr>
          <w:lang w:val="en-US"/>
        </w:rPr>
        <w:t>ts challenges are</w:t>
      </w:r>
      <w:r w:rsidRPr="0048196F">
        <w:rPr>
          <w:lang w:val="en-US"/>
        </w:rPr>
        <w:t xml:space="preserve"> centered around overcoming ethical concerns through regulation</w:t>
      </w:r>
      <w:r w:rsidR="00E665B7" w:rsidRPr="0048196F">
        <w:rPr>
          <w:lang w:val="en-US"/>
        </w:rPr>
        <w:t xml:space="preserve"> and corporate social responsibility</w:t>
      </w:r>
      <w:r w:rsidRPr="0048196F">
        <w:rPr>
          <w:lang w:val="en-US"/>
        </w:rPr>
        <w:t xml:space="preserve">. </w:t>
      </w:r>
    </w:p>
    <w:p w14:paraId="4718CE22" w14:textId="77777777" w:rsidR="00B31276" w:rsidRPr="0048196F" w:rsidRDefault="00B31276" w:rsidP="00B31276">
      <w:pPr>
        <w:rPr>
          <w:lang w:val="en-US"/>
        </w:rPr>
      </w:pPr>
    </w:p>
    <w:p w14:paraId="1DA8CAD1" w14:textId="2A67654E" w:rsidR="00B31276" w:rsidRPr="0048196F" w:rsidRDefault="00B31276" w:rsidP="004C3DC7">
      <w:pPr>
        <w:pStyle w:val="Heading3"/>
        <w:rPr>
          <w:lang w:val="en-US"/>
        </w:rPr>
      </w:pPr>
      <w:bookmarkStart w:id="74" w:name="_Toc14347334"/>
      <w:r w:rsidRPr="0048196F">
        <w:rPr>
          <w:lang w:val="en-US"/>
        </w:rPr>
        <w:t>Sustainable Intensification</w:t>
      </w:r>
      <w:bookmarkEnd w:id="74"/>
    </w:p>
    <w:p w14:paraId="6F796CF2" w14:textId="2B337A72" w:rsidR="00B31276" w:rsidRDefault="00A05EE1" w:rsidP="00B31276">
      <w:pPr>
        <w:rPr>
          <w:i/>
          <w:iCs/>
          <w:lang w:val="en-US"/>
        </w:rPr>
      </w:pPr>
      <w:r w:rsidRPr="0048196F">
        <w:rPr>
          <w:lang w:val="en-US"/>
        </w:rPr>
        <w:t xml:space="preserve">Keywords: </w:t>
      </w:r>
      <w:r w:rsidRPr="0048196F">
        <w:rPr>
          <w:i/>
          <w:iCs/>
          <w:lang w:val="en-US"/>
        </w:rPr>
        <w:t xml:space="preserve">Resilience, Sustainability norms and values, </w:t>
      </w:r>
      <w:r w:rsidR="00A847F7" w:rsidRPr="0048196F">
        <w:rPr>
          <w:i/>
          <w:iCs/>
          <w:lang w:val="en-US"/>
        </w:rPr>
        <w:t xml:space="preserve">Knowledge transfer, </w:t>
      </w:r>
      <w:r w:rsidRPr="0048196F">
        <w:rPr>
          <w:i/>
          <w:iCs/>
          <w:lang w:val="en-US"/>
        </w:rPr>
        <w:t>Resource efficient consumption, Multistakeholder processes</w:t>
      </w:r>
    </w:p>
    <w:p w14:paraId="70ED2886" w14:textId="77777777" w:rsidR="00EE6D9C" w:rsidRPr="0048196F" w:rsidRDefault="00EE6D9C" w:rsidP="00B31276">
      <w:pPr>
        <w:rPr>
          <w:lang w:val="en-US"/>
        </w:rPr>
      </w:pPr>
    </w:p>
    <w:p w14:paraId="47C1AC42" w14:textId="77777777" w:rsidR="005A1B55" w:rsidRPr="0048196F" w:rsidRDefault="005A1B55" w:rsidP="005A1B55">
      <w:pPr>
        <w:spacing w:line="360" w:lineRule="auto"/>
        <w:rPr>
          <w:b/>
          <w:lang w:val="en-US"/>
        </w:rPr>
      </w:pPr>
      <w:r w:rsidRPr="0048196F">
        <w:rPr>
          <w:b/>
          <w:lang w:val="en-US"/>
        </w:rPr>
        <w:t>Description</w:t>
      </w:r>
    </w:p>
    <w:p w14:paraId="5E48E79D" w14:textId="699B3965" w:rsidR="00B31276" w:rsidRPr="0048196F" w:rsidRDefault="00B31276" w:rsidP="004C3DC7">
      <w:pPr>
        <w:spacing w:line="360" w:lineRule="auto"/>
        <w:rPr>
          <w:lang w:val="en-US"/>
        </w:rPr>
      </w:pPr>
      <w:r w:rsidRPr="0048196F">
        <w:rPr>
          <w:lang w:val="en-US"/>
        </w:rPr>
        <w:t xml:space="preserve">Efficiency gains and output growth are required while taking into account the environmental, economic and social dimensions of sustainability. </w:t>
      </w:r>
    </w:p>
    <w:p w14:paraId="770445FD" w14:textId="77777777" w:rsidR="00EE6D9C" w:rsidRDefault="00EE6D9C" w:rsidP="00B31276">
      <w:pPr>
        <w:spacing w:line="360" w:lineRule="auto"/>
        <w:rPr>
          <w:b/>
          <w:lang w:val="en-US"/>
        </w:rPr>
      </w:pPr>
    </w:p>
    <w:p w14:paraId="1C921C26" w14:textId="77777777" w:rsidR="00EE6D9C" w:rsidRDefault="00EE6D9C" w:rsidP="00B31276">
      <w:pPr>
        <w:spacing w:line="360" w:lineRule="auto"/>
        <w:rPr>
          <w:b/>
          <w:lang w:val="en-US"/>
        </w:rPr>
      </w:pPr>
    </w:p>
    <w:p w14:paraId="2DEA6C18" w14:textId="79FDE6F4" w:rsidR="00B31276" w:rsidRPr="0048196F" w:rsidRDefault="00B31276" w:rsidP="00B31276">
      <w:pPr>
        <w:spacing w:line="360" w:lineRule="auto"/>
        <w:rPr>
          <w:b/>
          <w:lang w:val="en-US"/>
        </w:rPr>
      </w:pPr>
      <w:r w:rsidRPr="0048196F">
        <w:rPr>
          <w:b/>
          <w:lang w:val="en-US"/>
        </w:rPr>
        <w:t>Uses</w:t>
      </w:r>
    </w:p>
    <w:p w14:paraId="787DF76F" w14:textId="0C769098" w:rsidR="004A1B20" w:rsidRPr="00E503ED" w:rsidRDefault="00B31276" w:rsidP="00B31276">
      <w:pPr>
        <w:spacing w:line="360" w:lineRule="auto"/>
        <w:rPr>
          <w:lang w:val="en-US"/>
        </w:rPr>
      </w:pPr>
      <w:r w:rsidRPr="0048196F">
        <w:rPr>
          <w:lang w:val="en-US"/>
        </w:rPr>
        <w:t xml:space="preserve">Sustainable intensification (SI) reaches further than optimizing agriculture inputs for yields and adverse environmental effects. The circular economy, agroecology, sharing economy and many more trends are part of SI, in this part however SI is about societal negotiation, institutional innovation, justice and adaptive management </w:t>
      </w:r>
      <w:r w:rsidRPr="0048196F">
        <w:rPr>
          <w:lang w:val="en-US"/>
        </w:rPr>
        <w:fldChar w:fldCharType="begin" w:fldLock="1"/>
      </w:r>
      <w:r w:rsidRPr="0048196F">
        <w:rPr>
          <w:lang w:val="en-US"/>
        </w:rPr>
        <w:instrText>ADDIN CSL_CITATION {"citationItems":[{"id":"ITEM-1","itemData":{"DOI":"10.1007/s13593-017-0445-7","ISBN":"1359301704","ISSN":"17730155","abstract":"© 2017, The Author(s). Agricultural intensification is required to feed the growing and increasingly demanding human population. Intensification is associated with increasing use of resources, applied as efficiently as possible, i.e. with a concurrent increase in both resource use and resource use efficiency. Resource use efficiency has agronomic, environmental, economic, social, trans-generational, and global dimensions. Current industrial agriculture privileges economic resource use efficiency over the other dimensions, claiming that that pathway is necessary to feed the world. Current agronomy and the concept of sustainable intensification are contested. Sustainable intensification needs to include clarity about principles and practi ces for priority setting, an all-inclusive and explicit cost-benefit analysis, and subsequent weighing of trade-offs, based on scientifically acceptable, shared norms, thus making agriculture “green” again. Here, we review different forms of intensification, different principles and concepts underlying them, as well as the norms and values that are needed to guide the search for effective forms of sustainable and ecological intensification. We also address innovations in research and education required to create the necessary knowledge base. We argue that sustainable intensification should be considered as a process of enquiry and analysis for navigating and sorting out the issues and concerns in agronomy. Sustainable intensification is about societal negotiation, institutional innovation, justice, and adaptive management. We also make a plea for at least two alternative framings of sustainable intensification: one referring to the need for “de-intensification” in high-input systems to become more sustainable and one referring to the need to increase inputs and thereby yields where there are currently large yield (and often also efficiency) gaps. Society needs an agriculture that demonstrates resilience under future change, an agronomy that can cope with the diversity of trade-offs across different stakeholders, and a sustainability that is perceived as a dynamic process based on agreed values and shared knowledge, insight, and wisdom.","author":[{"dropping-particle":"","family":"Struik","given":"Paul C.","non-dropping-particle":"","parse-names":false,"suffix":""},{"dropping-particle":"","family":"Kuyper","given":"Thomas W.","non-dropping-particle":"","parse-names":false,"suffix":""}],"container-title":"Agronomy for Sustainable Development","id":"ITEM-1","issue":"5","issued":{"date-parts":[["2017"]]},"publisher":"Agronomy for Sustainable Development","title":"Sustainable intensification in agriculture: the richer shade of green. A review","type":"article-journal","volume":"37"},"uris":["http://www.mendeley.com/documents/?uuid=28ca834c-525b-4d48-923c-1c523a68ea2b"]}],"mendeley":{"formattedCitation":"(Struik &amp; Kuyper, 2017)","plainTextFormattedCitation":"(Struik &amp; Kuyper, 2017)","previouslyFormattedCitation":"(Struik &amp; Kuyper, 2017)"},"properties":{"noteIndex":0},"schema":"https://github.com/citation-style-language/schema/raw/master/csl-citation.json"}</w:instrText>
      </w:r>
      <w:r w:rsidRPr="0048196F">
        <w:rPr>
          <w:lang w:val="en-US"/>
        </w:rPr>
        <w:fldChar w:fldCharType="separate"/>
      </w:r>
      <w:r w:rsidRPr="0048196F">
        <w:rPr>
          <w:noProof/>
          <w:lang w:val="en-US"/>
        </w:rPr>
        <w:t>(Struik &amp; Kuyper, 2017)</w:t>
      </w:r>
      <w:r w:rsidRPr="0048196F">
        <w:rPr>
          <w:lang w:val="en-US"/>
        </w:rPr>
        <w:fldChar w:fldCharType="end"/>
      </w:r>
      <w:r w:rsidRPr="0048196F">
        <w:rPr>
          <w:lang w:val="en-US"/>
        </w:rPr>
        <w:t>. It is about forming an efficient, inclusive and resilient food system that can cope with future pressure. Instead of the need for sustainability, it is even mentioned we need “</w:t>
      </w:r>
      <w:r w:rsidRPr="0048196F">
        <w:rPr>
          <w:i/>
          <w:lang w:val="en-US"/>
        </w:rPr>
        <w:t>sustainagility</w:t>
      </w:r>
      <w:r w:rsidRPr="0048196F">
        <w:rPr>
          <w:lang w:val="en-US"/>
        </w:rPr>
        <w:t xml:space="preserve">: </w:t>
      </w:r>
      <w:r w:rsidRPr="0048196F">
        <w:rPr>
          <w:rFonts w:ascii="Calibri" w:hAnsi="Calibri" w:cs="Calibri"/>
          <w:i/>
          <w:lang w:val="en-US"/>
        </w:rPr>
        <w:t>﻿</w:t>
      </w:r>
      <w:r w:rsidRPr="0048196F">
        <w:rPr>
          <w:i/>
          <w:lang w:val="en-US"/>
        </w:rPr>
        <w:t>The properties and assets of a system that sustain the ability (agility) of agents to adapt and meet their needs in new ways</w:t>
      </w:r>
      <w:r w:rsidRPr="0048196F">
        <w:rPr>
          <w:lang w:val="en-US"/>
        </w:rPr>
        <w:t xml:space="preserve">” </w:t>
      </w:r>
      <w:r w:rsidRPr="0048196F">
        <w:rPr>
          <w:rFonts w:ascii="Calibri" w:hAnsi="Calibri" w:cs="Calibri"/>
          <w:lang w:val="en-US"/>
        </w:rPr>
        <w:t>﻿(</w:t>
      </w:r>
      <w:r w:rsidRPr="0048196F">
        <w:rPr>
          <w:lang w:val="en-US"/>
        </w:rPr>
        <w:t xml:space="preserve">Jackson et al., 2010). Currently sustainability often focusses on environmental and economic dimensions, neglecting the social dimension encompassing e.g food security and human well-being </w:t>
      </w:r>
      <w:r w:rsidRPr="0048196F">
        <w:rPr>
          <w:lang w:val="en-US"/>
        </w:rPr>
        <w:fldChar w:fldCharType="begin" w:fldLock="1"/>
      </w:r>
      <w:r w:rsidRPr="0048196F">
        <w:rPr>
          <w:lang w:val="en-US"/>
        </w:rPr>
        <w:instrText>ADDIN CSL_CITATION {"citationItems":[{"id":"ITEM-1","itemData":{"DOI":"10.1007/s13593-017-0445-7","ISBN":"1359301704","ISSN":"17730155","abstract":"© 2017, The Author(s). Agricultural intensification is required to feed the growing and increasingly demanding human population. Intensification is associated with increasing use of resources, applied as efficiently as possible, i.e. with a concurrent increase in both resource use and resource use efficiency. Resource use efficiency has agronomic, environmental, economic, social, trans-generational, and global dimensions. Current industrial agriculture privileges economic resource use efficiency over the other dimensions, claiming that that pathway is necessary to feed the world. Current agronomy and the concept of sustainable intensification are contested. Sustainable intensification needs to include clarity about principles and practi ces for priority setting, an all-inclusive and explicit cost-benefit analysis, and subsequent weighing of trade-offs, based on scientifically acceptable, shared norms, thus making agriculture “green” again. Here, we review different forms of intensification, different principles and concepts underlying them, as well as the norms and values that are needed to guide the search for effective forms of sustainable and ecological intensification. We also address innovations in research and education required to create the necessary knowledge base. We argue that sustainable intensification should be considered as a process of enquiry and analysis for navigating and sorting out the issues and concerns in agronomy. Sustainable intensification is about societal negotiation, institutional innovation, justice, and adaptive management. We also make a plea for at least two alternative framings of sustainable intensification: one referring to the need for “de-intensification” in high-input systems to become more sustainable and one referring to the need to increase inputs and thereby yields where there are currently large yield (and often also efficiency) gaps. Society needs an agriculture that demonstrates resilience under future change, an agronomy that can cope with the diversity of trade-offs across different stakeholders, and a sustainability that is perceived as a dynamic process based on agreed values and shared knowledge, insight, and wisdom.","author":[{"dropping-particle":"","family":"Struik","given":"Paul C.","non-dropping-particle":"","parse-names":false,"suffix":""},{"dropping-particle":"","family":"Kuyper","given":"Thomas W.","non-dropping-particle":"","parse-names":false,"suffix":""}],"container-title":"Agronomy for Sustainable Development","id":"ITEM-1","issue":"5","issued":{"date-parts":[["2017"]]},"publisher":"Agronomy for Sustainable Development","title":"Sustainable intensification in agriculture: the richer shade of green. A review","type":"article-journal","volume":"37"},"uris":["http://www.mendeley.com/documents/?uuid=28ca834c-525b-4d48-923c-1c523a68ea2b"]}],"mendeley":{"formattedCitation":"(Struik &amp; Kuyper, 2017)","plainTextFormattedCitation":"(Struik &amp; Kuyper, 2017)","previouslyFormattedCitation":"(Struik &amp; Kuyper, 2017)"},"properties":{"noteIndex":0},"schema":"https://github.com/citation-style-language/schema/raw/master/csl-citation.json"}</w:instrText>
      </w:r>
      <w:r w:rsidRPr="0048196F">
        <w:rPr>
          <w:lang w:val="en-US"/>
        </w:rPr>
        <w:fldChar w:fldCharType="separate"/>
      </w:r>
      <w:r w:rsidRPr="0048196F">
        <w:rPr>
          <w:noProof/>
          <w:lang w:val="en-US"/>
        </w:rPr>
        <w:t>(Struik &amp; Kuyper, 2017)</w:t>
      </w:r>
      <w:r w:rsidRPr="0048196F">
        <w:rPr>
          <w:lang w:val="en-US"/>
        </w:rPr>
        <w:fldChar w:fldCharType="end"/>
      </w:r>
      <w:r w:rsidRPr="0048196F">
        <w:rPr>
          <w:lang w:val="en-US"/>
        </w:rPr>
        <w:t xml:space="preserve">. </w:t>
      </w:r>
    </w:p>
    <w:p w14:paraId="5AD66E2A" w14:textId="0D93C1C9" w:rsidR="00B31276" w:rsidRPr="0048196F" w:rsidRDefault="00B31276" w:rsidP="00B31276">
      <w:pPr>
        <w:spacing w:line="360" w:lineRule="auto"/>
        <w:rPr>
          <w:b/>
          <w:lang w:val="en-US"/>
        </w:rPr>
      </w:pPr>
      <w:r w:rsidRPr="0048196F">
        <w:rPr>
          <w:b/>
          <w:lang w:val="en-US"/>
        </w:rPr>
        <w:t>Challenges</w:t>
      </w:r>
    </w:p>
    <w:p w14:paraId="7D011525" w14:textId="27D6A73A" w:rsidR="00B31276" w:rsidRPr="0048196F" w:rsidRDefault="00B31276" w:rsidP="004C3DC7">
      <w:pPr>
        <w:spacing w:line="360" w:lineRule="auto"/>
        <w:rPr>
          <w:lang w:val="en-US"/>
        </w:rPr>
      </w:pPr>
      <w:r w:rsidRPr="0048196F">
        <w:rPr>
          <w:lang w:val="en-US"/>
        </w:rPr>
        <w:t>Defining sustainability as “the ability to continue defined behavior indefinitely” (Thwink.org, 2014) does not solve the setting of standards. As sustainability is poorly defined and cannot be solved by science (yet)</w:t>
      </w:r>
      <w:r w:rsidR="00A847F7" w:rsidRPr="0048196F">
        <w:rPr>
          <w:lang w:val="en-US"/>
        </w:rPr>
        <w:t>,</w:t>
      </w:r>
      <w:r w:rsidRPr="0048196F">
        <w:rPr>
          <w:lang w:val="en-US"/>
        </w:rPr>
        <w:t xml:space="preserve"> interactions with multiple stakeholders and their conflicting perspectives  is required </w:t>
      </w:r>
      <w:r w:rsidRPr="0048196F">
        <w:rPr>
          <w:lang w:val="en-US"/>
        </w:rPr>
        <w:fldChar w:fldCharType="begin" w:fldLock="1"/>
      </w:r>
      <w:r w:rsidRPr="0048196F">
        <w:rPr>
          <w:lang w:val="en-US"/>
        </w:rPr>
        <w:instrText>ADDIN CSL_CITATION {"citationItems":[{"id":"ITEM-1","itemData":{"DOI":"10.1007/s13593-017-0445-7","ISBN":"1359301704","ISSN":"17730155","abstract":"© 2017, The Author(s). Agricultural intensification is required to feed the growing and increasingly demanding human population. Intensification is associated with increasing use of resources, applied as efficiently as possible, i.e. with a concurrent increase in both resource use and resource use efficiency. Resource use efficiency has agronomic, environmental, economic, social, trans-generational, and global dimensions. Current industrial agriculture privileges economic resource use efficiency over the other dimensions, claiming that that pathway is necessary to feed the world. Current agronomy and the concept of sustainable intensification are contested. Sustainable intensification needs to include clarity about principles and practi ces for priority setting, an all-inclusive and explicit cost-benefit analysis, and subsequent weighing of trade-offs, based on scientifically acceptable, shared norms, thus making agriculture “green” again. Here, we review different forms of intensification, different principles and concepts underlying them, as well as the norms and values that are needed to guide the search for effective forms of sustainable and ecological intensification. We also address innovations in research and education required to create the necessary knowledge base. We argue that sustainable intensification should be considered as a process of enquiry and analysis for navigating and sorting out the issues and concerns in agronomy. Sustainable intensification is about societal negotiation, institutional innovation, justice, and adaptive management. We also make a plea for at least two alternative framings of sustainable intensification: one referring to the need for “de-intensification” in high-input systems to become more sustainable and one referring to the need to increase inputs and thereby yields where there are currently large yield (and often also efficiency) gaps. Society needs an agriculture that demonstrates resilience under future change, an agronomy that can cope with the diversity of trade-offs across different stakeholders, and a sustainability that is perceived as a dynamic process based on agreed values and shared knowledge, insight, and wisdom.","author":[{"dropping-particle":"","family":"Struik","given":"Paul C.","non-dropping-particle":"","parse-names":false,"suffix":""},{"dropping-particle":"","family":"Kuyper","given":"Thomas W.","non-dropping-particle":"","parse-names":false,"suffix":""}],"container-title":"Agronomy for Sustainable Development","id":"ITEM-1","issue":"5","issued":{"date-parts":[["2017"]]},"publisher":"Agronomy for Sustainable Development","title":"Sustainable intensification in agriculture: the richer shade of green. A review","type":"article-journal","volume":"37"},"uris":["http://www.mendeley.com/documents/?uuid=28ca834c-525b-4d48-923c-1c523a68ea2b"]}],"mendeley":{"formattedCitation":"(Struik &amp; Kuyper, 2017)","plainTextFormattedCitation":"(Struik &amp; Kuyper, 2017)","previouslyFormattedCitation":"(Struik &amp; Kuyper, 2017)"},"properties":{"noteIndex":0},"schema":"https://github.com/citation-style-language/schema/raw/master/csl-citation.json"}</w:instrText>
      </w:r>
      <w:r w:rsidRPr="0048196F">
        <w:rPr>
          <w:lang w:val="en-US"/>
        </w:rPr>
        <w:fldChar w:fldCharType="separate"/>
      </w:r>
      <w:r w:rsidRPr="0048196F">
        <w:rPr>
          <w:noProof/>
          <w:lang w:val="en-US"/>
        </w:rPr>
        <w:t>(Struik &amp; Kuyper, 2017)</w:t>
      </w:r>
      <w:r w:rsidRPr="0048196F">
        <w:rPr>
          <w:lang w:val="en-US"/>
        </w:rPr>
        <w:fldChar w:fldCharType="end"/>
      </w:r>
      <w:r w:rsidRPr="0048196F">
        <w:rPr>
          <w:lang w:val="en-US"/>
        </w:rPr>
        <w:t xml:space="preserve">. </w:t>
      </w:r>
      <w:r w:rsidR="00060E5A" w:rsidRPr="0048196F">
        <w:rPr>
          <w:lang w:val="en-US"/>
        </w:rPr>
        <w:t xml:space="preserve">These same authors </w:t>
      </w:r>
      <w:r w:rsidRPr="0048196F">
        <w:rPr>
          <w:lang w:val="en-US"/>
        </w:rPr>
        <w:t xml:space="preserve">have developed a conceptualization of the required steps for consensus. They argue </w:t>
      </w:r>
      <w:r w:rsidR="00EE0B69">
        <w:rPr>
          <w:lang w:val="en-US"/>
        </w:rPr>
        <w:t>research</w:t>
      </w:r>
      <w:r w:rsidRPr="0048196F">
        <w:rPr>
          <w:lang w:val="en-US"/>
        </w:rPr>
        <w:t xml:space="preserve"> ha</w:t>
      </w:r>
      <w:r w:rsidR="00EE0B69">
        <w:rPr>
          <w:lang w:val="en-US"/>
        </w:rPr>
        <w:t>s</w:t>
      </w:r>
      <w:r w:rsidRPr="0048196F">
        <w:rPr>
          <w:lang w:val="en-US"/>
        </w:rPr>
        <w:t xml:space="preserve"> an important role to play in developing indicators, resulting in a hierarchy of issues </w:t>
      </w:r>
      <w:r w:rsidR="00060E5A" w:rsidRPr="0048196F">
        <w:rPr>
          <w:lang w:val="en-US"/>
        </w:rPr>
        <w:t>suitable for</w:t>
      </w:r>
      <w:r w:rsidRPr="0048196F">
        <w:rPr>
          <w:lang w:val="en-US"/>
        </w:rPr>
        <w:t xml:space="preserve"> social negotiations. This process includes setting up norms and values</w:t>
      </w:r>
      <w:r w:rsidR="00060E5A" w:rsidRPr="0048196F">
        <w:rPr>
          <w:lang w:val="en-US"/>
        </w:rPr>
        <w:t>,</w:t>
      </w:r>
      <w:r w:rsidRPr="0048196F">
        <w:rPr>
          <w:lang w:val="en-US"/>
        </w:rPr>
        <w:t xml:space="preserve"> and </w:t>
      </w:r>
      <w:r w:rsidR="00060E5A" w:rsidRPr="0048196F">
        <w:rPr>
          <w:lang w:val="en-US"/>
        </w:rPr>
        <w:t xml:space="preserve">the </w:t>
      </w:r>
      <w:r w:rsidRPr="0048196F">
        <w:rPr>
          <w:lang w:val="en-US"/>
        </w:rPr>
        <w:t xml:space="preserve">inclusion of institutions and the public. The public has an additional role to play in the sustainability challenge; “Resource efficient consumption”. It has been shown adulterations in the human diet have the biggest environmental impact from common SI measures </w:t>
      </w:r>
      <w:r w:rsidRPr="0048196F">
        <w:rPr>
          <w:lang w:val="en-US"/>
        </w:rPr>
        <w:fldChar w:fldCharType="begin" w:fldLock="1"/>
      </w:r>
      <w:r w:rsidRPr="0048196F">
        <w:rPr>
          <w:lang w:val="en-US"/>
        </w:rPr>
        <w:instrText>ADDIN CSL_CITATION {"citationItems":[{"id":"ITEM-1","itemData":{"DOI":"10.1016/j.geoderma.2018.11.042","ISSN":"00167061","abstract":"Sustainable agricultural intensification (SI) is an important strategy to respond to the combined challenge of achieving food security and providing public goods and ecosystem services to society, including mitigation and adaptation of climate change. Sustainable intensification includes a wide range of measures at both the supply and demand-side of agricultural production. However, currently, it is unclear what are the most effective and priority measures. This study assesses the potential of different SI measures for reducing GHG (greenhouse gas) emissions and increasing land use efficiency in the European Union's agriculture sector. A scenario approach was combined with life cycle analysis to quantify the environmental impacts of a number of different SI measures. The sustainable intensification measures assessed in this study are: 1) changing human diet; 2) using food waste in livestock diets; 3) shifting from monoculture cropping to crop rotation, and, 4) incorporating crop residues into the soil. The results reveal that the studied SI measures have the potential to increase land use savings, ranging from 0.06 to 3.32 m 2 /person/day, while GHG emission savings ranging from 71 to 1872 g CO 2 -eq/person/day can be achieved at EU level. Among these SI measures, changing human diet showed a remarkably high reduction of environmental impacts. On the contrary, increased GHG emission savings in the other SI measures (i.e. crop residue incorporation in the field and replacing soybean meal in conventional feed by food waste-based feed) are counter effected by increased GHG emissions in the energy sector due to reduction of feedstock availability for bioenergy production. The approach used in this study allows the assessment of both the production and consumption-side SI measures and allows the identification of the most effective SI measures and their potential trade-offs.","author":[{"dropping-particle":"","family":"Bais-Moleman","given":"Anna Liza","non-dropping-particle":"","parse-names":false,"suffix":""},{"dropping-particle":"","family":"Schulp","given":"Catharina J.E.","non-dropping-particle":"","parse-names":false,"suffix":""},{"dropping-particle":"","family":"Verburg","given":"Peter H.","non-dropping-particle":"","parse-names":false,"suffix":""}],"container-title":"Geoderma","id":"ITEM-1","issue":"November 2018","issued":{"date-parts":[["2019"]]},"page":"555-567","publisher":"Elsevier","title":"Assessing the environmental impacts of production- and consumption-side measures in sustainable agriculture intensification in the European Union","type":"article-journal","volume":"338"},"uris":["http://www.mendeley.com/documents/?uuid=6ace2a97-150f-4abd-8d07-5a54602f0b3f"]}],"mendeley":{"formattedCitation":"(Bais-Moleman et al., 2019)","plainTextFormattedCitation":"(Bais-Moleman et al., 2019)","previouslyFormattedCitation":"(Bais-Moleman et al., 2019)"},"properties":{"noteIndex":0},"schema":"https://github.com/citation-style-language/schema/raw/master/csl-citation.json"}</w:instrText>
      </w:r>
      <w:r w:rsidRPr="0048196F">
        <w:rPr>
          <w:lang w:val="en-US"/>
        </w:rPr>
        <w:fldChar w:fldCharType="separate"/>
      </w:r>
      <w:r w:rsidRPr="0048196F">
        <w:rPr>
          <w:noProof/>
          <w:lang w:val="en-US"/>
        </w:rPr>
        <w:t>(Bais-Moleman et al., 2019)</w:t>
      </w:r>
      <w:r w:rsidRPr="0048196F">
        <w:rPr>
          <w:lang w:val="en-US"/>
        </w:rPr>
        <w:fldChar w:fldCharType="end"/>
      </w:r>
      <w:r w:rsidRPr="0048196F">
        <w:rPr>
          <w:lang w:val="en-US"/>
        </w:rPr>
        <w:t xml:space="preserve"> Even though increasing evidence shows health benefits from a plant based diets, 95% of European consumers find it difficult to imagine a diet without animal products (ING International Survey, 2017). </w:t>
      </w:r>
    </w:p>
    <w:p w14:paraId="2D95338A" w14:textId="77777777" w:rsidR="00B31276" w:rsidRPr="0048196F" w:rsidRDefault="00B31276" w:rsidP="00B31276">
      <w:pPr>
        <w:rPr>
          <w:b/>
          <w:lang w:val="en-US"/>
        </w:rPr>
      </w:pPr>
      <w:r w:rsidRPr="0048196F">
        <w:rPr>
          <w:b/>
          <w:lang w:val="en-US"/>
        </w:rPr>
        <w:t>Solutions</w:t>
      </w:r>
    </w:p>
    <w:p w14:paraId="4FE6FBCA" w14:textId="275AD133" w:rsidR="00B31276" w:rsidRPr="0048196F" w:rsidRDefault="00B31276" w:rsidP="00B31276">
      <w:pPr>
        <w:spacing w:line="360" w:lineRule="auto"/>
        <w:rPr>
          <w:lang w:val="en-US"/>
        </w:rPr>
      </w:pPr>
      <w:r w:rsidRPr="0048196F">
        <w:rPr>
          <w:lang w:val="en-US"/>
        </w:rPr>
        <w:t xml:space="preserve">As mentioned, debate and collaboration are required to overcome challenges. The Global Food Forum supports the dialogue of economic, political, and civil society representatives from 18 EU Member states to build together coherent EU policies. The science needed to build such policies and help the sector move forward as a whole is increasingly supported and funded by governments in order to ensure the creation, coordination and transferring of knowledge </w:t>
      </w:r>
      <w:r w:rsidRPr="0048196F">
        <w:rPr>
          <w:lang w:val="en-US"/>
        </w:rPr>
        <w:fldChar w:fldCharType="begin" w:fldLock="1"/>
      </w:r>
      <w:r w:rsidR="002027ED" w:rsidRPr="0048196F">
        <w:rPr>
          <w:lang w:val="en-US"/>
        </w:rPr>
        <w:instrText>ADDIN CSL_CITATION {"citationItems":[{"id":"ITEM-1","itemData":{"author":[{"dropping-particle":"","family":"HM Government","given":"","non-dropping-particle":"","parse-names":false,"suffix":""}],"id":"ITEM-1","issue":"July","issued":{"date-parts":[["2013"]]},"page":"52","title":"A UK Strategy for Agricultural Technologies Industrial Strategy","type":"article-journal"},"uris":["http://www.mendeley.com/documents/?uuid=719b06ba-0877-4a35-82ec-8d26f6a7c033"]}],"mendeley":{"formattedCitation":"(HM Government, 2013)","plainTextFormattedCitation":"(HM Government, 2013)","previouslyFormattedCitation":"(HM Government, 2013)"},"properties":{"noteIndex":0},"schema":"https://github.com/citation-style-language/schema/raw/master/csl-citation.json"}</w:instrText>
      </w:r>
      <w:r w:rsidRPr="0048196F">
        <w:rPr>
          <w:lang w:val="en-US"/>
        </w:rPr>
        <w:fldChar w:fldCharType="separate"/>
      </w:r>
      <w:r w:rsidR="002027ED" w:rsidRPr="0048196F">
        <w:rPr>
          <w:noProof/>
          <w:lang w:val="en-US"/>
        </w:rPr>
        <w:t>(HM Government, 2013)</w:t>
      </w:r>
      <w:r w:rsidRPr="0048196F">
        <w:rPr>
          <w:lang w:val="en-US"/>
        </w:rPr>
        <w:fldChar w:fldCharType="end"/>
      </w:r>
      <w:r w:rsidRPr="0048196F">
        <w:rPr>
          <w:lang w:val="en-US"/>
        </w:rPr>
        <w:t>. The European Institute of Innovation and Technology (EIT) is an example of a multistakeholder community bundling R&amp;D forces and leveraging intellectual resources to solve the highly interlinked challenges of the sector. Stakeholders are eager to benefit from such open innovation practices</w:t>
      </w:r>
      <w:r w:rsidR="00EE0B69">
        <w:rPr>
          <w:lang w:val="en-US"/>
        </w:rPr>
        <w:t xml:space="preserve"> and </w:t>
      </w:r>
      <w:r w:rsidRPr="0048196F">
        <w:rPr>
          <w:lang w:val="en-US"/>
        </w:rPr>
        <w:t xml:space="preserve">for many it will be a surprise to see farmers connected and eager for training, innovation, investment and collaborative approaches </w:t>
      </w:r>
      <w:r w:rsidRPr="0048196F">
        <w:rPr>
          <w:lang w:val="en-US"/>
        </w:rPr>
        <w:fldChar w:fldCharType="begin" w:fldLock="1"/>
      </w:r>
      <w:r w:rsidRPr="0048196F">
        <w:rPr>
          <w:lang w:val="en-US"/>
        </w:rPr>
        <w:instrText>ADDIN CSL_CITATION {"citationItems":[{"id":"ITEM-1","itemData":{"author":[{"dropping-particle":"","family":"Farm Europe","given":"","non-dropping-particle":"","parse-names":false,"suffix":""}],"id":"ITEM-1","issued":{"date-parts":[["2017"]]},"title":"GLOBAL FOOD FORUM A new ambition for EU agri-food systems","type":"article-journal"},"uris":["http://www.mendeley.com/documents/?uuid=2df8b327-8c12-44f6-9bea-30c066481e51"]}],"mendeley":{"formattedCitation":"(Farm Europe, 2017)","plainTextFormattedCitation":"(Farm Europe, 2017)","previouslyFormattedCitation":"(Farm Europe, 2017)"},"properties":{"noteIndex":0},"schema":"https://github.com/citation-style-language/schema/raw/master/csl-citation.json"}</w:instrText>
      </w:r>
      <w:r w:rsidRPr="0048196F">
        <w:rPr>
          <w:lang w:val="en-US"/>
        </w:rPr>
        <w:fldChar w:fldCharType="separate"/>
      </w:r>
      <w:r w:rsidRPr="0048196F">
        <w:rPr>
          <w:noProof/>
          <w:lang w:val="en-US"/>
        </w:rPr>
        <w:t>(Farm Europe, 2017)</w:t>
      </w:r>
      <w:r w:rsidRPr="0048196F">
        <w:rPr>
          <w:lang w:val="en-US"/>
        </w:rPr>
        <w:fldChar w:fldCharType="end"/>
      </w:r>
      <w:r w:rsidRPr="0048196F">
        <w:rPr>
          <w:lang w:val="en-US"/>
        </w:rPr>
        <w:t>.</w:t>
      </w:r>
      <w:r w:rsidR="00E665B7" w:rsidRPr="0048196F">
        <w:rPr>
          <w:lang w:val="en-US"/>
        </w:rPr>
        <w:t xml:space="preserve"> Digital technologies also aid in changing human behavior by spreading information</w:t>
      </w:r>
      <w:r w:rsidR="00EC124B" w:rsidRPr="0048196F">
        <w:rPr>
          <w:lang w:val="en-US"/>
        </w:rPr>
        <w:t xml:space="preserve"> on social media</w:t>
      </w:r>
      <w:r w:rsidR="00E665B7" w:rsidRPr="0048196F">
        <w:rPr>
          <w:lang w:val="en-US"/>
        </w:rPr>
        <w:t xml:space="preserve"> and </w:t>
      </w:r>
      <w:r w:rsidR="00EC124B" w:rsidRPr="0048196F">
        <w:rPr>
          <w:lang w:val="en-US"/>
        </w:rPr>
        <w:t>providing insights in externalities through measurement.</w:t>
      </w:r>
      <w:r w:rsidR="00E665B7" w:rsidRPr="0048196F">
        <w:rPr>
          <w:lang w:val="en-US"/>
        </w:rPr>
        <w:t xml:space="preserve"> </w:t>
      </w:r>
    </w:p>
    <w:p w14:paraId="7DA4A1FE" w14:textId="77777777" w:rsidR="00E665B7" w:rsidRPr="0048196F" w:rsidRDefault="00E665B7" w:rsidP="00B31276">
      <w:pPr>
        <w:spacing w:line="360" w:lineRule="auto"/>
        <w:rPr>
          <w:lang w:val="en-US"/>
        </w:rPr>
      </w:pPr>
    </w:p>
    <w:p w14:paraId="6B56593C" w14:textId="522ABDA3" w:rsidR="00B31276" w:rsidRPr="0048196F" w:rsidRDefault="00B31276" w:rsidP="004C3DC7">
      <w:pPr>
        <w:pStyle w:val="Heading3"/>
        <w:rPr>
          <w:lang w:val="en-US"/>
        </w:rPr>
      </w:pPr>
      <w:bookmarkStart w:id="75" w:name="_Toc14347335"/>
      <w:r w:rsidRPr="0048196F">
        <w:rPr>
          <w:lang w:val="en-US"/>
        </w:rPr>
        <w:t>Sharing Economy</w:t>
      </w:r>
      <w:bookmarkEnd w:id="75"/>
    </w:p>
    <w:p w14:paraId="4CB9EB8F" w14:textId="52AB178B" w:rsidR="00A05EE1" w:rsidRPr="0048196F" w:rsidRDefault="00A05EE1" w:rsidP="00A05EE1">
      <w:pPr>
        <w:rPr>
          <w:i/>
          <w:iCs/>
          <w:lang w:val="en-US"/>
        </w:rPr>
      </w:pPr>
      <w:r w:rsidRPr="0048196F">
        <w:rPr>
          <w:lang w:val="en-US"/>
        </w:rPr>
        <w:t xml:space="preserve">Keywords: </w:t>
      </w:r>
      <w:r w:rsidRPr="0048196F">
        <w:rPr>
          <w:i/>
          <w:iCs/>
          <w:lang w:val="en-US"/>
        </w:rPr>
        <w:t>Waste reduction, Alternative Food Networks, Value Co-Creation</w:t>
      </w:r>
    </w:p>
    <w:p w14:paraId="499E69C2" w14:textId="77777777" w:rsidR="00A05EE1" w:rsidRPr="0048196F" w:rsidRDefault="00A05EE1" w:rsidP="00A05EE1">
      <w:pPr>
        <w:rPr>
          <w:lang w:val="en-US"/>
        </w:rPr>
      </w:pPr>
    </w:p>
    <w:p w14:paraId="6BFA3744" w14:textId="77777777" w:rsidR="005A1B55" w:rsidRPr="0048196F" w:rsidRDefault="005A1B55" w:rsidP="005A1B55">
      <w:pPr>
        <w:spacing w:line="360" w:lineRule="auto"/>
        <w:rPr>
          <w:b/>
          <w:lang w:val="en-US"/>
        </w:rPr>
      </w:pPr>
      <w:r w:rsidRPr="0048196F">
        <w:rPr>
          <w:b/>
          <w:lang w:val="en-US"/>
        </w:rPr>
        <w:t>Description</w:t>
      </w:r>
    </w:p>
    <w:p w14:paraId="204DDAA2" w14:textId="77777777" w:rsidR="00B31276" w:rsidRPr="0048196F" w:rsidRDefault="00B31276" w:rsidP="00B31276">
      <w:pPr>
        <w:spacing w:line="360" w:lineRule="auto"/>
        <w:rPr>
          <w:lang w:val="en-US"/>
        </w:rPr>
      </w:pPr>
      <w:r w:rsidRPr="0048196F">
        <w:rPr>
          <w:lang w:val="en-US"/>
        </w:rPr>
        <w:t>Sharing is about reducing ownership and increasing access by making underutilized assets and services accessible to off and online communities.</w:t>
      </w:r>
    </w:p>
    <w:p w14:paraId="65C93864" w14:textId="77777777" w:rsidR="00B31276" w:rsidRPr="0048196F" w:rsidRDefault="00B31276" w:rsidP="00B31276">
      <w:pPr>
        <w:spacing w:line="360" w:lineRule="auto"/>
        <w:rPr>
          <w:b/>
          <w:lang w:val="en-US"/>
        </w:rPr>
      </w:pPr>
      <w:r w:rsidRPr="0048196F">
        <w:rPr>
          <w:b/>
          <w:lang w:val="en-US"/>
        </w:rPr>
        <w:t>Uses</w:t>
      </w:r>
    </w:p>
    <w:p w14:paraId="5776F739" w14:textId="58F49CFD" w:rsidR="00B31276" w:rsidRPr="0048196F" w:rsidRDefault="00B31276" w:rsidP="00B31276">
      <w:pPr>
        <w:spacing w:line="360" w:lineRule="auto"/>
        <w:rPr>
          <w:lang w:val="en-US"/>
        </w:rPr>
      </w:pPr>
      <w:r w:rsidRPr="0048196F">
        <w:rPr>
          <w:lang w:val="en-US"/>
        </w:rPr>
        <w:t>The sharing of resources like cars and houses has shown to be a viable business model. Some argue these models to be part of an access economy rather than a sharing economy as sharing implies some altruistic nature. Alternative Food Networks are somewhere in the middle as consumers and producers collaborate. These short distribution chains like self-harvest gardens and community-supported agriculture have the objective of creating resilient communities, promo</w:t>
      </w:r>
      <w:r w:rsidR="00EE0B69">
        <w:rPr>
          <w:lang w:val="en-US"/>
        </w:rPr>
        <w:t>te</w:t>
      </w:r>
      <w:r w:rsidRPr="0048196F">
        <w:rPr>
          <w:lang w:val="en-US"/>
        </w:rPr>
        <w:t xml:space="preserve"> participation and social inclusion, and supporting resource efficiency through collaborative consumption </w:t>
      </w:r>
      <w:r w:rsidRPr="0048196F">
        <w:rPr>
          <w:lang w:val="en-US"/>
        </w:rPr>
        <w:fldChar w:fldCharType="begin" w:fldLock="1"/>
      </w:r>
      <w:r w:rsidRPr="0048196F">
        <w:rPr>
          <w:lang w:val="en-US"/>
        </w:rPr>
        <w:instrText>ADDIN CSL_CITATION {"citationItems":[{"id":"ITEM-1","itemData":{"DOI":"10.1007/s10460-017-9778-8","ISBN":"0123456789","ISSN":"15728366","abstract":"© 2017, The Author(s). Despite the proliferation of sharing economy initiatives in agri-food systems, the recent literature has still not unravelled what sharing exactly entails from an organizational standpoint. In light of this knowledge gap, this study aims to understand which resources are shared, and how, in a heterogeneous set of sharing economy initiatives in the context of food and agriculture. Specifically, this study compares the organization of various forms of alternative food networks (AFNs), which are recognized to be frugal forms of sharing economy initiatives (i.e., locally based, small-scale and with limited use of information technology), in terms of leadership, bureaucracy, shared resources and participants’ engagement. Data from a comparative case study across 18 AFNs identify five sharing economy models of AFNs with distinctive shared resources and organizational mechanisms: consumer groups; commercial community gardens; as well as network-based, privately owned and publicly owned self-consumption community gardens. These models also display notable differences in terms of their origins, participants’ goals and constraints which, to some extent, may be associated to the nature of their organization. Findings inform policy-makers, AFNs’ leaders and stakeholders—especially those seeking to support innovative models towards sustainable transitions—on how to tailor institutional norms and develop networks to meet the heterogeneous needs of different typologies of sharing economy initiatives in agri-food systems.","author":[{"dropping-particle":"","family":"Miralles","given":"Isabel","non-dropping-particle":"","parse-names":false,"suffix":""},{"dropping-particle":"","family":"Dentoni","given":"Domenico","non-dropping-particle":"","parse-names":false,"suffix":""},{"dropping-particle":"","family":"Pascucci","given":"Stefano","non-dropping-particle":"","parse-names":false,"suffix":""}],"container-title":"Agriculture and Human Values","id":"ITEM-1","issue":"4","issued":{"date-parts":[["2017"]]},"page":"833-854","publisher":"Springer Netherlands","title":"Understanding the organization of sharing economy in agri-food systems: evidence from alternative food networks in Valencia","type":"article-journal","volume":"34"},"uris":["http://www.mendeley.com/documents/?uuid=1fa34b3f-ad4a-4eee-8dde-5381593e9700"]}],"mendeley":{"formattedCitation":"(Miralles, Dentoni, &amp; Pascucci, 2017)","plainTextFormattedCitation":"(Miralles, Dentoni, &amp; Pascucci, 2017)","previouslyFormattedCitation":"(Miralles, Dentoni, &amp; Pascucci, 2017)"},"properties":{"noteIndex":0},"schema":"https://github.com/citation-style-language/schema/raw/master/csl-citation.json"}</w:instrText>
      </w:r>
      <w:r w:rsidRPr="0048196F">
        <w:rPr>
          <w:lang w:val="en-US"/>
        </w:rPr>
        <w:fldChar w:fldCharType="separate"/>
      </w:r>
      <w:r w:rsidRPr="0048196F">
        <w:rPr>
          <w:noProof/>
          <w:lang w:val="en-US"/>
        </w:rPr>
        <w:t>(Miralles, Dentoni, &amp; Pascucci, 2017)</w:t>
      </w:r>
      <w:r w:rsidRPr="0048196F">
        <w:rPr>
          <w:lang w:val="en-US"/>
        </w:rPr>
        <w:fldChar w:fldCharType="end"/>
      </w:r>
      <w:r w:rsidRPr="0048196F">
        <w:rPr>
          <w:lang w:val="en-US"/>
        </w:rPr>
        <w:t xml:space="preserve">. Urbanization has also stimulated the design of neighborhood-based sharing initiatives such as increasingly popular peer to peer home cook food models that aid food waste reduction </w:t>
      </w:r>
      <w:r w:rsidRPr="0048196F">
        <w:rPr>
          <w:lang w:val="en-US"/>
        </w:rPr>
        <w:fldChar w:fldCharType="begin" w:fldLock="1"/>
      </w:r>
      <w:r w:rsidRPr="0048196F">
        <w:rPr>
          <w:lang w:val="en-US"/>
        </w:rPr>
        <w:instrText>ADDIN CSL_CITATION {"citationItems":[{"id":"ITEM-1","itemData":{"ISSN":"19935250","abstract":"This study provides an overview of the sharing economy, specifically focusing on the food-sharing sector. It predominantly uses secondary research, such as academic and practical literature, case studies and news publications to undertake this research. This project firstly examines the different reasons for growth in the sharing economy and the types of sharing models that have emerged. To evaluate these models, a thorough analysis of business models of relevant and distinct firms-AirBnB, Taskrabbit, Eatwith and Uber is presented. Secondly, this study evaluates the opportunities and threats faced by firms in the sharing economy, specifically focusing on why some firms fail, main issues they have to overcome and key trends that may aid their development. Moreover, this study focuses on the food industry and how different sharing models are set up in that sector and the market forces they are faced with. Lastly, the financial performance of food-sharing platforms is analyzed, using risk and reward trade-offassumptions and cost factors. Results of this study showed that there are four key models of food sharing that are competing in the sharing economy. Early successes of Eatwith and Shareyourmeal indicate potential growth in the P2P home-cooked food model and the delivery/takeaway model of food-sharing. Our forecasts, looking at the motives for sharing and the UK market size indicates significant potential for growth in the delivery/takeaway segment and based on this finding, the report examines the delivery/takeaway model in more detail. Research uncovers some opportunities for growth, especially in combating the unhealthy perception of current delivery/takeaway offerings and also in encouraging people to dispose of their waste. Moreover, research shows that firms face some key issues in this segment of the sharing economy which include health and safety issues, trust issues and logistics issues. Based on findings, it is recommend that company focus on the two most important models of food sharing the P2 P model and the delivery/takeaway model and attempt to identify the potential for emerging firms in these segments in the UK and Russia. It is recommended that the P2P model is an unknown entity, yet increasing popular with early success stories making it an attractive prospect. It is also recommend that company observe developments in this model in the next 3 years. Moreover, findings present the delivery/takeaway model as one with great potential base…","author":[{"dropping-particle":"","family":"Ukolov","given":"Vladimir F.","non-dropping-particle":"","parse-names":false,"suffix":""},{"dropping-particle":"V.","family":"Solomatin","given":"Alexander","non-dropping-particle":"","parse-names":false,"suffix":""},{"dropping-particle":"V.","family":"Solomatin","given":"Yaroslav","non-dropping-particle":"","parse-names":false,"suffix":""},{"dropping-particle":"","family":"Chernikov","given":"Sergey U.","non-dropping-particle":"","parse-names":false,"suffix":""},{"dropping-particle":"V.","family":"Ukolov","given":"Alexander","non-dropping-particle":"","parse-names":false,"suffix":""}],"container-title":"International Business Management","id":"ITEM-1","issue":"18","issued":{"date-parts":[["2016"]]},"page":"4268-4282","title":"Food-sharing economy pattern comparison in UK and Russian markets","type":"article","volume":"10"},"uris":["http://www.mendeley.com/documents/?uuid=2fe71c47-ae54-4b46-bb50-96d1150c554e"]}],"mendeley":{"formattedCitation":"(Ukolov, Solomatin, Solomatin, Chernikov, &amp; Ukolov, 2016)","plainTextFormattedCitation":"(Ukolov, Solomatin, Solomatin, Chernikov, &amp; Ukolov, 2016)","previouslyFormattedCitation":"(Ukolov, Solomatin, Solomatin, Chernikov, &amp; Ukolov, 2016)"},"properties":{"noteIndex":0},"schema":"https://github.com/citation-style-language/schema/raw/master/csl-citation.json"}</w:instrText>
      </w:r>
      <w:r w:rsidRPr="0048196F">
        <w:rPr>
          <w:lang w:val="en-US"/>
        </w:rPr>
        <w:fldChar w:fldCharType="separate"/>
      </w:r>
      <w:r w:rsidRPr="0048196F">
        <w:rPr>
          <w:noProof/>
          <w:lang w:val="en-US"/>
        </w:rPr>
        <w:t>(Ukolov, Solomatin, Solomatin, Chernikov, &amp; Ukolov, 2016)</w:t>
      </w:r>
      <w:r w:rsidRPr="0048196F">
        <w:rPr>
          <w:lang w:val="en-US"/>
        </w:rPr>
        <w:fldChar w:fldCharType="end"/>
      </w:r>
      <w:r w:rsidRPr="0048196F">
        <w:rPr>
          <w:lang w:val="en-US"/>
        </w:rPr>
        <w:t xml:space="preserve">. Larger regional initiatives are Food Hubs. It is a survival strategy of small farms that is based on value-based supply chains reconstructing local agri-food systems. It is described as a survival strategy as it is a response to the unsustainable food system for the small farmer who </w:t>
      </w:r>
      <w:r w:rsidR="00EE0B69">
        <w:rPr>
          <w:lang w:val="en-US"/>
        </w:rPr>
        <w:t>are</w:t>
      </w:r>
      <w:r w:rsidRPr="0048196F">
        <w:rPr>
          <w:lang w:val="en-US"/>
        </w:rPr>
        <w:t xml:space="preserve"> price squeezed due to unequal bargaining power </w:t>
      </w:r>
      <w:r w:rsidRPr="0048196F">
        <w:rPr>
          <w:lang w:val="en-US"/>
        </w:rPr>
        <w:fldChar w:fldCharType="begin" w:fldLock="1"/>
      </w:r>
      <w:r w:rsidRPr="0048196F">
        <w:rPr>
          <w:lang w:val="en-US"/>
        </w:rPr>
        <w:instrText>ADDIN CSL_CITATION {"citationItems":[{"id":"ITEM-1","itemData":{"DOI":"10.3390/su8070616","ISSN":"20711050","abstract":"Over the last decades, the economic, social and environmental sustainability of the conventional agri-food system has and continues to be contested within both academic and public institutions. For small farms, the unsustainability of the food system is even more serious; farms’ declining share of profit and the cost-price squeeze of commodity production has increased barriers to market access with the inevitable effect of agricultural abandonment. One way forward to respond to the existing conventional agri-food systems and to create a competitive or survival strategy for small family farms is the re-construction of regional and local agri-food systems, aligning with Kramer and Porter’s concept of shared value strategy. Through a critical literature review, this paper presents “regional and local food hubs” as innovative organizational arrangements capable of bridging structural holes in the agri-food markets between small producers and the consumers—individuals and families as well as big buyers. Food hubs respond to a supply chain (or supply network) organizational strategy aiming at re-territorialising the agri-food systems through the construction of what in the economic literature are defined as values-based food supply chains.","author":[{"dropping-particle":"","family":"Berti","given":"Giaime","non-dropping-particle":"","parse-names":false,"suffix":""},{"dropping-particle":"","family":"Mulligan","given":"Catherine","non-dropping-particle":"","parse-names":false,"suffix":""}],"container-title":"Sustainability (Switzerland)","id":"ITEM-1","issue":"7","issued":{"date-parts":[["2016"]]},"title":"Competitiveness of small farms and innovative food supply chains: The role of food hubs in creating sustainable regional and local food systems","type":"article-journal","volume":"8"},"uris":["http://www.mendeley.com/documents/?uuid=7b1fad7e-acc3-482e-888f-b8f43ec6fe27"]}],"mendeley":{"formattedCitation":"(Berti &amp; Mulligan, 2016)","plainTextFormattedCitation":"(Berti &amp; Mulligan, 2016)","previouslyFormattedCitation":"(Berti &amp; Mulligan, 2016)"},"properties":{"noteIndex":0},"schema":"https://github.com/citation-style-language/schema/raw/master/csl-citation.json"}</w:instrText>
      </w:r>
      <w:r w:rsidRPr="0048196F">
        <w:rPr>
          <w:lang w:val="en-US"/>
        </w:rPr>
        <w:fldChar w:fldCharType="separate"/>
      </w:r>
      <w:r w:rsidRPr="0048196F">
        <w:rPr>
          <w:noProof/>
          <w:lang w:val="en-US"/>
        </w:rPr>
        <w:t>(Berti &amp; Mulligan, 2016)</w:t>
      </w:r>
      <w:r w:rsidRPr="0048196F">
        <w:rPr>
          <w:lang w:val="en-US"/>
        </w:rPr>
        <w:fldChar w:fldCharType="end"/>
      </w:r>
      <w:r w:rsidRPr="0048196F">
        <w:rPr>
          <w:lang w:val="en-US"/>
        </w:rPr>
        <w:t xml:space="preserve">. Food hubs are about sharing value through policies and operating practices enhancing the competitiveness of a company while stimulating economic and social conditions of the community it operates in. Examples are the creation of brands around regions and the attraction of talent. </w:t>
      </w:r>
    </w:p>
    <w:p w14:paraId="09F72A0A" w14:textId="77777777" w:rsidR="00B31276" w:rsidRPr="0048196F" w:rsidRDefault="00B31276" w:rsidP="00B31276">
      <w:pPr>
        <w:spacing w:line="360" w:lineRule="auto"/>
        <w:rPr>
          <w:b/>
          <w:lang w:val="en-US"/>
        </w:rPr>
      </w:pPr>
      <w:r w:rsidRPr="0048196F">
        <w:rPr>
          <w:b/>
          <w:lang w:val="en-US"/>
        </w:rPr>
        <w:t>Challenges</w:t>
      </w:r>
    </w:p>
    <w:p w14:paraId="248A9E2B" w14:textId="77777777" w:rsidR="004C3DC7" w:rsidRPr="0048196F" w:rsidRDefault="00B31276" w:rsidP="00B31276">
      <w:pPr>
        <w:spacing w:line="360" w:lineRule="auto"/>
        <w:rPr>
          <w:lang w:val="en-US"/>
        </w:rPr>
      </w:pPr>
      <w:r w:rsidRPr="0048196F">
        <w:rPr>
          <w:lang w:val="en-US"/>
        </w:rPr>
        <w:t xml:space="preserve">A common challenge faced in sharing economy practices is finding the right level of control, through authority or formalized norms, without limiting the ability of community members to participate and benefit from shared resources </w:t>
      </w:r>
      <w:r w:rsidRPr="0048196F">
        <w:rPr>
          <w:lang w:val="en-US"/>
        </w:rPr>
        <w:fldChar w:fldCharType="begin" w:fldLock="1"/>
      </w:r>
      <w:r w:rsidRPr="0048196F">
        <w:rPr>
          <w:lang w:val="en-US"/>
        </w:rPr>
        <w:instrText>ADDIN CSL_CITATION {"citationItems":[{"id":"ITEM-1","itemData":{"DOI":"10.1007/s10460-017-9778-8","ISBN":"0123456789","ISSN":"15728366","abstract":"© 2017, The Author(s). Despite the proliferation of sharing economy initiatives in agri-food systems, the recent literature has still not unravelled what sharing exactly entails from an organizational standpoint. In light of this knowledge gap, this study aims to understand which resources are shared, and how, in a heterogeneous set of sharing economy initiatives in the context of food and agriculture. Specifically, this study compares the organization of various forms of alternative food networks (AFNs), which are recognized to be frugal forms of sharing economy initiatives (i.e., locally based, small-scale and with limited use of information technology), in terms of leadership, bureaucracy, shared resources and participants’ engagement. Data from a comparative case study across 18 AFNs identify five sharing economy models of AFNs with distinctive shared resources and organizational mechanisms: consumer groups; commercial community gardens; as well as network-based, privately owned and publicly owned self-consumption community gardens. These models also display notable differences in terms of their origins, participants’ goals and constraints which, to some extent, may be associated to the nature of their organization. Findings inform policy-makers, AFNs’ leaders and stakeholders—especially those seeking to support innovative models towards sustainable transitions—on how to tailor institutional norms and develop networks to meet the heterogeneous needs of different typologies of sharing economy initiatives in agri-food systems.","author":[{"dropping-particle":"","family":"Miralles","given":"Isabel","non-dropping-particle":"","parse-names":false,"suffix":""},{"dropping-particle":"","family":"Dentoni","given":"Domenico","non-dropping-particle":"","parse-names":false,"suffix":""},{"dropping-particle":"","family":"Pascucci","given":"Stefano","non-dropping-particle":"","parse-names":false,"suffix":""}],"container-title":"Agriculture and Human Values","id":"ITEM-1","issue":"4","issued":{"date-parts":[["2017"]]},"page":"833-854","publisher":"Springer Netherlands","title":"Understanding the organization of sharing economy in agri-food systems: evidence from alternative food networks in Valencia","type":"article-journal","volume":"34"},"uris":["http://www.mendeley.com/documents/?uuid=1fa34b3f-ad4a-4eee-8dde-5381593e9700"]}],"mendeley":{"formattedCitation":"(Miralles et al., 2017)","plainTextFormattedCitation":"(Miralles et al., 2017)","previouslyFormattedCitation":"(Miralles et al., 2017)"},"properties":{"noteIndex":0},"schema":"https://github.com/citation-style-language/schema/raw/master/csl-citation.json"}</w:instrText>
      </w:r>
      <w:r w:rsidRPr="0048196F">
        <w:rPr>
          <w:lang w:val="en-US"/>
        </w:rPr>
        <w:fldChar w:fldCharType="separate"/>
      </w:r>
      <w:r w:rsidRPr="0048196F">
        <w:rPr>
          <w:noProof/>
          <w:lang w:val="en-US"/>
        </w:rPr>
        <w:t>(Miralles et al., 2017)</w:t>
      </w:r>
      <w:r w:rsidRPr="0048196F">
        <w:rPr>
          <w:lang w:val="en-US"/>
        </w:rPr>
        <w:fldChar w:fldCharType="end"/>
      </w:r>
      <w:r w:rsidRPr="0048196F">
        <w:rPr>
          <w:lang w:val="en-US"/>
        </w:rPr>
        <w:t xml:space="preserve">. A trade off exists between authority, community and opportunism. Furthermore, institutional norms need to be set to deal with health and safety issues, poorly regulated markets and taxation avoidance. </w:t>
      </w:r>
    </w:p>
    <w:p w14:paraId="76C615B8" w14:textId="1D857949" w:rsidR="00B31276" w:rsidRPr="0048196F" w:rsidRDefault="00B31276" w:rsidP="00B31276">
      <w:pPr>
        <w:spacing w:line="360" w:lineRule="auto"/>
        <w:rPr>
          <w:lang w:val="en-US"/>
        </w:rPr>
      </w:pPr>
      <w:r w:rsidRPr="0048196F">
        <w:rPr>
          <w:b/>
          <w:lang w:val="en-US"/>
        </w:rPr>
        <w:t>Solutions</w:t>
      </w:r>
    </w:p>
    <w:p w14:paraId="7329A645" w14:textId="5E983846" w:rsidR="00044C48" w:rsidRDefault="00B31276" w:rsidP="00B31276">
      <w:pPr>
        <w:spacing w:line="360" w:lineRule="auto"/>
        <w:rPr>
          <w:lang w:val="en-US"/>
        </w:rPr>
      </w:pPr>
      <w:r w:rsidRPr="0048196F">
        <w:rPr>
          <w:lang w:val="en-US"/>
        </w:rPr>
        <w:t xml:space="preserve">Digital technologies have the opportunity to share information in order to deal with organizational issues and decision making. Taking away unwanted tasks has the potential to improve retention and attract new members. Another way to deal with many of the challenges faced is the business model of a hybrid organization. These typically pursue the social and environmental goals that are characteristic for nonprofit organizations, while still focusing on revenue generation </w:t>
      </w:r>
      <w:r w:rsidRPr="0048196F">
        <w:rPr>
          <w:lang w:val="en-US"/>
        </w:rPr>
        <w:fldChar w:fldCharType="begin" w:fldLock="1"/>
      </w:r>
      <w:r w:rsidRPr="0048196F">
        <w:rPr>
          <w:lang w:val="en-US"/>
        </w:rPr>
        <w:instrText>ADDIN CSL_CITATION {"citationItems":[{"id":"ITEM-1","itemData":{"author":[{"dropping-particle":"","family":"Tell","given":"Joakim","non-dropping-particle":"","parse-names":false,"suffix":""},{"dropping-particle":"","family":"Hoveskog","given":"Maya","non-dropping-particle":"","parse-names":false,"suffix":""},{"dropping-particle":"","family":"Ulvenblad","given":"Pia","non-dropping-particle":"","parse-names":false,"suffix":""},{"dropping-particle":"","family":"Ulvenblad","given":"Per-Ola","non-dropping-particle":"","parse-names":false,"suffix":""},{"dropping-particle":"","family":"Barth","given":"Henrik","non-dropping-particle":"","parse-names":false,"suffix":""},{"dropping-particle":"","family":"Stahl","given":"Jenny","non-dropping-particle":"","parse-names":false,"suffix":""}],"id":"ITEM-1","issued":{"date-parts":[["2016"]]},"title":"Business model innovation in the agri-food sector: a literature review","type":"article-journal"},"uris":["http://www.mendeley.com/documents/?uuid=0207017c-b365-4dc2-b7f9-d4a8a10742cc"]}],"mendeley":{"formattedCitation":"(Tell et al., 2016)","plainTextFormattedCitation":"(Tell et al., 2016)","previouslyFormattedCitation":"(Tell et al., 2016)"},"properties":{"noteIndex":0},"schema":"https://github.com/citation-style-language/schema/raw/master/csl-citation.json"}</w:instrText>
      </w:r>
      <w:r w:rsidRPr="0048196F">
        <w:rPr>
          <w:lang w:val="en-US"/>
        </w:rPr>
        <w:fldChar w:fldCharType="separate"/>
      </w:r>
      <w:r w:rsidRPr="0048196F">
        <w:rPr>
          <w:noProof/>
          <w:lang w:val="en-US"/>
        </w:rPr>
        <w:t>(Tell et al., 2016)</w:t>
      </w:r>
      <w:r w:rsidRPr="0048196F">
        <w:rPr>
          <w:lang w:val="en-US"/>
        </w:rPr>
        <w:fldChar w:fldCharType="end"/>
      </w:r>
      <w:r w:rsidRPr="0048196F">
        <w:rPr>
          <w:lang w:val="en-US"/>
        </w:rPr>
        <w:t>.</w:t>
      </w:r>
    </w:p>
    <w:p w14:paraId="10B3B86A" w14:textId="77777777" w:rsidR="00EE6D9C" w:rsidRPr="0048196F" w:rsidRDefault="00EE6D9C" w:rsidP="00B31276">
      <w:pPr>
        <w:spacing w:line="360" w:lineRule="auto"/>
        <w:rPr>
          <w:lang w:val="en-US"/>
        </w:rPr>
      </w:pPr>
    </w:p>
    <w:p w14:paraId="6AB2485E" w14:textId="7FB87BFD" w:rsidR="00044C48" w:rsidRPr="0048196F" w:rsidRDefault="00044C48" w:rsidP="004C3DC7">
      <w:pPr>
        <w:pStyle w:val="Heading2"/>
        <w:numPr>
          <w:ilvl w:val="1"/>
          <w:numId w:val="40"/>
        </w:numPr>
        <w:rPr>
          <w:lang w:val="en-US"/>
        </w:rPr>
      </w:pPr>
      <w:bookmarkStart w:id="76" w:name="_Toc14347336"/>
      <w:r w:rsidRPr="0048196F">
        <w:rPr>
          <w:lang w:val="en-US"/>
        </w:rPr>
        <w:t>Outcome 1: Visual Trend Map</w:t>
      </w:r>
      <w:bookmarkEnd w:id="76"/>
      <w:r w:rsidRPr="0048196F">
        <w:rPr>
          <w:lang w:val="en-US"/>
        </w:rPr>
        <w:t xml:space="preserve"> </w:t>
      </w:r>
    </w:p>
    <w:p w14:paraId="1B6F464B" w14:textId="29BFD6ED" w:rsidR="00197224" w:rsidRPr="0048196F" w:rsidRDefault="00044C48" w:rsidP="0091145D">
      <w:pPr>
        <w:spacing w:line="360" w:lineRule="auto"/>
        <w:rPr>
          <w:lang w:val="en-US"/>
        </w:rPr>
      </w:pPr>
      <w:r w:rsidRPr="0048196F">
        <w:rPr>
          <w:lang w:val="en-US"/>
        </w:rPr>
        <w:t xml:space="preserve">For the visualization </w:t>
      </w:r>
      <w:r w:rsidR="00CC63A9" w:rsidRPr="0048196F">
        <w:rPr>
          <w:lang w:val="en-US"/>
        </w:rPr>
        <w:t xml:space="preserve">of the trend map the framework </w:t>
      </w:r>
      <w:r w:rsidR="00AB646D" w:rsidRPr="0048196F">
        <w:rPr>
          <w:lang w:val="en-US"/>
        </w:rPr>
        <w:t>developed</w:t>
      </w:r>
      <w:r w:rsidR="00CC63A9" w:rsidRPr="0048196F">
        <w:rPr>
          <w:lang w:val="en-US"/>
        </w:rPr>
        <w:t xml:space="preserve"> by </w:t>
      </w:r>
      <w:r w:rsidR="00CC63A9" w:rsidRPr="0048196F">
        <w:rPr>
          <w:lang w:val="en-US"/>
        </w:rPr>
        <w:fldChar w:fldCharType="begin" w:fldLock="1"/>
      </w:r>
      <w:r w:rsidR="00EA7198" w:rsidRPr="0048196F">
        <w:rPr>
          <w:lang w:val="en-US"/>
        </w:rPr>
        <w:instrText>ADDIN CSL_CITATION {"citationItems":[{"id":"ITEM-1","itemData":{"DOI":"10.1007/11510154_13","ISBN":"3-540-26921-5, 978-3-540-26921-2","ISSN":"0302-9743; 3-540-26921-5","PMID":"21747779","abstract":"This article presents synergies between the research areas information visualization and knowledge visualization from a knowledge management and a communication science perspective. It presents a first theoretical framework and a model for the new field of knowledge visualization. It describes guidelines and principles derived from our professional practice and previous research on how architects successfully use complementary visualizations to transfer and create knowledge among individuals from different social, cultural, and educational backgrounds. The findings and insights are important for researchers and practitioners in the fields of information visualization, knowledge visualization, knowledge management, information design, media didactics, instructional psychology, and communication sciences.","author":[{"dropping-particle":"","family":"Burkhard","given":"Remo Aslak","non-dropping-particle":"","parse-names":false,"suffix":""}],"id":"ITEM-1","issued":{"date-parts":[["2005"]]},"page":"238-255","title":"Towards a Framework and a Model for Knowledge Visualization: Synergies Between Information and Knowledge Visualization","type":"article-journal"},"uris":["http://www.mendeley.com/documents/?uuid=ee109e79-5aa1-493a-b4a6-942931fef349"]}],"mendeley":{"formattedCitation":"(Burkhard, 2005)","plainTextFormattedCitation":"(Burkhard, 2005)","previouslyFormattedCitation":"(Burkhard, 2005)"},"properties":{"noteIndex":0},"schema":"https://github.com/citation-style-language/schema/raw/master/csl-citation.json"}</w:instrText>
      </w:r>
      <w:r w:rsidR="00CC63A9" w:rsidRPr="0048196F">
        <w:rPr>
          <w:lang w:val="en-US"/>
        </w:rPr>
        <w:fldChar w:fldCharType="separate"/>
      </w:r>
      <w:r w:rsidR="00CC63A9" w:rsidRPr="0048196F">
        <w:rPr>
          <w:noProof/>
          <w:lang w:val="en-US"/>
        </w:rPr>
        <w:t>(Burkhard, 2005)</w:t>
      </w:r>
      <w:r w:rsidR="00CC63A9" w:rsidRPr="0048196F">
        <w:rPr>
          <w:lang w:val="en-US"/>
        </w:rPr>
        <w:fldChar w:fldCharType="end"/>
      </w:r>
      <w:r w:rsidR="00CC63A9" w:rsidRPr="0048196F">
        <w:rPr>
          <w:lang w:val="en-US"/>
        </w:rPr>
        <w:t xml:space="preserve"> </w:t>
      </w:r>
      <w:r w:rsidR="00197224" w:rsidRPr="0048196F">
        <w:rPr>
          <w:lang w:val="en-US"/>
        </w:rPr>
        <w:t>has been</w:t>
      </w:r>
      <w:r w:rsidR="00CC63A9" w:rsidRPr="0048196F">
        <w:rPr>
          <w:lang w:val="en-US"/>
        </w:rPr>
        <w:t xml:space="preserve"> used. </w:t>
      </w:r>
      <w:r w:rsidR="00197224" w:rsidRPr="0048196F">
        <w:rPr>
          <w:lang w:val="en-US"/>
        </w:rPr>
        <w:t>The meaning to be reconstructed from the map are</w:t>
      </w:r>
      <w:r w:rsidR="00AB646D" w:rsidRPr="0048196F">
        <w:rPr>
          <w:lang w:val="en-US"/>
        </w:rPr>
        <w:t xml:space="preserve"> the</w:t>
      </w:r>
      <w:r w:rsidR="00197224" w:rsidRPr="0048196F">
        <w:rPr>
          <w:lang w:val="en-US"/>
        </w:rPr>
        <w:t xml:space="preserve"> key challenges and </w:t>
      </w:r>
      <w:r w:rsidR="00AB646D" w:rsidRPr="0048196F">
        <w:rPr>
          <w:lang w:val="en-US"/>
        </w:rPr>
        <w:t>objectives</w:t>
      </w:r>
      <w:r w:rsidR="00D25C11" w:rsidRPr="0048196F">
        <w:rPr>
          <w:lang w:val="en-US"/>
        </w:rPr>
        <w:t xml:space="preserve"> relating the main trends. The trend map is designed to put emphasis on </w:t>
      </w:r>
      <w:r w:rsidR="00197224" w:rsidRPr="0048196F">
        <w:rPr>
          <w:lang w:val="en-US"/>
        </w:rPr>
        <w:t xml:space="preserve">the importance of data sharing, as it is essential for </w:t>
      </w:r>
      <w:r w:rsidR="00AB646D" w:rsidRPr="0048196F">
        <w:rPr>
          <w:lang w:val="en-US"/>
        </w:rPr>
        <w:t>the successful</w:t>
      </w:r>
      <w:r w:rsidR="00197224" w:rsidRPr="0048196F">
        <w:rPr>
          <w:lang w:val="en-US"/>
        </w:rPr>
        <w:t xml:space="preserve"> diffusion of </w:t>
      </w:r>
      <w:r w:rsidR="00AB646D" w:rsidRPr="0048196F">
        <w:rPr>
          <w:lang w:val="en-US"/>
        </w:rPr>
        <w:t>various</w:t>
      </w:r>
      <w:r w:rsidR="00197224" w:rsidRPr="0048196F">
        <w:rPr>
          <w:lang w:val="en-US"/>
        </w:rPr>
        <w:t xml:space="preserve"> trends. </w:t>
      </w:r>
      <w:r w:rsidR="00D8323D" w:rsidRPr="0048196F">
        <w:rPr>
          <w:lang w:val="en-US"/>
        </w:rPr>
        <w:t>Following the guidelines from the framework, this visualization aims to prevent misinterpretation, to compress knowledge, to be consistent</w:t>
      </w:r>
      <w:r w:rsidR="00D25C11" w:rsidRPr="0048196F">
        <w:rPr>
          <w:lang w:val="en-US"/>
        </w:rPr>
        <w:t xml:space="preserve">, </w:t>
      </w:r>
      <w:r w:rsidR="00D8323D" w:rsidRPr="0048196F">
        <w:rPr>
          <w:lang w:val="en-US"/>
        </w:rPr>
        <w:t xml:space="preserve">while motivating the audience without including unnecessary decoration. </w:t>
      </w:r>
      <w:r w:rsidR="00D25C11" w:rsidRPr="0048196F">
        <w:rPr>
          <w:lang w:val="en-US"/>
        </w:rPr>
        <w:t xml:space="preserve">The result is presented in </w:t>
      </w:r>
      <w:r w:rsidR="00E503ED">
        <w:rPr>
          <w:lang w:val="en-US"/>
        </w:rPr>
        <w:t xml:space="preserve">figure </w:t>
      </w:r>
      <w:r w:rsidR="00AB00BD">
        <w:rPr>
          <w:lang w:val="en-US"/>
        </w:rPr>
        <w:t xml:space="preserve">5 and the </w:t>
      </w:r>
      <w:r w:rsidR="00D25C11" w:rsidRPr="0048196F">
        <w:rPr>
          <w:lang w:val="en-US"/>
        </w:rPr>
        <w:t>Annex</w:t>
      </w:r>
      <w:r w:rsidR="00AB00BD">
        <w:rPr>
          <w:lang w:val="en-US"/>
        </w:rPr>
        <w:t>, figure 8.</w:t>
      </w:r>
      <w:r w:rsidR="00D25C11" w:rsidRPr="0048196F">
        <w:rPr>
          <w:lang w:val="en-US"/>
        </w:rPr>
        <w:t xml:space="preserve"> </w:t>
      </w:r>
    </w:p>
    <w:p w14:paraId="0A326008" w14:textId="7023826F" w:rsidR="006D0730" w:rsidRPr="006D0730" w:rsidRDefault="006D0730" w:rsidP="006D0730">
      <w:pPr>
        <w:pStyle w:val="Caption"/>
        <w:keepNext/>
        <w:rPr>
          <w:lang w:val="en-US"/>
        </w:rPr>
      </w:pPr>
      <w:bookmarkStart w:id="77" w:name="_Toc14347496"/>
      <w:r w:rsidRPr="006D0730">
        <w:rPr>
          <w:lang w:val="en-US"/>
        </w:rPr>
        <w:t xml:space="preserve">Table </w:t>
      </w:r>
      <w:r w:rsidR="000D0D31">
        <w:rPr>
          <w:lang w:val="en-US"/>
        </w:rPr>
        <w:fldChar w:fldCharType="begin"/>
      </w:r>
      <w:r w:rsidR="000D0D31">
        <w:rPr>
          <w:lang w:val="en-US"/>
        </w:rPr>
        <w:instrText xml:space="preserve"> SEQ Table \* ARABIC </w:instrText>
      </w:r>
      <w:r w:rsidR="000D0D31">
        <w:rPr>
          <w:lang w:val="en-US"/>
        </w:rPr>
        <w:fldChar w:fldCharType="separate"/>
      </w:r>
      <w:r w:rsidR="009F0429">
        <w:rPr>
          <w:noProof/>
          <w:lang w:val="en-US"/>
        </w:rPr>
        <w:t>7</w:t>
      </w:r>
      <w:r w:rsidR="000D0D31">
        <w:rPr>
          <w:lang w:val="en-US"/>
        </w:rPr>
        <w:fldChar w:fldCharType="end"/>
      </w:r>
      <w:r w:rsidRPr="006D0730">
        <w:rPr>
          <w:lang w:val="en-US"/>
        </w:rPr>
        <w:t>: Visualization framework adapted from Burkhard (2005)</w:t>
      </w:r>
      <w:bookmarkEnd w:id="77"/>
    </w:p>
    <w:tbl>
      <w:tblPr>
        <w:tblStyle w:val="TableGrid"/>
        <w:tblW w:w="0" w:type="auto"/>
        <w:tblLook w:val="04A0" w:firstRow="1" w:lastRow="0" w:firstColumn="1" w:lastColumn="0" w:noHBand="0" w:noVBand="1"/>
      </w:tblPr>
      <w:tblGrid>
        <w:gridCol w:w="2088"/>
        <w:gridCol w:w="2124"/>
        <w:gridCol w:w="2120"/>
        <w:gridCol w:w="2150"/>
      </w:tblGrid>
      <w:tr w:rsidR="00CC63A9" w:rsidRPr="0048196F" w14:paraId="14781705" w14:textId="77777777" w:rsidTr="006D0730">
        <w:tc>
          <w:tcPr>
            <w:tcW w:w="2088" w:type="dxa"/>
            <w:tcBorders>
              <w:left w:val="nil"/>
              <w:bottom w:val="single" w:sz="4" w:space="0" w:color="auto"/>
            </w:tcBorders>
          </w:tcPr>
          <w:p w14:paraId="11C27421" w14:textId="77777777" w:rsidR="00CC63A9" w:rsidRPr="0048196F" w:rsidRDefault="00CC63A9" w:rsidP="00CC63A9">
            <w:pPr>
              <w:rPr>
                <w:rFonts w:eastAsia="Times New Roman"/>
                <w:lang w:val="en-US"/>
              </w:rPr>
            </w:pPr>
            <w:r w:rsidRPr="0048196F">
              <w:rPr>
                <w:rFonts w:eastAsia="Times New Roman"/>
                <w:lang w:val="en-US"/>
              </w:rPr>
              <w:t>Function</w:t>
            </w:r>
          </w:p>
        </w:tc>
        <w:tc>
          <w:tcPr>
            <w:tcW w:w="2124" w:type="dxa"/>
            <w:tcBorders>
              <w:bottom w:val="single" w:sz="4" w:space="0" w:color="auto"/>
            </w:tcBorders>
          </w:tcPr>
          <w:p w14:paraId="6BEDBF32" w14:textId="77777777" w:rsidR="00CC63A9" w:rsidRPr="0048196F" w:rsidRDefault="00CC63A9" w:rsidP="00CC63A9">
            <w:pPr>
              <w:rPr>
                <w:rFonts w:eastAsia="Times New Roman"/>
                <w:lang w:val="en-US"/>
              </w:rPr>
            </w:pPr>
            <w:r w:rsidRPr="0048196F">
              <w:rPr>
                <w:rFonts w:eastAsia="Times New Roman"/>
                <w:lang w:val="en-US"/>
              </w:rPr>
              <w:t>Knowledge Type</w:t>
            </w:r>
          </w:p>
        </w:tc>
        <w:tc>
          <w:tcPr>
            <w:tcW w:w="2120" w:type="dxa"/>
            <w:tcBorders>
              <w:bottom w:val="single" w:sz="4" w:space="0" w:color="auto"/>
            </w:tcBorders>
          </w:tcPr>
          <w:p w14:paraId="1ACCDD9F" w14:textId="77777777" w:rsidR="00CC63A9" w:rsidRPr="0048196F" w:rsidRDefault="00CC63A9" w:rsidP="00CC63A9">
            <w:pPr>
              <w:rPr>
                <w:rFonts w:eastAsia="Times New Roman"/>
                <w:lang w:val="en-US"/>
              </w:rPr>
            </w:pPr>
            <w:r w:rsidRPr="0048196F">
              <w:rPr>
                <w:rFonts w:eastAsia="Times New Roman"/>
                <w:lang w:val="en-US"/>
              </w:rPr>
              <w:t>Recipient</w:t>
            </w:r>
          </w:p>
        </w:tc>
        <w:tc>
          <w:tcPr>
            <w:tcW w:w="2150" w:type="dxa"/>
            <w:tcBorders>
              <w:bottom w:val="single" w:sz="4" w:space="0" w:color="auto"/>
              <w:right w:val="nil"/>
            </w:tcBorders>
          </w:tcPr>
          <w:p w14:paraId="405EEB5D" w14:textId="77777777" w:rsidR="00CC63A9" w:rsidRPr="0048196F" w:rsidRDefault="00CC63A9" w:rsidP="00CC63A9">
            <w:pPr>
              <w:rPr>
                <w:rFonts w:eastAsia="Times New Roman"/>
                <w:lang w:val="en-US"/>
              </w:rPr>
            </w:pPr>
            <w:r w:rsidRPr="0048196F">
              <w:rPr>
                <w:rFonts w:eastAsia="Times New Roman"/>
                <w:lang w:val="en-US"/>
              </w:rPr>
              <w:t>Visualization type</w:t>
            </w:r>
          </w:p>
        </w:tc>
      </w:tr>
      <w:tr w:rsidR="00CC63A9" w:rsidRPr="0048196F" w14:paraId="6BA49BA5" w14:textId="77777777" w:rsidTr="006D0730">
        <w:trPr>
          <w:trHeight w:val="647"/>
        </w:trPr>
        <w:tc>
          <w:tcPr>
            <w:tcW w:w="2088" w:type="dxa"/>
            <w:tcBorders>
              <w:left w:val="nil"/>
              <w:bottom w:val="nil"/>
              <w:right w:val="nil"/>
            </w:tcBorders>
          </w:tcPr>
          <w:p w14:paraId="5E17D230" w14:textId="77777777" w:rsidR="00CC63A9" w:rsidRPr="0048196F" w:rsidRDefault="00CC63A9" w:rsidP="00CC63A9">
            <w:pPr>
              <w:rPr>
                <w:rFonts w:eastAsia="Times New Roman"/>
                <w:lang w:val="en-US"/>
              </w:rPr>
            </w:pPr>
            <w:r w:rsidRPr="0048196F">
              <w:rPr>
                <w:rFonts w:eastAsia="Times New Roman"/>
                <w:lang w:val="en-US"/>
              </w:rPr>
              <w:t>New insight</w:t>
            </w:r>
          </w:p>
        </w:tc>
        <w:tc>
          <w:tcPr>
            <w:tcW w:w="2124" w:type="dxa"/>
            <w:tcBorders>
              <w:left w:val="nil"/>
              <w:bottom w:val="nil"/>
              <w:right w:val="nil"/>
            </w:tcBorders>
          </w:tcPr>
          <w:p w14:paraId="11156714" w14:textId="144C18D1" w:rsidR="00CC63A9" w:rsidRPr="0048196F" w:rsidRDefault="00CC63A9" w:rsidP="00CC63A9">
            <w:pPr>
              <w:rPr>
                <w:rFonts w:eastAsia="Times New Roman"/>
                <w:lang w:val="en-US"/>
              </w:rPr>
            </w:pPr>
            <w:r w:rsidRPr="0048196F">
              <w:rPr>
                <w:rFonts w:eastAsia="Times New Roman"/>
                <w:lang w:val="en-US"/>
              </w:rPr>
              <w:t>Declarative knowledge</w:t>
            </w:r>
          </w:p>
        </w:tc>
        <w:tc>
          <w:tcPr>
            <w:tcW w:w="2120" w:type="dxa"/>
            <w:tcBorders>
              <w:left w:val="nil"/>
              <w:bottom w:val="nil"/>
              <w:right w:val="nil"/>
            </w:tcBorders>
          </w:tcPr>
          <w:p w14:paraId="7D20259B" w14:textId="77777777" w:rsidR="00CC63A9" w:rsidRPr="0048196F" w:rsidRDefault="00CC63A9" w:rsidP="00CC63A9">
            <w:pPr>
              <w:rPr>
                <w:rFonts w:eastAsia="Times New Roman"/>
                <w:lang w:val="en-US"/>
              </w:rPr>
            </w:pPr>
            <w:r w:rsidRPr="0048196F">
              <w:rPr>
                <w:rFonts w:eastAsia="Times New Roman"/>
                <w:lang w:val="en-US"/>
              </w:rPr>
              <w:t>Group</w:t>
            </w:r>
          </w:p>
        </w:tc>
        <w:tc>
          <w:tcPr>
            <w:tcW w:w="2150" w:type="dxa"/>
            <w:tcBorders>
              <w:left w:val="nil"/>
              <w:bottom w:val="nil"/>
              <w:right w:val="nil"/>
            </w:tcBorders>
          </w:tcPr>
          <w:p w14:paraId="554FA61D" w14:textId="18295448" w:rsidR="00CC63A9" w:rsidRPr="0048196F" w:rsidRDefault="00D25C11" w:rsidP="00CC63A9">
            <w:pPr>
              <w:rPr>
                <w:rFonts w:eastAsia="Times New Roman"/>
                <w:lang w:val="en-US"/>
              </w:rPr>
            </w:pPr>
            <w:r w:rsidRPr="0048196F">
              <w:rPr>
                <w:rFonts w:eastAsia="Times New Roman"/>
                <w:lang w:val="en-US"/>
              </w:rPr>
              <w:t>Map</w:t>
            </w:r>
          </w:p>
        </w:tc>
      </w:tr>
      <w:tr w:rsidR="00CC63A9" w:rsidRPr="0048196F" w14:paraId="6C2D104D" w14:textId="77777777" w:rsidTr="006D0730">
        <w:trPr>
          <w:trHeight w:val="369"/>
        </w:trPr>
        <w:tc>
          <w:tcPr>
            <w:tcW w:w="2088" w:type="dxa"/>
            <w:tcBorders>
              <w:top w:val="nil"/>
              <w:left w:val="nil"/>
              <w:right w:val="nil"/>
            </w:tcBorders>
          </w:tcPr>
          <w:p w14:paraId="24F40579" w14:textId="77777777" w:rsidR="00CC63A9" w:rsidRPr="0048196F" w:rsidRDefault="00CC63A9" w:rsidP="00CC63A9">
            <w:pPr>
              <w:rPr>
                <w:rFonts w:eastAsia="Times New Roman"/>
                <w:lang w:val="en-US"/>
              </w:rPr>
            </w:pPr>
          </w:p>
        </w:tc>
        <w:tc>
          <w:tcPr>
            <w:tcW w:w="2124" w:type="dxa"/>
            <w:tcBorders>
              <w:top w:val="nil"/>
              <w:left w:val="nil"/>
              <w:right w:val="nil"/>
            </w:tcBorders>
          </w:tcPr>
          <w:p w14:paraId="4082C89A" w14:textId="35F965AD" w:rsidR="00CC63A9" w:rsidRPr="0048196F" w:rsidRDefault="00CC63A9" w:rsidP="00CC63A9">
            <w:pPr>
              <w:rPr>
                <w:rFonts w:eastAsia="Times New Roman"/>
                <w:lang w:val="en-US"/>
              </w:rPr>
            </w:pPr>
          </w:p>
        </w:tc>
        <w:tc>
          <w:tcPr>
            <w:tcW w:w="2120" w:type="dxa"/>
            <w:tcBorders>
              <w:top w:val="nil"/>
              <w:left w:val="nil"/>
              <w:right w:val="nil"/>
            </w:tcBorders>
          </w:tcPr>
          <w:p w14:paraId="74568705" w14:textId="77777777" w:rsidR="00CC63A9" w:rsidRPr="0048196F" w:rsidRDefault="00CC63A9" w:rsidP="00CC63A9">
            <w:pPr>
              <w:rPr>
                <w:rFonts w:eastAsia="Times New Roman"/>
                <w:lang w:val="en-US"/>
              </w:rPr>
            </w:pPr>
            <w:r w:rsidRPr="0048196F">
              <w:rPr>
                <w:rFonts w:eastAsia="Times New Roman"/>
                <w:lang w:val="en-US"/>
              </w:rPr>
              <w:t xml:space="preserve">Individuals </w:t>
            </w:r>
          </w:p>
        </w:tc>
        <w:tc>
          <w:tcPr>
            <w:tcW w:w="2150" w:type="dxa"/>
            <w:tcBorders>
              <w:top w:val="nil"/>
              <w:left w:val="nil"/>
              <w:right w:val="nil"/>
            </w:tcBorders>
          </w:tcPr>
          <w:p w14:paraId="3686CB2B" w14:textId="77777777" w:rsidR="00CC63A9" w:rsidRPr="0048196F" w:rsidRDefault="00CC63A9" w:rsidP="00CC63A9">
            <w:pPr>
              <w:rPr>
                <w:rFonts w:eastAsia="Times New Roman"/>
                <w:lang w:val="en-US"/>
              </w:rPr>
            </w:pPr>
          </w:p>
        </w:tc>
      </w:tr>
    </w:tbl>
    <w:p w14:paraId="657CE000" w14:textId="4101C433" w:rsidR="006D0730" w:rsidRDefault="006D0730" w:rsidP="00FC7D20">
      <w:pPr>
        <w:rPr>
          <w:lang w:val="en-US"/>
        </w:rPr>
      </w:pPr>
    </w:p>
    <w:p w14:paraId="5A094DB6" w14:textId="44BE714B" w:rsidR="008E2C26" w:rsidRDefault="008E2C26" w:rsidP="00FC7D20">
      <w:pPr>
        <w:rPr>
          <w:lang w:val="en-US"/>
        </w:rPr>
      </w:pPr>
    </w:p>
    <w:p w14:paraId="702BF92C" w14:textId="24EFDFB1" w:rsidR="008E2C26" w:rsidRDefault="008E2C26" w:rsidP="00FC7D20">
      <w:pPr>
        <w:rPr>
          <w:lang w:val="en-US"/>
        </w:rPr>
      </w:pPr>
    </w:p>
    <w:p w14:paraId="16698E4A" w14:textId="6928AD2B" w:rsidR="008E2C26" w:rsidRDefault="008E2C26" w:rsidP="00FC7D20">
      <w:pPr>
        <w:rPr>
          <w:lang w:val="en-US"/>
        </w:rPr>
      </w:pPr>
      <w:r>
        <w:rPr>
          <w:noProof/>
          <w:lang w:val="pt-PT" w:eastAsia="pt-PT"/>
        </w:rPr>
        <mc:AlternateContent>
          <mc:Choice Requires="wps">
            <w:drawing>
              <wp:anchor distT="0" distB="0" distL="114300" distR="114300" simplePos="0" relativeHeight="251674624" behindDoc="0" locked="0" layoutInCell="1" allowOverlap="1" wp14:anchorId="58883026" wp14:editId="18F78D8C">
                <wp:simplePos x="0" y="0"/>
                <wp:positionH relativeFrom="column">
                  <wp:posOffset>-109220</wp:posOffset>
                </wp:positionH>
                <wp:positionV relativeFrom="paragraph">
                  <wp:posOffset>4109085</wp:posOffset>
                </wp:positionV>
                <wp:extent cx="5386070" cy="635"/>
                <wp:effectExtent l="0" t="0" r="0" b="12065"/>
                <wp:wrapSquare wrapText="bothSides"/>
                <wp:docPr id="4" name="Tekstvak 4"/>
                <wp:cNvGraphicFramePr/>
                <a:graphic xmlns:a="http://schemas.openxmlformats.org/drawingml/2006/main">
                  <a:graphicData uri="http://schemas.microsoft.com/office/word/2010/wordprocessingShape">
                    <wps:wsp>
                      <wps:cNvSpPr txBox="1"/>
                      <wps:spPr>
                        <a:xfrm>
                          <a:off x="0" y="0"/>
                          <a:ext cx="5386070" cy="635"/>
                        </a:xfrm>
                        <a:prstGeom prst="rect">
                          <a:avLst/>
                        </a:prstGeom>
                        <a:solidFill>
                          <a:prstClr val="white"/>
                        </a:solidFill>
                        <a:ln>
                          <a:noFill/>
                        </a:ln>
                      </wps:spPr>
                      <wps:txbx>
                        <w:txbxContent>
                          <w:p w14:paraId="66174216" w14:textId="3EC76170" w:rsidR="00AB00BD" w:rsidRPr="00CB4969" w:rsidRDefault="00AB00BD" w:rsidP="008E2C26">
                            <w:pPr>
                              <w:pStyle w:val="Caption"/>
                              <w:rPr>
                                <w:noProof/>
                                <w:lang w:val="en-US"/>
                              </w:rPr>
                            </w:pPr>
                            <w:bookmarkStart w:id="78" w:name="_Toc14347573"/>
                            <w:r w:rsidRPr="00CB4969">
                              <w:rPr>
                                <w:lang w:val="en-US"/>
                              </w:rPr>
                              <w:t xml:space="preserve">Figure </w:t>
                            </w:r>
                            <w:r>
                              <w:fldChar w:fldCharType="begin"/>
                            </w:r>
                            <w:r w:rsidRPr="00CB4969">
                              <w:rPr>
                                <w:lang w:val="en-US"/>
                              </w:rPr>
                              <w:instrText xml:space="preserve"> SEQ Figure \* ARABIC </w:instrText>
                            </w:r>
                            <w:r>
                              <w:fldChar w:fldCharType="separate"/>
                            </w:r>
                            <w:r>
                              <w:rPr>
                                <w:noProof/>
                                <w:lang w:val="en-US"/>
                              </w:rPr>
                              <w:t>5</w:t>
                            </w:r>
                            <w:r>
                              <w:fldChar w:fldCharType="end"/>
                            </w:r>
                            <w:r w:rsidRPr="00CB4969">
                              <w:rPr>
                                <w:lang w:val="en-US"/>
                              </w:rPr>
                              <w:t xml:space="preserve">: Visual Trend Map (Small </w:t>
                            </w:r>
                            <w:r>
                              <w:rPr>
                                <w:lang w:val="en-US"/>
                              </w:rPr>
                              <w:t xml:space="preserve">format </w:t>
                            </w:r>
                            <w:r w:rsidRPr="00CB4969">
                              <w:rPr>
                                <w:lang w:val="en-US"/>
                              </w:rPr>
                              <w:t>version)</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883026" id="Tekstvak 4" o:spid="_x0000_s1027" type="#_x0000_t202" style="position:absolute;margin-left:-8.6pt;margin-top:323.55pt;width:424.1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" stroked="f">
                <v:textbox style="mso-fit-shape-to-text:t" inset="0,0,0,0">
                  <w:txbxContent>
                    <w:p w14:paraId="66174216" w14:textId="3EC76170" w:rsidR="00AB00BD" w:rsidRPr="00CB4969" w:rsidRDefault="00AB00BD" w:rsidP="008E2C26">
                      <w:pPr>
                        <w:pStyle w:val="Caption"/>
                        <w:rPr>
                          <w:noProof/>
                          <w:lang w:val="en-US"/>
                        </w:rPr>
                      </w:pPr>
                      <w:bookmarkStart w:id="79" w:name="_Toc14347573"/>
                      <w:r w:rsidRPr="00CB4969">
                        <w:rPr>
                          <w:lang w:val="en-US"/>
                        </w:rPr>
                        <w:t xml:space="preserve">Figure </w:t>
                      </w:r>
                      <w:r>
                        <w:fldChar w:fldCharType="begin"/>
                      </w:r>
                      <w:r w:rsidRPr="00CB4969">
                        <w:rPr>
                          <w:lang w:val="en-US"/>
                        </w:rPr>
                        <w:instrText xml:space="preserve"> SEQ Figure \* ARABIC </w:instrText>
                      </w:r>
                      <w:r>
                        <w:fldChar w:fldCharType="separate"/>
                      </w:r>
                      <w:r>
                        <w:rPr>
                          <w:noProof/>
                          <w:lang w:val="en-US"/>
                        </w:rPr>
                        <w:t>5</w:t>
                      </w:r>
                      <w:r>
                        <w:fldChar w:fldCharType="end"/>
                      </w:r>
                      <w:r w:rsidRPr="00CB4969">
                        <w:rPr>
                          <w:lang w:val="en-US"/>
                        </w:rPr>
                        <w:t xml:space="preserve">: Visual Trend Map (Small </w:t>
                      </w:r>
                      <w:r>
                        <w:rPr>
                          <w:lang w:val="en-US"/>
                        </w:rPr>
                        <w:t xml:space="preserve">format </w:t>
                      </w:r>
                      <w:r w:rsidRPr="00CB4969">
                        <w:rPr>
                          <w:lang w:val="en-US"/>
                        </w:rPr>
                        <w:t>version)</w:t>
                      </w:r>
                      <w:bookmarkEnd w:id="79"/>
                    </w:p>
                  </w:txbxContent>
                </v:textbox>
                <w10:wrap type="square"/>
              </v:shape>
            </w:pict>
          </mc:Fallback>
        </mc:AlternateContent>
      </w:r>
      <w:r>
        <w:rPr>
          <w:noProof/>
          <w:lang w:val="pt-PT" w:eastAsia="pt-PT"/>
        </w:rPr>
        <w:drawing>
          <wp:anchor distT="0" distB="0" distL="114300" distR="114300" simplePos="0" relativeHeight="251672576" behindDoc="0" locked="0" layoutInCell="1" allowOverlap="1" wp14:anchorId="2FDF1E14" wp14:editId="1594C4D6">
            <wp:simplePos x="0" y="0"/>
            <wp:positionH relativeFrom="column">
              <wp:posOffset>-109841</wp:posOffset>
            </wp:positionH>
            <wp:positionV relativeFrom="paragraph">
              <wp:posOffset>241578</wp:posOffset>
            </wp:positionV>
            <wp:extent cx="5386070" cy="381063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613_FINAL_Trend Map.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86070" cy="3810635"/>
                    </a:xfrm>
                    <a:prstGeom prst="rect">
                      <a:avLst/>
                    </a:prstGeom>
                  </pic:spPr>
                </pic:pic>
              </a:graphicData>
            </a:graphic>
            <wp14:sizeRelH relativeFrom="page">
              <wp14:pctWidth>0</wp14:pctWidth>
            </wp14:sizeRelH>
            <wp14:sizeRelV relativeFrom="page">
              <wp14:pctHeight>0</wp14:pctHeight>
            </wp14:sizeRelV>
          </wp:anchor>
        </w:drawing>
      </w:r>
    </w:p>
    <w:p w14:paraId="3CBF102F" w14:textId="35C3FD89" w:rsidR="008E2C26" w:rsidRDefault="008E2C26" w:rsidP="00FC7D20">
      <w:pPr>
        <w:rPr>
          <w:lang w:val="en-US"/>
        </w:rPr>
      </w:pPr>
    </w:p>
    <w:p w14:paraId="3AE23FE5" w14:textId="3DD5C3A7" w:rsidR="008E2C26" w:rsidRDefault="008E2C26" w:rsidP="00FC7D20">
      <w:pPr>
        <w:rPr>
          <w:lang w:val="en-US"/>
        </w:rPr>
      </w:pPr>
    </w:p>
    <w:p w14:paraId="4CBFAE4A" w14:textId="77777777" w:rsidR="008E2C26" w:rsidRPr="0048196F" w:rsidRDefault="008E2C26" w:rsidP="00FC7D20">
      <w:pPr>
        <w:rPr>
          <w:lang w:val="en-US"/>
        </w:rPr>
      </w:pPr>
    </w:p>
    <w:p w14:paraId="0D8C0F1A" w14:textId="0D95261B" w:rsidR="00B31276" w:rsidRPr="0048196F" w:rsidRDefault="00B31276" w:rsidP="004C3DC7">
      <w:pPr>
        <w:pStyle w:val="Heading1"/>
        <w:rPr>
          <w:lang w:val="en-US"/>
        </w:rPr>
      </w:pPr>
      <w:bookmarkStart w:id="80" w:name="_Toc14347337"/>
      <w:r w:rsidRPr="0048196F">
        <w:rPr>
          <w:lang w:val="en-US"/>
        </w:rPr>
        <w:t>Development Phase 2</w:t>
      </w:r>
      <w:bookmarkEnd w:id="80"/>
    </w:p>
    <w:p w14:paraId="3FC590D7" w14:textId="78FFCFC9" w:rsidR="0034349E" w:rsidRPr="0048196F" w:rsidRDefault="00671329" w:rsidP="002B1651">
      <w:pPr>
        <w:spacing w:line="360" w:lineRule="auto"/>
        <w:rPr>
          <w:lang w:val="en-US"/>
        </w:rPr>
      </w:pPr>
      <w:r w:rsidRPr="0048196F">
        <w:rPr>
          <w:lang w:val="en-US"/>
        </w:rPr>
        <w:t xml:space="preserve">This section </w:t>
      </w:r>
      <w:r w:rsidR="00A4656E" w:rsidRPr="0048196F">
        <w:rPr>
          <w:lang w:val="en-US"/>
        </w:rPr>
        <w:t xml:space="preserve">focusses on the technological side of the trends. </w:t>
      </w:r>
      <w:r w:rsidR="00D8323D" w:rsidRPr="0048196F">
        <w:rPr>
          <w:lang w:val="en-US"/>
        </w:rPr>
        <w:t xml:space="preserve">First, a benchmarking process provides the stages of the value chain used to construct the DigiTech value chain. </w:t>
      </w:r>
      <w:r w:rsidR="000611AF" w:rsidRPr="0048196F">
        <w:rPr>
          <w:lang w:val="en-US"/>
        </w:rPr>
        <w:t>Next, a</w:t>
      </w:r>
      <w:r w:rsidR="00A4656E" w:rsidRPr="0048196F">
        <w:rPr>
          <w:lang w:val="en-US"/>
        </w:rPr>
        <w:t xml:space="preserve"> representation of</w:t>
      </w:r>
      <w:r w:rsidRPr="0048196F">
        <w:rPr>
          <w:lang w:val="en-US"/>
        </w:rPr>
        <w:t xml:space="preserve"> industry demand </w:t>
      </w:r>
      <w:r w:rsidR="00A4656E" w:rsidRPr="0048196F">
        <w:rPr>
          <w:lang w:val="en-US"/>
        </w:rPr>
        <w:t xml:space="preserve">is used </w:t>
      </w:r>
      <w:r w:rsidR="000611AF" w:rsidRPr="0048196F">
        <w:rPr>
          <w:lang w:val="en-US"/>
        </w:rPr>
        <w:t xml:space="preserve">to gain insight in challenges from the industry and its applications. Additionally, </w:t>
      </w:r>
      <w:r w:rsidR="00D25C11" w:rsidRPr="0048196F">
        <w:rPr>
          <w:lang w:val="en-US"/>
        </w:rPr>
        <w:t>this industry demand</w:t>
      </w:r>
      <w:r w:rsidR="000611AF" w:rsidRPr="0048196F">
        <w:rPr>
          <w:lang w:val="en-US"/>
        </w:rPr>
        <w:t xml:space="preserve"> serves as </w:t>
      </w:r>
      <w:r w:rsidR="00D25C11" w:rsidRPr="0048196F">
        <w:rPr>
          <w:lang w:val="en-US"/>
        </w:rPr>
        <w:t xml:space="preserve">additional </w:t>
      </w:r>
      <w:r w:rsidR="000611AF" w:rsidRPr="0048196F">
        <w:rPr>
          <w:lang w:val="en-US"/>
        </w:rPr>
        <w:t>validation</w:t>
      </w:r>
      <w:r w:rsidR="00A4656E" w:rsidRPr="0048196F">
        <w:rPr>
          <w:lang w:val="en-US"/>
        </w:rPr>
        <w:t xml:space="preserve"> </w:t>
      </w:r>
      <w:r w:rsidR="000611AF" w:rsidRPr="0048196F">
        <w:rPr>
          <w:lang w:val="en-US"/>
        </w:rPr>
        <w:t xml:space="preserve">for </w:t>
      </w:r>
      <w:r w:rsidR="00A4656E" w:rsidRPr="0048196F">
        <w:rPr>
          <w:lang w:val="en-US"/>
        </w:rPr>
        <w:t>found trends and challenges</w:t>
      </w:r>
      <w:r w:rsidRPr="0048196F">
        <w:rPr>
          <w:lang w:val="en-US"/>
        </w:rPr>
        <w:t xml:space="preserve">.  </w:t>
      </w:r>
    </w:p>
    <w:p w14:paraId="2AD07527" w14:textId="1A2B2C0B" w:rsidR="00397781" w:rsidRPr="0048196F" w:rsidRDefault="00397781" w:rsidP="002B1651">
      <w:pPr>
        <w:spacing w:line="360" w:lineRule="auto"/>
        <w:rPr>
          <w:lang w:val="en-US"/>
        </w:rPr>
      </w:pPr>
    </w:p>
    <w:p w14:paraId="4F519B9D" w14:textId="77777777" w:rsidR="00397781" w:rsidRPr="0048196F" w:rsidRDefault="00397781" w:rsidP="004C3DC7">
      <w:pPr>
        <w:pStyle w:val="Heading2"/>
        <w:rPr>
          <w:lang w:val="en-US"/>
        </w:rPr>
      </w:pPr>
      <w:bookmarkStart w:id="81" w:name="_Toc14347338"/>
      <w:r w:rsidRPr="0048196F">
        <w:rPr>
          <w:lang w:val="en-US"/>
        </w:rPr>
        <w:t>DigiTech Value Chain</w:t>
      </w:r>
      <w:bookmarkEnd w:id="81"/>
    </w:p>
    <w:p w14:paraId="08CBA7C9" w14:textId="77777777" w:rsidR="00397781" w:rsidRPr="0048196F" w:rsidRDefault="00397781" w:rsidP="00397781">
      <w:pPr>
        <w:spacing w:line="360" w:lineRule="auto"/>
        <w:rPr>
          <w:lang w:val="en-US"/>
        </w:rPr>
      </w:pPr>
      <w:r w:rsidRPr="0048196F">
        <w:rPr>
          <w:lang w:val="en-US"/>
        </w:rPr>
        <w:t>In order to support digitization a DigiTech value chain has been chosen as a visualization. A value chain can be defined as a “set of interdependent economic activities undertaken by a group of vertically linked economic agents”</w:t>
      </w:r>
      <w:r w:rsidRPr="0048196F">
        <w:rPr>
          <w:lang w:val="en-US"/>
        </w:rPr>
        <w:fldChar w:fldCharType="begin" w:fldLock="1"/>
      </w:r>
      <w:r w:rsidRPr="0048196F">
        <w:rPr>
          <w:lang w:val="en-US"/>
        </w:rPr>
        <w:instrText>ADDIN CSL_CITATION {"citationItems":[{"id":"ITEM-1","itemData":{"ISBN":"9789251076644","author":[{"dropping-particle":"","family":"Bellù","given":"Lorenzo Giovanni","non-dropping-particle":"","parse-names":false,"suffix":""}],"id":"ITEM-1","issued":{"date-parts":[["2013"]]},"number-of-pages":"165","title":"Analysis, Value Chain Making, for Policy And, Methodological Guidelines Quantitative, country cases for a Approach","type":"book"},"uris":["http://www.mendeley.com/documents/?uuid=8eb5abc4-690b-494a-8f22-1447e4181d63"]}],"mendeley":{"formattedCitation":"(Bellù, 2013)","plainTextFormattedCitation":"(Bellù, 2013)","previouslyFormattedCitation":"(Bellù, 2013)"},"properties":{"noteIndex":0},"schema":"https://github.com/citation-style-language/schema/raw/master/csl-citation.json"}</w:instrText>
      </w:r>
      <w:r w:rsidRPr="0048196F">
        <w:rPr>
          <w:lang w:val="en-US"/>
        </w:rPr>
        <w:fldChar w:fldCharType="separate"/>
      </w:r>
      <w:r w:rsidRPr="0048196F">
        <w:rPr>
          <w:noProof/>
          <w:lang w:val="en-US"/>
        </w:rPr>
        <w:t>(Bellù, 2013)</w:t>
      </w:r>
      <w:r w:rsidRPr="0048196F">
        <w:rPr>
          <w:lang w:val="en-US"/>
        </w:rPr>
        <w:fldChar w:fldCharType="end"/>
      </w:r>
      <w:r w:rsidRPr="0048196F">
        <w:rPr>
          <w:lang w:val="en-US"/>
        </w:rPr>
        <w:t>. A DigiTech value chain adds the dimension of digital technologies onto the original concept of the value chain, showcasing applications of each technological trend category per economic activity.</w:t>
      </w:r>
    </w:p>
    <w:p w14:paraId="07F08405" w14:textId="77777777" w:rsidR="00397781" w:rsidRPr="0048196F" w:rsidRDefault="00397781" w:rsidP="00397781">
      <w:pPr>
        <w:spacing w:line="360" w:lineRule="auto"/>
        <w:rPr>
          <w:lang w:val="en-US"/>
        </w:rPr>
      </w:pPr>
    </w:p>
    <w:p w14:paraId="3105578F" w14:textId="77777777" w:rsidR="00397781" w:rsidRPr="0048196F" w:rsidRDefault="00397781" w:rsidP="004C3DC7">
      <w:pPr>
        <w:pStyle w:val="Heading3"/>
        <w:numPr>
          <w:ilvl w:val="2"/>
          <w:numId w:val="40"/>
        </w:numPr>
        <w:rPr>
          <w:lang w:val="en-US"/>
        </w:rPr>
      </w:pPr>
      <w:bookmarkStart w:id="82" w:name="_Toc14347339"/>
      <w:r w:rsidRPr="0048196F">
        <w:rPr>
          <w:lang w:val="en-US"/>
        </w:rPr>
        <w:t>Benchmarking the Agri-food value chain</w:t>
      </w:r>
      <w:bookmarkEnd w:id="82"/>
    </w:p>
    <w:p w14:paraId="4F4DFD09" w14:textId="7DF1209A" w:rsidR="008E2C26" w:rsidRPr="0048196F" w:rsidRDefault="00397781" w:rsidP="008E2C26">
      <w:pPr>
        <w:spacing w:line="360" w:lineRule="auto"/>
        <w:rPr>
          <w:lang w:val="en-US"/>
        </w:rPr>
      </w:pPr>
      <w:r w:rsidRPr="0048196F">
        <w:rPr>
          <w:lang w:val="en-US"/>
        </w:rPr>
        <w:t xml:space="preserve">Combining “agri” and “food” signals a focus on both production and consumption, and the components of the food chain in between </w:t>
      </w:r>
      <w:r w:rsidRPr="0048196F">
        <w:rPr>
          <w:lang w:val="en-US"/>
        </w:rPr>
        <w:fldChar w:fldCharType="begin" w:fldLock="1"/>
      </w:r>
      <w:r w:rsidRPr="0048196F">
        <w:rPr>
          <w:lang w:val="en-US"/>
        </w:rPr>
        <w:instrText>ADDIN CSL_CITATION {"citationItems":[{"id":"ITEM-1","itemData":{"DOI":"10.1016/j.jrurstud.2015.10.004","ISSN":"07430167","abstract":"In the US, traditionally food policy has been considered a federal concern dealing with issues such as nutrition, anti-hunger, food safety, food labeling, international trade and food aid. In the 1970s, new concerns arose about the potentially deleterious consequences of the modern global food system. Social movement groups, often referred to as the Alternative Agrifood Movement, successfully championed these concerns into policy discussions, expanding the federal food policy frame to include the agrifood system agenda, while also creating new roles for local and state governments in food system governance. A body of agrifood system policy research emerged to address both the concerns and policies addressing modern global food system issues. The purpose of this paper is two-fold: first, to summarize the underpinnings of the agrifood system policy agenda, trace the emergence of initiatives in federal policy, and describe expressions in local policy; and, second, to describe the corresponding research domain, focusing on seminal works that inform or directly speak to policy development. Findings indicate that, as a whole, agrifood system policy research is interdisciplinary and draws from a core of knowledge. The most highly cited publications come from the fields of geography, sociology and rural sociology, environmental science and nutrition education, and follow a consistent trajectory of conceptualizing alternatives, providing friendly critique and proposing research agendas attentive to hybridity between conventional and alternative food systems. Research mostly informs framing and agenda-setting in the policy process and is aimed at all scales of governance, with a slight emphasis on local governance. Finally, we offer suggestions for further research, including evaluative research and comparative analysis with other domains of food policy research.","author":[{"dropping-particle":"","family":"Clark","given":"Jill K.","non-dropping-particle":"","parse-names":false,"suffix":""},{"dropping-particle":"","family":"Sharp","given":"Jeff S.","non-dropping-particle":"","parse-names":false,"suffix":""},{"dropping-particle":"","family":"Dugan","given":"Kristine L.","non-dropping-particle":"","parse-names":false,"suffix":""}],"container-title":"Journal of Rural Studies","id":"ITEM-1","issued":{"date-parts":[["2015"]]},"page":"112-122","publisher":"Elsevier Ltd","title":"The agrifood system policy agenda and research domain","type":"article-journal","volume":"42"},"uris":["http://www.mendeley.com/documents/?uuid=51e1563f-58ac-4f38-b552-28b0d756781e"]}],"mendeley":{"formattedCitation":"(Clark, Sharp, &amp; Dugan, 2015)","plainTextFormattedCitation":"(Clark, Sharp, &amp; Dugan, 2015)","previouslyFormattedCitation":"(Clark, Sharp, &amp; Dugan, 2015)"},"properties":{"noteIndex":0},"schema":"https://github.com/citation-style-language/schema/raw/master/csl-citation.json"}</w:instrText>
      </w:r>
      <w:r w:rsidRPr="0048196F">
        <w:rPr>
          <w:lang w:val="en-US"/>
        </w:rPr>
        <w:fldChar w:fldCharType="separate"/>
      </w:r>
      <w:r w:rsidRPr="0048196F">
        <w:rPr>
          <w:noProof/>
          <w:lang w:val="en-US"/>
        </w:rPr>
        <w:t>(Clark, Sharp, &amp; Dugan, 2015)</w:t>
      </w:r>
      <w:r w:rsidRPr="0048196F">
        <w:rPr>
          <w:lang w:val="en-US"/>
        </w:rPr>
        <w:fldChar w:fldCharType="end"/>
      </w:r>
      <w:r w:rsidRPr="0048196F">
        <w:rPr>
          <w:lang w:val="en-US"/>
        </w:rPr>
        <w:t xml:space="preserve">. Through a process of benchmarking the agri-food value chain is specifically determined. During the literature review 8 visualized value chains retrieved from 7 documents, presented in </w:t>
      </w:r>
      <w:r w:rsidRPr="006D0730">
        <w:rPr>
          <w:lang w:val="en-US"/>
        </w:rPr>
        <w:t xml:space="preserve">table </w:t>
      </w:r>
      <w:r w:rsidR="006D0730" w:rsidRPr="006D0730">
        <w:rPr>
          <w:lang w:val="en-US"/>
        </w:rPr>
        <w:t>1</w:t>
      </w:r>
      <w:r w:rsidR="00896DCC">
        <w:rPr>
          <w:lang w:val="en-US"/>
        </w:rPr>
        <w:t>4</w:t>
      </w:r>
      <w:r w:rsidRPr="006D0730">
        <w:rPr>
          <w:lang w:val="en-US"/>
        </w:rPr>
        <w:t xml:space="preserve"> of the annex</w:t>
      </w:r>
      <w:r w:rsidRPr="0048196F">
        <w:rPr>
          <w:lang w:val="en-US"/>
        </w:rPr>
        <w:t xml:space="preserve">, have been benchmarked. The number of occurrences per economic activity can </w:t>
      </w:r>
      <w:r w:rsidRPr="006D0730">
        <w:rPr>
          <w:lang w:val="en-US"/>
        </w:rPr>
        <w:t xml:space="preserve">be found in table </w:t>
      </w:r>
      <w:r w:rsidR="006D0730">
        <w:rPr>
          <w:lang w:val="en-US"/>
        </w:rPr>
        <w:t>1</w:t>
      </w:r>
      <w:r w:rsidR="00896DCC">
        <w:rPr>
          <w:lang w:val="en-US"/>
        </w:rPr>
        <w:t>6</w:t>
      </w:r>
      <w:r w:rsidRPr="0048196F">
        <w:rPr>
          <w:lang w:val="en-US"/>
        </w:rPr>
        <w:t xml:space="preserve"> leading to the following set of economic activities. The sequence of activities is in a predetermined order, however, just as </w:t>
      </w:r>
      <w:r w:rsidRPr="0048196F">
        <w:rPr>
          <w:lang w:val="en-US"/>
        </w:rPr>
        <w:fldChar w:fldCharType="begin" w:fldLock="1"/>
      </w:r>
      <w:r w:rsidR="008619A7">
        <w:rPr>
          <w:lang w:val="en-US"/>
        </w:rPr>
        <w:instrText>ADDIN CSL_CITATION {"citationItems":[{"id":"ITEM-1","itemData":{"ISBN":"0007070X (ISSN)","abstract":"Purpose – The purpose of this paper is twofold: first, to formulate an exhaustive list of the issues, gaps, and barriers at each level of the agri-food value chain in North Carolina (NC), and second, to identify the issues of greatest importance to its members. Design/methodology/approach – This research employed the Delphi technique in two stages of input. The first round of input was designed to create a comprehensive list of issues for each of nine “stages” of the agri-food value chain. In round two, the issues were prioritized. Findings – The top ten responses of each stage were aggregated into themes that represent the most critical issues identified by respondents: connectedness within the value chain, access to markets and marketing, affordability/availability of food and food distribution, farm profitability, societal awareness, and education about healthy, local food, and supporting institutions. Originality/value – The findings could be used by practitioners to inspire innovation in food-related products, programs, processes, organization, and marketing. The findings can help farmers, institutions, food distributors, policy makers, and other members of the agri-food value chain to make decisions about food distribution and access in NC and in other states facing similar issues and circumstances. The findings of this research also have further reaching implications, such as the connectivity of members along the agri-food value chain, the impact of a strong agri-food value chain on agritourism and the potential value of state marketing initiatives. © 2016, © Emerald Group Publishing Limited.","author":[{"dropping-particle":"","family":"Kline et al","given":"","non-dropping-particle":"","parse-names":false,"suffix":""}],"container-title":"British Food Journal","id":"ITEM-1","issue":"2","issued":{"date-parts":[["2016"]]},"page":"301-317","title":"Gaps and barriers along the North Carolina agri-food value chain","type":"article-journal","volume":"118"},"uris":["http://www.mendeley.com/documents/?uuid=e839334b-b161-4f40-84d6-71273fc52c26"]}],"mendeley":{"formattedCitation":"(Kline et al, 2016)","plainTextFormattedCitation":"(Kline et al, 2016)","previouslyFormattedCitation":"(Kline et al, 2016)"},"properties":{"noteIndex":0},"schema":"https://github.com/citation-style-language/schema/raw/master/csl-citation.json"}</w:instrText>
      </w:r>
      <w:r w:rsidRPr="0048196F">
        <w:rPr>
          <w:lang w:val="en-US"/>
        </w:rPr>
        <w:fldChar w:fldCharType="separate"/>
      </w:r>
      <w:r w:rsidR="008619A7" w:rsidRPr="008619A7">
        <w:rPr>
          <w:noProof/>
          <w:lang w:val="en-US"/>
        </w:rPr>
        <w:t>(Kline et al, 2016)</w:t>
      </w:r>
      <w:r w:rsidRPr="0048196F">
        <w:rPr>
          <w:lang w:val="en-US"/>
        </w:rPr>
        <w:fldChar w:fldCharType="end"/>
      </w:r>
      <w:r w:rsidRPr="0048196F">
        <w:rPr>
          <w:lang w:val="en-US"/>
        </w:rPr>
        <w:t xml:space="preserve"> mention. Processing, marketing/branding can happen at every stage and logistics is present between all activities</w:t>
      </w:r>
      <w:r w:rsidR="00D25C11" w:rsidRPr="0048196F">
        <w:rPr>
          <w:lang w:val="en-US"/>
        </w:rPr>
        <w:t>.</w:t>
      </w:r>
      <w:r w:rsidRPr="0048196F">
        <w:rPr>
          <w:lang w:val="en-US"/>
        </w:rPr>
        <w:t xml:space="preserve"> According to </w:t>
      </w:r>
      <w:r w:rsidR="00726834" w:rsidRPr="0048196F">
        <w:rPr>
          <w:lang w:val="en-US"/>
        </w:rPr>
        <w:t>identified</w:t>
      </w:r>
      <w:r w:rsidRPr="0048196F">
        <w:rPr>
          <w:lang w:val="en-US"/>
        </w:rPr>
        <w:t xml:space="preserve"> stages of the value chain, and the technology categories, applications of digital technologies were selected throughout the literature based on their presence within the validated trends, the industry demand, and the researcher’s assessment of importance and potential inspiration. The result is the DigiTech value chain</w:t>
      </w:r>
      <w:r w:rsidR="00D25C11" w:rsidRPr="0048196F">
        <w:rPr>
          <w:lang w:val="en-US"/>
        </w:rPr>
        <w:t xml:space="preserve"> of which </w:t>
      </w:r>
      <w:r w:rsidR="000611AF" w:rsidRPr="0048196F">
        <w:rPr>
          <w:lang w:val="en-US"/>
        </w:rPr>
        <w:t xml:space="preserve">the visualization can be found in figure </w:t>
      </w:r>
      <w:r w:rsidR="00896DCC">
        <w:rPr>
          <w:lang w:val="en-US"/>
        </w:rPr>
        <w:t>7</w:t>
      </w:r>
      <w:r w:rsidR="000611AF" w:rsidRPr="0048196F">
        <w:rPr>
          <w:lang w:val="en-US"/>
        </w:rPr>
        <w:t xml:space="preserve"> of the Annex. </w:t>
      </w:r>
      <w:r w:rsidR="00D25C11" w:rsidRPr="0048196F">
        <w:rPr>
          <w:lang w:val="en-US"/>
        </w:rPr>
        <w:t xml:space="preserve">Figure 5 shows a simplified version, followed by descriptions for all applications in table </w:t>
      </w:r>
      <w:r w:rsidR="00896DCC">
        <w:rPr>
          <w:lang w:val="en-US"/>
        </w:rPr>
        <w:t xml:space="preserve">8. </w:t>
      </w:r>
      <w:r w:rsidR="000611AF" w:rsidRPr="0048196F">
        <w:rPr>
          <w:lang w:val="en-US"/>
        </w:rPr>
        <w:t xml:space="preserve">Four general themes can be extracted from this </w:t>
      </w:r>
      <w:r w:rsidR="00C83AF0" w:rsidRPr="0048196F">
        <w:rPr>
          <w:lang w:val="en-US"/>
        </w:rPr>
        <w:t>DigiTech</w:t>
      </w:r>
      <w:r w:rsidR="000611AF" w:rsidRPr="0048196F">
        <w:rPr>
          <w:lang w:val="en-US"/>
        </w:rPr>
        <w:t xml:space="preserve"> value chain. </w:t>
      </w:r>
    </w:p>
    <w:p w14:paraId="7D3037F8" w14:textId="366C4F39" w:rsidR="008E2C26" w:rsidRPr="00A550E1" w:rsidRDefault="008E2C26" w:rsidP="006E153C">
      <w:pPr>
        <w:pStyle w:val="Caption"/>
        <w:framePr w:hSpace="141" w:wrap="around" w:vAnchor="text" w:hAnchor="page" w:x="1834" w:y="5958"/>
        <w:rPr>
          <w:lang w:val="en-US"/>
        </w:rPr>
      </w:pPr>
      <w:bookmarkStart w:id="83" w:name="_Toc14347574"/>
      <w:r w:rsidRPr="00A550E1">
        <w:rPr>
          <w:lang w:val="en-US"/>
        </w:rPr>
        <w:t xml:space="preserve">Figure </w:t>
      </w:r>
      <w:r w:rsidRPr="00A550E1">
        <w:fldChar w:fldCharType="begin"/>
      </w:r>
      <w:r w:rsidRPr="00A550E1">
        <w:rPr>
          <w:lang w:val="en-US"/>
        </w:rPr>
        <w:instrText xml:space="preserve"> SEQ Figure \* ARABIC </w:instrText>
      </w:r>
      <w:r w:rsidRPr="00A550E1">
        <w:fldChar w:fldCharType="separate"/>
      </w:r>
      <w:r w:rsidR="00634236">
        <w:rPr>
          <w:noProof/>
          <w:lang w:val="en-US"/>
        </w:rPr>
        <w:t>6</w:t>
      </w:r>
      <w:r w:rsidRPr="00A550E1">
        <w:fldChar w:fldCharType="end"/>
      </w:r>
      <w:r w:rsidRPr="00A550E1">
        <w:rPr>
          <w:lang w:val="en-US"/>
        </w:rPr>
        <w:t>: Digitech Value Chain (Simplified)</w:t>
      </w:r>
      <w:bookmarkEnd w:id="83"/>
    </w:p>
    <w:tbl>
      <w:tblPr>
        <w:tblStyle w:val="TableGrid"/>
        <w:tblpPr w:leftFromText="141" w:rightFromText="141" w:vertAnchor="text" w:horzAnchor="margin" w:tblpXSpec="center" w:tblpY="-29"/>
        <w:tblW w:w="9066" w:type="dxa"/>
        <w:tblBorders>
          <w:left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276"/>
        <w:gridCol w:w="1843"/>
        <w:gridCol w:w="2126"/>
        <w:gridCol w:w="1962"/>
        <w:gridCol w:w="1859"/>
      </w:tblGrid>
      <w:tr w:rsidR="008E2C26" w:rsidRPr="00A550E1" w14:paraId="0927E80D" w14:textId="77777777" w:rsidTr="008E2C26">
        <w:trPr>
          <w:trHeight w:val="836"/>
        </w:trPr>
        <w:tc>
          <w:tcPr>
            <w:tcW w:w="1276" w:type="dxa"/>
            <w:tcBorders>
              <w:bottom w:val="nil"/>
            </w:tcBorders>
            <w:hideMark/>
          </w:tcPr>
          <w:p w14:paraId="4ACB2891" w14:textId="77777777" w:rsidR="008E2C26" w:rsidRPr="00A550E1" w:rsidRDefault="008E2C26" w:rsidP="008E2C26">
            <w:pPr>
              <w:pStyle w:val="NormalWeb"/>
              <w:rPr>
                <w:rFonts w:eastAsia="Times New Roman"/>
                <w:lang w:val="en-US" w:eastAsia="nl-NL"/>
              </w:rPr>
            </w:pPr>
          </w:p>
        </w:tc>
        <w:tc>
          <w:tcPr>
            <w:tcW w:w="1843" w:type="dxa"/>
            <w:tcBorders>
              <w:top w:val="single" w:sz="4" w:space="0" w:color="auto"/>
              <w:bottom w:val="single" w:sz="4" w:space="0" w:color="auto"/>
            </w:tcBorders>
            <w:hideMark/>
          </w:tcPr>
          <w:p w14:paraId="6EE02B0C" w14:textId="77777777" w:rsidR="008E2C26" w:rsidRPr="00A550E1" w:rsidRDefault="008E2C26" w:rsidP="008E2C26">
            <w:pPr>
              <w:pStyle w:val="NormalWeb"/>
              <w:rPr>
                <w:rFonts w:eastAsia="Times New Roman"/>
                <w:lang w:val="en-US" w:eastAsia="nl-NL"/>
              </w:rPr>
            </w:pPr>
            <w:r w:rsidRPr="00A550E1">
              <w:rPr>
                <w:rFonts w:eastAsia="Times New Roman"/>
                <w:lang w:val="en-US" w:eastAsia="nl-NL"/>
              </w:rPr>
              <w:t>Robotics &amp; Unmanned Vehicles</w:t>
            </w:r>
          </w:p>
        </w:tc>
        <w:tc>
          <w:tcPr>
            <w:tcW w:w="2126" w:type="dxa"/>
            <w:tcBorders>
              <w:top w:val="single" w:sz="4" w:space="0" w:color="auto"/>
              <w:bottom w:val="single" w:sz="4" w:space="0" w:color="auto"/>
            </w:tcBorders>
            <w:hideMark/>
          </w:tcPr>
          <w:p w14:paraId="28E06C8A" w14:textId="77777777" w:rsidR="008E2C26" w:rsidRPr="00A550E1" w:rsidRDefault="008E2C26" w:rsidP="008E2C26">
            <w:pPr>
              <w:pStyle w:val="NormalWeb"/>
              <w:rPr>
                <w:rFonts w:eastAsia="Times New Roman"/>
                <w:lang w:val="en-US" w:eastAsia="nl-NL"/>
              </w:rPr>
            </w:pPr>
            <w:r w:rsidRPr="00A550E1">
              <w:rPr>
                <w:rFonts w:eastAsia="Times New Roman"/>
                <w:lang w:val="en-US" w:eastAsia="nl-NL"/>
              </w:rPr>
              <w:t>IoT &amp; Data collection</w:t>
            </w:r>
          </w:p>
        </w:tc>
        <w:tc>
          <w:tcPr>
            <w:tcW w:w="1962" w:type="dxa"/>
            <w:tcBorders>
              <w:top w:val="single" w:sz="4" w:space="0" w:color="auto"/>
              <w:bottom w:val="single" w:sz="4" w:space="0" w:color="auto"/>
            </w:tcBorders>
            <w:hideMark/>
          </w:tcPr>
          <w:p w14:paraId="44B0A34E" w14:textId="77777777" w:rsidR="008E2C26" w:rsidRPr="00A550E1" w:rsidRDefault="008E2C26" w:rsidP="008E2C26">
            <w:pPr>
              <w:pStyle w:val="NormalWeb"/>
              <w:rPr>
                <w:rFonts w:eastAsia="Times New Roman"/>
                <w:lang w:val="en-US" w:eastAsia="nl-NL"/>
              </w:rPr>
            </w:pPr>
            <w:r w:rsidRPr="00A550E1">
              <w:rPr>
                <w:rFonts w:eastAsia="Times New Roman"/>
                <w:lang w:val="en-US" w:eastAsia="nl-NL"/>
              </w:rPr>
              <w:t>Cloud Computing &amp; Data Analytics</w:t>
            </w:r>
          </w:p>
        </w:tc>
        <w:tc>
          <w:tcPr>
            <w:tcW w:w="1859" w:type="dxa"/>
            <w:tcBorders>
              <w:top w:val="single" w:sz="4" w:space="0" w:color="auto"/>
              <w:bottom w:val="single" w:sz="4" w:space="0" w:color="auto"/>
            </w:tcBorders>
            <w:hideMark/>
          </w:tcPr>
          <w:p w14:paraId="4775B184" w14:textId="77777777" w:rsidR="008E2C26" w:rsidRPr="00A550E1" w:rsidRDefault="008E2C26" w:rsidP="008E2C26">
            <w:pPr>
              <w:pStyle w:val="NormalWeb"/>
              <w:rPr>
                <w:rFonts w:eastAsia="Times New Roman"/>
                <w:lang w:val="en-US" w:eastAsia="nl-NL"/>
              </w:rPr>
            </w:pPr>
            <w:r w:rsidRPr="00A550E1">
              <w:rPr>
                <w:rFonts w:eastAsia="Times New Roman"/>
                <w:lang w:val="en-US" w:eastAsia="nl-NL"/>
              </w:rPr>
              <w:t>Platforms</w:t>
            </w:r>
          </w:p>
        </w:tc>
      </w:tr>
      <w:tr w:rsidR="008E2C26" w:rsidRPr="00A550E1" w14:paraId="10E9BC2C" w14:textId="77777777" w:rsidTr="008E2C26">
        <w:trPr>
          <w:trHeight w:val="359"/>
        </w:trPr>
        <w:tc>
          <w:tcPr>
            <w:tcW w:w="1276" w:type="dxa"/>
            <w:tcBorders>
              <w:top w:val="nil"/>
              <w:bottom w:val="nil"/>
              <w:right w:val="single" w:sz="4" w:space="0" w:color="auto"/>
            </w:tcBorders>
            <w:hideMark/>
          </w:tcPr>
          <w:p w14:paraId="5AFDFF0E" w14:textId="77777777" w:rsidR="008E2C26" w:rsidRPr="00A550E1" w:rsidRDefault="008E2C26" w:rsidP="008E2C26">
            <w:pPr>
              <w:pStyle w:val="NormalWeb"/>
              <w:rPr>
                <w:rFonts w:eastAsia="Times New Roman"/>
                <w:lang w:val="en-US" w:eastAsia="nl-NL"/>
              </w:rPr>
            </w:pPr>
            <w:r w:rsidRPr="00A550E1">
              <w:rPr>
                <w:rFonts w:eastAsia="Times New Roman"/>
                <w:lang w:val="en-US" w:eastAsia="nl-NL"/>
              </w:rPr>
              <w:t>Inputs</w:t>
            </w:r>
          </w:p>
        </w:tc>
        <w:tc>
          <w:tcPr>
            <w:tcW w:w="1843" w:type="dxa"/>
            <w:tcBorders>
              <w:top w:val="single" w:sz="4" w:space="0" w:color="auto"/>
              <w:left w:val="single" w:sz="4" w:space="0" w:color="auto"/>
            </w:tcBorders>
            <w:tcMar>
              <w:left w:w="0" w:type="dxa"/>
              <w:right w:w="0" w:type="dxa"/>
            </w:tcMar>
            <w:hideMark/>
          </w:tcPr>
          <w:p w14:paraId="5D2EAF19" w14:textId="77777777" w:rsidR="008E2C26" w:rsidRPr="00A550E1" w:rsidRDefault="008E2C26" w:rsidP="008E2C26">
            <w:pPr>
              <w:pStyle w:val="NormalWeb"/>
              <w:rPr>
                <w:rFonts w:eastAsia="Times New Roman"/>
                <w:sz w:val="22"/>
                <w:szCs w:val="22"/>
                <w:lang w:val="en-US" w:eastAsia="nl-NL"/>
              </w:rPr>
            </w:pPr>
          </w:p>
        </w:tc>
        <w:tc>
          <w:tcPr>
            <w:tcW w:w="2126" w:type="dxa"/>
            <w:tcBorders>
              <w:top w:val="single" w:sz="4" w:space="0" w:color="auto"/>
            </w:tcBorders>
            <w:tcMar>
              <w:left w:w="0" w:type="dxa"/>
              <w:right w:w="0" w:type="dxa"/>
            </w:tcMar>
            <w:hideMark/>
          </w:tcPr>
          <w:p w14:paraId="63004B50" w14:textId="77777777" w:rsidR="008E2C26" w:rsidRPr="00A550E1" w:rsidRDefault="008E2C26" w:rsidP="008E2C26">
            <w:pPr>
              <w:pStyle w:val="NormalWeb"/>
              <w:rPr>
                <w:rFonts w:eastAsia="Times New Roman"/>
                <w:sz w:val="22"/>
                <w:szCs w:val="22"/>
                <w:lang w:val="en-US" w:eastAsia="nl-NL"/>
              </w:rPr>
            </w:pPr>
          </w:p>
        </w:tc>
        <w:tc>
          <w:tcPr>
            <w:tcW w:w="1962" w:type="dxa"/>
            <w:tcBorders>
              <w:top w:val="single" w:sz="4" w:space="0" w:color="auto"/>
            </w:tcBorders>
            <w:tcMar>
              <w:left w:w="0" w:type="dxa"/>
              <w:right w:w="0" w:type="dxa"/>
            </w:tcMar>
            <w:hideMark/>
          </w:tcPr>
          <w:p w14:paraId="1D563839" w14:textId="77777777" w:rsidR="008E2C26" w:rsidRPr="00A550E1" w:rsidRDefault="008E2C26" w:rsidP="008E2C26">
            <w:pPr>
              <w:pStyle w:val="NormalWeb"/>
              <w:rPr>
                <w:rFonts w:eastAsia="Times New Roman"/>
                <w:sz w:val="22"/>
                <w:szCs w:val="22"/>
                <w:lang w:val="en-US" w:eastAsia="nl-NL"/>
              </w:rPr>
            </w:pPr>
          </w:p>
        </w:tc>
        <w:tc>
          <w:tcPr>
            <w:tcW w:w="1859" w:type="dxa"/>
            <w:tcBorders>
              <w:top w:val="single" w:sz="4" w:space="0" w:color="auto"/>
            </w:tcBorders>
            <w:tcMar>
              <w:left w:w="0" w:type="dxa"/>
              <w:right w:w="0" w:type="dxa"/>
            </w:tcMar>
            <w:hideMark/>
          </w:tcPr>
          <w:p w14:paraId="0FB7955D"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Agri-Platforms</w:t>
            </w:r>
          </w:p>
        </w:tc>
      </w:tr>
      <w:tr w:rsidR="008E2C26" w:rsidRPr="00A550E1" w14:paraId="282DCB0C" w14:textId="77777777" w:rsidTr="008E2C26">
        <w:trPr>
          <w:trHeight w:val="571"/>
        </w:trPr>
        <w:tc>
          <w:tcPr>
            <w:tcW w:w="1276" w:type="dxa"/>
            <w:tcBorders>
              <w:top w:val="nil"/>
              <w:bottom w:val="nil"/>
              <w:right w:val="single" w:sz="4" w:space="0" w:color="auto"/>
            </w:tcBorders>
            <w:hideMark/>
          </w:tcPr>
          <w:p w14:paraId="71E49DFA" w14:textId="77777777" w:rsidR="008E2C26" w:rsidRPr="00A550E1" w:rsidRDefault="008E2C26" w:rsidP="008E2C26">
            <w:pPr>
              <w:pStyle w:val="NormalWeb"/>
              <w:rPr>
                <w:lang w:val="en-US" w:eastAsia="nl-NL"/>
              </w:rPr>
            </w:pPr>
            <w:r w:rsidRPr="00A550E1">
              <w:rPr>
                <w:rFonts w:eastAsia="Times New Roman"/>
                <w:lang w:val="en-US" w:eastAsia="nl-NL"/>
              </w:rPr>
              <w:t>Production</w:t>
            </w:r>
          </w:p>
        </w:tc>
        <w:tc>
          <w:tcPr>
            <w:tcW w:w="1843" w:type="dxa"/>
            <w:tcBorders>
              <w:left w:val="single" w:sz="4" w:space="0" w:color="auto"/>
            </w:tcBorders>
            <w:tcMar>
              <w:left w:w="0" w:type="dxa"/>
              <w:right w:w="0" w:type="dxa"/>
            </w:tcMar>
            <w:hideMark/>
          </w:tcPr>
          <w:p w14:paraId="6A8D7049" w14:textId="77777777" w:rsidR="008E2C26" w:rsidRPr="00A550E1" w:rsidRDefault="008E2C26" w:rsidP="008E2C26">
            <w:pPr>
              <w:pStyle w:val="NormalWeb"/>
              <w:rPr>
                <w:sz w:val="22"/>
                <w:szCs w:val="22"/>
                <w:lang w:val="en-US" w:eastAsia="nl-NL"/>
              </w:rPr>
            </w:pPr>
            <w:r w:rsidRPr="00A550E1">
              <w:rPr>
                <w:rFonts w:eastAsia="Times New Roman"/>
                <w:sz w:val="22"/>
                <w:szCs w:val="22"/>
                <w:lang w:val="en-US" w:eastAsia="nl-NL"/>
              </w:rPr>
              <w:t>Automated harvesting</w:t>
            </w:r>
          </w:p>
        </w:tc>
        <w:tc>
          <w:tcPr>
            <w:tcW w:w="2126" w:type="dxa"/>
            <w:tcMar>
              <w:left w:w="0" w:type="dxa"/>
              <w:right w:w="0" w:type="dxa"/>
            </w:tcMar>
            <w:hideMark/>
          </w:tcPr>
          <w:p w14:paraId="4F199316"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Internet of (Living) Things</w:t>
            </w:r>
          </w:p>
          <w:p w14:paraId="232C826B" w14:textId="77777777" w:rsidR="008E2C26" w:rsidRPr="00A550E1" w:rsidRDefault="008E2C26" w:rsidP="008E2C26">
            <w:pPr>
              <w:rPr>
                <w:lang w:val="en-US"/>
              </w:rPr>
            </w:pPr>
          </w:p>
        </w:tc>
        <w:tc>
          <w:tcPr>
            <w:tcW w:w="1962" w:type="dxa"/>
            <w:tcMar>
              <w:left w:w="0" w:type="dxa"/>
              <w:right w:w="0" w:type="dxa"/>
            </w:tcMar>
            <w:hideMark/>
          </w:tcPr>
          <w:p w14:paraId="7D940B06"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Smart Farming</w:t>
            </w:r>
          </w:p>
          <w:p w14:paraId="3377E250" w14:textId="77777777" w:rsidR="008E2C26" w:rsidRPr="00A550E1" w:rsidRDefault="008E2C26" w:rsidP="008E2C26">
            <w:pPr>
              <w:rPr>
                <w:lang w:val="en-US"/>
              </w:rPr>
            </w:pPr>
          </w:p>
        </w:tc>
        <w:tc>
          <w:tcPr>
            <w:tcW w:w="1859" w:type="dxa"/>
            <w:tcMar>
              <w:left w:w="0" w:type="dxa"/>
              <w:right w:w="0" w:type="dxa"/>
            </w:tcMar>
            <w:hideMark/>
          </w:tcPr>
          <w:p w14:paraId="1931D7BA"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Cooperative platforms</w:t>
            </w:r>
          </w:p>
        </w:tc>
      </w:tr>
      <w:tr w:rsidR="008E2C26" w:rsidRPr="00A550E1" w14:paraId="424D4331" w14:textId="77777777" w:rsidTr="008E2C26">
        <w:trPr>
          <w:trHeight w:val="652"/>
        </w:trPr>
        <w:tc>
          <w:tcPr>
            <w:tcW w:w="1276" w:type="dxa"/>
            <w:tcBorders>
              <w:top w:val="nil"/>
              <w:bottom w:val="nil"/>
              <w:right w:val="single" w:sz="4" w:space="0" w:color="auto"/>
            </w:tcBorders>
            <w:hideMark/>
          </w:tcPr>
          <w:p w14:paraId="7FD341FB" w14:textId="77777777" w:rsidR="008E2C26" w:rsidRPr="00A550E1" w:rsidRDefault="008E2C26" w:rsidP="008E2C26">
            <w:pPr>
              <w:pStyle w:val="NormalWeb"/>
              <w:rPr>
                <w:rFonts w:eastAsia="Times New Roman"/>
                <w:lang w:val="en-US" w:eastAsia="nl-NL"/>
              </w:rPr>
            </w:pPr>
            <w:r w:rsidRPr="00A550E1">
              <w:rPr>
                <w:rFonts w:eastAsia="Times New Roman"/>
                <w:lang w:val="en-US" w:eastAsia="nl-NL"/>
              </w:rPr>
              <w:t>Processors</w:t>
            </w:r>
          </w:p>
        </w:tc>
        <w:tc>
          <w:tcPr>
            <w:tcW w:w="1843" w:type="dxa"/>
            <w:tcBorders>
              <w:left w:val="single" w:sz="4" w:space="0" w:color="auto"/>
            </w:tcBorders>
            <w:tcMar>
              <w:left w:w="0" w:type="dxa"/>
              <w:right w:w="0" w:type="dxa"/>
            </w:tcMar>
            <w:hideMark/>
          </w:tcPr>
          <w:p w14:paraId="669723FB"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Additive manufacturing</w:t>
            </w:r>
          </w:p>
        </w:tc>
        <w:tc>
          <w:tcPr>
            <w:tcW w:w="2126" w:type="dxa"/>
            <w:tcMar>
              <w:left w:w="0" w:type="dxa"/>
              <w:right w:w="0" w:type="dxa"/>
            </w:tcMar>
            <w:hideMark/>
          </w:tcPr>
          <w:p w14:paraId="4F4C404E"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Optimization</w:t>
            </w:r>
          </w:p>
        </w:tc>
        <w:tc>
          <w:tcPr>
            <w:tcW w:w="1962" w:type="dxa"/>
            <w:tcMar>
              <w:left w:w="0" w:type="dxa"/>
              <w:right w:w="0" w:type="dxa"/>
            </w:tcMar>
            <w:hideMark/>
          </w:tcPr>
          <w:p w14:paraId="3B4BCE4C"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Digital Twins</w:t>
            </w:r>
          </w:p>
        </w:tc>
        <w:tc>
          <w:tcPr>
            <w:tcW w:w="1859" w:type="dxa"/>
            <w:tcMar>
              <w:left w:w="0" w:type="dxa"/>
              <w:right w:w="0" w:type="dxa"/>
            </w:tcMar>
            <w:hideMark/>
          </w:tcPr>
          <w:p w14:paraId="66360AE8" w14:textId="77777777" w:rsidR="008E2C26" w:rsidRPr="00A550E1" w:rsidRDefault="008E2C26" w:rsidP="008E2C26">
            <w:pPr>
              <w:pStyle w:val="NormalWeb"/>
              <w:rPr>
                <w:rFonts w:eastAsia="Times New Roman"/>
                <w:sz w:val="22"/>
                <w:szCs w:val="22"/>
                <w:lang w:val="en-US" w:eastAsia="nl-NL"/>
              </w:rPr>
            </w:pPr>
          </w:p>
        </w:tc>
      </w:tr>
      <w:tr w:rsidR="008E2C26" w:rsidRPr="00A550E1" w14:paraId="23E5419C" w14:textId="77777777" w:rsidTr="008E2C26">
        <w:trPr>
          <w:trHeight w:val="465"/>
        </w:trPr>
        <w:tc>
          <w:tcPr>
            <w:tcW w:w="1276" w:type="dxa"/>
            <w:tcBorders>
              <w:top w:val="nil"/>
              <w:bottom w:val="nil"/>
              <w:right w:val="single" w:sz="4" w:space="0" w:color="auto"/>
            </w:tcBorders>
            <w:hideMark/>
          </w:tcPr>
          <w:p w14:paraId="291791A2" w14:textId="77777777" w:rsidR="008E2C26" w:rsidRPr="00A550E1" w:rsidRDefault="008E2C26" w:rsidP="008E2C26">
            <w:pPr>
              <w:pStyle w:val="NormalWeb"/>
              <w:rPr>
                <w:rFonts w:eastAsia="Times New Roman"/>
                <w:lang w:val="en-US" w:eastAsia="nl-NL"/>
              </w:rPr>
            </w:pPr>
            <w:r w:rsidRPr="00A550E1">
              <w:rPr>
                <w:rFonts w:eastAsia="Times New Roman"/>
                <w:lang w:val="en-US" w:eastAsia="nl-NL"/>
              </w:rPr>
              <w:t>Packaging</w:t>
            </w:r>
          </w:p>
        </w:tc>
        <w:tc>
          <w:tcPr>
            <w:tcW w:w="1843" w:type="dxa"/>
            <w:tcBorders>
              <w:left w:val="single" w:sz="4" w:space="0" w:color="auto"/>
            </w:tcBorders>
            <w:tcMar>
              <w:left w:w="0" w:type="dxa"/>
              <w:right w:w="0" w:type="dxa"/>
            </w:tcMar>
            <w:hideMark/>
          </w:tcPr>
          <w:p w14:paraId="083ABDBC" w14:textId="77777777" w:rsidR="008E2C26" w:rsidRPr="00A550E1" w:rsidRDefault="008E2C26" w:rsidP="008E2C26">
            <w:pPr>
              <w:pStyle w:val="NormalWeb"/>
              <w:rPr>
                <w:rFonts w:eastAsia="Times New Roman"/>
                <w:sz w:val="22"/>
                <w:szCs w:val="22"/>
                <w:lang w:val="en-US" w:eastAsia="nl-NL"/>
              </w:rPr>
            </w:pPr>
          </w:p>
        </w:tc>
        <w:tc>
          <w:tcPr>
            <w:tcW w:w="2126" w:type="dxa"/>
            <w:tcMar>
              <w:left w:w="0" w:type="dxa"/>
              <w:right w:w="0" w:type="dxa"/>
            </w:tcMar>
            <w:hideMark/>
          </w:tcPr>
          <w:p w14:paraId="508D8C85"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Smart Packaging</w:t>
            </w:r>
          </w:p>
        </w:tc>
        <w:tc>
          <w:tcPr>
            <w:tcW w:w="1962" w:type="dxa"/>
            <w:tcMar>
              <w:left w:w="0" w:type="dxa"/>
              <w:right w:w="0" w:type="dxa"/>
            </w:tcMar>
            <w:hideMark/>
          </w:tcPr>
          <w:p w14:paraId="61549F22"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Smart Labels</w:t>
            </w:r>
          </w:p>
        </w:tc>
        <w:tc>
          <w:tcPr>
            <w:tcW w:w="1859" w:type="dxa"/>
            <w:tcMar>
              <w:left w:w="0" w:type="dxa"/>
              <w:right w:w="0" w:type="dxa"/>
            </w:tcMar>
            <w:hideMark/>
          </w:tcPr>
          <w:p w14:paraId="0669CCDF" w14:textId="77777777" w:rsidR="008E2C26" w:rsidRPr="00A550E1" w:rsidRDefault="008E2C26" w:rsidP="008E2C26">
            <w:pPr>
              <w:pStyle w:val="NormalWeb"/>
              <w:rPr>
                <w:rFonts w:eastAsia="Times New Roman"/>
                <w:sz w:val="22"/>
                <w:szCs w:val="22"/>
                <w:lang w:val="en-US" w:eastAsia="nl-NL"/>
              </w:rPr>
            </w:pPr>
          </w:p>
        </w:tc>
      </w:tr>
      <w:tr w:rsidR="008E2C26" w:rsidRPr="00A550E1" w14:paraId="185F9D21" w14:textId="77777777" w:rsidTr="008E2C26">
        <w:trPr>
          <w:trHeight w:val="450"/>
        </w:trPr>
        <w:tc>
          <w:tcPr>
            <w:tcW w:w="1276" w:type="dxa"/>
            <w:tcBorders>
              <w:top w:val="nil"/>
              <w:bottom w:val="nil"/>
              <w:right w:val="single" w:sz="4" w:space="0" w:color="auto"/>
            </w:tcBorders>
            <w:hideMark/>
          </w:tcPr>
          <w:p w14:paraId="2D12B2CC" w14:textId="77777777" w:rsidR="008E2C26" w:rsidRPr="00A550E1" w:rsidRDefault="008E2C26" w:rsidP="008E2C26">
            <w:pPr>
              <w:pStyle w:val="NormalWeb"/>
              <w:rPr>
                <w:rFonts w:eastAsia="Times New Roman"/>
                <w:lang w:val="en-US" w:eastAsia="nl-NL"/>
              </w:rPr>
            </w:pPr>
            <w:r w:rsidRPr="00A550E1">
              <w:rPr>
                <w:rFonts w:eastAsia="Times New Roman"/>
                <w:lang w:val="en-US" w:eastAsia="nl-NL"/>
              </w:rPr>
              <w:t>Marketing</w:t>
            </w:r>
          </w:p>
        </w:tc>
        <w:tc>
          <w:tcPr>
            <w:tcW w:w="1843" w:type="dxa"/>
            <w:tcBorders>
              <w:left w:val="single" w:sz="4" w:space="0" w:color="auto"/>
            </w:tcBorders>
            <w:tcMar>
              <w:left w:w="0" w:type="dxa"/>
              <w:right w:w="0" w:type="dxa"/>
            </w:tcMar>
            <w:hideMark/>
          </w:tcPr>
          <w:p w14:paraId="41620DA2" w14:textId="77777777" w:rsidR="008E2C26" w:rsidRPr="00A550E1" w:rsidRDefault="008E2C26" w:rsidP="008E2C26">
            <w:pPr>
              <w:pStyle w:val="NormalWeb"/>
              <w:rPr>
                <w:rFonts w:eastAsia="Times New Roman"/>
                <w:sz w:val="22"/>
                <w:szCs w:val="22"/>
                <w:lang w:val="en-US" w:eastAsia="nl-NL"/>
              </w:rPr>
            </w:pPr>
          </w:p>
        </w:tc>
        <w:tc>
          <w:tcPr>
            <w:tcW w:w="2126" w:type="dxa"/>
            <w:tcMar>
              <w:left w:w="0" w:type="dxa"/>
              <w:right w:w="0" w:type="dxa"/>
            </w:tcMar>
            <w:hideMark/>
          </w:tcPr>
          <w:p w14:paraId="69B1CB4D"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Crowdsourcing</w:t>
            </w:r>
          </w:p>
        </w:tc>
        <w:tc>
          <w:tcPr>
            <w:tcW w:w="1962" w:type="dxa"/>
            <w:tcMar>
              <w:left w:w="0" w:type="dxa"/>
              <w:right w:w="0" w:type="dxa"/>
            </w:tcMar>
            <w:hideMark/>
          </w:tcPr>
          <w:p w14:paraId="64D145CD"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Social media</w:t>
            </w:r>
          </w:p>
        </w:tc>
        <w:tc>
          <w:tcPr>
            <w:tcW w:w="1859" w:type="dxa"/>
            <w:tcMar>
              <w:left w:w="0" w:type="dxa"/>
              <w:right w:w="0" w:type="dxa"/>
            </w:tcMar>
            <w:hideMark/>
          </w:tcPr>
          <w:p w14:paraId="4B6FBAD7" w14:textId="77777777" w:rsidR="008E2C26" w:rsidRPr="00A550E1" w:rsidRDefault="008E2C26" w:rsidP="008E2C26">
            <w:pPr>
              <w:pStyle w:val="NormalWeb"/>
              <w:rPr>
                <w:rFonts w:eastAsia="Times New Roman"/>
                <w:sz w:val="22"/>
                <w:szCs w:val="22"/>
                <w:lang w:val="en-US" w:eastAsia="nl-NL"/>
              </w:rPr>
            </w:pPr>
          </w:p>
        </w:tc>
      </w:tr>
      <w:tr w:rsidR="008E2C26" w:rsidRPr="00A550E1" w14:paraId="74FEC6B6" w14:textId="77777777" w:rsidTr="008E2C26">
        <w:trPr>
          <w:trHeight w:val="685"/>
        </w:trPr>
        <w:tc>
          <w:tcPr>
            <w:tcW w:w="1276" w:type="dxa"/>
            <w:tcBorders>
              <w:top w:val="nil"/>
              <w:bottom w:val="nil"/>
              <w:right w:val="single" w:sz="4" w:space="0" w:color="auto"/>
            </w:tcBorders>
            <w:hideMark/>
          </w:tcPr>
          <w:p w14:paraId="271BB85B" w14:textId="77777777" w:rsidR="008E2C26" w:rsidRPr="00A550E1" w:rsidRDefault="008E2C26" w:rsidP="008E2C26">
            <w:pPr>
              <w:pStyle w:val="NormalWeb"/>
              <w:rPr>
                <w:rFonts w:eastAsia="Times New Roman"/>
                <w:lang w:val="en-US" w:eastAsia="nl-NL"/>
              </w:rPr>
            </w:pPr>
            <w:r w:rsidRPr="00A550E1">
              <w:rPr>
                <w:rFonts w:eastAsia="Times New Roman"/>
                <w:lang w:val="en-US" w:eastAsia="nl-NL"/>
              </w:rPr>
              <w:t>Logistics</w:t>
            </w:r>
          </w:p>
        </w:tc>
        <w:tc>
          <w:tcPr>
            <w:tcW w:w="1843" w:type="dxa"/>
            <w:tcBorders>
              <w:left w:val="single" w:sz="4" w:space="0" w:color="auto"/>
            </w:tcBorders>
            <w:tcMar>
              <w:left w:w="0" w:type="dxa"/>
              <w:right w:w="0" w:type="dxa"/>
            </w:tcMar>
            <w:hideMark/>
          </w:tcPr>
          <w:p w14:paraId="6D7C4BD4"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SideWalk Robots</w:t>
            </w:r>
          </w:p>
        </w:tc>
        <w:tc>
          <w:tcPr>
            <w:tcW w:w="2126" w:type="dxa"/>
            <w:tcMar>
              <w:left w:w="0" w:type="dxa"/>
              <w:right w:w="0" w:type="dxa"/>
            </w:tcMar>
            <w:hideMark/>
          </w:tcPr>
          <w:p w14:paraId="5475FCE0"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Transportation conditions</w:t>
            </w:r>
          </w:p>
        </w:tc>
        <w:tc>
          <w:tcPr>
            <w:tcW w:w="1962" w:type="dxa"/>
            <w:tcMar>
              <w:left w:w="0" w:type="dxa"/>
              <w:right w:w="0" w:type="dxa"/>
            </w:tcMar>
            <w:hideMark/>
          </w:tcPr>
          <w:p w14:paraId="4D72F6C4"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Track &amp; Trace</w:t>
            </w:r>
          </w:p>
        </w:tc>
        <w:tc>
          <w:tcPr>
            <w:tcW w:w="1859" w:type="dxa"/>
            <w:tcMar>
              <w:left w:w="0" w:type="dxa"/>
              <w:right w:w="0" w:type="dxa"/>
            </w:tcMar>
            <w:hideMark/>
          </w:tcPr>
          <w:p w14:paraId="4E718B6D"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Aggregators</w:t>
            </w:r>
          </w:p>
        </w:tc>
      </w:tr>
      <w:tr w:rsidR="008E2C26" w:rsidRPr="00A550E1" w14:paraId="3D6E422B" w14:textId="77777777" w:rsidTr="008E2C26">
        <w:trPr>
          <w:trHeight w:val="797"/>
        </w:trPr>
        <w:tc>
          <w:tcPr>
            <w:tcW w:w="1276" w:type="dxa"/>
            <w:tcBorders>
              <w:top w:val="nil"/>
              <w:bottom w:val="nil"/>
              <w:right w:val="single" w:sz="4" w:space="0" w:color="auto"/>
            </w:tcBorders>
            <w:hideMark/>
          </w:tcPr>
          <w:p w14:paraId="6D1A2675" w14:textId="77777777" w:rsidR="008E2C26" w:rsidRPr="00A550E1" w:rsidRDefault="008E2C26" w:rsidP="008E2C26">
            <w:pPr>
              <w:pStyle w:val="NormalWeb"/>
              <w:rPr>
                <w:rFonts w:eastAsia="Times New Roman"/>
                <w:lang w:val="en-US" w:eastAsia="nl-NL"/>
              </w:rPr>
            </w:pPr>
            <w:r w:rsidRPr="00A550E1">
              <w:rPr>
                <w:rFonts w:eastAsia="Times New Roman"/>
                <w:lang w:val="en-US" w:eastAsia="nl-NL"/>
              </w:rPr>
              <w:t>Retail</w:t>
            </w:r>
          </w:p>
        </w:tc>
        <w:tc>
          <w:tcPr>
            <w:tcW w:w="1843" w:type="dxa"/>
            <w:tcBorders>
              <w:left w:val="single" w:sz="4" w:space="0" w:color="auto"/>
            </w:tcBorders>
            <w:tcMar>
              <w:left w:w="0" w:type="dxa"/>
              <w:right w:w="0" w:type="dxa"/>
            </w:tcMar>
            <w:hideMark/>
          </w:tcPr>
          <w:p w14:paraId="1F42378A"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 xml:space="preserve">Automated </w:t>
            </w:r>
            <w:r w:rsidRPr="00A550E1">
              <w:rPr>
                <w:sz w:val="22"/>
                <w:szCs w:val="22"/>
                <w:lang w:val="en-US"/>
              </w:rPr>
              <w:t>fulfillment</w:t>
            </w:r>
            <w:r w:rsidRPr="00A550E1">
              <w:rPr>
                <w:rFonts w:eastAsia="Times New Roman"/>
                <w:sz w:val="22"/>
                <w:szCs w:val="22"/>
                <w:lang w:val="en-US" w:eastAsia="nl-NL"/>
              </w:rPr>
              <w:t xml:space="preserve"> </w:t>
            </w:r>
            <w:r w:rsidRPr="00A550E1">
              <w:rPr>
                <w:sz w:val="22"/>
                <w:szCs w:val="22"/>
                <w:lang w:val="en-US"/>
              </w:rPr>
              <w:t>centers</w:t>
            </w:r>
          </w:p>
        </w:tc>
        <w:tc>
          <w:tcPr>
            <w:tcW w:w="2126" w:type="dxa"/>
            <w:tcMar>
              <w:left w:w="0" w:type="dxa"/>
              <w:right w:w="0" w:type="dxa"/>
            </w:tcMar>
            <w:hideMark/>
          </w:tcPr>
          <w:p w14:paraId="4A59654D"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 xml:space="preserve">Proximity </w:t>
            </w:r>
            <w:r w:rsidRPr="00A550E1">
              <w:rPr>
                <w:sz w:val="22"/>
                <w:szCs w:val="22"/>
                <w:lang w:val="en-US"/>
              </w:rPr>
              <w:t>campaigns</w:t>
            </w:r>
          </w:p>
        </w:tc>
        <w:tc>
          <w:tcPr>
            <w:tcW w:w="1962" w:type="dxa"/>
            <w:tcMar>
              <w:left w:w="0" w:type="dxa"/>
              <w:right w:w="0" w:type="dxa"/>
            </w:tcMar>
            <w:hideMark/>
          </w:tcPr>
          <w:p w14:paraId="62900F57"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Demand anticipation</w:t>
            </w:r>
          </w:p>
        </w:tc>
        <w:tc>
          <w:tcPr>
            <w:tcW w:w="1859" w:type="dxa"/>
            <w:tcMar>
              <w:left w:w="0" w:type="dxa"/>
              <w:right w:w="0" w:type="dxa"/>
            </w:tcMar>
            <w:hideMark/>
          </w:tcPr>
          <w:p w14:paraId="4BA96AAD"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E-Commerce</w:t>
            </w:r>
          </w:p>
        </w:tc>
      </w:tr>
      <w:tr w:rsidR="008E2C26" w:rsidRPr="00A550E1" w14:paraId="52343553" w14:textId="77777777" w:rsidTr="008E2C26">
        <w:trPr>
          <w:trHeight w:val="426"/>
        </w:trPr>
        <w:tc>
          <w:tcPr>
            <w:tcW w:w="1276" w:type="dxa"/>
            <w:tcBorders>
              <w:top w:val="nil"/>
              <w:bottom w:val="nil"/>
              <w:right w:val="single" w:sz="4" w:space="0" w:color="auto"/>
            </w:tcBorders>
            <w:hideMark/>
          </w:tcPr>
          <w:p w14:paraId="49ED44DC" w14:textId="77777777" w:rsidR="008E2C26" w:rsidRPr="00A550E1" w:rsidRDefault="008E2C26" w:rsidP="008E2C26">
            <w:pPr>
              <w:pStyle w:val="NormalWeb"/>
              <w:rPr>
                <w:rFonts w:eastAsia="Times New Roman"/>
                <w:lang w:val="en-US" w:eastAsia="nl-NL"/>
              </w:rPr>
            </w:pPr>
            <w:r w:rsidRPr="00A550E1">
              <w:rPr>
                <w:rFonts w:eastAsia="Times New Roman"/>
                <w:lang w:val="en-US" w:eastAsia="nl-NL"/>
              </w:rPr>
              <w:t>Consumers</w:t>
            </w:r>
          </w:p>
        </w:tc>
        <w:tc>
          <w:tcPr>
            <w:tcW w:w="1843" w:type="dxa"/>
            <w:tcBorders>
              <w:left w:val="single" w:sz="4" w:space="0" w:color="auto"/>
            </w:tcBorders>
            <w:tcMar>
              <w:left w:w="0" w:type="dxa"/>
              <w:right w:w="0" w:type="dxa"/>
            </w:tcMar>
            <w:hideMark/>
          </w:tcPr>
          <w:p w14:paraId="2E779293"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3D Printers in the kitchen</w:t>
            </w:r>
          </w:p>
        </w:tc>
        <w:tc>
          <w:tcPr>
            <w:tcW w:w="2126" w:type="dxa"/>
            <w:tcMar>
              <w:left w:w="0" w:type="dxa"/>
              <w:right w:w="0" w:type="dxa"/>
            </w:tcMar>
            <w:hideMark/>
          </w:tcPr>
          <w:p w14:paraId="3C3EE566"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Reviews and Likes</w:t>
            </w:r>
          </w:p>
          <w:p w14:paraId="53F34548" w14:textId="77777777" w:rsidR="008E2C26" w:rsidRPr="00A550E1" w:rsidRDefault="008E2C26" w:rsidP="008E2C26">
            <w:pPr>
              <w:rPr>
                <w:lang w:val="en-US"/>
              </w:rPr>
            </w:pPr>
          </w:p>
        </w:tc>
        <w:tc>
          <w:tcPr>
            <w:tcW w:w="1962" w:type="dxa"/>
            <w:tcMar>
              <w:left w:w="0" w:type="dxa"/>
              <w:right w:w="0" w:type="dxa"/>
            </w:tcMar>
            <w:hideMark/>
          </w:tcPr>
          <w:p w14:paraId="36B5C315"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Resource efficient consumption</w:t>
            </w:r>
          </w:p>
          <w:p w14:paraId="7609D3FE" w14:textId="77777777" w:rsidR="008E2C26" w:rsidRPr="00A550E1" w:rsidRDefault="008E2C26" w:rsidP="008E2C26">
            <w:pPr>
              <w:rPr>
                <w:lang w:val="en-US"/>
              </w:rPr>
            </w:pPr>
          </w:p>
        </w:tc>
        <w:tc>
          <w:tcPr>
            <w:tcW w:w="1859" w:type="dxa"/>
            <w:tcMar>
              <w:left w:w="0" w:type="dxa"/>
              <w:right w:w="0" w:type="dxa"/>
            </w:tcMar>
            <w:hideMark/>
          </w:tcPr>
          <w:p w14:paraId="7216AF88" w14:textId="77777777" w:rsidR="008E2C26" w:rsidRPr="00A550E1" w:rsidRDefault="008E2C26" w:rsidP="008E2C26">
            <w:pPr>
              <w:pStyle w:val="NormalWeb"/>
              <w:rPr>
                <w:rFonts w:eastAsia="Times New Roman"/>
                <w:sz w:val="22"/>
                <w:szCs w:val="22"/>
                <w:lang w:val="en-US" w:eastAsia="nl-NL"/>
              </w:rPr>
            </w:pPr>
            <w:r w:rsidRPr="00A550E1">
              <w:rPr>
                <w:rFonts w:eastAsia="Times New Roman"/>
                <w:sz w:val="22"/>
                <w:szCs w:val="22"/>
                <w:lang w:val="en-US" w:eastAsia="nl-NL"/>
              </w:rPr>
              <w:t>Sharing initiatives</w:t>
            </w:r>
          </w:p>
          <w:p w14:paraId="6B58E2C6" w14:textId="77777777" w:rsidR="008E2C26" w:rsidRPr="00A550E1" w:rsidRDefault="008E2C26" w:rsidP="008E2C26">
            <w:pPr>
              <w:rPr>
                <w:lang w:val="en-US"/>
              </w:rPr>
            </w:pPr>
          </w:p>
          <w:p w14:paraId="4C00B533" w14:textId="77777777" w:rsidR="008E2C26" w:rsidRPr="00A550E1" w:rsidRDefault="008E2C26" w:rsidP="008E2C26">
            <w:pPr>
              <w:keepNext/>
              <w:rPr>
                <w:lang w:val="en-US"/>
              </w:rPr>
            </w:pPr>
          </w:p>
        </w:tc>
      </w:tr>
    </w:tbl>
    <w:p w14:paraId="17491C73" w14:textId="77777777" w:rsidR="008E2C26" w:rsidRPr="00A550E1" w:rsidRDefault="008E2C26" w:rsidP="00943048">
      <w:pPr>
        <w:spacing w:line="360" w:lineRule="auto"/>
        <w:rPr>
          <w:b/>
          <w:bCs/>
          <w:lang w:val="en-US"/>
        </w:rPr>
      </w:pPr>
    </w:p>
    <w:p w14:paraId="042E1038" w14:textId="267CA816" w:rsidR="008E2C26" w:rsidRPr="00A550E1" w:rsidRDefault="000611AF" w:rsidP="00943048">
      <w:pPr>
        <w:spacing w:line="360" w:lineRule="auto"/>
        <w:rPr>
          <w:lang w:val="en-US"/>
        </w:rPr>
      </w:pPr>
      <w:r w:rsidRPr="00A550E1">
        <w:rPr>
          <w:b/>
          <w:bCs/>
          <w:lang w:val="en-US"/>
        </w:rPr>
        <w:t>Transparency</w:t>
      </w:r>
      <w:r w:rsidR="00943048" w:rsidRPr="00A550E1">
        <w:rPr>
          <w:b/>
          <w:bCs/>
          <w:lang w:val="en-US"/>
        </w:rPr>
        <w:t xml:space="preserve">: </w:t>
      </w:r>
      <w:r w:rsidR="00EF133C" w:rsidRPr="00A550E1">
        <w:rPr>
          <w:lang w:val="en-US"/>
        </w:rPr>
        <w:t xml:space="preserve">By collecting and sharing data along every step of the value chain, </w:t>
      </w:r>
    </w:p>
    <w:p w14:paraId="6D00FE0B" w14:textId="15449C54" w:rsidR="00EF133C" w:rsidRPr="00A550E1" w:rsidRDefault="00EF133C" w:rsidP="00943048">
      <w:pPr>
        <w:spacing w:line="360" w:lineRule="auto"/>
        <w:rPr>
          <w:b/>
          <w:bCs/>
          <w:lang w:val="en-US"/>
        </w:rPr>
      </w:pPr>
      <w:r w:rsidRPr="00A550E1">
        <w:rPr>
          <w:lang w:val="en-US"/>
        </w:rPr>
        <w:t xml:space="preserve">transaction trust is </w:t>
      </w:r>
      <w:r w:rsidR="00943048" w:rsidRPr="00A550E1">
        <w:rPr>
          <w:lang w:val="en-US"/>
        </w:rPr>
        <w:t>increased,</w:t>
      </w:r>
      <w:r w:rsidRPr="00A550E1">
        <w:rPr>
          <w:lang w:val="en-US"/>
        </w:rPr>
        <w:t xml:space="preserve"> and transaction costs reduced. “Digital twins” are one example of how additional information improves transparency in the process and therefore the backtracking of problems. </w:t>
      </w:r>
      <w:r w:rsidR="00943048" w:rsidRPr="00A550E1">
        <w:rPr>
          <w:lang w:val="en-US"/>
        </w:rPr>
        <w:t xml:space="preserve">All this information provides the demanded information to consumers, who have additional dimensions to base their purchasing behavior on, possibly contributing to resource efficient consumption. </w:t>
      </w:r>
    </w:p>
    <w:p w14:paraId="2F0D172D" w14:textId="742E27D2" w:rsidR="00943048" w:rsidRPr="00A550E1" w:rsidRDefault="000611AF" w:rsidP="002B1651">
      <w:pPr>
        <w:spacing w:line="360" w:lineRule="auto"/>
        <w:rPr>
          <w:b/>
          <w:bCs/>
          <w:lang w:val="en-US"/>
        </w:rPr>
      </w:pPr>
      <w:r w:rsidRPr="00A550E1">
        <w:rPr>
          <w:b/>
          <w:bCs/>
          <w:lang w:val="en-US"/>
        </w:rPr>
        <w:t>Scalability</w:t>
      </w:r>
      <w:r w:rsidR="00943048" w:rsidRPr="00A550E1">
        <w:rPr>
          <w:b/>
          <w:bCs/>
          <w:lang w:val="en-US"/>
        </w:rPr>
        <w:t xml:space="preserve">: </w:t>
      </w:r>
      <w:r w:rsidR="00943048" w:rsidRPr="00A550E1">
        <w:rPr>
          <w:lang w:val="en-US"/>
        </w:rPr>
        <w:t xml:space="preserve">Agriculture has always been a business of scale due to machinery and vehicles. Automation adds scalability to the business in other stages of the value chain as well. Fulfillment centers have the opportunity to become cost efficient in the long term, and additive manufacturing allows the scaling of mass customization. </w:t>
      </w:r>
    </w:p>
    <w:p w14:paraId="23F09CD0" w14:textId="65D09788" w:rsidR="00943048" w:rsidRPr="00A550E1" w:rsidRDefault="000611AF" w:rsidP="002B1651">
      <w:pPr>
        <w:spacing w:line="360" w:lineRule="auto"/>
        <w:rPr>
          <w:b/>
          <w:bCs/>
          <w:lang w:val="en-US"/>
        </w:rPr>
      </w:pPr>
      <w:r w:rsidRPr="00A550E1">
        <w:rPr>
          <w:b/>
          <w:bCs/>
          <w:lang w:val="en-US"/>
        </w:rPr>
        <w:t>Access</w:t>
      </w:r>
      <w:r w:rsidR="00943048" w:rsidRPr="00A550E1">
        <w:rPr>
          <w:b/>
          <w:bCs/>
          <w:lang w:val="en-US"/>
        </w:rPr>
        <w:t xml:space="preserve">: </w:t>
      </w:r>
      <w:r w:rsidR="00943048" w:rsidRPr="00A550E1">
        <w:rPr>
          <w:lang w:val="en-US"/>
        </w:rPr>
        <w:t xml:space="preserve">Digital connection allows stakeholders to unlimited access. Smallholders have the opportunity to disintermediate middleman and find partners. Furthermore, marketing agencies gain access to the ideas and opinions of complete crowds. </w:t>
      </w:r>
    </w:p>
    <w:p w14:paraId="3321C7EA" w14:textId="4EDAC8AF" w:rsidR="00943048" w:rsidRPr="00A550E1" w:rsidRDefault="000611AF" w:rsidP="002B1651">
      <w:pPr>
        <w:spacing w:line="360" w:lineRule="auto"/>
        <w:rPr>
          <w:b/>
          <w:bCs/>
          <w:lang w:val="en-US"/>
        </w:rPr>
      </w:pPr>
      <w:r w:rsidRPr="00A550E1">
        <w:rPr>
          <w:b/>
          <w:bCs/>
          <w:lang w:val="en-US"/>
        </w:rPr>
        <w:t>Optimization</w:t>
      </w:r>
      <w:r w:rsidR="00943048" w:rsidRPr="00A550E1">
        <w:rPr>
          <w:b/>
          <w:bCs/>
          <w:lang w:val="en-US"/>
        </w:rPr>
        <w:t xml:space="preserve">: </w:t>
      </w:r>
      <w:r w:rsidR="00943048" w:rsidRPr="00A550E1">
        <w:rPr>
          <w:lang w:val="en-US"/>
        </w:rPr>
        <w:t xml:space="preserve">Monitoring, and adjusting real time allows for yields to be optimized, but also for quality to be maintained as fluctuations of transport conditions are monitored and waste minimized accordingly. </w:t>
      </w:r>
    </w:p>
    <w:p w14:paraId="302B472C" w14:textId="2B4299AB" w:rsidR="0091145D" w:rsidRPr="0048196F" w:rsidRDefault="0091145D" w:rsidP="0091145D">
      <w:pPr>
        <w:rPr>
          <w:lang w:val="en-US"/>
        </w:rPr>
      </w:pPr>
    </w:p>
    <w:p w14:paraId="47EF505A" w14:textId="492F578B" w:rsidR="00D25C11" w:rsidRPr="0048196F" w:rsidRDefault="00D25C11" w:rsidP="00D25C11">
      <w:pPr>
        <w:pStyle w:val="Caption"/>
        <w:keepNext/>
        <w:rPr>
          <w:lang w:val="en-US"/>
        </w:rPr>
      </w:pPr>
      <w:bookmarkStart w:id="84" w:name="_Toc14347497"/>
      <w:r w:rsidRPr="0048196F">
        <w:rPr>
          <w:lang w:val="en-US"/>
        </w:rPr>
        <w:t xml:space="preserve">Table </w:t>
      </w:r>
      <w:r w:rsidR="000D0D31">
        <w:rPr>
          <w:lang w:val="en-US"/>
        </w:rPr>
        <w:fldChar w:fldCharType="begin"/>
      </w:r>
      <w:r w:rsidR="000D0D31">
        <w:rPr>
          <w:lang w:val="en-US"/>
        </w:rPr>
        <w:instrText xml:space="preserve"> SEQ Table \* ARABIC </w:instrText>
      </w:r>
      <w:r w:rsidR="000D0D31">
        <w:rPr>
          <w:lang w:val="en-US"/>
        </w:rPr>
        <w:fldChar w:fldCharType="separate"/>
      </w:r>
      <w:r w:rsidR="009F0429">
        <w:rPr>
          <w:noProof/>
          <w:lang w:val="en-US"/>
        </w:rPr>
        <w:t>8</w:t>
      </w:r>
      <w:r w:rsidR="000D0D31">
        <w:rPr>
          <w:lang w:val="en-US"/>
        </w:rPr>
        <w:fldChar w:fldCharType="end"/>
      </w:r>
      <w:r w:rsidRPr="0048196F">
        <w:rPr>
          <w:lang w:val="en-US"/>
        </w:rPr>
        <w:t>: Applications of digital technologies, listed by activity of the value chain</w:t>
      </w:r>
      <w:bookmarkEnd w:id="84"/>
    </w:p>
    <w:tbl>
      <w:tblPr>
        <w:tblStyle w:val="TableGrid"/>
        <w:tblW w:w="8482" w:type="dxa"/>
        <w:tblBorders>
          <w:left w:val="none" w:sz="0" w:space="0" w:color="auto"/>
          <w:right w:val="none" w:sz="0" w:space="0" w:color="auto"/>
          <w:insideV w:val="none" w:sz="0" w:space="0" w:color="auto"/>
        </w:tblBorders>
        <w:tblCellMar>
          <w:top w:w="85" w:type="dxa"/>
          <w:bottom w:w="85" w:type="dxa"/>
        </w:tblCellMar>
        <w:tblLook w:val="04A0" w:firstRow="1" w:lastRow="0" w:firstColumn="1" w:lastColumn="0" w:noHBand="0" w:noVBand="1"/>
      </w:tblPr>
      <w:tblGrid>
        <w:gridCol w:w="1696"/>
        <w:gridCol w:w="6786"/>
      </w:tblGrid>
      <w:tr w:rsidR="00EE6D9C" w:rsidRPr="00A550E1" w14:paraId="71339A19" w14:textId="77777777" w:rsidTr="00EE6D9C">
        <w:trPr>
          <w:trHeight w:val="413"/>
          <w:tblHeader/>
        </w:trPr>
        <w:tc>
          <w:tcPr>
            <w:tcW w:w="1696" w:type="dxa"/>
            <w:tcBorders>
              <w:bottom w:val="double" w:sz="4" w:space="0" w:color="auto"/>
            </w:tcBorders>
          </w:tcPr>
          <w:p w14:paraId="7E83C8D3" w14:textId="490ABC71" w:rsidR="00EE6D9C" w:rsidRPr="00A550E1" w:rsidRDefault="00EE6D9C" w:rsidP="0091145D">
            <w:pPr>
              <w:rPr>
                <w:b/>
                <w:bCs/>
                <w:lang w:val="en-US"/>
              </w:rPr>
            </w:pPr>
            <w:r w:rsidRPr="00A550E1">
              <w:rPr>
                <w:b/>
                <w:bCs/>
                <w:lang w:val="en-US"/>
              </w:rPr>
              <w:t>Stage</w:t>
            </w:r>
          </w:p>
        </w:tc>
        <w:tc>
          <w:tcPr>
            <w:tcW w:w="6786" w:type="dxa"/>
            <w:tcBorders>
              <w:bottom w:val="double" w:sz="4" w:space="0" w:color="auto"/>
            </w:tcBorders>
          </w:tcPr>
          <w:p w14:paraId="20BC41C3" w14:textId="3BEDD4F4" w:rsidR="00EE6D9C" w:rsidRPr="00A550E1" w:rsidRDefault="00EE6D9C">
            <w:pPr>
              <w:rPr>
                <w:b/>
                <w:bCs/>
                <w:lang w:val="en-US"/>
              </w:rPr>
            </w:pPr>
            <w:r w:rsidRPr="00A550E1">
              <w:rPr>
                <w:b/>
                <w:bCs/>
                <w:lang w:val="en-US"/>
              </w:rPr>
              <w:t>Description</w:t>
            </w:r>
          </w:p>
        </w:tc>
      </w:tr>
      <w:tr w:rsidR="0091145D" w:rsidRPr="00A550E1" w14:paraId="243DB54F" w14:textId="77777777" w:rsidTr="0091145D">
        <w:trPr>
          <w:trHeight w:val="413"/>
        </w:trPr>
        <w:tc>
          <w:tcPr>
            <w:tcW w:w="1696" w:type="dxa"/>
            <w:tcBorders>
              <w:bottom w:val="double" w:sz="4" w:space="0" w:color="auto"/>
            </w:tcBorders>
          </w:tcPr>
          <w:p w14:paraId="697A0776" w14:textId="41E1494A" w:rsidR="0091145D" w:rsidRPr="00A550E1" w:rsidRDefault="0091145D" w:rsidP="0091145D">
            <w:pPr>
              <w:rPr>
                <w:b/>
                <w:bCs/>
                <w:lang w:val="en-US"/>
              </w:rPr>
            </w:pPr>
            <w:r w:rsidRPr="00A550E1">
              <w:rPr>
                <w:b/>
                <w:bCs/>
                <w:lang w:val="en-US"/>
              </w:rPr>
              <w:t>Inputs</w:t>
            </w:r>
          </w:p>
        </w:tc>
        <w:tc>
          <w:tcPr>
            <w:tcW w:w="6786" w:type="dxa"/>
            <w:tcBorders>
              <w:bottom w:val="double" w:sz="4" w:space="0" w:color="auto"/>
            </w:tcBorders>
          </w:tcPr>
          <w:p w14:paraId="097D3A99" w14:textId="77777777" w:rsidR="0091145D" w:rsidRPr="00A550E1" w:rsidRDefault="0091145D">
            <w:pPr>
              <w:rPr>
                <w:lang w:val="en-US"/>
              </w:rPr>
            </w:pPr>
          </w:p>
        </w:tc>
      </w:tr>
      <w:tr w:rsidR="0091145D" w:rsidRPr="00A550E1" w14:paraId="298C92B7" w14:textId="77777777" w:rsidTr="0091145D">
        <w:trPr>
          <w:trHeight w:val="641"/>
        </w:trPr>
        <w:tc>
          <w:tcPr>
            <w:tcW w:w="1696" w:type="dxa"/>
            <w:tcBorders>
              <w:top w:val="double" w:sz="4" w:space="0" w:color="auto"/>
              <w:bottom w:val="single" w:sz="4" w:space="0" w:color="auto"/>
            </w:tcBorders>
          </w:tcPr>
          <w:p w14:paraId="4A5E1B9C" w14:textId="77777777" w:rsidR="0091145D" w:rsidRPr="00A550E1" w:rsidRDefault="0091145D" w:rsidP="0091145D">
            <w:pPr>
              <w:rPr>
                <w:lang w:val="en-US"/>
              </w:rPr>
            </w:pPr>
            <w:r w:rsidRPr="00A550E1">
              <w:rPr>
                <w:lang w:val="en-US"/>
              </w:rPr>
              <w:t>Agri-Platforms</w:t>
            </w:r>
          </w:p>
          <w:p w14:paraId="1D456CA4" w14:textId="77777777" w:rsidR="0091145D" w:rsidRPr="00A550E1" w:rsidRDefault="0091145D">
            <w:pPr>
              <w:rPr>
                <w:b/>
                <w:bCs/>
                <w:lang w:val="en-US"/>
              </w:rPr>
            </w:pPr>
          </w:p>
        </w:tc>
        <w:tc>
          <w:tcPr>
            <w:tcW w:w="6786" w:type="dxa"/>
            <w:tcBorders>
              <w:top w:val="double" w:sz="4" w:space="0" w:color="auto"/>
              <w:bottom w:val="single" w:sz="4" w:space="0" w:color="auto"/>
            </w:tcBorders>
          </w:tcPr>
          <w:p w14:paraId="26947D03" w14:textId="0705F17B" w:rsidR="0091145D" w:rsidRPr="00A550E1" w:rsidRDefault="0091145D">
            <w:pPr>
              <w:rPr>
                <w:lang w:val="en-US"/>
              </w:rPr>
            </w:pPr>
            <w:r w:rsidRPr="00A550E1">
              <w:rPr>
                <w:lang w:val="en-US"/>
              </w:rPr>
              <w:t>As more producers come in reach of online marketplaces, farmers have the opportunity to save significantly on inputs.</w:t>
            </w:r>
          </w:p>
        </w:tc>
      </w:tr>
      <w:tr w:rsidR="0091145D" w:rsidRPr="00A550E1" w14:paraId="606A6625" w14:textId="77777777" w:rsidTr="0091145D">
        <w:trPr>
          <w:trHeight w:val="349"/>
        </w:trPr>
        <w:tc>
          <w:tcPr>
            <w:tcW w:w="1696" w:type="dxa"/>
            <w:tcBorders>
              <w:bottom w:val="double" w:sz="4" w:space="0" w:color="auto"/>
            </w:tcBorders>
          </w:tcPr>
          <w:p w14:paraId="128D1028" w14:textId="17D7CE95" w:rsidR="0091145D" w:rsidRPr="00A550E1" w:rsidRDefault="0091145D" w:rsidP="0091145D">
            <w:pPr>
              <w:rPr>
                <w:b/>
                <w:bCs/>
                <w:lang w:val="en-US"/>
              </w:rPr>
            </w:pPr>
            <w:r w:rsidRPr="00A550E1">
              <w:rPr>
                <w:b/>
                <w:bCs/>
                <w:lang w:val="en-US"/>
              </w:rPr>
              <w:t>Production</w:t>
            </w:r>
          </w:p>
        </w:tc>
        <w:tc>
          <w:tcPr>
            <w:tcW w:w="6786" w:type="dxa"/>
            <w:tcBorders>
              <w:bottom w:val="double" w:sz="4" w:space="0" w:color="auto"/>
            </w:tcBorders>
          </w:tcPr>
          <w:p w14:paraId="48B199E9" w14:textId="77777777" w:rsidR="0091145D" w:rsidRPr="00A550E1" w:rsidRDefault="0091145D" w:rsidP="0091145D">
            <w:pPr>
              <w:rPr>
                <w:color w:val="000000"/>
                <w:lang w:val="en-US"/>
              </w:rPr>
            </w:pPr>
          </w:p>
        </w:tc>
      </w:tr>
      <w:tr w:rsidR="0091145D" w:rsidRPr="00A550E1" w14:paraId="5A3C4F2F" w14:textId="77777777" w:rsidTr="0091145D">
        <w:trPr>
          <w:trHeight w:val="641"/>
        </w:trPr>
        <w:tc>
          <w:tcPr>
            <w:tcW w:w="1696" w:type="dxa"/>
            <w:tcBorders>
              <w:top w:val="double" w:sz="4" w:space="0" w:color="auto"/>
            </w:tcBorders>
          </w:tcPr>
          <w:p w14:paraId="30A6649E" w14:textId="77777777" w:rsidR="0091145D" w:rsidRPr="00A550E1" w:rsidRDefault="0091145D" w:rsidP="0091145D">
            <w:pPr>
              <w:rPr>
                <w:lang w:val="en-US"/>
              </w:rPr>
            </w:pPr>
            <w:r w:rsidRPr="00A550E1">
              <w:rPr>
                <w:lang w:val="en-US"/>
              </w:rPr>
              <w:t>Automated harvesting</w:t>
            </w:r>
          </w:p>
          <w:p w14:paraId="52166E19" w14:textId="77777777" w:rsidR="0091145D" w:rsidRPr="00A550E1" w:rsidRDefault="0091145D">
            <w:pPr>
              <w:rPr>
                <w:lang w:val="en-US"/>
              </w:rPr>
            </w:pPr>
          </w:p>
        </w:tc>
        <w:tc>
          <w:tcPr>
            <w:tcW w:w="6786" w:type="dxa"/>
            <w:tcBorders>
              <w:top w:val="double" w:sz="4" w:space="0" w:color="auto"/>
            </w:tcBorders>
            <w:hideMark/>
          </w:tcPr>
          <w:p w14:paraId="29B24679" w14:textId="5A84130B" w:rsidR="0091145D" w:rsidRPr="00A550E1" w:rsidRDefault="0091145D" w:rsidP="0091145D">
            <w:pPr>
              <w:rPr>
                <w:color w:val="000000"/>
                <w:lang w:val="en-US"/>
              </w:rPr>
            </w:pPr>
            <w:r w:rsidRPr="00A550E1">
              <w:rPr>
                <w:color w:val="000000"/>
                <w:lang w:val="en-US"/>
              </w:rPr>
              <w:t>Milk Robots are widely adopted already, soon unmanned tractors will find its way to farms and eventually fruit and vegetable harvesting robots. Satellites and drones provide remote sensing for mapping and monitoring</w:t>
            </w:r>
            <w:r w:rsidR="002D31DE" w:rsidRPr="00A550E1">
              <w:rPr>
                <w:color w:val="000000"/>
                <w:lang w:val="en-US"/>
              </w:rPr>
              <w:t xml:space="preserve"> and c</w:t>
            </w:r>
            <w:r w:rsidRPr="00A550E1">
              <w:rPr>
                <w:color w:val="000000"/>
                <w:lang w:val="en-US"/>
              </w:rPr>
              <w:t xml:space="preserve">rop spraying drones function autonomous at a fraction of the cost compared to crop dusters. </w:t>
            </w:r>
          </w:p>
          <w:p w14:paraId="014BF680" w14:textId="21EA98D1" w:rsidR="0091145D" w:rsidRPr="00A550E1" w:rsidRDefault="0091145D">
            <w:pPr>
              <w:rPr>
                <w:lang w:val="en-US"/>
              </w:rPr>
            </w:pPr>
          </w:p>
        </w:tc>
      </w:tr>
      <w:tr w:rsidR="0091145D" w:rsidRPr="00A550E1" w14:paraId="39BA5D6F" w14:textId="77777777" w:rsidTr="0091145D">
        <w:trPr>
          <w:trHeight w:val="641"/>
        </w:trPr>
        <w:tc>
          <w:tcPr>
            <w:tcW w:w="1696" w:type="dxa"/>
          </w:tcPr>
          <w:p w14:paraId="38227CBB" w14:textId="77777777" w:rsidR="0091145D" w:rsidRPr="00A550E1" w:rsidRDefault="0091145D" w:rsidP="0091145D">
            <w:pPr>
              <w:rPr>
                <w:lang w:val="en-US"/>
              </w:rPr>
            </w:pPr>
            <w:r w:rsidRPr="00A550E1">
              <w:rPr>
                <w:lang w:val="en-US"/>
              </w:rPr>
              <w:t>Internet of (Living) Things</w:t>
            </w:r>
          </w:p>
          <w:p w14:paraId="7F6559B1" w14:textId="77777777" w:rsidR="0091145D" w:rsidRPr="00A550E1" w:rsidRDefault="0091145D">
            <w:pPr>
              <w:rPr>
                <w:lang w:val="en-US"/>
              </w:rPr>
            </w:pPr>
          </w:p>
        </w:tc>
        <w:tc>
          <w:tcPr>
            <w:tcW w:w="6786" w:type="dxa"/>
            <w:hideMark/>
          </w:tcPr>
          <w:p w14:paraId="24624B59" w14:textId="7D50D654" w:rsidR="0091145D" w:rsidRPr="00A550E1" w:rsidRDefault="0091145D" w:rsidP="0091145D">
            <w:pPr>
              <w:rPr>
                <w:color w:val="000000"/>
                <w:lang w:val="en-US"/>
              </w:rPr>
            </w:pPr>
            <w:r w:rsidRPr="00A550E1">
              <w:rPr>
                <w:color w:val="000000"/>
                <w:lang w:val="en-US"/>
              </w:rPr>
              <w:t xml:space="preserve">The IoT will collect data on humidity, temperature, soil moisture and more. Cattle can be tracked by wearable sensors forming the Internet of Living Things (IoLT), or by 3D cameras measuring individual animal behavior and weight. </w:t>
            </w:r>
          </w:p>
          <w:p w14:paraId="56B6B13D" w14:textId="2833EB08" w:rsidR="0091145D" w:rsidRPr="00A550E1" w:rsidRDefault="0091145D">
            <w:pPr>
              <w:rPr>
                <w:lang w:val="en-US"/>
              </w:rPr>
            </w:pPr>
          </w:p>
        </w:tc>
      </w:tr>
      <w:tr w:rsidR="0091145D" w:rsidRPr="00A550E1" w14:paraId="1F2230FB" w14:textId="77777777" w:rsidTr="0091145D">
        <w:trPr>
          <w:trHeight w:val="432"/>
        </w:trPr>
        <w:tc>
          <w:tcPr>
            <w:tcW w:w="1696" w:type="dxa"/>
          </w:tcPr>
          <w:p w14:paraId="151C0F5B" w14:textId="77777777" w:rsidR="0091145D" w:rsidRPr="00A550E1" w:rsidRDefault="0091145D" w:rsidP="0091145D">
            <w:pPr>
              <w:rPr>
                <w:lang w:val="en-US"/>
              </w:rPr>
            </w:pPr>
            <w:r w:rsidRPr="00A550E1">
              <w:rPr>
                <w:lang w:val="en-US"/>
              </w:rPr>
              <w:t>Smart Farming</w:t>
            </w:r>
          </w:p>
          <w:p w14:paraId="14D04AD3" w14:textId="77777777" w:rsidR="0091145D" w:rsidRPr="00A550E1" w:rsidRDefault="0091145D">
            <w:pPr>
              <w:rPr>
                <w:lang w:val="en-US"/>
              </w:rPr>
            </w:pPr>
          </w:p>
        </w:tc>
        <w:tc>
          <w:tcPr>
            <w:tcW w:w="6786" w:type="dxa"/>
            <w:hideMark/>
          </w:tcPr>
          <w:p w14:paraId="25D6DD9E" w14:textId="505F368E" w:rsidR="0091145D" w:rsidRPr="00A550E1" w:rsidRDefault="0091145D" w:rsidP="0091145D">
            <w:pPr>
              <w:rPr>
                <w:color w:val="000000"/>
                <w:lang w:val="en-US"/>
              </w:rPr>
            </w:pPr>
            <w:r w:rsidRPr="00A550E1">
              <w:rPr>
                <w:color w:val="000000"/>
                <w:lang w:val="en-US"/>
              </w:rPr>
              <w:t xml:space="preserve">All this data about biomass development and fertilization status of crops allow for sophisticated farm management concerning inputs such as water, fertilizer and medications and general information management. Furthermore, site-specific weather forecasts, yield projections and probability maps for diseases will be part of </w:t>
            </w:r>
            <w:r w:rsidR="002D31DE" w:rsidRPr="00A550E1">
              <w:rPr>
                <w:color w:val="000000"/>
                <w:lang w:val="en-US"/>
              </w:rPr>
              <w:t xml:space="preserve">daily </w:t>
            </w:r>
            <w:r w:rsidRPr="00A550E1">
              <w:rPr>
                <w:color w:val="000000"/>
                <w:lang w:val="en-US"/>
              </w:rPr>
              <w:t xml:space="preserve">risk management.  </w:t>
            </w:r>
          </w:p>
          <w:p w14:paraId="3D9F30DC" w14:textId="4C6BFB27" w:rsidR="0091145D" w:rsidRPr="00A550E1" w:rsidRDefault="0091145D">
            <w:pPr>
              <w:rPr>
                <w:lang w:val="en-US"/>
              </w:rPr>
            </w:pPr>
          </w:p>
        </w:tc>
      </w:tr>
      <w:tr w:rsidR="0091145D" w:rsidRPr="00A550E1" w14:paraId="74277E78" w14:textId="77777777" w:rsidTr="0091145D">
        <w:trPr>
          <w:trHeight w:val="418"/>
        </w:trPr>
        <w:tc>
          <w:tcPr>
            <w:tcW w:w="1696" w:type="dxa"/>
            <w:tcBorders>
              <w:bottom w:val="single" w:sz="4" w:space="0" w:color="auto"/>
            </w:tcBorders>
          </w:tcPr>
          <w:p w14:paraId="5AD01911" w14:textId="77777777" w:rsidR="0091145D" w:rsidRPr="00A550E1" w:rsidRDefault="0091145D" w:rsidP="0091145D">
            <w:pPr>
              <w:rPr>
                <w:lang w:val="en-US"/>
              </w:rPr>
            </w:pPr>
            <w:r w:rsidRPr="00A550E1">
              <w:rPr>
                <w:lang w:val="en-US"/>
              </w:rPr>
              <w:t>Cooperative platforms</w:t>
            </w:r>
          </w:p>
          <w:p w14:paraId="614D35A0" w14:textId="77777777" w:rsidR="0091145D" w:rsidRPr="00A550E1" w:rsidRDefault="0091145D">
            <w:pPr>
              <w:rPr>
                <w:lang w:val="en-US"/>
              </w:rPr>
            </w:pPr>
          </w:p>
        </w:tc>
        <w:tc>
          <w:tcPr>
            <w:tcW w:w="6786" w:type="dxa"/>
            <w:tcBorders>
              <w:bottom w:val="single" w:sz="4" w:space="0" w:color="auto"/>
            </w:tcBorders>
            <w:hideMark/>
          </w:tcPr>
          <w:p w14:paraId="7DBDC47A" w14:textId="3696FC28" w:rsidR="0091145D" w:rsidRPr="00A550E1" w:rsidRDefault="0048196F">
            <w:pPr>
              <w:rPr>
                <w:lang w:val="en-US"/>
              </w:rPr>
            </w:pPr>
            <w:r w:rsidRPr="00A550E1">
              <w:rPr>
                <w:color w:val="000000"/>
                <w:lang w:val="en-US"/>
              </w:rPr>
              <w:t>Cooperative working methods are increasingly digital. Using platforms to share data , to meet digitally and to co-create through ideation platforms.</w:t>
            </w:r>
          </w:p>
        </w:tc>
      </w:tr>
      <w:tr w:rsidR="0091145D" w:rsidRPr="00A550E1" w14:paraId="4A203EC4" w14:textId="77777777" w:rsidTr="0091145D">
        <w:trPr>
          <w:trHeight w:val="417"/>
        </w:trPr>
        <w:tc>
          <w:tcPr>
            <w:tcW w:w="1696" w:type="dxa"/>
            <w:tcBorders>
              <w:bottom w:val="double" w:sz="4" w:space="0" w:color="auto"/>
            </w:tcBorders>
          </w:tcPr>
          <w:p w14:paraId="2B347438" w14:textId="3A430004" w:rsidR="0091145D" w:rsidRPr="00A550E1" w:rsidRDefault="0091145D" w:rsidP="0091145D">
            <w:pPr>
              <w:rPr>
                <w:b/>
                <w:bCs/>
                <w:lang w:val="en-US"/>
              </w:rPr>
            </w:pPr>
            <w:r w:rsidRPr="00A550E1">
              <w:rPr>
                <w:b/>
                <w:bCs/>
                <w:lang w:val="en-US"/>
              </w:rPr>
              <w:t>Processors</w:t>
            </w:r>
          </w:p>
        </w:tc>
        <w:tc>
          <w:tcPr>
            <w:tcW w:w="6786" w:type="dxa"/>
            <w:tcBorders>
              <w:bottom w:val="double" w:sz="4" w:space="0" w:color="auto"/>
            </w:tcBorders>
          </w:tcPr>
          <w:p w14:paraId="165B5D8A" w14:textId="77777777" w:rsidR="0091145D" w:rsidRPr="00A550E1" w:rsidRDefault="0091145D" w:rsidP="0091145D">
            <w:pPr>
              <w:rPr>
                <w:color w:val="000000"/>
                <w:lang w:val="en-US"/>
              </w:rPr>
            </w:pPr>
          </w:p>
        </w:tc>
      </w:tr>
      <w:tr w:rsidR="0091145D" w:rsidRPr="00A550E1" w14:paraId="68E7E12F" w14:textId="77777777" w:rsidTr="0091145D">
        <w:trPr>
          <w:trHeight w:val="641"/>
        </w:trPr>
        <w:tc>
          <w:tcPr>
            <w:tcW w:w="1696" w:type="dxa"/>
            <w:tcBorders>
              <w:top w:val="double" w:sz="4" w:space="0" w:color="auto"/>
            </w:tcBorders>
          </w:tcPr>
          <w:p w14:paraId="4F519DBF" w14:textId="77777777" w:rsidR="0091145D" w:rsidRPr="00A550E1" w:rsidRDefault="0091145D" w:rsidP="0091145D">
            <w:pPr>
              <w:rPr>
                <w:lang w:val="en-US"/>
              </w:rPr>
            </w:pPr>
            <w:r w:rsidRPr="00A550E1">
              <w:rPr>
                <w:lang w:val="en-US"/>
              </w:rPr>
              <w:t>Additive manufacturing</w:t>
            </w:r>
          </w:p>
          <w:p w14:paraId="63083258" w14:textId="77777777" w:rsidR="0091145D" w:rsidRPr="00A550E1" w:rsidRDefault="0091145D">
            <w:pPr>
              <w:rPr>
                <w:lang w:val="en-US"/>
              </w:rPr>
            </w:pPr>
          </w:p>
        </w:tc>
        <w:tc>
          <w:tcPr>
            <w:tcW w:w="6786" w:type="dxa"/>
            <w:tcBorders>
              <w:top w:val="double" w:sz="4" w:space="0" w:color="auto"/>
            </w:tcBorders>
            <w:hideMark/>
          </w:tcPr>
          <w:p w14:paraId="0AA1F8B3" w14:textId="56680430" w:rsidR="0091145D" w:rsidRPr="00A550E1" w:rsidRDefault="0091145D" w:rsidP="0091145D">
            <w:pPr>
              <w:rPr>
                <w:color w:val="000000"/>
                <w:lang w:val="en-US"/>
              </w:rPr>
            </w:pPr>
            <w:r w:rsidRPr="00A550E1">
              <w:rPr>
                <w:color w:val="000000"/>
                <w:lang w:val="en-US"/>
              </w:rPr>
              <w:t>3D printing has been limited to inorganic ingredients.  But development continues, the first pizzas are being printed at raw status and beverages are mixed on demand. Th</w:t>
            </w:r>
            <w:r w:rsidR="00715EE0" w:rsidRPr="00A550E1">
              <w:rPr>
                <w:color w:val="000000"/>
                <w:lang w:val="en-US"/>
              </w:rPr>
              <w:t xml:space="preserve">is development creates </w:t>
            </w:r>
            <w:r w:rsidRPr="00A550E1">
              <w:rPr>
                <w:color w:val="000000"/>
                <w:lang w:val="en-US"/>
              </w:rPr>
              <w:t xml:space="preserve">opportunities for mass </w:t>
            </w:r>
            <w:r w:rsidR="00715EE0" w:rsidRPr="00A550E1">
              <w:rPr>
                <w:color w:val="000000"/>
                <w:lang w:val="en-US"/>
              </w:rPr>
              <w:t>customization</w:t>
            </w:r>
            <w:r w:rsidRPr="00A550E1">
              <w:rPr>
                <w:color w:val="000000"/>
                <w:lang w:val="en-US"/>
              </w:rPr>
              <w:t xml:space="preserve">.  </w:t>
            </w:r>
          </w:p>
          <w:p w14:paraId="2A2BAF11" w14:textId="010BC3FE" w:rsidR="0091145D" w:rsidRPr="00A550E1" w:rsidRDefault="0091145D">
            <w:pPr>
              <w:rPr>
                <w:lang w:val="en-US"/>
              </w:rPr>
            </w:pPr>
          </w:p>
        </w:tc>
      </w:tr>
      <w:tr w:rsidR="0091145D" w:rsidRPr="00A550E1" w14:paraId="59537BC8" w14:textId="77777777" w:rsidTr="0091145D">
        <w:trPr>
          <w:trHeight w:val="628"/>
        </w:trPr>
        <w:tc>
          <w:tcPr>
            <w:tcW w:w="1696" w:type="dxa"/>
          </w:tcPr>
          <w:p w14:paraId="4C19BCBE" w14:textId="77777777" w:rsidR="0091145D" w:rsidRPr="00A550E1" w:rsidRDefault="0091145D" w:rsidP="0091145D">
            <w:pPr>
              <w:rPr>
                <w:lang w:val="en-US"/>
              </w:rPr>
            </w:pPr>
            <w:r w:rsidRPr="00A550E1">
              <w:rPr>
                <w:lang w:val="en-US"/>
              </w:rPr>
              <w:t>Optimization</w:t>
            </w:r>
          </w:p>
          <w:p w14:paraId="707539A8" w14:textId="77777777" w:rsidR="0091145D" w:rsidRPr="00A550E1" w:rsidRDefault="0091145D">
            <w:pPr>
              <w:rPr>
                <w:lang w:val="en-US"/>
              </w:rPr>
            </w:pPr>
          </w:p>
        </w:tc>
        <w:tc>
          <w:tcPr>
            <w:tcW w:w="6786" w:type="dxa"/>
            <w:hideMark/>
          </w:tcPr>
          <w:p w14:paraId="469A6983" w14:textId="35F52B79" w:rsidR="0091145D" w:rsidRPr="00A550E1" w:rsidRDefault="0091145D" w:rsidP="0091145D">
            <w:pPr>
              <w:rPr>
                <w:color w:val="000000"/>
                <w:lang w:val="en-US"/>
              </w:rPr>
            </w:pPr>
            <w:r w:rsidRPr="00A550E1">
              <w:rPr>
                <w:color w:val="000000"/>
                <w:lang w:val="en-US"/>
              </w:rPr>
              <w:t>An IoT network throughout processing and manufacturing environments optimizes maintenance</w:t>
            </w:r>
            <w:r w:rsidR="00715EE0" w:rsidRPr="00A550E1">
              <w:rPr>
                <w:color w:val="000000"/>
                <w:lang w:val="en-US"/>
              </w:rPr>
              <w:t xml:space="preserve"> and</w:t>
            </w:r>
            <w:r w:rsidRPr="00A550E1">
              <w:rPr>
                <w:color w:val="000000"/>
                <w:lang w:val="en-US"/>
              </w:rPr>
              <w:t xml:space="preserve"> quality </w:t>
            </w:r>
            <w:r w:rsidR="00715EE0" w:rsidRPr="00A550E1">
              <w:rPr>
                <w:color w:val="000000"/>
                <w:lang w:val="en-US"/>
              </w:rPr>
              <w:t xml:space="preserve">while </w:t>
            </w:r>
            <w:r w:rsidRPr="00A550E1">
              <w:rPr>
                <w:color w:val="000000"/>
                <w:lang w:val="en-US"/>
              </w:rPr>
              <w:t>minimiz</w:t>
            </w:r>
            <w:r w:rsidR="00715EE0" w:rsidRPr="00A550E1">
              <w:rPr>
                <w:color w:val="000000"/>
                <w:lang w:val="en-US"/>
              </w:rPr>
              <w:t>ing</w:t>
            </w:r>
            <w:r w:rsidRPr="00A550E1">
              <w:rPr>
                <w:color w:val="000000"/>
                <w:lang w:val="en-US"/>
              </w:rPr>
              <w:t xml:space="preserve"> waste. </w:t>
            </w:r>
          </w:p>
          <w:p w14:paraId="22B6C941" w14:textId="0D54E00B" w:rsidR="0091145D" w:rsidRPr="00A550E1" w:rsidRDefault="0091145D">
            <w:pPr>
              <w:rPr>
                <w:lang w:val="en-US"/>
              </w:rPr>
            </w:pPr>
          </w:p>
        </w:tc>
      </w:tr>
      <w:tr w:rsidR="0091145D" w:rsidRPr="00A550E1" w14:paraId="619BAF9F" w14:textId="77777777" w:rsidTr="0091145D">
        <w:trPr>
          <w:trHeight w:val="418"/>
        </w:trPr>
        <w:tc>
          <w:tcPr>
            <w:tcW w:w="1696" w:type="dxa"/>
          </w:tcPr>
          <w:p w14:paraId="1F4C16BC" w14:textId="77777777" w:rsidR="0091145D" w:rsidRPr="00A550E1" w:rsidRDefault="0091145D" w:rsidP="0091145D">
            <w:pPr>
              <w:rPr>
                <w:lang w:val="en-US"/>
              </w:rPr>
            </w:pPr>
            <w:r w:rsidRPr="00A550E1">
              <w:rPr>
                <w:lang w:val="en-US"/>
              </w:rPr>
              <w:t>Digital Twins</w:t>
            </w:r>
          </w:p>
          <w:p w14:paraId="003CAF7F" w14:textId="77777777" w:rsidR="0091145D" w:rsidRPr="00A550E1" w:rsidRDefault="0091145D">
            <w:pPr>
              <w:rPr>
                <w:lang w:val="en-US"/>
              </w:rPr>
            </w:pPr>
          </w:p>
        </w:tc>
        <w:tc>
          <w:tcPr>
            <w:tcW w:w="6786" w:type="dxa"/>
            <w:hideMark/>
          </w:tcPr>
          <w:p w14:paraId="68391331" w14:textId="5A712933" w:rsidR="0091145D" w:rsidRPr="00A550E1" w:rsidRDefault="0091145D" w:rsidP="0091145D">
            <w:pPr>
              <w:rPr>
                <w:color w:val="000000"/>
                <w:lang w:val="en-US"/>
              </w:rPr>
            </w:pPr>
            <w:r w:rsidRPr="00A550E1">
              <w:rPr>
                <w:color w:val="000000"/>
                <w:lang w:val="en-US"/>
              </w:rPr>
              <w:t xml:space="preserve">A digital model of the production facility or product is called a "digital twin". This </w:t>
            </w:r>
            <w:r w:rsidR="00715EE0" w:rsidRPr="00A550E1">
              <w:rPr>
                <w:color w:val="000000"/>
                <w:lang w:val="en-US"/>
              </w:rPr>
              <w:t>virtualization</w:t>
            </w:r>
            <w:r w:rsidRPr="00A550E1">
              <w:rPr>
                <w:color w:val="000000"/>
                <w:lang w:val="en-US"/>
              </w:rPr>
              <w:t xml:space="preserve"> speeds up root cause investigations, optimizes processes and more. </w:t>
            </w:r>
          </w:p>
          <w:p w14:paraId="72C09832" w14:textId="512576F0" w:rsidR="0091145D" w:rsidRPr="00A550E1" w:rsidRDefault="0091145D">
            <w:pPr>
              <w:rPr>
                <w:lang w:val="en-US"/>
              </w:rPr>
            </w:pPr>
          </w:p>
        </w:tc>
      </w:tr>
      <w:tr w:rsidR="0091145D" w:rsidRPr="00A550E1" w14:paraId="5B47FD03" w14:textId="77777777" w:rsidTr="0091145D">
        <w:trPr>
          <w:trHeight w:val="418"/>
        </w:trPr>
        <w:tc>
          <w:tcPr>
            <w:tcW w:w="1696" w:type="dxa"/>
            <w:tcBorders>
              <w:bottom w:val="double" w:sz="4" w:space="0" w:color="auto"/>
            </w:tcBorders>
          </w:tcPr>
          <w:p w14:paraId="08526F0F" w14:textId="7F4B2E1A" w:rsidR="0091145D" w:rsidRPr="00A550E1" w:rsidRDefault="0091145D" w:rsidP="0091145D">
            <w:pPr>
              <w:rPr>
                <w:b/>
                <w:bCs/>
                <w:lang w:val="en-US"/>
              </w:rPr>
            </w:pPr>
            <w:r w:rsidRPr="00A550E1">
              <w:rPr>
                <w:b/>
                <w:bCs/>
                <w:lang w:val="en-US"/>
              </w:rPr>
              <w:t>Packaging</w:t>
            </w:r>
          </w:p>
        </w:tc>
        <w:tc>
          <w:tcPr>
            <w:tcW w:w="6786" w:type="dxa"/>
            <w:tcBorders>
              <w:bottom w:val="double" w:sz="4" w:space="0" w:color="auto"/>
            </w:tcBorders>
          </w:tcPr>
          <w:p w14:paraId="5D7B3909" w14:textId="77777777" w:rsidR="0091145D" w:rsidRPr="00A550E1" w:rsidRDefault="0091145D" w:rsidP="0091145D">
            <w:pPr>
              <w:rPr>
                <w:color w:val="000000"/>
                <w:lang w:val="en-US"/>
              </w:rPr>
            </w:pPr>
          </w:p>
        </w:tc>
      </w:tr>
      <w:tr w:rsidR="0091145D" w:rsidRPr="00A550E1" w14:paraId="70549C6E" w14:textId="77777777" w:rsidTr="0091145D">
        <w:trPr>
          <w:trHeight w:val="418"/>
        </w:trPr>
        <w:tc>
          <w:tcPr>
            <w:tcW w:w="1696" w:type="dxa"/>
            <w:tcBorders>
              <w:top w:val="double" w:sz="4" w:space="0" w:color="auto"/>
            </w:tcBorders>
          </w:tcPr>
          <w:p w14:paraId="54D75AFF" w14:textId="77777777" w:rsidR="0091145D" w:rsidRPr="00A550E1" w:rsidRDefault="0091145D" w:rsidP="0091145D">
            <w:pPr>
              <w:rPr>
                <w:lang w:val="en-US"/>
              </w:rPr>
            </w:pPr>
            <w:r w:rsidRPr="00A550E1">
              <w:rPr>
                <w:lang w:val="en-US"/>
              </w:rPr>
              <w:t>Smart Packaging</w:t>
            </w:r>
          </w:p>
          <w:p w14:paraId="60DF2F64" w14:textId="77777777" w:rsidR="0091145D" w:rsidRPr="00A550E1" w:rsidRDefault="0091145D">
            <w:pPr>
              <w:rPr>
                <w:lang w:val="en-US"/>
              </w:rPr>
            </w:pPr>
          </w:p>
        </w:tc>
        <w:tc>
          <w:tcPr>
            <w:tcW w:w="6786" w:type="dxa"/>
            <w:tcBorders>
              <w:top w:val="double" w:sz="4" w:space="0" w:color="auto"/>
            </w:tcBorders>
            <w:hideMark/>
          </w:tcPr>
          <w:p w14:paraId="2E5FE48E" w14:textId="66518247" w:rsidR="0091145D" w:rsidRPr="00A550E1" w:rsidRDefault="0091145D" w:rsidP="0091145D">
            <w:pPr>
              <w:rPr>
                <w:color w:val="000000"/>
                <w:lang w:val="en-US"/>
              </w:rPr>
            </w:pPr>
            <w:r w:rsidRPr="00A550E1">
              <w:rPr>
                <w:color w:val="000000"/>
                <w:lang w:val="en-US"/>
              </w:rPr>
              <w:t xml:space="preserve">Active packaging changes its condition to extend shelf life or improve the condition of the food. Intelligent packaging communicates based on its ability to detect, sense and record changes such as temperature or ph. </w:t>
            </w:r>
          </w:p>
          <w:p w14:paraId="619D7313" w14:textId="1903386E" w:rsidR="0091145D" w:rsidRPr="00A550E1" w:rsidRDefault="0091145D">
            <w:pPr>
              <w:rPr>
                <w:lang w:val="en-US"/>
              </w:rPr>
            </w:pPr>
          </w:p>
        </w:tc>
      </w:tr>
      <w:tr w:rsidR="0091145D" w:rsidRPr="00A550E1" w14:paraId="6224EC81" w14:textId="77777777" w:rsidTr="0091145D">
        <w:trPr>
          <w:trHeight w:val="628"/>
        </w:trPr>
        <w:tc>
          <w:tcPr>
            <w:tcW w:w="1696" w:type="dxa"/>
            <w:tcBorders>
              <w:bottom w:val="single" w:sz="4" w:space="0" w:color="auto"/>
            </w:tcBorders>
          </w:tcPr>
          <w:p w14:paraId="005814F4" w14:textId="022E2473" w:rsidR="0091145D" w:rsidRPr="00A550E1" w:rsidRDefault="0091145D" w:rsidP="0091145D">
            <w:pPr>
              <w:tabs>
                <w:tab w:val="left" w:pos="2204"/>
              </w:tabs>
              <w:rPr>
                <w:lang w:val="en-US"/>
              </w:rPr>
            </w:pPr>
            <w:r w:rsidRPr="00A550E1">
              <w:rPr>
                <w:lang w:val="en-US"/>
              </w:rPr>
              <w:t>Smart Labels</w:t>
            </w:r>
          </w:p>
        </w:tc>
        <w:tc>
          <w:tcPr>
            <w:tcW w:w="6786" w:type="dxa"/>
            <w:tcBorders>
              <w:bottom w:val="single" w:sz="4" w:space="0" w:color="auto"/>
            </w:tcBorders>
            <w:hideMark/>
          </w:tcPr>
          <w:p w14:paraId="3D193154" w14:textId="5DC98008" w:rsidR="0091145D" w:rsidRPr="00A550E1" w:rsidRDefault="0091145D" w:rsidP="0091145D">
            <w:pPr>
              <w:tabs>
                <w:tab w:val="left" w:pos="2204"/>
              </w:tabs>
              <w:rPr>
                <w:lang w:val="en-US"/>
              </w:rPr>
            </w:pPr>
            <w:r w:rsidRPr="00A550E1">
              <w:rPr>
                <w:color w:val="000000"/>
                <w:lang w:val="en-US"/>
              </w:rPr>
              <w:t xml:space="preserve">Smart labels such as QR codes on packaging can communicate information to the consumer </w:t>
            </w:r>
            <w:r w:rsidR="00715EE0" w:rsidRPr="00A550E1">
              <w:rPr>
                <w:color w:val="000000"/>
                <w:lang w:val="en-US"/>
              </w:rPr>
              <w:t xml:space="preserve">about the products life cycle such as temperature conditions or proving livestock to have been range free. </w:t>
            </w:r>
          </w:p>
          <w:p w14:paraId="790223D0" w14:textId="01CCB5F1" w:rsidR="0091145D" w:rsidRPr="00A550E1" w:rsidRDefault="0091145D" w:rsidP="0091145D">
            <w:pPr>
              <w:tabs>
                <w:tab w:val="left" w:pos="2204"/>
              </w:tabs>
              <w:rPr>
                <w:lang w:val="en-US"/>
              </w:rPr>
            </w:pPr>
          </w:p>
        </w:tc>
      </w:tr>
      <w:tr w:rsidR="0091145D" w:rsidRPr="00A550E1" w14:paraId="3E9192FF" w14:textId="77777777" w:rsidTr="0091145D">
        <w:trPr>
          <w:trHeight w:val="418"/>
        </w:trPr>
        <w:tc>
          <w:tcPr>
            <w:tcW w:w="1696" w:type="dxa"/>
            <w:tcBorders>
              <w:bottom w:val="double" w:sz="4" w:space="0" w:color="auto"/>
            </w:tcBorders>
          </w:tcPr>
          <w:p w14:paraId="270591C8" w14:textId="474185B6" w:rsidR="0091145D" w:rsidRPr="00A550E1" w:rsidRDefault="0091145D" w:rsidP="0091145D">
            <w:pPr>
              <w:rPr>
                <w:b/>
                <w:bCs/>
                <w:lang w:val="en-US"/>
              </w:rPr>
            </w:pPr>
            <w:r w:rsidRPr="00A550E1">
              <w:rPr>
                <w:b/>
                <w:bCs/>
                <w:lang w:val="en-US"/>
              </w:rPr>
              <w:t>Marketing</w:t>
            </w:r>
          </w:p>
        </w:tc>
        <w:tc>
          <w:tcPr>
            <w:tcW w:w="6786" w:type="dxa"/>
            <w:tcBorders>
              <w:bottom w:val="double" w:sz="4" w:space="0" w:color="auto"/>
            </w:tcBorders>
          </w:tcPr>
          <w:p w14:paraId="1BB6601A" w14:textId="77777777" w:rsidR="0091145D" w:rsidRPr="00A550E1" w:rsidRDefault="0091145D" w:rsidP="0091145D">
            <w:pPr>
              <w:rPr>
                <w:color w:val="000000"/>
                <w:lang w:val="en-US"/>
              </w:rPr>
            </w:pPr>
          </w:p>
        </w:tc>
      </w:tr>
      <w:tr w:rsidR="0091145D" w:rsidRPr="00A550E1" w14:paraId="2435F26C" w14:textId="77777777" w:rsidTr="0091145D">
        <w:trPr>
          <w:trHeight w:val="418"/>
        </w:trPr>
        <w:tc>
          <w:tcPr>
            <w:tcW w:w="1696" w:type="dxa"/>
            <w:tcBorders>
              <w:top w:val="double" w:sz="4" w:space="0" w:color="auto"/>
            </w:tcBorders>
          </w:tcPr>
          <w:p w14:paraId="4C261DB1" w14:textId="77777777" w:rsidR="0091145D" w:rsidRPr="00A550E1" w:rsidRDefault="0091145D" w:rsidP="0091145D">
            <w:pPr>
              <w:rPr>
                <w:lang w:val="en-US"/>
              </w:rPr>
            </w:pPr>
            <w:r w:rsidRPr="00A550E1">
              <w:rPr>
                <w:lang w:val="en-US"/>
              </w:rPr>
              <w:t>Crowdsourcing</w:t>
            </w:r>
          </w:p>
          <w:p w14:paraId="05F4A1D0" w14:textId="77777777" w:rsidR="0091145D" w:rsidRPr="00A550E1" w:rsidRDefault="0091145D">
            <w:pPr>
              <w:rPr>
                <w:lang w:val="en-US"/>
              </w:rPr>
            </w:pPr>
          </w:p>
        </w:tc>
        <w:tc>
          <w:tcPr>
            <w:tcW w:w="6786" w:type="dxa"/>
            <w:tcBorders>
              <w:top w:val="double" w:sz="4" w:space="0" w:color="auto"/>
            </w:tcBorders>
            <w:hideMark/>
          </w:tcPr>
          <w:p w14:paraId="3E4042B4" w14:textId="16419118" w:rsidR="0091145D" w:rsidRPr="00A550E1" w:rsidRDefault="0091145D" w:rsidP="0091145D">
            <w:pPr>
              <w:rPr>
                <w:color w:val="000000"/>
                <w:lang w:val="en-US"/>
              </w:rPr>
            </w:pPr>
            <w:r w:rsidRPr="00A550E1">
              <w:rPr>
                <w:color w:val="000000"/>
                <w:lang w:val="en-US"/>
              </w:rPr>
              <w:t>Companies increasingly involve its employees and customers to come up with new services ideas and content. Tapping into knowledge and creativity of crow</w:t>
            </w:r>
            <w:r w:rsidR="00715EE0" w:rsidRPr="00A550E1">
              <w:rPr>
                <w:color w:val="000000"/>
                <w:lang w:val="en-US"/>
              </w:rPr>
              <w:t>d</w:t>
            </w:r>
            <w:r w:rsidRPr="00A550E1">
              <w:rPr>
                <w:color w:val="000000"/>
                <w:lang w:val="en-US"/>
              </w:rPr>
              <w:t xml:space="preserve">s leads to engagement and innovation.  </w:t>
            </w:r>
          </w:p>
          <w:p w14:paraId="3D91FA23" w14:textId="2ABF6BCF" w:rsidR="0091145D" w:rsidRPr="00A550E1" w:rsidRDefault="0091145D">
            <w:pPr>
              <w:rPr>
                <w:lang w:val="en-US"/>
              </w:rPr>
            </w:pPr>
          </w:p>
        </w:tc>
      </w:tr>
      <w:tr w:rsidR="0091145D" w:rsidRPr="00A550E1" w14:paraId="1327FAE4" w14:textId="77777777" w:rsidTr="0091145D">
        <w:trPr>
          <w:trHeight w:val="418"/>
        </w:trPr>
        <w:tc>
          <w:tcPr>
            <w:tcW w:w="1696" w:type="dxa"/>
            <w:tcBorders>
              <w:bottom w:val="single" w:sz="4" w:space="0" w:color="auto"/>
            </w:tcBorders>
          </w:tcPr>
          <w:p w14:paraId="63F27959" w14:textId="77777777" w:rsidR="0091145D" w:rsidRPr="00A550E1" w:rsidRDefault="0091145D" w:rsidP="0091145D">
            <w:pPr>
              <w:rPr>
                <w:lang w:val="en-US"/>
              </w:rPr>
            </w:pPr>
            <w:r w:rsidRPr="00A550E1">
              <w:rPr>
                <w:lang w:val="en-US"/>
              </w:rPr>
              <w:t>Social media</w:t>
            </w:r>
          </w:p>
          <w:p w14:paraId="66A85F0A" w14:textId="77777777" w:rsidR="0091145D" w:rsidRPr="00A550E1" w:rsidRDefault="0091145D">
            <w:pPr>
              <w:rPr>
                <w:lang w:val="en-US"/>
              </w:rPr>
            </w:pPr>
          </w:p>
        </w:tc>
        <w:tc>
          <w:tcPr>
            <w:tcW w:w="6786" w:type="dxa"/>
            <w:tcBorders>
              <w:bottom w:val="single" w:sz="4" w:space="0" w:color="auto"/>
            </w:tcBorders>
            <w:hideMark/>
          </w:tcPr>
          <w:p w14:paraId="00140E1C" w14:textId="18F10A37" w:rsidR="0091145D" w:rsidRPr="00A550E1" w:rsidRDefault="00715EE0" w:rsidP="0091145D">
            <w:pPr>
              <w:rPr>
                <w:color w:val="000000"/>
                <w:lang w:val="en-US"/>
              </w:rPr>
            </w:pPr>
            <w:r w:rsidRPr="00A550E1">
              <w:rPr>
                <w:color w:val="000000"/>
                <w:lang w:val="en-US"/>
              </w:rPr>
              <w:t>Capturing data through s</w:t>
            </w:r>
            <w:r w:rsidR="0091145D" w:rsidRPr="00A550E1">
              <w:rPr>
                <w:color w:val="000000"/>
                <w:lang w:val="en-US"/>
              </w:rPr>
              <w:t>ocial media allows analysis of consumer confidence like never before as the data is collected from a far larger sample.</w:t>
            </w:r>
          </w:p>
          <w:p w14:paraId="44A1EDAE" w14:textId="203F9685" w:rsidR="0091145D" w:rsidRPr="00A550E1" w:rsidRDefault="0091145D">
            <w:pPr>
              <w:rPr>
                <w:lang w:val="en-US"/>
              </w:rPr>
            </w:pPr>
          </w:p>
        </w:tc>
      </w:tr>
      <w:tr w:rsidR="0091145D" w:rsidRPr="00A550E1" w14:paraId="7DC9B82E" w14:textId="77777777" w:rsidTr="0091145D">
        <w:trPr>
          <w:trHeight w:val="475"/>
        </w:trPr>
        <w:tc>
          <w:tcPr>
            <w:tcW w:w="1696" w:type="dxa"/>
            <w:tcBorders>
              <w:bottom w:val="double" w:sz="4" w:space="0" w:color="auto"/>
            </w:tcBorders>
          </w:tcPr>
          <w:p w14:paraId="4754979D" w14:textId="68509E39" w:rsidR="0091145D" w:rsidRPr="00A550E1" w:rsidRDefault="0091145D" w:rsidP="0091145D">
            <w:pPr>
              <w:rPr>
                <w:b/>
                <w:bCs/>
                <w:lang w:val="en-US"/>
              </w:rPr>
            </w:pPr>
            <w:r w:rsidRPr="00A550E1">
              <w:rPr>
                <w:b/>
                <w:bCs/>
                <w:lang w:val="en-US"/>
              </w:rPr>
              <w:t>Logistics</w:t>
            </w:r>
          </w:p>
        </w:tc>
        <w:tc>
          <w:tcPr>
            <w:tcW w:w="6786" w:type="dxa"/>
            <w:tcBorders>
              <w:bottom w:val="double" w:sz="4" w:space="0" w:color="auto"/>
            </w:tcBorders>
          </w:tcPr>
          <w:p w14:paraId="13494ADD" w14:textId="77777777" w:rsidR="0091145D" w:rsidRPr="00A550E1" w:rsidRDefault="0091145D" w:rsidP="0091145D">
            <w:pPr>
              <w:rPr>
                <w:color w:val="000000"/>
                <w:lang w:val="en-US"/>
              </w:rPr>
            </w:pPr>
          </w:p>
        </w:tc>
      </w:tr>
      <w:tr w:rsidR="0091145D" w:rsidRPr="00A550E1" w14:paraId="02704460" w14:textId="77777777" w:rsidTr="0091145D">
        <w:trPr>
          <w:trHeight w:val="475"/>
        </w:trPr>
        <w:tc>
          <w:tcPr>
            <w:tcW w:w="1696" w:type="dxa"/>
            <w:tcBorders>
              <w:top w:val="double" w:sz="4" w:space="0" w:color="auto"/>
            </w:tcBorders>
          </w:tcPr>
          <w:p w14:paraId="1CCE3F3E" w14:textId="710F10D8" w:rsidR="0091145D" w:rsidRPr="00A550E1" w:rsidRDefault="0091145D" w:rsidP="0091145D">
            <w:pPr>
              <w:rPr>
                <w:lang w:val="en-US"/>
              </w:rPr>
            </w:pPr>
            <w:r w:rsidRPr="00A550E1">
              <w:rPr>
                <w:lang w:val="en-US"/>
              </w:rPr>
              <w:t>Sidewalk Robots</w:t>
            </w:r>
          </w:p>
          <w:p w14:paraId="5EC6273E" w14:textId="77777777" w:rsidR="0091145D" w:rsidRPr="00A550E1" w:rsidRDefault="0091145D">
            <w:pPr>
              <w:rPr>
                <w:lang w:val="en-US"/>
              </w:rPr>
            </w:pPr>
          </w:p>
        </w:tc>
        <w:tc>
          <w:tcPr>
            <w:tcW w:w="6786" w:type="dxa"/>
            <w:tcBorders>
              <w:top w:val="double" w:sz="4" w:space="0" w:color="auto"/>
            </w:tcBorders>
            <w:hideMark/>
          </w:tcPr>
          <w:p w14:paraId="15DD1F56" w14:textId="7221A510" w:rsidR="0091145D" w:rsidRPr="00A550E1" w:rsidRDefault="0091145D" w:rsidP="0091145D">
            <w:pPr>
              <w:rPr>
                <w:color w:val="000000"/>
                <w:lang w:val="en-US"/>
              </w:rPr>
            </w:pPr>
            <w:r w:rsidRPr="00A550E1">
              <w:rPr>
                <w:color w:val="000000"/>
                <w:lang w:val="en-US"/>
              </w:rPr>
              <w:t>To deal with last mile logistics in urban environment</w:t>
            </w:r>
            <w:r w:rsidR="00715EE0" w:rsidRPr="00A550E1">
              <w:rPr>
                <w:color w:val="000000"/>
                <w:lang w:val="en-US"/>
              </w:rPr>
              <w:t>s</w:t>
            </w:r>
            <w:r w:rsidRPr="00A550E1">
              <w:rPr>
                <w:color w:val="000000"/>
                <w:lang w:val="en-US"/>
              </w:rPr>
              <w:t xml:space="preserve"> so called "Sidewalk delivery robots" are already employed to deliver in San Francisco. </w:t>
            </w:r>
          </w:p>
          <w:p w14:paraId="7FD0A5A9" w14:textId="4DAEB6D2" w:rsidR="0091145D" w:rsidRPr="00A550E1" w:rsidRDefault="0091145D">
            <w:pPr>
              <w:rPr>
                <w:lang w:val="en-US"/>
              </w:rPr>
            </w:pPr>
          </w:p>
        </w:tc>
      </w:tr>
      <w:tr w:rsidR="0091145D" w:rsidRPr="00A550E1" w14:paraId="577FE362" w14:textId="77777777" w:rsidTr="0091145D">
        <w:trPr>
          <w:trHeight w:val="475"/>
        </w:trPr>
        <w:tc>
          <w:tcPr>
            <w:tcW w:w="1696" w:type="dxa"/>
          </w:tcPr>
          <w:p w14:paraId="09BDAA60" w14:textId="77777777" w:rsidR="0091145D" w:rsidRPr="00A550E1" w:rsidRDefault="0091145D">
            <w:pPr>
              <w:rPr>
                <w:lang w:val="en-US"/>
              </w:rPr>
            </w:pPr>
          </w:p>
        </w:tc>
        <w:tc>
          <w:tcPr>
            <w:tcW w:w="6786" w:type="dxa"/>
          </w:tcPr>
          <w:p w14:paraId="382AA81B" w14:textId="72DC5534" w:rsidR="0091145D" w:rsidRPr="00A550E1" w:rsidRDefault="0091145D">
            <w:pPr>
              <w:rPr>
                <w:lang w:val="en-US"/>
              </w:rPr>
            </w:pPr>
          </w:p>
        </w:tc>
      </w:tr>
      <w:tr w:rsidR="0091145D" w:rsidRPr="00A550E1" w14:paraId="02F32056" w14:textId="77777777" w:rsidTr="0091145D">
        <w:trPr>
          <w:trHeight w:val="628"/>
        </w:trPr>
        <w:tc>
          <w:tcPr>
            <w:tcW w:w="1696" w:type="dxa"/>
          </w:tcPr>
          <w:p w14:paraId="1A6CC073" w14:textId="77777777" w:rsidR="0091145D" w:rsidRPr="00A550E1" w:rsidRDefault="0091145D" w:rsidP="0091145D">
            <w:pPr>
              <w:rPr>
                <w:lang w:val="en-US"/>
              </w:rPr>
            </w:pPr>
            <w:r w:rsidRPr="00A550E1">
              <w:rPr>
                <w:lang w:val="en-US"/>
              </w:rPr>
              <w:t>Transportation conditions</w:t>
            </w:r>
          </w:p>
          <w:p w14:paraId="7962E03B" w14:textId="77777777" w:rsidR="0091145D" w:rsidRPr="00A550E1" w:rsidRDefault="0091145D">
            <w:pPr>
              <w:rPr>
                <w:lang w:val="en-US"/>
              </w:rPr>
            </w:pPr>
          </w:p>
        </w:tc>
        <w:tc>
          <w:tcPr>
            <w:tcW w:w="6786" w:type="dxa"/>
            <w:hideMark/>
          </w:tcPr>
          <w:p w14:paraId="5E1DE676" w14:textId="6896605A" w:rsidR="0091145D" w:rsidRPr="00A550E1" w:rsidRDefault="0091145D" w:rsidP="0091145D">
            <w:pPr>
              <w:rPr>
                <w:color w:val="000000"/>
                <w:lang w:val="en-US"/>
              </w:rPr>
            </w:pPr>
            <w:r w:rsidRPr="00A550E1">
              <w:rPr>
                <w:color w:val="000000"/>
                <w:lang w:val="en-US"/>
              </w:rPr>
              <w:t>The IoT within logistics can measure the temperature conditions on a product level, instead of ambient conditions on a pallet level. In combination with being able to make adjustments real time, food waste is minimized and food quality improved.</w:t>
            </w:r>
          </w:p>
          <w:p w14:paraId="27FBD3A5" w14:textId="4C5AAB37" w:rsidR="0091145D" w:rsidRPr="00A550E1" w:rsidRDefault="0091145D">
            <w:pPr>
              <w:rPr>
                <w:lang w:val="en-US"/>
              </w:rPr>
            </w:pPr>
          </w:p>
        </w:tc>
      </w:tr>
      <w:tr w:rsidR="0091145D" w:rsidRPr="00A550E1" w14:paraId="70C5D0CC" w14:textId="77777777" w:rsidTr="0091145D">
        <w:trPr>
          <w:trHeight w:val="432"/>
        </w:trPr>
        <w:tc>
          <w:tcPr>
            <w:tcW w:w="1696" w:type="dxa"/>
          </w:tcPr>
          <w:p w14:paraId="309016E8" w14:textId="77777777" w:rsidR="0091145D" w:rsidRPr="00A550E1" w:rsidRDefault="0091145D" w:rsidP="0091145D">
            <w:pPr>
              <w:rPr>
                <w:lang w:val="en-US"/>
              </w:rPr>
            </w:pPr>
            <w:r w:rsidRPr="00A550E1">
              <w:rPr>
                <w:lang w:val="en-US"/>
              </w:rPr>
              <w:t>Track &amp; Trace</w:t>
            </w:r>
          </w:p>
          <w:p w14:paraId="1AF81CE2" w14:textId="77777777" w:rsidR="0091145D" w:rsidRPr="00A550E1" w:rsidRDefault="0091145D">
            <w:pPr>
              <w:rPr>
                <w:lang w:val="en-US"/>
              </w:rPr>
            </w:pPr>
          </w:p>
        </w:tc>
        <w:tc>
          <w:tcPr>
            <w:tcW w:w="6786" w:type="dxa"/>
            <w:hideMark/>
          </w:tcPr>
          <w:p w14:paraId="27CE4812" w14:textId="2BC69A26" w:rsidR="0091145D" w:rsidRPr="00A550E1" w:rsidRDefault="0091145D" w:rsidP="0091145D">
            <w:pPr>
              <w:rPr>
                <w:color w:val="000000"/>
                <w:lang w:val="en-US"/>
              </w:rPr>
            </w:pPr>
            <w:r w:rsidRPr="00A550E1">
              <w:rPr>
                <w:color w:val="000000"/>
                <w:lang w:val="en-US"/>
              </w:rPr>
              <w:t xml:space="preserve">Collected data allow for real-time tracking, real-time monitoring and predictions when products will leave warehouse. </w:t>
            </w:r>
          </w:p>
          <w:p w14:paraId="442C40FC" w14:textId="4C4296DF" w:rsidR="0091145D" w:rsidRPr="00A550E1" w:rsidRDefault="0091145D">
            <w:pPr>
              <w:rPr>
                <w:lang w:val="en-US"/>
              </w:rPr>
            </w:pPr>
          </w:p>
        </w:tc>
      </w:tr>
      <w:tr w:rsidR="0091145D" w:rsidRPr="00A550E1" w14:paraId="36BB7158" w14:textId="77777777" w:rsidTr="0091145D">
        <w:trPr>
          <w:trHeight w:val="418"/>
        </w:trPr>
        <w:tc>
          <w:tcPr>
            <w:tcW w:w="1696" w:type="dxa"/>
            <w:tcBorders>
              <w:bottom w:val="single" w:sz="4" w:space="0" w:color="auto"/>
            </w:tcBorders>
          </w:tcPr>
          <w:p w14:paraId="758501B6" w14:textId="77777777" w:rsidR="0091145D" w:rsidRPr="00A550E1" w:rsidRDefault="0091145D" w:rsidP="0091145D">
            <w:pPr>
              <w:rPr>
                <w:lang w:val="en-US"/>
              </w:rPr>
            </w:pPr>
            <w:r w:rsidRPr="00A550E1">
              <w:rPr>
                <w:lang w:val="en-US"/>
              </w:rPr>
              <w:t>Aggregators</w:t>
            </w:r>
          </w:p>
          <w:p w14:paraId="230D7CEE" w14:textId="77777777" w:rsidR="0091145D" w:rsidRPr="00A550E1" w:rsidRDefault="0091145D">
            <w:pPr>
              <w:rPr>
                <w:lang w:val="en-US"/>
              </w:rPr>
            </w:pPr>
          </w:p>
        </w:tc>
        <w:tc>
          <w:tcPr>
            <w:tcW w:w="6786" w:type="dxa"/>
            <w:tcBorders>
              <w:bottom w:val="single" w:sz="4" w:space="0" w:color="auto"/>
            </w:tcBorders>
            <w:hideMark/>
          </w:tcPr>
          <w:p w14:paraId="1AB412AE" w14:textId="6C94A408" w:rsidR="0091145D" w:rsidRPr="00A550E1" w:rsidRDefault="0091145D" w:rsidP="0091145D">
            <w:pPr>
              <w:rPr>
                <w:color w:val="000000"/>
                <w:lang w:val="en-US"/>
              </w:rPr>
            </w:pPr>
            <w:r w:rsidRPr="00A550E1">
              <w:rPr>
                <w:color w:val="000000"/>
                <w:lang w:val="en-US"/>
              </w:rPr>
              <w:t xml:space="preserve">The outsourcing of delivery to aggregator platforms has become very accessible by reduced capacity problems and minimized uncertainty. </w:t>
            </w:r>
          </w:p>
          <w:p w14:paraId="6FE81D5D" w14:textId="731B9244" w:rsidR="0091145D" w:rsidRPr="00A550E1" w:rsidRDefault="0091145D">
            <w:pPr>
              <w:rPr>
                <w:lang w:val="en-US"/>
              </w:rPr>
            </w:pPr>
          </w:p>
        </w:tc>
      </w:tr>
      <w:tr w:rsidR="0091145D" w:rsidRPr="00A550E1" w14:paraId="483CC057" w14:textId="77777777" w:rsidTr="0091145D">
        <w:trPr>
          <w:trHeight w:val="628"/>
        </w:trPr>
        <w:tc>
          <w:tcPr>
            <w:tcW w:w="1696" w:type="dxa"/>
            <w:tcBorders>
              <w:bottom w:val="double" w:sz="4" w:space="0" w:color="auto"/>
            </w:tcBorders>
          </w:tcPr>
          <w:p w14:paraId="4DF1C6F6" w14:textId="384A3D23" w:rsidR="0091145D" w:rsidRPr="00A550E1" w:rsidRDefault="0091145D" w:rsidP="0091145D">
            <w:pPr>
              <w:rPr>
                <w:b/>
                <w:bCs/>
                <w:lang w:val="en-US"/>
              </w:rPr>
            </w:pPr>
            <w:r w:rsidRPr="00A550E1">
              <w:rPr>
                <w:b/>
                <w:bCs/>
                <w:lang w:val="en-US"/>
              </w:rPr>
              <w:t>Retail</w:t>
            </w:r>
          </w:p>
        </w:tc>
        <w:tc>
          <w:tcPr>
            <w:tcW w:w="6786" w:type="dxa"/>
            <w:tcBorders>
              <w:bottom w:val="double" w:sz="4" w:space="0" w:color="auto"/>
            </w:tcBorders>
          </w:tcPr>
          <w:p w14:paraId="4F6A9E03" w14:textId="77777777" w:rsidR="0091145D" w:rsidRPr="00A550E1" w:rsidRDefault="0091145D" w:rsidP="0091145D">
            <w:pPr>
              <w:rPr>
                <w:color w:val="000000"/>
                <w:lang w:val="en-US"/>
              </w:rPr>
            </w:pPr>
          </w:p>
        </w:tc>
      </w:tr>
      <w:tr w:rsidR="0091145D" w:rsidRPr="00A550E1" w14:paraId="7D11038A" w14:textId="77777777" w:rsidTr="0091145D">
        <w:trPr>
          <w:trHeight w:val="628"/>
        </w:trPr>
        <w:tc>
          <w:tcPr>
            <w:tcW w:w="1696" w:type="dxa"/>
            <w:tcBorders>
              <w:top w:val="double" w:sz="4" w:space="0" w:color="auto"/>
            </w:tcBorders>
          </w:tcPr>
          <w:p w14:paraId="26B9F006" w14:textId="77777777" w:rsidR="0091145D" w:rsidRPr="00A550E1" w:rsidRDefault="0091145D" w:rsidP="0091145D">
            <w:pPr>
              <w:rPr>
                <w:lang w:val="en-US"/>
              </w:rPr>
            </w:pPr>
            <w:r w:rsidRPr="00A550E1">
              <w:rPr>
                <w:lang w:val="en-US"/>
              </w:rPr>
              <w:t>Automated fulfillment centers</w:t>
            </w:r>
          </w:p>
          <w:p w14:paraId="2A28718A" w14:textId="77777777" w:rsidR="0091145D" w:rsidRPr="00A550E1" w:rsidRDefault="0091145D">
            <w:pPr>
              <w:rPr>
                <w:lang w:val="en-US"/>
              </w:rPr>
            </w:pPr>
          </w:p>
        </w:tc>
        <w:tc>
          <w:tcPr>
            <w:tcW w:w="6786" w:type="dxa"/>
            <w:tcBorders>
              <w:top w:val="double" w:sz="4" w:space="0" w:color="auto"/>
            </w:tcBorders>
            <w:hideMark/>
          </w:tcPr>
          <w:p w14:paraId="59898041" w14:textId="0E00BCAE" w:rsidR="0091145D" w:rsidRPr="00A550E1" w:rsidRDefault="0091145D" w:rsidP="0091145D">
            <w:pPr>
              <w:rPr>
                <w:color w:val="000000"/>
                <w:lang w:val="en-US"/>
              </w:rPr>
            </w:pPr>
            <w:r w:rsidRPr="00A550E1">
              <w:rPr>
                <w:color w:val="000000"/>
                <w:lang w:val="en-US"/>
              </w:rPr>
              <w:t xml:space="preserve">E-grocery </w:t>
            </w:r>
            <w:r w:rsidR="002D31DE" w:rsidRPr="00A550E1">
              <w:rPr>
                <w:color w:val="000000"/>
                <w:lang w:val="en-US"/>
              </w:rPr>
              <w:t>has the potential to be</w:t>
            </w:r>
            <w:r w:rsidRPr="00A550E1">
              <w:rPr>
                <w:color w:val="000000"/>
                <w:lang w:val="en-US"/>
              </w:rPr>
              <w:t xml:space="preserve"> transformed by automating fulfillment centers that reduce prices and waiting times. </w:t>
            </w:r>
          </w:p>
          <w:p w14:paraId="4FF820D9" w14:textId="4B18845F" w:rsidR="0091145D" w:rsidRPr="00A550E1" w:rsidRDefault="0091145D">
            <w:pPr>
              <w:rPr>
                <w:lang w:val="en-US"/>
              </w:rPr>
            </w:pPr>
          </w:p>
        </w:tc>
      </w:tr>
      <w:tr w:rsidR="0091145D" w:rsidRPr="00A550E1" w14:paraId="726660E3" w14:textId="77777777" w:rsidTr="0091145D">
        <w:trPr>
          <w:trHeight w:val="418"/>
        </w:trPr>
        <w:tc>
          <w:tcPr>
            <w:tcW w:w="1696" w:type="dxa"/>
          </w:tcPr>
          <w:p w14:paraId="318169B2" w14:textId="66AB22B6" w:rsidR="0091145D" w:rsidRPr="00A550E1" w:rsidRDefault="0091145D" w:rsidP="0091145D">
            <w:pPr>
              <w:tabs>
                <w:tab w:val="left" w:pos="2793"/>
              </w:tabs>
              <w:rPr>
                <w:lang w:val="en-US"/>
              </w:rPr>
            </w:pPr>
            <w:r w:rsidRPr="00A550E1">
              <w:rPr>
                <w:lang w:val="en-US"/>
              </w:rPr>
              <w:t>Proximity campaigns</w:t>
            </w:r>
          </w:p>
        </w:tc>
        <w:tc>
          <w:tcPr>
            <w:tcW w:w="6786" w:type="dxa"/>
            <w:hideMark/>
          </w:tcPr>
          <w:p w14:paraId="33CA18C5" w14:textId="57926A31" w:rsidR="0091145D" w:rsidRPr="00A550E1" w:rsidRDefault="0091145D" w:rsidP="0091145D">
            <w:pPr>
              <w:tabs>
                <w:tab w:val="left" w:pos="2793"/>
              </w:tabs>
              <w:rPr>
                <w:lang w:val="en-US"/>
              </w:rPr>
            </w:pPr>
            <w:r w:rsidRPr="00A550E1">
              <w:rPr>
                <w:color w:val="000000"/>
                <w:lang w:val="en-US"/>
              </w:rPr>
              <w:t>Cellphones in combination with electronic beacons provide new information to retail stores. When a customer is close an order will be prepared and finished upon entering the store. These beacons spread throughout the store allow</w:t>
            </w:r>
            <w:r w:rsidR="002D31DE" w:rsidRPr="00A550E1">
              <w:rPr>
                <w:color w:val="000000"/>
                <w:lang w:val="en-US"/>
              </w:rPr>
              <w:t>ing</w:t>
            </w:r>
            <w:r w:rsidRPr="00A550E1">
              <w:rPr>
                <w:color w:val="000000"/>
                <w:lang w:val="en-US"/>
              </w:rPr>
              <w:t xml:space="preserve"> proximity marketing and customer behavior analysis. </w:t>
            </w:r>
          </w:p>
          <w:p w14:paraId="10C1B5C1" w14:textId="0DFAFE40" w:rsidR="0091145D" w:rsidRPr="00A550E1" w:rsidRDefault="0091145D" w:rsidP="0091145D">
            <w:pPr>
              <w:tabs>
                <w:tab w:val="left" w:pos="2793"/>
              </w:tabs>
              <w:rPr>
                <w:lang w:val="en-US"/>
              </w:rPr>
            </w:pPr>
          </w:p>
        </w:tc>
      </w:tr>
      <w:tr w:rsidR="0091145D" w:rsidRPr="00A550E1" w14:paraId="7A488624" w14:textId="77777777" w:rsidTr="0091145D">
        <w:trPr>
          <w:trHeight w:val="418"/>
        </w:trPr>
        <w:tc>
          <w:tcPr>
            <w:tcW w:w="1696" w:type="dxa"/>
          </w:tcPr>
          <w:p w14:paraId="13CE6494" w14:textId="10F4A48C" w:rsidR="0091145D" w:rsidRPr="00A550E1" w:rsidRDefault="0091145D" w:rsidP="0091145D">
            <w:pPr>
              <w:tabs>
                <w:tab w:val="left" w:pos="2618"/>
              </w:tabs>
              <w:rPr>
                <w:lang w:val="en-US"/>
              </w:rPr>
            </w:pPr>
            <w:r w:rsidRPr="00A550E1">
              <w:rPr>
                <w:lang w:val="en-US"/>
              </w:rPr>
              <w:t>Demand anticipation</w:t>
            </w:r>
          </w:p>
        </w:tc>
        <w:tc>
          <w:tcPr>
            <w:tcW w:w="6786" w:type="dxa"/>
            <w:hideMark/>
          </w:tcPr>
          <w:p w14:paraId="62706E41" w14:textId="2ABEE891" w:rsidR="0091145D" w:rsidRPr="00A550E1" w:rsidRDefault="0091145D" w:rsidP="0091145D">
            <w:pPr>
              <w:tabs>
                <w:tab w:val="left" w:pos="2618"/>
              </w:tabs>
              <w:rPr>
                <w:lang w:val="en-US"/>
              </w:rPr>
            </w:pPr>
            <w:r w:rsidRPr="00A550E1">
              <w:rPr>
                <w:color w:val="000000"/>
                <w:lang w:val="en-US"/>
              </w:rPr>
              <w:t xml:space="preserve">For retail companies with short life cycle products and perishables, forecast is crucial to deal with volatile demand patterns. Additional data and improved predictive models allow rapid and dynamic responses. </w:t>
            </w:r>
          </w:p>
          <w:p w14:paraId="5C9FD202" w14:textId="313CBA1B" w:rsidR="0091145D" w:rsidRPr="00A550E1" w:rsidRDefault="0091145D" w:rsidP="0091145D">
            <w:pPr>
              <w:tabs>
                <w:tab w:val="left" w:pos="2618"/>
              </w:tabs>
              <w:rPr>
                <w:lang w:val="en-US"/>
              </w:rPr>
            </w:pPr>
          </w:p>
        </w:tc>
      </w:tr>
      <w:tr w:rsidR="0091145D" w:rsidRPr="00A550E1" w14:paraId="34361C62" w14:textId="77777777" w:rsidTr="0091145D">
        <w:trPr>
          <w:trHeight w:val="418"/>
        </w:trPr>
        <w:tc>
          <w:tcPr>
            <w:tcW w:w="1696" w:type="dxa"/>
          </w:tcPr>
          <w:p w14:paraId="2BB52C75" w14:textId="0AADFA37" w:rsidR="0091145D" w:rsidRPr="00A550E1" w:rsidRDefault="0091145D" w:rsidP="0091145D">
            <w:pPr>
              <w:tabs>
                <w:tab w:val="left" w:pos="1964"/>
              </w:tabs>
              <w:rPr>
                <w:lang w:val="en-US"/>
              </w:rPr>
            </w:pPr>
            <w:r w:rsidRPr="00A550E1">
              <w:rPr>
                <w:lang w:val="en-US"/>
              </w:rPr>
              <w:t>E-Commerce</w:t>
            </w:r>
          </w:p>
        </w:tc>
        <w:tc>
          <w:tcPr>
            <w:tcW w:w="6786" w:type="dxa"/>
            <w:hideMark/>
          </w:tcPr>
          <w:p w14:paraId="03041531" w14:textId="4762D2FB" w:rsidR="0091145D" w:rsidRPr="00A550E1" w:rsidRDefault="0091145D" w:rsidP="0091145D">
            <w:pPr>
              <w:tabs>
                <w:tab w:val="left" w:pos="1964"/>
              </w:tabs>
              <w:rPr>
                <w:lang w:val="en-US"/>
              </w:rPr>
            </w:pPr>
            <w:r w:rsidRPr="00A550E1">
              <w:rPr>
                <w:color w:val="000000"/>
                <w:lang w:val="en-US"/>
              </w:rPr>
              <w:t>Market access for smallholders through E-commerce is a revolutionary change, removing middleman and information asymmetry</w:t>
            </w:r>
          </w:p>
          <w:p w14:paraId="4B4F171A" w14:textId="76ED1BA8" w:rsidR="0091145D" w:rsidRPr="00A550E1" w:rsidRDefault="0091145D" w:rsidP="0091145D">
            <w:pPr>
              <w:tabs>
                <w:tab w:val="left" w:pos="1964"/>
              </w:tabs>
              <w:rPr>
                <w:lang w:val="en-US"/>
              </w:rPr>
            </w:pPr>
          </w:p>
        </w:tc>
      </w:tr>
      <w:tr w:rsidR="0091145D" w:rsidRPr="00A550E1" w14:paraId="52C2158A" w14:textId="77777777" w:rsidTr="0091145D">
        <w:trPr>
          <w:trHeight w:val="615"/>
        </w:trPr>
        <w:tc>
          <w:tcPr>
            <w:tcW w:w="1696" w:type="dxa"/>
            <w:tcBorders>
              <w:bottom w:val="double" w:sz="4" w:space="0" w:color="auto"/>
            </w:tcBorders>
          </w:tcPr>
          <w:p w14:paraId="7168FBFC" w14:textId="1BEE0E79" w:rsidR="0091145D" w:rsidRPr="00A550E1" w:rsidRDefault="0091145D" w:rsidP="0091145D">
            <w:pPr>
              <w:rPr>
                <w:b/>
                <w:bCs/>
                <w:lang w:val="en-US"/>
              </w:rPr>
            </w:pPr>
            <w:r w:rsidRPr="00A550E1">
              <w:rPr>
                <w:b/>
                <w:bCs/>
                <w:lang w:val="en-US"/>
              </w:rPr>
              <w:t>Consumers</w:t>
            </w:r>
          </w:p>
        </w:tc>
        <w:tc>
          <w:tcPr>
            <w:tcW w:w="6786" w:type="dxa"/>
            <w:tcBorders>
              <w:bottom w:val="double" w:sz="4" w:space="0" w:color="auto"/>
            </w:tcBorders>
          </w:tcPr>
          <w:p w14:paraId="6397D48D" w14:textId="77777777" w:rsidR="0091145D" w:rsidRPr="00A550E1" w:rsidRDefault="0091145D" w:rsidP="0091145D">
            <w:pPr>
              <w:rPr>
                <w:color w:val="000000"/>
                <w:lang w:val="en-US"/>
              </w:rPr>
            </w:pPr>
          </w:p>
        </w:tc>
      </w:tr>
      <w:tr w:rsidR="0091145D" w:rsidRPr="00A550E1" w14:paraId="044AB1A2" w14:textId="77777777" w:rsidTr="0091145D">
        <w:trPr>
          <w:trHeight w:val="615"/>
        </w:trPr>
        <w:tc>
          <w:tcPr>
            <w:tcW w:w="1696" w:type="dxa"/>
            <w:tcBorders>
              <w:top w:val="double" w:sz="4" w:space="0" w:color="auto"/>
            </w:tcBorders>
          </w:tcPr>
          <w:p w14:paraId="775A159B" w14:textId="77777777" w:rsidR="0091145D" w:rsidRPr="00A550E1" w:rsidRDefault="0091145D" w:rsidP="0091145D">
            <w:pPr>
              <w:rPr>
                <w:lang w:val="en-US"/>
              </w:rPr>
            </w:pPr>
            <w:r w:rsidRPr="00A550E1">
              <w:rPr>
                <w:lang w:val="en-US"/>
              </w:rPr>
              <w:t>3D Printers in the kitchen</w:t>
            </w:r>
          </w:p>
          <w:p w14:paraId="2578F072" w14:textId="77777777" w:rsidR="0091145D" w:rsidRPr="00A550E1" w:rsidRDefault="0091145D">
            <w:pPr>
              <w:rPr>
                <w:lang w:val="en-US"/>
              </w:rPr>
            </w:pPr>
          </w:p>
        </w:tc>
        <w:tc>
          <w:tcPr>
            <w:tcW w:w="6786" w:type="dxa"/>
            <w:tcBorders>
              <w:top w:val="double" w:sz="4" w:space="0" w:color="auto"/>
            </w:tcBorders>
            <w:hideMark/>
          </w:tcPr>
          <w:p w14:paraId="33422D33" w14:textId="77777777" w:rsidR="0091145D" w:rsidRPr="00A550E1" w:rsidRDefault="0091145D" w:rsidP="0091145D">
            <w:pPr>
              <w:rPr>
                <w:color w:val="000000"/>
                <w:lang w:val="en-US"/>
              </w:rPr>
            </w:pPr>
            <w:r w:rsidRPr="00A550E1">
              <w:rPr>
                <w:color w:val="000000"/>
                <w:lang w:val="en-US"/>
              </w:rPr>
              <w:t xml:space="preserve">Some entrepreneurs are working on bypassing the manufacturing process by bringing the 3D printer to the kitchen. </w:t>
            </w:r>
          </w:p>
          <w:p w14:paraId="12488CB5" w14:textId="6F942E8B" w:rsidR="0091145D" w:rsidRPr="00A550E1" w:rsidRDefault="0091145D">
            <w:pPr>
              <w:rPr>
                <w:lang w:val="en-US"/>
              </w:rPr>
            </w:pPr>
          </w:p>
        </w:tc>
      </w:tr>
      <w:tr w:rsidR="0091145D" w:rsidRPr="00A550E1" w14:paraId="04A8EDB4" w14:textId="77777777" w:rsidTr="0091145D">
        <w:trPr>
          <w:trHeight w:val="236"/>
        </w:trPr>
        <w:tc>
          <w:tcPr>
            <w:tcW w:w="1696" w:type="dxa"/>
          </w:tcPr>
          <w:p w14:paraId="3B93D194" w14:textId="77777777" w:rsidR="0091145D" w:rsidRPr="00A550E1" w:rsidRDefault="0091145D" w:rsidP="0091145D">
            <w:pPr>
              <w:rPr>
                <w:lang w:val="en-US"/>
              </w:rPr>
            </w:pPr>
            <w:r w:rsidRPr="00A550E1">
              <w:rPr>
                <w:lang w:val="en-US"/>
              </w:rPr>
              <w:t>Reviews and Likes</w:t>
            </w:r>
          </w:p>
          <w:p w14:paraId="2841F891" w14:textId="77777777" w:rsidR="0091145D" w:rsidRPr="00A550E1" w:rsidRDefault="0091145D">
            <w:pPr>
              <w:rPr>
                <w:lang w:val="en-US"/>
              </w:rPr>
            </w:pPr>
          </w:p>
        </w:tc>
        <w:tc>
          <w:tcPr>
            <w:tcW w:w="6786" w:type="dxa"/>
            <w:hideMark/>
          </w:tcPr>
          <w:p w14:paraId="23599EF3" w14:textId="15675A1D" w:rsidR="0091145D" w:rsidRPr="00A550E1" w:rsidRDefault="0091145D" w:rsidP="0091145D">
            <w:pPr>
              <w:rPr>
                <w:color w:val="000000"/>
                <w:lang w:val="en-US"/>
              </w:rPr>
            </w:pPr>
            <w:r w:rsidRPr="00A550E1">
              <w:rPr>
                <w:color w:val="000000"/>
                <w:lang w:val="en-US"/>
              </w:rPr>
              <w:t xml:space="preserve">The aggregation of consumer experiences in shared advisory websites like TripAdvisor has revolutionized the transparency of the hospitality industry. </w:t>
            </w:r>
          </w:p>
          <w:p w14:paraId="408D37F8" w14:textId="5BE5B33D" w:rsidR="0091145D" w:rsidRPr="00A550E1" w:rsidRDefault="0091145D">
            <w:pPr>
              <w:rPr>
                <w:lang w:val="en-US"/>
              </w:rPr>
            </w:pPr>
          </w:p>
        </w:tc>
      </w:tr>
      <w:tr w:rsidR="0091145D" w:rsidRPr="00A550E1" w14:paraId="0EC906AD" w14:textId="77777777" w:rsidTr="0091145D">
        <w:trPr>
          <w:trHeight w:val="236"/>
        </w:trPr>
        <w:tc>
          <w:tcPr>
            <w:tcW w:w="1696" w:type="dxa"/>
          </w:tcPr>
          <w:p w14:paraId="02044752" w14:textId="77777777" w:rsidR="0091145D" w:rsidRPr="00A550E1" w:rsidRDefault="0091145D" w:rsidP="0091145D">
            <w:pPr>
              <w:rPr>
                <w:lang w:val="en-US"/>
              </w:rPr>
            </w:pPr>
            <w:r w:rsidRPr="00A550E1">
              <w:rPr>
                <w:lang w:val="en-US"/>
              </w:rPr>
              <w:t>Resource efficient consumption</w:t>
            </w:r>
          </w:p>
          <w:p w14:paraId="6F4FE3D9" w14:textId="77777777" w:rsidR="0091145D" w:rsidRPr="00A550E1" w:rsidRDefault="0091145D">
            <w:pPr>
              <w:rPr>
                <w:lang w:val="en-US"/>
              </w:rPr>
            </w:pPr>
          </w:p>
        </w:tc>
        <w:tc>
          <w:tcPr>
            <w:tcW w:w="6786" w:type="dxa"/>
            <w:hideMark/>
          </w:tcPr>
          <w:p w14:paraId="65685306" w14:textId="3C5BAB35" w:rsidR="0091145D" w:rsidRPr="00A550E1" w:rsidRDefault="0091145D" w:rsidP="0091145D">
            <w:pPr>
              <w:rPr>
                <w:color w:val="000000"/>
                <w:lang w:val="en-US"/>
              </w:rPr>
            </w:pPr>
            <w:r w:rsidRPr="00A550E1">
              <w:rPr>
                <w:color w:val="000000"/>
                <w:lang w:val="en-US"/>
              </w:rPr>
              <w:t xml:space="preserve">When the environmental impact of food is displayed through apps or labels, consumers have an extra variable to make purchasing decisions. Resource efficient consumption is crucial for the sustainability of the sector. </w:t>
            </w:r>
          </w:p>
          <w:p w14:paraId="5FB3C63D" w14:textId="3869A3E4" w:rsidR="0091145D" w:rsidRPr="00A550E1" w:rsidRDefault="0091145D">
            <w:pPr>
              <w:rPr>
                <w:lang w:val="en-US"/>
              </w:rPr>
            </w:pPr>
          </w:p>
        </w:tc>
      </w:tr>
      <w:tr w:rsidR="0091145D" w:rsidRPr="00A550E1" w14:paraId="35BD19F3" w14:textId="77777777" w:rsidTr="0091145D">
        <w:trPr>
          <w:trHeight w:val="432"/>
        </w:trPr>
        <w:tc>
          <w:tcPr>
            <w:tcW w:w="1696" w:type="dxa"/>
          </w:tcPr>
          <w:p w14:paraId="5E4C1837" w14:textId="77777777" w:rsidR="0091145D" w:rsidRPr="00A550E1" w:rsidRDefault="0091145D" w:rsidP="0091145D">
            <w:pPr>
              <w:rPr>
                <w:lang w:val="en-US"/>
              </w:rPr>
            </w:pPr>
            <w:r w:rsidRPr="00A550E1">
              <w:rPr>
                <w:lang w:val="en-US"/>
              </w:rPr>
              <w:t>Sharing initiatives</w:t>
            </w:r>
          </w:p>
          <w:p w14:paraId="788643F2" w14:textId="77777777" w:rsidR="0091145D" w:rsidRPr="00A550E1" w:rsidRDefault="0091145D">
            <w:pPr>
              <w:rPr>
                <w:lang w:val="en-US"/>
              </w:rPr>
            </w:pPr>
          </w:p>
        </w:tc>
        <w:tc>
          <w:tcPr>
            <w:tcW w:w="6786" w:type="dxa"/>
            <w:hideMark/>
          </w:tcPr>
          <w:p w14:paraId="32C512C0" w14:textId="1307EA2F" w:rsidR="0091145D" w:rsidRPr="00A550E1" w:rsidRDefault="0091145D" w:rsidP="0091145D">
            <w:pPr>
              <w:rPr>
                <w:color w:val="000000"/>
                <w:lang w:val="en-US"/>
              </w:rPr>
            </w:pPr>
            <w:r w:rsidRPr="00A550E1">
              <w:rPr>
                <w:color w:val="000000"/>
                <w:lang w:val="en-US"/>
              </w:rPr>
              <w:t xml:space="preserve">Platforms are contributing to sustainable consumption patterns by minimizing waste and enhancing social connections. Consumers participate in agriculture, community gardens or consumer to consumer meal sharing. </w:t>
            </w:r>
          </w:p>
          <w:p w14:paraId="5111DFA2" w14:textId="2CC40978" w:rsidR="0091145D" w:rsidRPr="00A550E1" w:rsidRDefault="0091145D">
            <w:pPr>
              <w:rPr>
                <w:lang w:val="en-US"/>
              </w:rPr>
            </w:pPr>
          </w:p>
        </w:tc>
      </w:tr>
    </w:tbl>
    <w:p w14:paraId="6CA1F544" w14:textId="77777777" w:rsidR="007C2D51" w:rsidRPr="0048196F" w:rsidRDefault="007C2D51" w:rsidP="0091145D">
      <w:pPr>
        <w:rPr>
          <w:lang w:val="en-US"/>
        </w:rPr>
      </w:pPr>
    </w:p>
    <w:p w14:paraId="512C1F07" w14:textId="36BE3530" w:rsidR="00B31276" w:rsidRPr="0048196F" w:rsidRDefault="00B31276" w:rsidP="004C3DC7">
      <w:pPr>
        <w:pStyle w:val="Heading2"/>
        <w:rPr>
          <w:lang w:val="en-US"/>
        </w:rPr>
      </w:pPr>
      <w:bookmarkStart w:id="85" w:name="_Toc14347340"/>
      <w:r w:rsidRPr="0048196F">
        <w:rPr>
          <w:lang w:val="en-US"/>
        </w:rPr>
        <w:t>Call for challenges.</w:t>
      </w:r>
      <w:bookmarkEnd w:id="85"/>
      <w:r w:rsidRPr="0048196F">
        <w:rPr>
          <w:lang w:val="en-US"/>
        </w:rPr>
        <w:t xml:space="preserve"> </w:t>
      </w:r>
    </w:p>
    <w:p w14:paraId="391C7412" w14:textId="005962D3" w:rsidR="006D0730" w:rsidRPr="00A550E1" w:rsidRDefault="00B31276" w:rsidP="00C10CE6">
      <w:pPr>
        <w:spacing w:line="360" w:lineRule="auto"/>
        <w:rPr>
          <w:rStyle w:val="Hyperlink"/>
          <w:lang w:val="en-US"/>
        </w:rPr>
      </w:pPr>
      <w:r w:rsidRPr="00A550E1">
        <w:rPr>
          <w:bCs/>
          <w:lang w:val="en-US"/>
        </w:rPr>
        <w:t>The DIVA project conducted a “call for challenges”</w:t>
      </w:r>
      <w:r w:rsidR="0034349E" w:rsidRPr="00A550E1">
        <w:rPr>
          <w:bCs/>
          <w:lang w:val="en-US"/>
        </w:rPr>
        <w:t>, to bring together enterprises from the industry with challenges, and possible providers of solutions. In this context a</w:t>
      </w:r>
      <w:r w:rsidRPr="00A550E1">
        <w:rPr>
          <w:bCs/>
          <w:lang w:val="en-US"/>
        </w:rPr>
        <w:t xml:space="preserve"> challenge is defined as “a recognition of an opportunity, from the agri-food, forestry and environment stakeholders, that may be improved or solved with innovative digital solutions”</w:t>
      </w:r>
      <w:r w:rsidR="00CF1080" w:rsidRPr="00A550E1">
        <w:rPr>
          <w:lang w:val="en-US"/>
        </w:rPr>
        <w:t xml:space="preserve"> (Challenges List, </w:t>
      </w:r>
      <w:r w:rsidR="0034349E" w:rsidRPr="00A550E1">
        <w:rPr>
          <w:lang w:val="en-US"/>
        </w:rPr>
        <w:t>2019</w:t>
      </w:r>
      <w:r w:rsidR="00CF1080" w:rsidRPr="00A550E1">
        <w:rPr>
          <w:lang w:val="en-US"/>
        </w:rPr>
        <w:t xml:space="preserve">.). </w:t>
      </w:r>
      <w:r w:rsidRPr="00A550E1">
        <w:rPr>
          <w:bCs/>
          <w:lang w:val="en-US"/>
        </w:rPr>
        <w:t xml:space="preserve">Stakeholders are motivated to </w:t>
      </w:r>
      <w:r w:rsidR="001B2538" w:rsidRPr="00A550E1">
        <w:rPr>
          <w:bCs/>
          <w:lang w:val="en-US"/>
        </w:rPr>
        <w:t>submit</w:t>
      </w:r>
      <w:r w:rsidRPr="00A550E1">
        <w:rPr>
          <w:bCs/>
          <w:lang w:val="en-US"/>
        </w:rPr>
        <w:t xml:space="preserve"> their challenge as the project will encourage innovators and solution providers to propose innovative solutions. </w:t>
      </w:r>
      <w:r w:rsidR="00C10CE6" w:rsidRPr="00A550E1">
        <w:rPr>
          <w:bCs/>
          <w:lang w:val="en-US"/>
        </w:rPr>
        <w:t xml:space="preserve">The list of </w:t>
      </w:r>
      <w:r w:rsidR="0048196F" w:rsidRPr="00A550E1">
        <w:rPr>
          <w:bCs/>
          <w:lang w:val="en-US"/>
        </w:rPr>
        <w:t xml:space="preserve">18 submitted </w:t>
      </w:r>
      <w:r w:rsidR="00C10CE6" w:rsidRPr="00A550E1">
        <w:rPr>
          <w:bCs/>
          <w:lang w:val="en-US"/>
        </w:rPr>
        <w:t>challenges can be found in table</w:t>
      </w:r>
      <w:r w:rsidR="006D0730" w:rsidRPr="00A550E1">
        <w:rPr>
          <w:bCs/>
          <w:lang w:val="en-US"/>
        </w:rPr>
        <w:t xml:space="preserve"> 15</w:t>
      </w:r>
      <w:r w:rsidR="00C10CE6" w:rsidRPr="00A550E1">
        <w:rPr>
          <w:bCs/>
          <w:lang w:val="en-US"/>
        </w:rPr>
        <w:t xml:space="preserve"> of the annex, and a full description is available at </w:t>
      </w:r>
      <w:hyperlink r:id="rId35" w:history="1">
        <w:r w:rsidR="00F95CFB" w:rsidRPr="00A550E1">
          <w:rPr>
            <w:rStyle w:val="Hyperlink"/>
            <w:lang w:val="en-US"/>
          </w:rPr>
          <w:t>https://www.projectdiva.eu/challenges-list/</w:t>
        </w:r>
      </w:hyperlink>
      <w:r w:rsidR="00C10CE6" w:rsidRPr="00A550E1">
        <w:rPr>
          <w:rStyle w:val="Hyperlink"/>
          <w:lang w:val="en-US"/>
        </w:rPr>
        <w:t xml:space="preserve">. </w:t>
      </w:r>
      <w:r w:rsidR="00175CA8" w:rsidRPr="00A550E1">
        <w:rPr>
          <w:rStyle w:val="Hyperlink"/>
          <w:lang w:val="en-US"/>
        </w:rPr>
        <w:t xml:space="preserve"> </w:t>
      </w:r>
    </w:p>
    <w:p w14:paraId="6664DFE3" w14:textId="77777777" w:rsidR="00AB4CAE" w:rsidRPr="00A550E1" w:rsidRDefault="00AB4CAE" w:rsidP="00AB4CAE">
      <w:pPr>
        <w:spacing w:line="360" w:lineRule="auto"/>
        <w:rPr>
          <w:color w:val="000000"/>
          <w:lang w:val="en-US"/>
        </w:rPr>
      </w:pPr>
      <w:r w:rsidRPr="00A550E1">
        <w:rPr>
          <w:lang w:val="en-US"/>
        </w:rPr>
        <w:t>The majority of challenges is concerned with smart farming: “</w:t>
      </w:r>
      <w:r w:rsidRPr="00A550E1">
        <w:rPr>
          <w:color w:val="000000"/>
          <w:lang w:val="en-US"/>
        </w:rPr>
        <w:t xml:space="preserve">The incorporation of information and communication technologies into machinery, equipment, and sensors for use in agricultural production systems” </w:t>
      </w:r>
      <w:r w:rsidRPr="00A550E1">
        <w:rPr>
          <w:color w:val="000000"/>
          <w:lang w:val="en-US"/>
        </w:rPr>
        <w:fldChar w:fldCharType="begin" w:fldLock="1"/>
      </w:r>
      <w:r w:rsidRPr="00A550E1">
        <w:rPr>
          <w:color w:val="000000"/>
          <w:lang w:val="en-US"/>
        </w:rPr>
        <w:instrText>ADDIN CSL_CITATION {"citationItems":[{"id":"ITEM-1","itemData":{"DOI":"10.1016/j.inpa.2017.12.002","ISSN":"22143173","abstract":"Smart farming (SF) involves the incorporation of information and communication technologies into machinery, equipment, and sensors for use in agricultural production systems. New technologies such as the internet of things and cloud computing are expected to advance this development, introducing more robots and artificial intelligence into farming. Therefore, the aims of this paper are twofold: (i) to characterize the scientific knowledge about SF that is available in the worldwide scientific literature based on the main factors of development by country and over time and (ii) to describe current SF prospects in Brazil from the perspective of experts in this field. The research involved conducting semi-structured interviews with market and researcher experts in Brazil and using a bibliometric survey by means of data mining software. Integration between the different available systems on the market was identified as one of the main limiting factors to SF evolution. Another limiting factor is the education, ability, and skills of farmers to understand and handle SF tools. These limitations revealed a market opportunity for enterprises to explore and help solve these problems, and science can contribute to this process. China, the United States, South Korea, Germany, and Japan contribute the largest number of scientific studies to the field. Countries that invest more in R&amp;D generate the most publications; this could indicate which countries will be leaders in smart farming. The use of both research methods in a complementary manner allowed to understand how science frame the SF and the mains barriers to adopt it in Brazil.","author":[{"dropping-particle":"","family":"Pivoto","given":"Dieisson","non-dropping-particle":"","parse-names":false,"suffix":""},{"dropping-particle":"","family":"Waquil","given":"Paulo Dabdab","non-dropping-particle":"","parse-names":false,"suffix":""},{"dropping-particle":"","family":"Talamini","given":"Edson","non-dropping-particle":"","parse-names":false,"suffix":""},{"dropping-particle":"","family":"Finocchio","given":"Caroline Pauletto Spanhol","non-dropping-particle":"","parse-names":false,"suffix":""},{"dropping-particle":"","family":"Dalla Corte","given":"Vitor Francisco","non-dropping-particle":"","parse-names":false,"suffix":""},{"dropping-particle":"","family":"Vargas Mores","given":"Giana","non-dropping-particle":"de","parse-names":false,"suffix":""}],"container-title":"Information Processing in Agriculture","id":"ITEM-1","issue":"1","issued":{"date-parts":[["2018"]]},"page":"21-32","publisher":"China Agricultural University","title":"Scientific development of smart farming technologies and their application in Brazil","type":"article-journal","volume":"5"},"uris":["http://www.mendeley.com/documents/?uuid=0f2f1a9b-e1d6-4ef8-b122-ddd685b1246a"]}],"mendeley":{"formattedCitation":"(Pivoto et al., 2018)","plainTextFormattedCitation":"(Pivoto et al., 2018)","previouslyFormattedCitation":"(Pivoto et al., 2018)"},"properties":{"noteIndex":0},"schema":"https://github.com/citation-style-language/schema/raw/master/csl-citation.json"}</w:instrText>
      </w:r>
      <w:r w:rsidRPr="00A550E1">
        <w:rPr>
          <w:color w:val="000000"/>
          <w:lang w:val="en-US"/>
        </w:rPr>
        <w:fldChar w:fldCharType="separate"/>
      </w:r>
      <w:r w:rsidRPr="00A550E1">
        <w:rPr>
          <w:noProof/>
          <w:color w:val="000000"/>
          <w:lang w:val="en-US"/>
        </w:rPr>
        <w:t>(Pivoto et al., 2018)</w:t>
      </w:r>
      <w:r w:rsidRPr="00A550E1">
        <w:rPr>
          <w:color w:val="000000"/>
          <w:lang w:val="en-US"/>
        </w:rPr>
        <w:fldChar w:fldCharType="end"/>
      </w:r>
      <w:r w:rsidRPr="00A550E1">
        <w:rPr>
          <w:color w:val="000000"/>
          <w:lang w:val="en-US"/>
        </w:rPr>
        <w:t xml:space="preserve">. Following these authors, a distinction is made between (1) precision agriculture, which is mainly concerned with optimizing yields by adding exactness to inputs and timing and (2) Information management: “an integral part of an overall management system and support tools such as enterprise resource planning (ERP), information systems, etc.” </w:t>
      </w:r>
    </w:p>
    <w:p w14:paraId="46EDF456" w14:textId="77777777" w:rsidR="00AB4CAE" w:rsidRPr="00A550E1" w:rsidRDefault="00AB4CAE" w:rsidP="00AB4CAE">
      <w:pPr>
        <w:spacing w:line="360" w:lineRule="auto"/>
        <w:rPr>
          <w:color w:val="000000"/>
          <w:lang w:val="en-US"/>
        </w:rPr>
      </w:pPr>
      <w:r w:rsidRPr="00A550E1">
        <w:rPr>
          <w:color w:val="000000"/>
          <w:lang w:val="en-US"/>
        </w:rPr>
        <w:t xml:space="preserve">(Operations Management in Agriculture, 2019). </w:t>
      </w:r>
    </w:p>
    <w:p w14:paraId="5AF73BA3" w14:textId="77777777" w:rsidR="00EE6D9C" w:rsidRPr="0048196F" w:rsidRDefault="00EE6D9C" w:rsidP="00C10CE6">
      <w:pPr>
        <w:spacing w:line="360" w:lineRule="auto"/>
        <w:rPr>
          <w:rStyle w:val="Hyperlink"/>
          <w:lang w:val="en-US"/>
        </w:rPr>
      </w:pPr>
    </w:p>
    <w:tbl>
      <w:tblPr>
        <w:tblStyle w:val="TableGrid"/>
        <w:tblpPr w:leftFromText="141" w:rightFromText="141" w:vertAnchor="text" w:horzAnchor="margin" w:tblpY="781"/>
        <w:tblW w:w="8869" w:type="dxa"/>
        <w:tblBorders>
          <w:insideH w:val="none" w:sz="0" w:space="0" w:color="auto"/>
          <w:insideV w:val="none" w:sz="0" w:space="0" w:color="auto"/>
        </w:tblBorders>
        <w:tblLook w:val="04A0" w:firstRow="1" w:lastRow="0" w:firstColumn="1" w:lastColumn="0" w:noHBand="0" w:noVBand="1"/>
      </w:tblPr>
      <w:tblGrid>
        <w:gridCol w:w="2186"/>
        <w:gridCol w:w="417"/>
        <w:gridCol w:w="2818"/>
        <w:gridCol w:w="3017"/>
        <w:gridCol w:w="431"/>
      </w:tblGrid>
      <w:tr w:rsidR="004C3DC7" w:rsidRPr="0048196F" w14:paraId="0167E762" w14:textId="77777777" w:rsidTr="00AB4CAE">
        <w:trPr>
          <w:cantSplit/>
          <w:trHeight w:val="365"/>
          <w:tblHeader/>
        </w:trPr>
        <w:tc>
          <w:tcPr>
            <w:tcW w:w="2186" w:type="dxa"/>
            <w:tcBorders>
              <w:top w:val="single" w:sz="4" w:space="0" w:color="auto"/>
              <w:left w:val="nil"/>
              <w:bottom w:val="single" w:sz="4" w:space="0" w:color="auto"/>
            </w:tcBorders>
            <w:noWrap/>
          </w:tcPr>
          <w:p w14:paraId="0583CBEC" w14:textId="77777777" w:rsidR="004C3DC7" w:rsidRPr="00AB4CAE" w:rsidRDefault="004C3DC7" w:rsidP="00E17FE3">
            <w:pPr>
              <w:rPr>
                <w:b/>
                <w:bCs/>
                <w:lang w:val="en-US"/>
              </w:rPr>
            </w:pPr>
            <w:r w:rsidRPr="00AB4CAE">
              <w:rPr>
                <w:b/>
                <w:bCs/>
                <w:lang w:val="en-US"/>
              </w:rPr>
              <w:t>Activity</w:t>
            </w:r>
          </w:p>
        </w:tc>
        <w:tc>
          <w:tcPr>
            <w:tcW w:w="417" w:type="dxa"/>
            <w:tcBorders>
              <w:top w:val="single" w:sz="4" w:space="0" w:color="auto"/>
              <w:bottom w:val="single" w:sz="4" w:space="0" w:color="auto"/>
            </w:tcBorders>
            <w:noWrap/>
          </w:tcPr>
          <w:p w14:paraId="2C32BDDB" w14:textId="77777777" w:rsidR="004C3DC7" w:rsidRPr="00AB4CAE" w:rsidRDefault="004C3DC7" w:rsidP="00E17FE3">
            <w:pPr>
              <w:rPr>
                <w:b/>
                <w:bCs/>
                <w:sz w:val="18"/>
                <w:szCs w:val="18"/>
                <w:lang w:val="en-US"/>
              </w:rPr>
            </w:pPr>
          </w:p>
        </w:tc>
        <w:tc>
          <w:tcPr>
            <w:tcW w:w="2818" w:type="dxa"/>
            <w:tcBorders>
              <w:top w:val="single" w:sz="4" w:space="0" w:color="auto"/>
              <w:bottom w:val="single" w:sz="4" w:space="0" w:color="auto"/>
            </w:tcBorders>
            <w:noWrap/>
          </w:tcPr>
          <w:p w14:paraId="31AA38FA" w14:textId="77777777" w:rsidR="004C3DC7" w:rsidRPr="00AB4CAE" w:rsidRDefault="004C3DC7" w:rsidP="00E17FE3">
            <w:pPr>
              <w:rPr>
                <w:b/>
                <w:bCs/>
                <w:lang w:val="en-US"/>
              </w:rPr>
            </w:pPr>
            <w:r w:rsidRPr="00AB4CAE">
              <w:rPr>
                <w:b/>
                <w:bCs/>
                <w:lang w:val="en-US"/>
              </w:rPr>
              <w:t>Category</w:t>
            </w:r>
          </w:p>
        </w:tc>
        <w:tc>
          <w:tcPr>
            <w:tcW w:w="3017" w:type="dxa"/>
            <w:tcBorders>
              <w:top w:val="single" w:sz="4" w:space="0" w:color="auto"/>
              <w:bottom w:val="single" w:sz="4" w:space="0" w:color="auto"/>
            </w:tcBorders>
            <w:noWrap/>
          </w:tcPr>
          <w:p w14:paraId="6A588E0F" w14:textId="77777777" w:rsidR="004C3DC7" w:rsidRPr="00AB4CAE" w:rsidRDefault="004C3DC7" w:rsidP="00E17FE3">
            <w:pPr>
              <w:rPr>
                <w:b/>
                <w:bCs/>
                <w:highlight w:val="yellow"/>
                <w:lang w:val="en-US"/>
              </w:rPr>
            </w:pPr>
            <w:r w:rsidRPr="00AB4CAE">
              <w:rPr>
                <w:b/>
                <w:bCs/>
                <w:lang w:val="en-US"/>
              </w:rPr>
              <w:t>Application</w:t>
            </w:r>
          </w:p>
        </w:tc>
        <w:tc>
          <w:tcPr>
            <w:tcW w:w="431" w:type="dxa"/>
            <w:tcBorders>
              <w:top w:val="single" w:sz="4" w:space="0" w:color="auto"/>
              <w:bottom w:val="nil"/>
              <w:right w:val="nil"/>
            </w:tcBorders>
            <w:noWrap/>
          </w:tcPr>
          <w:p w14:paraId="624EBAFA" w14:textId="77777777" w:rsidR="004C3DC7" w:rsidRPr="0048196F" w:rsidRDefault="004C3DC7" w:rsidP="00E17FE3">
            <w:pPr>
              <w:rPr>
                <w:lang w:val="en-US"/>
              </w:rPr>
            </w:pPr>
          </w:p>
        </w:tc>
      </w:tr>
      <w:tr w:rsidR="004C3DC7" w:rsidRPr="0048196F" w14:paraId="294BDBA5" w14:textId="77777777" w:rsidTr="00AB4CAE">
        <w:trPr>
          <w:cantSplit/>
          <w:trHeight w:val="365"/>
          <w:tblHeader/>
        </w:trPr>
        <w:tc>
          <w:tcPr>
            <w:tcW w:w="2186" w:type="dxa"/>
            <w:tcBorders>
              <w:top w:val="single" w:sz="4" w:space="0" w:color="auto"/>
              <w:left w:val="nil"/>
              <w:bottom w:val="nil"/>
            </w:tcBorders>
            <w:noWrap/>
            <w:tcMar>
              <w:top w:w="28" w:type="dxa"/>
              <w:left w:w="28" w:type="dxa"/>
              <w:bottom w:w="28" w:type="dxa"/>
              <w:right w:w="28" w:type="dxa"/>
            </w:tcMar>
            <w:hideMark/>
          </w:tcPr>
          <w:p w14:paraId="0A2456EC" w14:textId="77777777" w:rsidR="004C3DC7" w:rsidRPr="0048196F" w:rsidRDefault="004C3DC7" w:rsidP="00E17FE3">
            <w:pPr>
              <w:rPr>
                <w:lang w:val="en-US"/>
              </w:rPr>
            </w:pPr>
            <w:r w:rsidRPr="0048196F">
              <w:rPr>
                <w:lang w:val="en-US"/>
              </w:rPr>
              <w:t>Smart Farming</w:t>
            </w:r>
          </w:p>
        </w:tc>
        <w:tc>
          <w:tcPr>
            <w:tcW w:w="417" w:type="dxa"/>
            <w:tcBorders>
              <w:top w:val="single" w:sz="4" w:space="0" w:color="auto"/>
              <w:bottom w:val="nil"/>
            </w:tcBorders>
            <w:noWrap/>
            <w:tcMar>
              <w:top w:w="28" w:type="dxa"/>
              <w:left w:w="28" w:type="dxa"/>
              <w:bottom w:w="28" w:type="dxa"/>
              <w:right w:w="28" w:type="dxa"/>
            </w:tcMar>
            <w:hideMark/>
          </w:tcPr>
          <w:p w14:paraId="2F2757AE" w14:textId="77777777" w:rsidR="004C3DC7" w:rsidRPr="0048196F" w:rsidRDefault="004C3DC7" w:rsidP="00E17FE3">
            <w:pPr>
              <w:rPr>
                <w:lang w:val="en-US"/>
              </w:rPr>
            </w:pPr>
            <w:r w:rsidRPr="0048196F">
              <w:rPr>
                <w:lang w:val="en-US"/>
              </w:rPr>
              <w:t>14</w:t>
            </w:r>
          </w:p>
        </w:tc>
        <w:tc>
          <w:tcPr>
            <w:tcW w:w="2818" w:type="dxa"/>
            <w:tcBorders>
              <w:top w:val="single" w:sz="4" w:space="0" w:color="auto"/>
              <w:bottom w:val="nil"/>
            </w:tcBorders>
            <w:noWrap/>
            <w:tcMar>
              <w:top w:w="28" w:type="dxa"/>
              <w:left w:w="28" w:type="dxa"/>
              <w:bottom w:w="28" w:type="dxa"/>
              <w:right w:w="28" w:type="dxa"/>
            </w:tcMar>
            <w:hideMark/>
          </w:tcPr>
          <w:p w14:paraId="135B792E" w14:textId="77777777" w:rsidR="004C3DC7" w:rsidRPr="0048196F" w:rsidRDefault="004C3DC7" w:rsidP="00E17FE3">
            <w:pPr>
              <w:rPr>
                <w:lang w:val="en-US"/>
              </w:rPr>
            </w:pPr>
            <w:r w:rsidRPr="0048196F">
              <w:rPr>
                <w:lang w:val="en-US"/>
              </w:rPr>
              <w:t>Precision Agriculture</w:t>
            </w:r>
          </w:p>
        </w:tc>
        <w:tc>
          <w:tcPr>
            <w:tcW w:w="3017" w:type="dxa"/>
            <w:tcBorders>
              <w:top w:val="single" w:sz="4" w:space="0" w:color="auto"/>
              <w:bottom w:val="nil"/>
            </w:tcBorders>
            <w:noWrap/>
            <w:tcMar>
              <w:top w:w="28" w:type="dxa"/>
              <w:left w:w="28" w:type="dxa"/>
              <w:bottom w:w="28" w:type="dxa"/>
              <w:right w:w="28" w:type="dxa"/>
            </w:tcMar>
            <w:hideMark/>
          </w:tcPr>
          <w:p w14:paraId="37449611" w14:textId="77777777" w:rsidR="004C3DC7" w:rsidRPr="0048196F" w:rsidRDefault="004C3DC7" w:rsidP="00E17FE3">
            <w:pPr>
              <w:rPr>
                <w:lang w:val="en-US"/>
              </w:rPr>
            </w:pPr>
            <w:r w:rsidRPr="0048196F">
              <w:rPr>
                <w:lang w:val="en-US"/>
              </w:rPr>
              <w:t>Weed Recognition</w:t>
            </w:r>
          </w:p>
        </w:tc>
        <w:tc>
          <w:tcPr>
            <w:tcW w:w="431" w:type="dxa"/>
            <w:tcBorders>
              <w:top w:val="nil"/>
              <w:bottom w:val="nil"/>
              <w:right w:val="nil"/>
            </w:tcBorders>
            <w:noWrap/>
          </w:tcPr>
          <w:p w14:paraId="5D3DDCC8" w14:textId="77777777" w:rsidR="004C3DC7" w:rsidRPr="0048196F" w:rsidRDefault="004C3DC7" w:rsidP="00E17FE3">
            <w:pPr>
              <w:rPr>
                <w:lang w:val="en-US"/>
              </w:rPr>
            </w:pPr>
          </w:p>
        </w:tc>
      </w:tr>
      <w:tr w:rsidR="004C3DC7" w:rsidRPr="0048196F" w14:paraId="7182CEBB" w14:textId="77777777" w:rsidTr="00AB4CAE">
        <w:trPr>
          <w:cantSplit/>
          <w:trHeight w:val="294"/>
          <w:tblHeader/>
        </w:trPr>
        <w:tc>
          <w:tcPr>
            <w:tcW w:w="2186" w:type="dxa"/>
            <w:tcBorders>
              <w:top w:val="nil"/>
              <w:left w:val="nil"/>
            </w:tcBorders>
            <w:noWrap/>
            <w:tcMar>
              <w:top w:w="28" w:type="dxa"/>
              <w:left w:w="28" w:type="dxa"/>
              <w:bottom w:w="28" w:type="dxa"/>
              <w:right w:w="28" w:type="dxa"/>
            </w:tcMar>
            <w:hideMark/>
          </w:tcPr>
          <w:p w14:paraId="5E360D80" w14:textId="77777777" w:rsidR="004C3DC7" w:rsidRPr="0048196F" w:rsidRDefault="004C3DC7" w:rsidP="00E17FE3">
            <w:pPr>
              <w:rPr>
                <w:lang w:val="en-US"/>
              </w:rPr>
            </w:pPr>
            <w:r w:rsidRPr="0048196F">
              <w:rPr>
                <w:lang w:val="en-US"/>
              </w:rPr>
              <w:t>Forest Management</w:t>
            </w:r>
          </w:p>
        </w:tc>
        <w:tc>
          <w:tcPr>
            <w:tcW w:w="417" w:type="dxa"/>
            <w:tcBorders>
              <w:top w:val="nil"/>
            </w:tcBorders>
            <w:noWrap/>
            <w:tcMar>
              <w:top w:w="28" w:type="dxa"/>
              <w:left w:w="28" w:type="dxa"/>
              <w:bottom w:w="28" w:type="dxa"/>
              <w:right w:w="28" w:type="dxa"/>
            </w:tcMar>
            <w:hideMark/>
          </w:tcPr>
          <w:p w14:paraId="5AB0C90E" w14:textId="77777777" w:rsidR="004C3DC7" w:rsidRPr="0048196F" w:rsidRDefault="004C3DC7" w:rsidP="00E17FE3">
            <w:pPr>
              <w:rPr>
                <w:lang w:val="en-US"/>
              </w:rPr>
            </w:pPr>
            <w:r w:rsidRPr="0048196F">
              <w:rPr>
                <w:lang w:val="en-US"/>
              </w:rPr>
              <w:t>2</w:t>
            </w:r>
          </w:p>
        </w:tc>
        <w:tc>
          <w:tcPr>
            <w:tcW w:w="2818" w:type="dxa"/>
            <w:tcBorders>
              <w:top w:val="nil"/>
            </w:tcBorders>
            <w:noWrap/>
            <w:tcMar>
              <w:top w:w="28" w:type="dxa"/>
              <w:left w:w="28" w:type="dxa"/>
              <w:bottom w:w="28" w:type="dxa"/>
              <w:right w:w="28" w:type="dxa"/>
            </w:tcMar>
            <w:hideMark/>
          </w:tcPr>
          <w:p w14:paraId="4B1E0AF5" w14:textId="77777777" w:rsidR="004C3DC7" w:rsidRPr="0048196F" w:rsidRDefault="004C3DC7" w:rsidP="00E17FE3">
            <w:pPr>
              <w:rPr>
                <w:lang w:val="en-US"/>
              </w:rPr>
            </w:pPr>
          </w:p>
        </w:tc>
        <w:tc>
          <w:tcPr>
            <w:tcW w:w="3017" w:type="dxa"/>
            <w:tcBorders>
              <w:top w:val="nil"/>
            </w:tcBorders>
            <w:noWrap/>
            <w:tcMar>
              <w:top w:w="28" w:type="dxa"/>
              <w:left w:w="28" w:type="dxa"/>
              <w:bottom w:w="28" w:type="dxa"/>
              <w:right w:w="28" w:type="dxa"/>
            </w:tcMar>
          </w:tcPr>
          <w:p w14:paraId="5A972FEB" w14:textId="77777777" w:rsidR="004C3DC7" w:rsidRPr="0048196F" w:rsidRDefault="004C3DC7" w:rsidP="00E17FE3">
            <w:pPr>
              <w:rPr>
                <w:lang w:val="en-US"/>
              </w:rPr>
            </w:pPr>
            <w:r w:rsidRPr="0048196F">
              <w:rPr>
                <w:lang w:val="en-US"/>
              </w:rPr>
              <w:t>Wine Cultivation</w:t>
            </w:r>
          </w:p>
        </w:tc>
        <w:tc>
          <w:tcPr>
            <w:tcW w:w="431" w:type="dxa"/>
            <w:tcBorders>
              <w:top w:val="nil"/>
              <w:right w:val="nil"/>
            </w:tcBorders>
            <w:noWrap/>
          </w:tcPr>
          <w:p w14:paraId="75163F2E" w14:textId="77777777" w:rsidR="004C3DC7" w:rsidRPr="0048196F" w:rsidRDefault="004C3DC7" w:rsidP="00E17FE3">
            <w:pPr>
              <w:rPr>
                <w:lang w:val="en-US"/>
              </w:rPr>
            </w:pPr>
          </w:p>
        </w:tc>
      </w:tr>
      <w:tr w:rsidR="004C3DC7" w:rsidRPr="0048196F" w14:paraId="0CF3389F" w14:textId="77777777" w:rsidTr="00AB4CAE">
        <w:trPr>
          <w:cantSplit/>
          <w:trHeight w:val="416"/>
          <w:tblHeader/>
        </w:trPr>
        <w:tc>
          <w:tcPr>
            <w:tcW w:w="2186" w:type="dxa"/>
            <w:tcBorders>
              <w:left w:val="nil"/>
            </w:tcBorders>
            <w:noWrap/>
            <w:tcMar>
              <w:top w:w="28" w:type="dxa"/>
              <w:left w:w="28" w:type="dxa"/>
              <w:bottom w:w="28" w:type="dxa"/>
              <w:right w:w="28" w:type="dxa"/>
            </w:tcMar>
            <w:hideMark/>
          </w:tcPr>
          <w:p w14:paraId="4241C210" w14:textId="77777777" w:rsidR="004C3DC7" w:rsidRPr="0048196F" w:rsidRDefault="004C3DC7" w:rsidP="00E17FE3">
            <w:pPr>
              <w:rPr>
                <w:lang w:val="en-US"/>
              </w:rPr>
            </w:pPr>
            <w:r w:rsidRPr="0048196F">
              <w:rPr>
                <w:lang w:val="en-US"/>
              </w:rPr>
              <w:t xml:space="preserve">Policy </w:t>
            </w:r>
          </w:p>
        </w:tc>
        <w:tc>
          <w:tcPr>
            <w:tcW w:w="417" w:type="dxa"/>
            <w:noWrap/>
            <w:tcMar>
              <w:top w:w="28" w:type="dxa"/>
              <w:left w:w="28" w:type="dxa"/>
              <w:bottom w:w="28" w:type="dxa"/>
              <w:right w:w="28" w:type="dxa"/>
            </w:tcMar>
            <w:hideMark/>
          </w:tcPr>
          <w:p w14:paraId="6FBEA977" w14:textId="77777777" w:rsidR="004C3DC7" w:rsidRPr="0048196F" w:rsidRDefault="004C3DC7" w:rsidP="00E17FE3">
            <w:pPr>
              <w:rPr>
                <w:lang w:val="en-US"/>
              </w:rPr>
            </w:pPr>
            <w:r w:rsidRPr="0048196F">
              <w:rPr>
                <w:lang w:val="en-US"/>
              </w:rPr>
              <w:t>1</w:t>
            </w:r>
          </w:p>
        </w:tc>
        <w:tc>
          <w:tcPr>
            <w:tcW w:w="2818" w:type="dxa"/>
            <w:noWrap/>
            <w:tcMar>
              <w:top w:w="28" w:type="dxa"/>
              <w:left w:w="28" w:type="dxa"/>
              <w:bottom w:w="28" w:type="dxa"/>
              <w:right w:w="28" w:type="dxa"/>
            </w:tcMar>
            <w:hideMark/>
          </w:tcPr>
          <w:p w14:paraId="00782947" w14:textId="77777777" w:rsidR="004C3DC7" w:rsidRPr="0048196F" w:rsidRDefault="004C3DC7" w:rsidP="00E17FE3">
            <w:pPr>
              <w:rPr>
                <w:lang w:val="en-US"/>
              </w:rPr>
            </w:pPr>
          </w:p>
        </w:tc>
        <w:tc>
          <w:tcPr>
            <w:tcW w:w="3017" w:type="dxa"/>
            <w:noWrap/>
            <w:tcMar>
              <w:top w:w="28" w:type="dxa"/>
              <w:left w:w="28" w:type="dxa"/>
              <w:bottom w:w="28" w:type="dxa"/>
              <w:right w:w="28" w:type="dxa"/>
            </w:tcMar>
            <w:hideMark/>
          </w:tcPr>
          <w:p w14:paraId="1CD443C4" w14:textId="77777777" w:rsidR="004C3DC7" w:rsidRPr="0048196F" w:rsidRDefault="004C3DC7" w:rsidP="00E17FE3">
            <w:pPr>
              <w:rPr>
                <w:lang w:val="en-US"/>
              </w:rPr>
            </w:pPr>
            <w:r w:rsidRPr="0048196F">
              <w:rPr>
                <w:lang w:val="en-US"/>
              </w:rPr>
              <w:t>Pest Recognition</w:t>
            </w:r>
          </w:p>
        </w:tc>
        <w:tc>
          <w:tcPr>
            <w:tcW w:w="431" w:type="dxa"/>
            <w:tcBorders>
              <w:right w:val="nil"/>
            </w:tcBorders>
            <w:noWrap/>
          </w:tcPr>
          <w:p w14:paraId="163867CF" w14:textId="77777777" w:rsidR="004C3DC7" w:rsidRPr="0048196F" w:rsidRDefault="004C3DC7" w:rsidP="00E17FE3">
            <w:pPr>
              <w:rPr>
                <w:lang w:val="en-US"/>
              </w:rPr>
            </w:pPr>
          </w:p>
        </w:tc>
      </w:tr>
      <w:tr w:rsidR="004C3DC7" w:rsidRPr="0048196F" w14:paraId="043D076B" w14:textId="77777777" w:rsidTr="00AB4CAE">
        <w:trPr>
          <w:cantSplit/>
          <w:trHeight w:val="365"/>
          <w:tblHeader/>
        </w:trPr>
        <w:tc>
          <w:tcPr>
            <w:tcW w:w="2186" w:type="dxa"/>
            <w:tcBorders>
              <w:left w:val="nil"/>
            </w:tcBorders>
            <w:noWrap/>
            <w:tcMar>
              <w:top w:w="28" w:type="dxa"/>
              <w:left w:w="28" w:type="dxa"/>
              <w:bottom w:w="28" w:type="dxa"/>
              <w:right w:w="28" w:type="dxa"/>
            </w:tcMar>
            <w:hideMark/>
          </w:tcPr>
          <w:p w14:paraId="69CFE15F" w14:textId="77777777" w:rsidR="004C3DC7" w:rsidRPr="0048196F" w:rsidRDefault="004C3DC7" w:rsidP="00E17FE3">
            <w:pPr>
              <w:rPr>
                <w:lang w:val="en-US"/>
              </w:rPr>
            </w:pPr>
            <w:r w:rsidRPr="0048196F">
              <w:rPr>
                <w:lang w:val="en-US"/>
              </w:rPr>
              <w:t>Logistics</w:t>
            </w:r>
          </w:p>
        </w:tc>
        <w:tc>
          <w:tcPr>
            <w:tcW w:w="417" w:type="dxa"/>
            <w:noWrap/>
            <w:tcMar>
              <w:top w:w="28" w:type="dxa"/>
              <w:left w:w="28" w:type="dxa"/>
              <w:bottom w:w="28" w:type="dxa"/>
              <w:right w:w="28" w:type="dxa"/>
            </w:tcMar>
            <w:hideMark/>
          </w:tcPr>
          <w:p w14:paraId="6705E525" w14:textId="77777777" w:rsidR="004C3DC7" w:rsidRPr="0048196F" w:rsidRDefault="004C3DC7" w:rsidP="00E17FE3">
            <w:pPr>
              <w:rPr>
                <w:lang w:val="en-US"/>
              </w:rPr>
            </w:pPr>
            <w:r w:rsidRPr="0048196F">
              <w:rPr>
                <w:lang w:val="en-US"/>
              </w:rPr>
              <w:t>1</w:t>
            </w:r>
          </w:p>
        </w:tc>
        <w:tc>
          <w:tcPr>
            <w:tcW w:w="2818" w:type="dxa"/>
            <w:noWrap/>
            <w:tcMar>
              <w:top w:w="28" w:type="dxa"/>
              <w:left w:w="28" w:type="dxa"/>
              <w:bottom w:w="28" w:type="dxa"/>
              <w:right w:w="28" w:type="dxa"/>
            </w:tcMar>
          </w:tcPr>
          <w:p w14:paraId="6834A6B0" w14:textId="77777777" w:rsidR="004C3DC7" w:rsidRPr="0048196F" w:rsidRDefault="004C3DC7" w:rsidP="00E17FE3">
            <w:pPr>
              <w:rPr>
                <w:lang w:val="en-US"/>
              </w:rPr>
            </w:pPr>
          </w:p>
        </w:tc>
        <w:tc>
          <w:tcPr>
            <w:tcW w:w="3017" w:type="dxa"/>
            <w:noWrap/>
            <w:tcMar>
              <w:top w:w="28" w:type="dxa"/>
              <w:left w:w="28" w:type="dxa"/>
              <w:bottom w:w="28" w:type="dxa"/>
              <w:right w:w="28" w:type="dxa"/>
            </w:tcMar>
            <w:hideMark/>
          </w:tcPr>
          <w:p w14:paraId="46EB9D81" w14:textId="77777777" w:rsidR="004C3DC7" w:rsidRPr="0048196F" w:rsidRDefault="004C3DC7" w:rsidP="00E17FE3">
            <w:pPr>
              <w:rPr>
                <w:lang w:val="en-US"/>
              </w:rPr>
            </w:pPr>
            <w:r w:rsidRPr="0048196F">
              <w:rPr>
                <w:lang w:val="en-US"/>
              </w:rPr>
              <w:t>Harvesting Optimization</w:t>
            </w:r>
          </w:p>
        </w:tc>
        <w:tc>
          <w:tcPr>
            <w:tcW w:w="431" w:type="dxa"/>
            <w:tcBorders>
              <w:right w:val="nil"/>
            </w:tcBorders>
            <w:noWrap/>
          </w:tcPr>
          <w:p w14:paraId="58064976" w14:textId="77777777" w:rsidR="004C3DC7" w:rsidRPr="0048196F" w:rsidRDefault="004C3DC7" w:rsidP="00E17FE3">
            <w:pPr>
              <w:rPr>
                <w:lang w:val="en-US"/>
              </w:rPr>
            </w:pPr>
          </w:p>
        </w:tc>
      </w:tr>
      <w:tr w:rsidR="004C3DC7" w:rsidRPr="0048196F" w14:paraId="292661F3" w14:textId="77777777" w:rsidTr="00AB4CAE">
        <w:trPr>
          <w:cantSplit/>
          <w:trHeight w:val="262"/>
          <w:tblHeader/>
        </w:trPr>
        <w:tc>
          <w:tcPr>
            <w:tcW w:w="2186" w:type="dxa"/>
            <w:tcBorders>
              <w:left w:val="nil"/>
            </w:tcBorders>
            <w:noWrap/>
            <w:tcMar>
              <w:top w:w="28" w:type="dxa"/>
              <w:left w:w="28" w:type="dxa"/>
              <w:bottom w:w="28" w:type="dxa"/>
              <w:right w:w="28" w:type="dxa"/>
            </w:tcMar>
            <w:hideMark/>
          </w:tcPr>
          <w:p w14:paraId="3452354A" w14:textId="77777777" w:rsidR="004C3DC7" w:rsidRPr="0048196F" w:rsidRDefault="004C3DC7" w:rsidP="00E17FE3">
            <w:pPr>
              <w:rPr>
                <w:lang w:val="en-US"/>
              </w:rPr>
            </w:pPr>
          </w:p>
        </w:tc>
        <w:tc>
          <w:tcPr>
            <w:tcW w:w="417" w:type="dxa"/>
            <w:noWrap/>
            <w:tcMar>
              <w:top w:w="28" w:type="dxa"/>
              <w:left w:w="28" w:type="dxa"/>
              <w:bottom w:w="28" w:type="dxa"/>
              <w:right w:w="28" w:type="dxa"/>
            </w:tcMar>
            <w:hideMark/>
          </w:tcPr>
          <w:p w14:paraId="50D3322C" w14:textId="77777777" w:rsidR="004C3DC7" w:rsidRPr="0048196F" w:rsidRDefault="004C3DC7" w:rsidP="00E17FE3">
            <w:pPr>
              <w:rPr>
                <w:lang w:val="en-US"/>
              </w:rPr>
            </w:pPr>
          </w:p>
        </w:tc>
        <w:tc>
          <w:tcPr>
            <w:tcW w:w="2818" w:type="dxa"/>
            <w:noWrap/>
            <w:tcMar>
              <w:top w:w="28" w:type="dxa"/>
              <w:left w:w="28" w:type="dxa"/>
              <w:bottom w:w="28" w:type="dxa"/>
              <w:right w:w="28" w:type="dxa"/>
            </w:tcMar>
          </w:tcPr>
          <w:p w14:paraId="5138971A" w14:textId="77777777" w:rsidR="004C3DC7" w:rsidRPr="0048196F" w:rsidRDefault="004C3DC7" w:rsidP="00E17FE3">
            <w:pPr>
              <w:rPr>
                <w:lang w:val="en-US"/>
              </w:rPr>
            </w:pPr>
          </w:p>
        </w:tc>
        <w:tc>
          <w:tcPr>
            <w:tcW w:w="3017" w:type="dxa"/>
            <w:noWrap/>
            <w:tcMar>
              <w:top w:w="28" w:type="dxa"/>
              <w:left w:w="28" w:type="dxa"/>
              <w:bottom w:w="28" w:type="dxa"/>
              <w:right w:w="28" w:type="dxa"/>
            </w:tcMar>
            <w:hideMark/>
          </w:tcPr>
          <w:p w14:paraId="0309A77A" w14:textId="77777777" w:rsidR="004C3DC7" w:rsidRPr="0048196F" w:rsidRDefault="004C3DC7" w:rsidP="00E17FE3">
            <w:pPr>
              <w:rPr>
                <w:lang w:val="en-US"/>
              </w:rPr>
            </w:pPr>
            <w:r w:rsidRPr="0048196F">
              <w:rPr>
                <w:lang w:val="en-US"/>
              </w:rPr>
              <w:t>Crop Management 2x</w:t>
            </w:r>
          </w:p>
        </w:tc>
        <w:tc>
          <w:tcPr>
            <w:tcW w:w="431" w:type="dxa"/>
            <w:tcBorders>
              <w:right w:val="nil"/>
            </w:tcBorders>
            <w:noWrap/>
          </w:tcPr>
          <w:p w14:paraId="246A9D6F" w14:textId="77777777" w:rsidR="004C3DC7" w:rsidRPr="0048196F" w:rsidRDefault="004C3DC7" w:rsidP="00E17FE3">
            <w:pPr>
              <w:rPr>
                <w:lang w:val="en-US"/>
              </w:rPr>
            </w:pPr>
          </w:p>
        </w:tc>
      </w:tr>
      <w:tr w:rsidR="004C3DC7" w:rsidRPr="0048196F" w14:paraId="7E239D07" w14:textId="77777777" w:rsidTr="00AB4CAE">
        <w:trPr>
          <w:cantSplit/>
          <w:trHeight w:val="365"/>
          <w:tblHeader/>
        </w:trPr>
        <w:tc>
          <w:tcPr>
            <w:tcW w:w="2186" w:type="dxa"/>
            <w:tcBorders>
              <w:left w:val="nil"/>
            </w:tcBorders>
            <w:noWrap/>
            <w:tcMar>
              <w:top w:w="28" w:type="dxa"/>
              <w:left w:w="28" w:type="dxa"/>
              <w:bottom w:w="28" w:type="dxa"/>
              <w:right w:w="28" w:type="dxa"/>
            </w:tcMar>
          </w:tcPr>
          <w:p w14:paraId="408881B7" w14:textId="77777777" w:rsidR="004C3DC7" w:rsidRPr="0048196F" w:rsidRDefault="004C3DC7" w:rsidP="00E17FE3">
            <w:pPr>
              <w:rPr>
                <w:lang w:val="en-US"/>
              </w:rPr>
            </w:pPr>
          </w:p>
        </w:tc>
        <w:tc>
          <w:tcPr>
            <w:tcW w:w="417" w:type="dxa"/>
            <w:noWrap/>
            <w:tcMar>
              <w:top w:w="28" w:type="dxa"/>
              <w:left w:w="28" w:type="dxa"/>
              <w:bottom w:w="28" w:type="dxa"/>
              <w:right w:w="28" w:type="dxa"/>
            </w:tcMar>
          </w:tcPr>
          <w:p w14:paraId="4FE52C89" w14:textId="77777777" w:rsidR="004C3DC7" w:rsidRPr="0048196F" w:rsidRDefault="004C3DC7" w:rsidP="00E17FE3">
            <w:pPr>
              <w:rPr>
                <w:lang w:val="en-US"/>
              </w:rPr>
            </w:pPr>
          </w:p>
        </w:tc>
        <w:tc>
          <w:tcPr>
            <w:tcW w:w="2818" w:type="dxa"/>
            <w:noWrap/>
            <w:tcMar>
              <w:top w:w="28" w:type="dxa"/>
              <w:left w:w="28" w:type="dxa"/>
              <w:bottom w:w="28" w:type="dxa"/>
              <w:right w:w="28" w:type="dxa"/>
            </w:tcMar>
          </w:tcPr>
          <w:p w14:paraId="25EA628E" w14:textId="77777777" w:rsidR="004C3DC7" w:rsidRPr="0048196F" w:rsidRDefault="004C3DC7" w:rsidP="00E17FE3">
            <w:pPr>
              <w:rPr>
                <w:lang w:val="en-US"/>
              </w:rPr>
            </w:pPr>
          </w:p>
        </w:tc>
        <w:tc>
          <w:tcPr>
            <w:tcW w:w="3017" w:type="dxa"/>
            <w:noWrap/>
            <w:tcMar>
              <w:top w:w="28" w:type="dxa"/>
              <w:left w:w="28" w:type="dxa"/>
              <w:bottom w:w="28" w:type="dxa"/>
              <w:right w:w="28" w:type="dxa"/>
            </w:tcMar>
          </w:tcPr>
          <w:p w14:paraId="2BD3B2CF" w14:textId="77777777" w:rsidR="004C3DC7" w:rsidRPr="0048196F" w:rsidRDefault="004C3DC7" w:rsidP="00E17FE3">
            <w:pPr>
              <w:rPr>
                <w:lang w:val="en-US"/>
              </w:rPr>
            </w:pPr>
            <w:r w:rsidRPr="0048196F">
              <w:rPr>
                <w:lang w:val="en-US"/>
              </w:rPr>
              <w:t>Smart Irrigation</w:t>
            </w:r>
          </w:p>
        </w:tc>
        <w:tc>
          <w:tcPr>
            <w:tcW w:w="431" w:type="dxa"/>
            <w:tcBorders>
              <w:right w:val="nil"/>
            </w:tcBorders>
            <w:noWrap/>
          </w:tcPr>
          <w:p w14:paraId="737F8524" w14:textId="77777777" w:rsidR="004C3DC7" w:rsidRPr="0048196F" w:rsidRDefault="004C3DC7" w:rsidP="00E17FE3">
            <w:pPr>
              <w:rPr>
                <w:lang w:val="en-US"/>
              </w:rPr>
            </w:pPr>
          </w:p>
        </w:tc>
      </w:tr>
      <w:tr w:rsidR="004C3DC7" w:rsidRPr="0048196F" w14:paraId="027B9231" w14:textId="77777777" w:rsidTr="00AB4CAE">
        <w:trPr>
          <w:cantSplit/>
          <w:trHeight w:val="365"/>
          <w:tblHeader/>
        </w:trPr>
        <w:tc>
          <w:tcPr>
            <w:tcW w:w="2186" w:type="dxa"/>
            <w:tcBorders>
              <w:left w:val="nil"/>
            </w:tcBorders>
            <w:noWrap/>
            <w:tcMar>
              <w:top w:w="28" w:type="dxa"/>
              <w:left w:w="28" w:type="dxa"/>
              <w:bottom w:w="28" w:type="dxa"/>
              <w:right w:w="28" w:type="dxa"/>
            </w:tcMar>
          </w:tcPr>
          <w:p w14:paraId="374C0590" w14:textId="77777777" w:rsidR="004C3DC7" w:rsidRPr="0048196F" w:rsidRDefault="004C3DC7" w:rsidP="00E17FE3">
            <w:pPr>
              <w:rPr>
                <w:lang w:val="en-US"/>
              </w:rPr>
            </w:pPr>
          </w:p>
        </w:tc>
        <w:tc>
          <w:tcPr>
            <w:tcW w:w="417" w:type="dxa"/>
            <w:noWrap/>
            <w:tcMar>
              <w:top w:w="28" w:type="dxa"/>
              <w:left w:w="28" w:type="dxa"/>
              <w:bottom w:w="28" w:type="dxa"/>
              <w:right w:w="28" w:type="dxa"/>
            </w:tcMar>
          </w:tcPr>
          <w:p w14:paraId="7A7E2E11" w14:textId="77777777" w:rsidR="004C3DC7" w:rsidRPr="0048196F" w:rsidRDefault="004C3DC7" w:rsidP="00E17FE3">
            <w:pPr>
              <w:rPr>
                <w:lang w:val="en-US"/>
              </w:rPr>
            </w:pPr>
          </w:p>
        </w:tc>
        <w:tc>
          <w:tcPr>
            <w:tcW w:w="2818" w:type="dxa"/>
            <w:noWrap/>
            <w:tcMar>
              <w:top w:w="28" w:type="dxa"/>
              <w:left w:w="28" w:type="dxa"/>
              <w:bottom w:w="28" w:type="dxa"/>
              <w:right w:w="28" w:type="dxa"/>
            </w:tcMar>
          </w:tcPr>
          <w:p w14:paraId="55BA2A53" w14:textId="77777777" w:rsidR="004C3DC7" w:rsidRPr="0048196F" w:rsidRDefault="004C3DC7" w:rsidP="00E17FE3">
            <w:pPr>
              <w:rPr>
                <w:lang w:val="en-US"/>
              </w:rPr>
            </w:pPr>
            <w:r w:rsidRPr="0048196F">
              <w:rPr>
                <w:lang w:val="en-US"/>
              </w:rPr>
              <w:t>Information Management</w:t>
            </w:r>
          </w:p>
        </w:tc>
        <w:tc>
          <w:tcPr>
            <w:tcW w:w="3017" w:type="dxa"/>
            <w:noWrap/>
            <w:tcMar>
              <w:top w:w="28" w:type="dxa"/>
              <w:left w:w="28" w:type="dxa"/>
              <w:bottom w:w="28" w:type="dxa"/>
              <w:right w:w="28" w:type="dxa"/>
            </w:tcMar>
          </w:tcPr>
          <w:p w14:paraId="61F69E92" w14:textId="77777777" w:rsidR="004C3DC7" w:rsidRPr="0048196F" w:rsidRDefault="004C3DC7" w:rsidP="00E17FE3">
            <w:pPr>
              <w:rPr>
                <w:lang w:val="en-US"/>
              </w:rPr>
            </w:pPr>
            <w:r w:rsidRPr="0048196F">
              <w:rPr>
                <w:lang w:val="en-US"/>
              </w:rPr>
              <w:t>Urban Risk Management</w:t>
            </w:r>
          </w:p>
        </w:tc>
        <w:tc>
          <w:tcPr>
            <w:tcW w:w="431" w:type="dxa"/>
            <w:tcBorders>
              <w:right w:val="nil"/>
            </w:tcBorders>
            <w:noWrap/>
          </w:tcPr>
          <w:p w14:paraId="4D2E40DF" w14:textId="77777777" w:rsidR="004C3DC7" w:rsidRPr="0048196F" w:rsidRDefault="004C3DC7" w:rsidP="00E17FE3">
            <w:pPr>
              <w:rPr>
                <w:lang w:val="en-US"/>
              </w:rPr>
            </w:pPr>
          </w:p>
        </w:tc>
      </w:tr>
      <w:tr w:rsidR="004C3DC7" w:rsidRPr="0048196F" w14:paraId="0C07EB5B" w14:textId="77777777" w:rsidTr="00AB4CAE">
        <w:trPr>
          <w:cantSplit/>
          <w:trHeight w:val="365"/>
          <w:tblHeader/>
        </w:trPr>
        <w:tc>
          <w:tcPr>
            <w:tcW w:w="2186" w:type="dxa"/>
            <w:tcBorders>
              <w:left w:val="nil"/>
            </w:tcBorders>
            <w:noWrap/>
            <w:tcMar>
              <w:top w:w="28" w:type="dxa"/>
              <w:left w:w="28" w:type="dxa"/>
              <w:bottom w:w="28" w:type="dxa"/>
              <w:right w:w="28" w:type="dxa"/>
            </w:tcMar>
            <w:hideMark/>
          </w:tcPr>
          <w:p w14:paraId="59A419D9" w14:textId="77777777" w:rsidR="004C3DC7" w:rsidRPr="0048196F" w:rsidRDefault="004C3DC7" w:rsidP="00E17FE3">
            <w:pPr>
              <w:rPr>
                <w:lang w:val="en-US"/>
              </w:rPr>
            </w:pPr>
          </w:p>
        </w:tc>
        <w:tc>
          <w:tcPr>
            <w:tcW w:w="417" w:type="dxa"/>
            <w:noWrap/>
            <w:tcMar>
              <w:top w:w="28" w:type="dxa"/>
              <w:left w:w="28" w:type="dxa"/>
              <w:bottom w:w="28" w:type="dxa"/>
              <w:right w:w="28" w:type="dxa"/>
            </w:tcMar>
            <w:hideMark/>
          </w:tcPr>
          <w:p w14:paraId="07806E95" w14:textId="77777777" w:rsidR="004C3DC7" w:rsidRPr="0048196F" w:rsidRDefault="004C3DC7" w:rsidP="00E17FE3">
            <w:pPr>
              <w:rPr>
                <w:lang w:val="en-US"/>
              </w:rPr>
            </w:pPr>
          </w:p>
        </w:tc>
        <w:tc>
          <w:tcPr>
            <w:tcW w:w="2818" w:type="dxa"/>
            <w:noWrap/>
            <w:tcMar>
              <w:top w:w="28" w:type="dxa"/>
              <w:left w:w="28" w:type="dxa"/>
              <w:bottom w:w="28" w:type="dxa"/>
              <w:right w:w="28" w:type="dxa"/>
            </w:tcMar>
          </w:tcPr>
          <w:p w14:paraId="651EFEF4" w14:textId="77777777" w:rsidR="004C3DC7" w:rsidRPr="0048196F" w:rsidRDefault="004C3DC7" w:rsidP="00E17FE3">
            <w:pPr>
              <w:rPr>
                <w:lang w:val="en-US"/>
              </w:rPr>
            </w:pPr>
          </w:p>
        </w:tc>
        <w:tc>
          <w:tcPr>
            <w:tcW w:w="3017" w:type="dxa"/>
            <w:noWrap/>
            <w:tcMar>
              <w:top w:w="28" w:type="dxa"/>
              <w:left w:w="28" w:type="dxa"/>
              <w:bottom w:w="28" w:type="dxa"/>
              <w:right w:w="28" w:type="dxa"/>
            </w:tcMar>
            <w:hideMark/>
          </w:tcPr>
          <w:p w14:paraId="7127B2A6" w14:textId="77777777" w:rsidR="004C3DC7" w:rsidRPr="0048196F" w:rsidRDefault="004C3DC7" w:rsidP="00E17FE3">
            <w:pPr>
              <w:rPr>
                <w:lang w:val="en-US"/>
              </w:rPr>
            </w:pPr>
            <w:r w:rsidRPr="0048196F">
              <w:rPr>
                <w:lang w:val="en-US"/>
              </w:rPr>
              <w:t>Cost Calculation</w:t>
            </w:r>
          </w:p>
        </w:tc>
        <w:tc>
          <w:tcPr>
            <w:tcW w:w="431" w:type="dxa"/>
            <w:tcBorders>
              <w:right w:val="nil"/>
            </w:tcBorders>
            <w:noWrap/>
          </w:tcPr>
          <w:p w14:paraId="1AFD8C9C" w14:textId="77777777" w:rsidR="004C3DC7" w:rsidRPr="0048196F" w:rsidRDefault="004C3DC7" w:rsidP="00E17FE3">
            <w:pPr>
              <w:rPr>
                <w:lang w:val="en-US"/>
              </w:rPr>
            </w:pPr>
          </w:p>
        </w:tc>
      </w:tr>
      <w:tr w:rsidR="004C3DC7" w:rsidRPr="0048196F" w14:paraId="12465213" w14:textId="77777777" w:rsidTr="00AB4CAE">
        <w:trPr>
          <w:cantSplit/>
          <w:trHeight w:val="365"/>
          <w:tblHeader/>
        </w:trPr>
        <w:tc>
          <w:tcPr>
            <w:tcW w:w="2186" w:type="dxa"/>
            <w:tcBorders>
              <w:left w:val="nil"/>
            </w:tcBorders>
            <w:noWrap/>
            <w:tcMar>
              <w:top w:w="28" w:type="dxa"/>
              <w:left w:w="28" w:type="dxa"/>
              <w:bottom w:w="28" w:type="dxa"/>
              <w:right w:w="28" w:type="dxa"/>
            </w:tcMar>
            <w:hideMark/>
          </w:tcPr>
          <w:p w14:paraId="26DCBBC1" w14:textId="77777777" w:rsidR="004C3DC7" w:rsidRPr="0048196F" w:rsidRDefault="004C3DC7" w:rsidP="00E17FE3">
            <w:pPr>
              <w:rPr>
                <w:lang w:val="en-US"/>
              </w:rPr>
            </w:pPr>
          </w:p>
        </w:tc>
        <w:tc>
          <w:tcPr>
            <w:tcW w:w="417" w:type="dxa"/>
            <w:noWrap/>
            <w:tcMar>
              <w:top w:w="28" w:type="dxa"/>
              <w:left w:w="28" w:type="dxa"/>
              <w:bottom w:w="28" w:type="dxa"/>
              <w:right w:w="28" w:type="dxa"/>
            </w:tcMar>
            <w:hideMark/>
          </w:tcPr>
          <w:p w14:paraId="7D1BAFB4" w14:textId="77777777" w:rsidR="004C3DC7" w:rsidRPr="0048196F" w:rsidRDefault="004C3DC7" w:rsidP="00E17FE3">
            <w:pPr>
              <w:rPr>
                <w:lang w:val="en-US"/>
              </w:rPr>
            </w:pPr>
          </w:p>
        </w:tc>
        <w:tc>
          <w:tcPr>
            <w:tcW w:w="2818" w:type="dxa"/>
            <w:noWrap/>
            <w:tcMar>
              <w:top w:w="28" w:type="dxa"/>
              <w:left w:w="28" w:type="dxa"/>
              <w:bottom w:w="28" w:type="dxa"/>
              <w:right w:w="28" w:type="dxa"/>
            </w:tcMar>
            <w:hideMark/>
          </w:tcPr>
          <w:p w14:paraId="2A308F5E" w14:textId="77777777" w:rsidR="004C3DC7" w:rsidRPr="0048196F" w:rsidRDefault="004C3DC7" w:rsidP="00E17FE3">
            <w:pPr>
              <w:rPr>
                <w:lang w:val="en-US"/>
              </w:rPr>
            </w:pPr>
          </w:p>
        </w:tc>
        <w:tc>
          <w:tcPr>
            <w:tcW w:w="3017" w:type="dxa"/>
            <w:noWrap/>
            <w:tcMar>
              <w:top w:w="28" w:type="dxa"/>
              <w:left w:w="28" w:type="dxa"/>
              <w:bottom w:w="28" w:type="dxa"/>
              <w:right w:w="28" w:type="dxa"/>
            </w:tcMar>
            <w:hideMark/>
          </w:tcPr>
          <w:p w14:paraId="23F8D01C" w14:textId="77777777" w:rsidR="004C3DC7" w:rsidRPr="0048196F" w:rsidRDefault="004C3DC7" w:rsidP="00E17FE3">
            <w:pPr>
              <w:rPr>
                <w:lang w:val="en-US"/>
              </w:rPr>
            </w:pPr>
            <w:r w:rsidRPr="0048196F">
              <w:rPr>
                <w:lang w:val="en-US"/>
              </w:rPr>
              <w:t>Supply chain Management</w:t>
            </w:r>
          </w:p>
        </w:tc>
        <w:tc>
          <w:tcPr>
            <w:tcW w:w="431" w:type="dxa"/>
            <w:tcBorders>
              <w:right w:val="nil"/>
            </w:tcBorders>
            <w:noWrap/>
          </w:tcPr>
          <w:p w14:paraId="1B54762D" w14:textId="77777777" w:rsidR="004C3DC7" w:rsidRPr="0048196F" w:rsidRDefault="004C3DC7" w:rsidP="00E17FE3">
            <w:pPr>
              <w:rPr>
                <w:lang w:val="en-US"/>
              </w:rPr>
            </w:pPr>
          </w:p>
        </w:tc>
      </w:tr>
      <w:tr w:rsidR="004C3DC7" w:rsidRPr="0048196F" w14:paraId="1E99C87D" w14:textId="77777777" w:rsidTr="00AB4CAE">
        <w:trPr>
          <w:cantSplit/>
          <w:trHeight w:val="365"/>
          <w:tblHeader/>
        </w:trPr>
        <w:tc>
          <w:tcPr>
            <w:tcW w:w="2186" w:type="dxa"/>
            <w:tcBorders>
              <w:left w:val="nil"/>
            </w:tcBorders>
            <w:noWrap/>
            <w:tcMar>
              <w:top w:w="28" w:type="dxa"/>
              <w:left w:w="28" w:type="dxa"/>
              <w:bottom w:w="28" w:type="dxa"/>
              <w:right w:w="28" w:type="dxa"/>
            </w:tcMar>
            <w:hideMark/>
          </w:tcPr>
          <w:p w14:paraId="2EC75F72" w14:textId="77777777" w:rsidR="004C3DC7" w:rsidRPr="0048196F" w:rsidRDefault="004C3DC7" w:rsidP="00E17FE3">
            <w:pPr>
              <w:rPr>
                <w:lang w:val="en-US"/>
              </w:rPr>
            </w:pPr>
          </w:p>
        </w:tc>
        <w:tc>
          <w:tcPr>
            <w:tcW w:w="417" w:type="dxa"/>
            <w:noWrap/>
            <w:tcMar>
              <w:top w:w="28" w:type="dxa"/>
              <w:left w:w="28" w:type="dxa"/>
              <w:bottom w:w="28" w:type="dxa"/>
              <w:right w:w="28" w:type="dxa"/>
            </w:tcMar>
            <w:hideMark/>
          </w:tcPr>
          <w:p w14:paraId="31A56943" w14:textId="77777777" w:rsidR="004C3DC7" w:rsidRPr="0048196F" w:rsidRDefault="004C3DC7" w:rsidP="00E17FE3">
            <w:pPr>
              <w:rPr>
                <w:lang w:val="en-US"/>
              </w:rPr>
            </w:pPr>
          </w:p>
        </w:tc>
        <w:tc>
          <w:tcPr>
            <w:tcW w:w="2818" w:type="dxa"/>
            <w:noWrap/>
            <w:tcMar>
              <w:top w:w="28" w:type="dxa"/>
              <w:left w:w="28" w:type="dxa"/>
              <w:bottom w:w="28" w:type="dxa"/>
              <w:right w:w="28" w:type="dxa"/>
            </w:tcMar>
            <w:hideMark/>
          </w:tcPr>
          <w:p w14:paraId="31C408CE" w14:textId="77777777" w:rsidR="004C3DC7" w:rsidRPr="0048196F" w:rsidRDefault="004C3DC7" w:rsidP="00E17FE3">
            <w:pPr>
              <w:rPr>
                <w:lang w:val="en-US"/>
              </w:rPr>
            </w:pPr>
          </w:p>
        </w:tc>
        <w:tc>
          <w:tcPr>
            <w:tcW w:w="3017" w:type="dxa"/>
            <w:noWrap/>
            <w:tcMar>
              <w:top w:w="28" w:type="dxa"/>
              <w:left w:w="28" w:type="dxa"/>
              <w:bottom w:w="28" w:type="dxa"/>
              <w:right w:w="28" w:type="dxa"/>
            </w:tcMar>
            <w:hideMark/>
          </w:tcPr>
          <w:p w14:paraId="48929C07" w14:textId="77777777" w:rsidR="004C3DC7" w:rsidRPr="0048196F" w:rsidRDefault="004C3DC7" w:rsidP="00E17FE3">
            <w:pPr>
              <w:rPr>
                <w:lang w:val="en-US"/>
              </w:rPr>
            </w:pPr>
            <w:r w:rsidRPr="0048196F">
              <w:rPr>
                <w:lang w:val="en-US"/>
              </w:rPr>
              <w:t>Inventory Management</w:t>
            </w:r>
          </w:p>
        </w:tc>
        <w:tc>
          <w:tcPr>
            <w:tcW w:w="431" w:type="dxa"/>
            <w:tcBorders>
              <w:right w:val="nil"/>
            </w:tcBorders>
            <w:noWrap/>
            <w:hideMark/>
          </w:tcPr>
          <w:p w14:paraId="3B78A68A" w14:textId="77777777" w:rsidR="004C3DC7" w:rsidRPr="0048196F" w:rsidRDefault="004C3DC7" w:rsidP="00E17FE3">
            <w:pPr>
              <w:rPr>
                <w:lang w:val="en-US"/>
              </w:rPr>
            </w:pPr>
          </w:p>
        </w:tc>
      </w:tr>
      <w:tr w:rsidR="004C3DC7" w:rsidRPr="0048196F" w14:paraId="327921E9" w14:textId="77777777" w:rsidTr="00AB4CAE">
        <w:trPr>
          <w:cantSplit/>
          <w:trHeight w:val="365"/>
          <w:tblHeader/>
        </w:trPr>
        <w:tc>
          <w:tcPr>
            <w:tcW w:w="2186" w:type="dxa"/>
            <w:tcBorders>
              <w:left w:val="nil"/>
            </w:tcBorders>
            <w:noWrap/>
            <w:tcMar>
              <w:top w:w="28" w:type="dxa"/>
              <w:left w:w="28" w:type="dxa"/>
              <w:bottom w:w="28" w:type="dxa"/>
              <w:right w:w="28" w:type="dxa"/>
            </w:tcMar>
            <w:hideMark/>
          </w:tcPr>
          <w:p w14:paraId="0CAD1A69" w14:textId="77777777" w:rsidR="004C3DC7" w:rsidRPr="0048196F" w:rsidRDefault="004C3DC7" w:rsidP="00E17FE3">
            <w:pPr>
              <w:rPr>
                <w:lang w:val="en-US"/>
              </w:rPr>
            </w:pPr>
          </w:p>
        </w:tc>
        <w:tc>
          <w:tcPr>
            <w:tcW w:w="417" w:type="dxa"/>
            <w:noWrap/>
            <w:tcMar>
              <w:top w:w="28" w:type="dxa"/>
              <w:left w:w="28" w:type="dxa"/>
              <w:bottom w:w="28" w:type="dxa"/>
              <w:right w:w="28" w:type="dxa"/>
            </w:tcMar>
            <w:hideMark/>
          </w:tcPr>
          <w:p w14:paraId="67DAEE0E" w14:textId="77777777" w:rsidR="004C3DC7" w:rsidRPr="0048196F" w:rsidRDefault="004C3DC7" w:rsidP="00E17FE3">
            <w:pPr>
              <w:rPr>
                <w:lang w:val="en-US"/>
              </w:rPr>
            </w:pPr>
          </w:p>
        </w:tc>
        <w:tc>
          <w:tcPr>
            <w:tcW w:w="2818" w:type="dxa"/>
            <w:noWrap/>
            <w:tcMar>
              <w:top w:w="28" w:type="dxa"/>
              <w:left w:w="28" w:type="dxa"/>
              <w:bottom w:w="28" w:type="dxa"/>
              <w:right w:w="28" w:type="dxa"/>
            </w:tcMar>
            <w:hideMark/>
          </w:tcPr>
          <w:p w14:paraId="54EB8CF7" w14:textId="77777777" w:rsidR="004C3DC7" w:rsidRPr="0048196F" w:rsidRDefault="004C3DC7" w:rsidP="00E17FE3">
            <w:pPr>
              <w:rPr>
                <w:lang w:val="en-US"/>
              </w:rPr>
            </w:pPr>
          </w:p>
        </w:tc>
        <w:tc>
          <w:tcPr>
            <w:tcW w:w="3017" w:type="dxa"/>
            <w:noWrap/>
            <w:tcMar>
              <w:top w:w="28" w:type="dxa"/>
              <w:left w:w="28" w:type="dxa"/>
              <w:bottom w:w="28" w:type="dxa"/>
              <w:right w:w="28" w:type="dxa"/>
            </w:tcMar>
            <w:hideMark/>
          </w:tcPr>
          <w:p w14:paraId="6B8BBF90" w14:textId="77777777" w:rsidR="004C3DC7" w:rsidRPr="0048196F" w:rsidRDefault="004C3DC7" w:rsidP="00E17FE3">
            <w:pPr>
              <w:rPr>
                <w:lang w:val="en-US"/>
              </w:rPr>
            </w:pPr>
            <w:r w:rsidRPr="0048196F">
              <w:rPr>
                <w:lang w:val="en-US"/>
              </w:rPr>
              <w:t>Biomass Logistics</w:t>
            </w:r>
          </w:p>
        </w:tc>
        <w:tc>
          <w:tcPr>
            <w:tcW w:w="431" w:type="dxa"/>
            <w:tcBorders>
              <w:right w:val="nil"/>
            </w:tcBorders>
            <w:noWrap/>
            <w:hideMark/>
          </w:tcPr>
          <w:p w14:paraId="6B40DD5D" w14:textId="77777777" w:rsidR="004C3DC7" w:rsidRPr="0048196F" w:rsidRDefault="004C3DC7" w:rsidP="00E17FE3">
            <w:pPr>
              <w:rPr>
                <w:lang w:val="en-US"/>
              </w:rPr>
            </w:pPr>
          </w:p>
        </w:tc>
      </w:tr>
      <w:tr w:rsidR="004C3DC7" w:rsidRPr="0048196F" w14:paraId="096FDCC5" w14:textId="77777777" w:rsidTr="00AB4CAE">
        <w:trPr>
          <w:cantSplit/>
          <w:trHeight w:val="365"/>
          <w:tblHeader/>
        </w:trPr>
        <w:tc>
          <w:tcPr>
            <w:tcW w:w="2186" w:type="dxa"/>
            <w:tcBorders>
              <w:left w:val="nil"/>
            </w:tcBorders>
            <w:noWrap/>
            <w:tcMar>
              <w:top w:w="28" w:type="dxa"/>
              <w:left w:w="28" w:type="dxa"/>
              <w:bottom w:w="28" w:type="dxa"/>
              <w:right w:w="28" w:type="dxa"/>
            </w:tcMar>
          </w:tcPr>
          <w:p w14:paraId="6C16BB7D" w14:textId="77777777" w:rsidR="004C3DC7" w:rsidRPr="0048196F" w:rsidRDefault="004C3DC7" w:rsidP="00E17FE3">
            <w:pPr>
              <w:rPr>
                <w:lang w:val="en-US"/>
              </w:rPr>
            </w:pPr>
          </w:p>
        </w:tc>
        <w:tc>
          <w:tcPr>
            <w:tcW w:w="417" w:type="dxa"/>
            <w:noWrap/>
            <w:tcMar>
              <w:top w:w="28" w:type="dxa"/>
              <w:left w:w="28" w:type="dxa"/>
              <w:bottom w:w="28" w:type="dxa"/>
              <w:right w:w="28" w:type="dxa"/>
            </w:tcMar>
          </w:tcPr>
          <w:p w14:paraId="3F238E11" w14:textId="77777777" w:rsidR="004C3DC7" w:rsidRPr="0048196F" w:rsidRDefault="004C3DC7" w:rsidP="00E17FE3">
            <w:pPr>
              <w:rPr>
                <w:lang w:val="en-US"/>
              </w:rPr>
            </w:pPr>
          </w:p>
        </w:tc>
        <w:tc>
          <w:tcPr>
            <w:tcW w:w="2818" w:type="dxa"/>
            <w:noWrap/>
            <w:tcMar>
              <w:top w:w="28" w:type="dxa"/>
              <w:left w:w="28" w:type="dxa"/>
              <w:bottom w:w="28" w:type="dxa"/>
              <w:right w:w="28" w:type="dxa"/>
            </w:tcMar>
          </w:tcPr>
          <w:p w14:paraId="520DEC21" w14:textId="77777777" w:rsidR="004C3DC7" w:rsidRPr="0048196F" w:rsidRDefault="004C3DC7" w:rsidP="00E17FE3">
            <w:pPr>
              <w:rPr>
                <w:lang w:val="en-US"/>
              </w:rPr>
            </w:pPr>
          </w:p>
        </w:tc>
        <w:tc>
          <w:tcPr>
            <w:tcW w:w="3017" w:type="dxa"/>
            <w:noWrap/>
            <w:tcMar>
              <w:top w:w="28" w:type="dxa"/>
              <w:left w:w="28" w:type="dxa"/>
              <w:bottom w:w="28" w:type="dxa"/>
              <w:right w:w="28" w:type="dxa"/>
            </w:tcMar>
          </w:tcPr>
          <w:p w14:paraId="7B28928A" w14:textId="77777777" w:rsidR="004C3DC7" w:rsidRPr="0048196F" w:rsidRDefault="004C3DC7" w:rsidP="00E17FE3">
            <w:pPr>
              <w:rPr>
                <w:lang w:val="en-US"/>
              </w:rPr>
            </w:pPr>
            <w:r w:rsidRPr="0048196F">
              <w:rPr>
                <w:lang w:val="en-US"/>
              </w:rPr>
              <w:t>Vineyard management</w:t>
            </w:r>
          </w:p>
        </w:tc>
        <w:tc>
          <w:tcPr>
            <w:tcW w:w="431" w:type="dxa"/>
            <w:tcBorders>
              <w:right w:val="nil"/>
            </w:tcBorders>
            <w:noWrap/>
          </w:tcPr>
          <w:p w14:paraId="5E8AAF31" w14:textId="77777777" w:rsidR="004C3DC7" w:rsidRPr="0048196F" w:rsidRDefault="004C3DC7" w:rsidP="00E17FE3">
            <w:pPr>
              <w:rPr>
                <w:lang w:val="en-US"/>
              </w:rPr>
            </w:pPr>
          </w:p>
        </w:tc>
      </w:tr>
      <w:tr w:rsidR="004C3DC7" w:rsidRPr="0048196F" w14:paraId="10D02E00" w14:textId="77777777" w:rsidTr="00AB4CAE">
        <w:trPr>
          <w:cantSplit/>
          <w:trHeight w:val="365"/>
          <w:tblHeader/>
        </w:trPr>
        <w:tc>
          <w:tcPr>
            <w:tcW w:w="2186" w:type="dxa"/>
            <w:tcBorders>
              <w:left w:val="nil"/>
            </w:tcBorders>
            <w:noWrap/>
            <w:tcMar>
              <w:top w:w="28" w:type="dxa"/>
              <w:left w:w="28" w:type="dxa"/>
              <w:bottom w:w="28" w:type="dxa"/>
              <w:right w:w="28" w:type="dxa"/>
            </w:tcMar>
            <w:hideMark/>
          </w:tcPr>
          <w:p w14:paraId="23752F9C" w14:textId="77777777" w:rsidR="004C3DC7" w:rsidRPr="0048196F" w:rsidRDefault="004C3DC7" w:rsidP="00E17FE3">
            <w:pPr>
              <w:rPr>
                <w:lang w:val="en-US"/>
              </w:rPr>
            </w:pPr>
          </w:p>
        </w:tc>
        <w:tc>
          <w:tcPr>
            <w:tcW w:w="417" w:type="dxa"/>
            <w:noWrap/>
            <w:tcMar>
              <w:top w:w="28" w:type="dxa"/>
              <w:left w:w="28" w:type="dxa"/>
              <w:bottom w:w="28" w:type="dxa"/>
              <w:right w:w="28" w:type="dxa"/>
            </w:tcMar>
            <w:hideMark/>
          </w:tcPr>
          <w:p w14:paraId="61B0366E" w14:textId="77777777" w:rsidR="004C3DC7" w:rsidRPr="0048196F" w:rsidRDefault="004C3DC7" w:rsidP="00E17FE3">
            <w:pPr>
              <w:rPr>
                <w:lang w:val="en-US"/>
              </w:rPr>
            </w:pPr>
          </w:p>
        </w:tc>
        <w:tc>
          <w:tcPr>
            <w:tcW w:w="2818" w:type="dxa"/>
            <w:noWrap/>
            <w:tcMar>
              <w:top w:w="28" w:type="dxa"/>
              <w:left w:w="28" w:type="dxa"/>
              <w:bottom w:w="28" w:type="dxa"/>
              <w:right w:w="28" w:type="dxa"/>
            </w:tcMar>
            <w:hideMark/>
          </w:tcPr>
          <w:p w14:paraId="40251418" w14:textId="77777777" w:rsidR="004C3DC7" w:rsidRPr="0048196F" w:rsidRDefault="004C3DC7" w:rsidP="00E17FE3">
            <w:pPr>
              <w:rPr>
                <w:lang w:val="en-US"/>
              </w:rPr>
            </w:pPr>
            <w:r w:rsidRPr="0048196F">
              <w:rPr>
                <w:lang w:val="en-US"/>
              </w:rPr>
              <w:t>Automation &amp; Robotics</w:t>
            </w:r>
          </w:p>
        </w:tc>
        <w:tc>
          <w:tcPr>
            <w:tcW w:w="3017" w:type="dxa"/>
            <w:noWrap/>
            <w:tcMar>
              <w:top w:w="28" w:type="dxa"/>
              <w:left w:w="28" w:type="dxa"/>
              <w:bottom w:w="28" w:type="dxa"/>
              <w:right w:w="28" w:type="dxa"/>
            </w:tcMar>
            <w:hideMark/>
          </w:tcPr>
          <w:p w14:paraId="6980B967" w14:textId="77777777" w:rsidR="004C3DC7" w:rsidRPr="0048196F" w:rsidRDefault="004C3DC7" w:rsidP="00E17FE3">
            <w:pPr>
              <w:rPr>
                <w:lang w:val="en-US"/>
              </w:rPr>
            </w:pPr>
            <w:r w:rsidRPr="0048196F">
              <w:rPr>
                <w:lang w:val="en-US"/>
              </w:rPr>
              <w:t>Livestock Robotics</w:t>
            </w:r>
          </w:p>
        </w:tc>
        <w:tc>
          <w:tcPr>
            <w:tcW w:w="431" w:type="dxa"/>
            <w:tcBorders>
              <w:right w:val="nil"/>
            </w:tcBorders>
            <w:noWrap/>
            <w:hideMark/>
          </w:tcPr>
          <w:p w14:paraId="0A5598B6" w14:textId="77777777" w:rsidR="004C3DC7" w:rsidRPr="0048196F" w:rsidRDefault="004C3DC7" w:rsidP="00E17FE3">
            <w:pPr>
              <w:rPr>
                <w:lang w:val="en-US"/>
              </w:rPr>
            </w:pPr>
          </w:p>
        </w:tc>
      </w:tr>
      <w:tr w:rsidR="004C3DC7" w:rsidRPr="0048196F" w14:paraId="488758AD" w14:textId="77777777" w:rsidTr="00AB4CAE">
        <w:trPr>
          <w:cantSplit/>
          <w:trHeight w:val="365"/>
          <w:tblHeader/>
        </w:trPr>
        <w:tc>
          <w:tcPr>
            <w:tcW w:w="2186" w:type="dxa"/>
            <w:tcBorders>
              <w:left w:val="nil"/>
            </w:tcBorders>
            <w:noWrap/>
            <w:tcMar>
              <w:top w:w="28" w:type="dxa"/>
              <w:left w:w="28" w:type="dxa"/>
              <w:bottom w:w="28" w:type="dxa"/>
              <w:right w:w="28" w:type="dxa"/>
            </w:tcMar>
            <w:hideMark/>
          </w:tcPr>
          <w:p w14:paraId="1D816C1A" w14:textId="77777777" w:rsidR="004C3DC7" w:rsidRPr="0048196F" w:rsidRDefault="004C3DC7" w:rsidP="00E17FE3">
            <w:pPr>
              <w:rPr>
                <w:lang w:val="en-US"/>
              </w:rPr>
            </w:pPr>
          </w:p>
        </w:tc>
        <w:tc>
          <w:tcPr>
            <w:tcW w:w="417" w:type="dxa"/>
            <w:noWrap/>
            <w:tcMar>
              <w:top w:w="28" w:type="dxa"/>
              <w:left w:w="28" w:type="dxa"/>
              <w:bottom w:w="28" w:type="dxa"/>
              <w:right w:w="28" w:type="dxa"/>
            </w:tcMar>
            <w:hideMark/>
          </w:tcPr>
          <w:p w14:paraId="091CDA78" w14:textId="77777777" w:rsidR="004C3DC7" w:rsidRPr="0048196F" w:rsidRDefault="004C3DC7" w:rsidP="00E17FE3">
            <w:pPr>
              <w:rPr>
                <w:lang w:val="en-US"/>
              </w:rPr>
            </w:pPr>
          </w:p>
        </w:tc>
        <w:tc>
          <w:tcPr>
            <w:tcW w:w="2818" w:type="dxa"/>
            <w:noWrap/>
            <w:tcMar>
              <w:top w:w="28" w:type="dxa"/>
              <w:left w:w="28" w:type="dxa"/>
              <w:bottom w:w="28" w:type="dxa"/>
              <w:right w:w="28" w:type="dxa"/>
            </w:tcMar>
            <w:hideMark/>
          </w:tcPr>
          <w:p w14:paraId="32F5E9D6" w14:textId="77777777" w:rsidR="004C3DC7" w:rsidRPr="0048196F" w:rsidRDefault="004C3DC7" w:rsidP="00E17FE3">
            <w:pPr>
              <w:rPr>
                <w:lang w:val="en-US"/>
              </w:rPr>
            </w:pPr>
          </w:p>
        </w:tc>
        <w:tc>
          <w:tcPr>
            <w:tcW w:w="3017" w:type="dxa"/>
            <w:noWrap/>
            <w:tcMar>
              <w:top w:w="28" w:type="dxa"/>
              <w:left w:w="28" w:type="dxa"/>
              <w:bottom w:w="28" w:type="dxa"/>
              <w:right w:w="28" w:type="dxa"/>
            </w:tcMar>
            <w:hideMark/>
          </w:tcPr>
          <w:p w14:paraId="1F189215" w14:textId="77777777" w:rsidR="004C3DC7" w:rsidRPr="0048196F" w:rsidRDefault="004C3DC7" w:rsidP="00E17FE3">
            <w:pPr>
              <w:rPr>
                <w:lang w:val="en-US"/>
              </w:rPr>
            </w:pPr>
            <w:r w:rsidRPr="0048196F">
              <w:rPr>
                <w:lang w:val="en-US"/>
              </w:rPr>
              <w:t>Plot Spraying</w:t>
            </w:r>
          </w:p>
        </w:tc>
        <w:tc>
          <w:tcPr>
            <w:tcW w:w="431" w:type="dxa"/>
            <w:tcBorders>
              <w:right w:val="nil"/>
            </w:tcBorders>
            <w:noWrap/>
            <w:hideMark/>
          </w:tcPr>
          <w:p w14:paraId="0CA8F338" w14:textId="77777777" w:rsidR="004C3DC7" w:rsidRPr="0048196F" w:rsidRDefault="004C3DC7" w:rsidP="00E17FE3">
            <w:pPr>
              <w:rPr>
                <w:lang w:val="en-US"/>
              </w:rPr>
            </w:pPr>
          </w:p>
        </w:tc>
      </w:tr>
      <w:tr w:rsidR="004C3DC7" w:rsidRPr="0048196F" w14:paraId="6C8D3DF5" w14:textId="77777777" w:rsidTr="00AB4CAE">
        <w:trPr>
          <w:cantSplit/>
          <w:trHeight w:val="365"/>
          <w:tblHeader/>
        </w:trPr>
        <w:tc>
          <w:tcPr>
            <w:tcW w:w="2186" w:type="dxa"/>
            <w:tcBorders>
              <w:left w:val="nil"/>
              <w:bottom w:val="nil"/>
            </w:tcBorders>
            <w:noWrap/>
            <w:tcMar>
              <w:top w:w="28" w:type="dxa"/>
              <w:left w:w="28" w:type="dxa"/>
              <w:bottom w:w="28" w:type="dxa"/>
              <w:right w:w="28" w:type="dxa"/>
            </w:tcMar>
            <w:hideMark/>
          </w:tcPr>
          <w:p w14:paraId="0B61BA92" w14:textId="77777777" w:rsidR="004C3DC7" w:rsidRPr="0048196F" w:rsidRDefault="004C3DC7" w:rsidP="00E17FE3">
            <w:pPr>
              <w:rPr>
                <w:lang w:val="en-US"/>
              </w:rPr>
            </w:pPr>
          </w:p>
        </w:tc>
        <w:tc>
          <w:tcPr>
            <w:tcW w:w="417" w:type="dxa"/>
            <w:tcBorders>
              <w:bottom w:val="nil"/>
            </w:tcBorders>
            <w:noWrap/>
            <w:tcMar>
              <w:top w:w="28" w:type="dxa"/>
              <w:left w:w="28" w:type="dxa"/>
              <w:bottom w:w="28" w:type="dxa"/>
              <w:right w:w="28" w:type="dxa"/>
            </w:tcMar>
            <w:hideMark/>
          </w:tcPr>
          <w:p w14:paraId="3F3F1EB9" w14:textId="77777777" w:rsidR="004C3DC7" w:rsidRPr="0048196F" w:rsidRDefault="004C3DC7" w:rsidP="00E17FE3">
            <w:pPr>
              <w:rPr>
                <w:lang w:val="en-US"/>
              </w:rPr>
            </w:pPr>
          </w:p>
        </w:tc>
        <w:tc>
          <w:tcPr>
            <w:tcW w:w="2818" w:type="dxa"/>
            <w:tcBorders>
              <w:bottom w:val="nil"/>
            </w:tcBorders>
            <w:noWrap/>
            <w:tcMar>
              <w:top w:w="28" w:type="dxa"/>
              <w:left w:w="28" w:type="dxa"/>
              <w:bottom w:w="28" w:type="dxa"/>
              <w:right w:w="28" w:type="dxa"/>
            </w:tcMar>
            <w:hideMark/>
          </w:tcPr>
          <w:p w14:paraId="738A7512" w14:textId="77777777" w:rsidR="004C3DC7" w:rsidRPr="0048196F" w:rsidRDefault="004C3DC7" w:rsidP="00E17FE3">
            <w:pPr>
              <w:rPr>
                <w:lang w:val="en-US"/>
              </w:rPr>
            </w:pPr>
          </w:p>
        </w:tc>
        <w:tc>
          <w:tcPr>
            <w:tcW w:w="3017" w:type="dxa"/>
            <w:tcBorders>
              <w:bottom w:val="nil"/>
            </w:tcBorders>
            <w:noWrap/>
            <w:tcMar>
              <w:top w:w="28" w:type="dxa"/>
              <w:left w:w="28" w:type="dxa"/>
              <w:bottom w:w="28" w:type="dxa"/>
              <w:right w:w="28" w:type="dxa"/>
            </w:tcMar>
            <w:hideMark/>
          </w:tcPr>
          <w:p w14:paraId="21BA39E3" w14:textId="77777777" w:rsidR="004C3DC7" w:rsidRPr="0048196F" w:rsidRDefault="004C3DC7" w:rsidP="00E17FE3">
            <w:pPr>
              <w:rPr>
                <w:lang w:val="en-US"/>
              </w:rPr>
            </w:pPr>
            <w:r w:rsidRPr="0048196F">
              <w:rPr>
                <w:lang w:val="en-US"/>
              </w:rPr>
              <w:t>Cultivation Machinery</w:t>
            </w:r>
          </w:p>
        </w:tc>
        <w:tc>
          <w:tcPr>
            <w:tcW w:w="431" w:type="dxa"/>
            <w:tcBorders>
              <w:bottom w:val="nil"/>
              <w:right w:val="nil"/>
            </w:tcBorders>
            <w:noWrap/>
            <w:hideMark/>
          </w:tcPr>
          <w:p w14:paraId="004B872B" w14:textId="77777777" w:rsidR="004C3DC7" w:rsidRPr="0048196F" w:rsidRDefault="004C3DC7" w:rsidP="00E17FE3">
            <w:pPr>
              <w:rPr>
                <w:lang w:val="en-US"/>
              </w:rPr>
            </w:pPr>
          </w:p>
        </w:tc>
      </w:tr>
      <w:tr w:rsidR="004C3DC7" w:rsidRPr="0048196F" w14:paraId="3F0A4E7E" w14:textId="77777777" w:rsidTr="00AB4CAE">
        <w:trPr>
          <w:cantSplit/>
          <w:trHeight w:val="365"/>
          <w:tblHeader/>
        </w:trPr>
        <w:tc>
          <w:tcPr>
            <w:tcW w:w="2186" w:type="dxa"/>
            <w:tcBorders>
              <w:top w:val="nil"/>
              <w:left w:val="nil"/>
              <w:bottom w:val="single" w:sz="4" w:space="0" w:color="auto"/>
            </w:tcBorders>
            <w:noWrap/>
            <w:tcMar>
              <w:top w:w="28" w:type="dxa"/>
              <w:left w:w="28" w:type="dxa"/>
              <w:bottom w:w="28" w:type="dxa"/>
              <w:right w:w="28" w:type="dxa"/>
            </w:tcMar>
            <w:hideMark/>
          </w:tcPr>
          <w:p w14:paraId="018EC8D6" w14:textId="77777777" w:rsidR="004C3DC7" w:rsidRPr="0048196F" w:rsidRDefault="004C3DC7" w:rsidP="00E17FE3">
            <w:pPr>
              <w:rPr>
                <w:lang w:val="en-US"/>
              </w:rPr>
            </w:pPr>
          </w:p>
        </w:tc>
        <w:tc>
          <w:tcPr>
            <w:tcW w:w="417" w:type="dxa"/>
            <w:tcBorders>
              <w:top w:val="nil"/>
              <w:bottom w:val="single" w:sz="4" w:space="0" w:color="auto"/>
            </w:tcBorders>
            <w:noWrap/>
            <w:tcMar>
              <w:top w:w="28" w:type="dxa"/>
              <w:left w:w="28" w:type="dxa"/>
              <w:bottom w:w="28" w:type="dxa"/>
              <w:right w:w="28" w:type="dxa"/>
            </w:tcMar>
            <w:hideMark/>
          </w:tcPr>
          <w:p w14:paraId="5DBB59BC" w14:textId="77777777" w:rsidR="004C3DC7" w:rsidRPr="0048196F" w:rsidRDefault="004C3DC7" w:rsidP="00E17FE3">
            <w:pPr>
              <w:rPr>
                <w:lang w:val="en-US"/>
              </w:rPr>
            </w:pPr>
          </w:p>
        </w:tc>
        <w:tc>
          <w:tcPr>
            <w:tcW w:w="2818" w:type="dxa"/>
            <w:tcBorders>
              <w:top w:val="nil"/>
              <w:bottom w:val="single" w:sz="4" w:space="0" w:color="auto"/>
            </w:tcBorders>
            <w:noWrap/>
            <w:tcMar>
              <w:top w:w="28" w:type="dxa"/>
              <w:left w:w="28" w:type="dxa"/>
              <w:bottom w:w="28" w:type="dxa"/>
              <w:right w:w="28" w:type="dxa"/>
            </w:tcMar>
            <w:hideMark/>
          </w:tcPr>
          <w:p w14:paraId="776E70A3" w14:textId="77777777" w:rsidR="004C3DC7" w:rsidRPr="0048196F" w:rsidRDefault="004C3DC7" w:rsidP="00E17FE3">
            <w:pPr>
              <w:rPr>
                <w:lang w:val="en-US"/>
              </w:rPr>
            </w:pPr>
            <w:r w:rsidRPr="0048196F">
              <w:rPr>
                <w:lang w:val="en-US"/>
              </w:rPr>
              <w:t>Livestock Management</w:t>
            </w:r>
          </w:p>
        </w:tc>
        <w:tc>
          <w:tcPr>
            <w:tcW w:w="3017" w:type="dxa"/>
            <w:tcBorders>
              <w:top w:val="nil"/>
              <w:bottom w:val="single" w:sz="4" w:space="0" w:color="auto"/>
            </w:tcBorders>
            <w:noWrap/>
            <w:tcMar>
              <w:top w:w="28" w:type="dxa"/>
              <w:left w:w="28" w:type="dxa"/>
              <w:bottom w:w="28" w:type="dxa"/>
              <w:right w:w="28" w:type="dxa"/>
            </w:tcMar>
            <w:hideMark/>
          </w:tcPr>
          <w:p w14:paraId="62E425BB" w14:textId="77777777" w:rsidR="004C3DC7" w:rsidRPr="0048196F" w:rsidRDefault="004C3DC7" w:rsidP="00E17FE3">
            <w:pPr>
              <w:rPr>
                <w:lang w:val="en-US"/>
              </w:rPr>
            </w:pPr>
            <w:r w:rsidRPr="0048196F">
              <w:rPr>
                <w:lang w:val="en-US"/>
              </w:rPr>
              <w:t>Livestock Monitoring</w:t>
            </w:r>
          </w:p>
        </w:tc>
        <w:tc>
          <w:tcPr>
            <w:tcW w:w="431" w:type="dxa"/>
            <w:tcBorders>
              <w:top w:val="nil"/>
              <w:bottom w:val="single" w:sz="4" w:space="0" w:color="auto"/>
              <w:right w:val="nil"/>
            </w:tcBorders>
            <w:noWrap/>
            <w:hideMark/>
          </w:tcPr>
          <w:p w14:paraId="65887556" w14:textId="77777777" w:rsidR="004C3DC7" w:rsidRPr="0048196F" w:rsidRDefault="004C3DC7" w:rsidP="00E17FE3">
            <w:pPr>
              <w:rPr>
                <w:lang w:val="en-US"/>
              </w:rPr>
            </w:pPr>
          </w:p>
        </w:tc>
      </w:tr>
    </w:tbl>
    <w:p w14:paraId="6842FEC5" w14:textId="67118FBC" w:rsidR="00AB4CAE" w:rsidRPr="0048196F" w:rsidRDefault="00AB4CAE" w:rsidP="00AB4CAE">
      <w:pPr>
        <w:pStyle w:val="Caption"/>
        <w:framePr w:hSpace="141" w:wrap="around" w:vAnchor="text" w:hAnchor="page" w:x="2195" w:y="1"/>
        <w:rPr>
          <w:lang w:val="en-US"/>
        </w:rPr>
      </w:pPr>
      <w:bookmarkStart w:id="86" w:name="_Toc14347498"/>
      <w:r w:rsidRPr="0048196F">
        <w:rPr>
          <w:lang w:val="en-US"/>
        </w:rPr>
        <w:t xml:space="preserve">Table </w:t>
      </w:r>
      <w:r>
        <w:rPr>
          <w:lang w:val="en-US"/>
        </w:rPr>
        <w:fldChar w:fldCharType="begin"/>
      </w:r>
      <w:r>
        <w:rPr>
          <w:lang w:val="en-US"/>
        </w:rPr>
        <w:instrText xml:space="preserve"> SEQ Table \* ARABIC </w:instrText>
      </w:r>
      <w:r>
        <w:rPr>
          <w:lang w:val="en-US"/>
        </w:rPr>
        <w:fldChar w:fldCharType="separate"/>
      </w:r>
      <w:r w:rsidR="009F0429">
        <w:rPr>
          <w:noProof/>
          <w:lang w:val="en-US"/>
        </w:rPr>
        <w:t>9</w:t>
      </w:r>
      <w:r>
        <w:rPr>
          <w:lang w:val="en-US"/>
        </w:rPr>
        <w:fldChar w:fldCharType="end"/>
      </w:r>
      <w:r w:rsidRPr="0048196F">
        <w:rPr>
          <w:lang w:val="en-US"/>
        </w:rPr>
        <w:t>: Summary call for challenges</w:t>
      </w:r>
      <w:bookmarkEnd w:id="86"/>
    </w:p>
    <w:p w14:paraId="04651AA5" w14:textId="77777777" w:rsidR="0091145D" w:rsidRPr="0048196F" w:rsidRDefault="0091145D" w:rsidP="002B1651">
      <w:pPr>
        <w:spacing w:line="360" w:lineRule="auto"/>
        <w:rPr>
          <w:rFonts w:ascii="Calibri" w:hAnsi="Calibri" w:cs="Calibri"/>
          <w:color w:val="000000"/>
          <w:lang w:val="en-US"/>
        </w:rPr>
      </w:pPr>
    </w:p>
    <w:p w14:paraId="3B72889B" w14:textId="547DD3C4" w:rsidR="00EE6D9C" w:rsidRDefault="00EE6D9C" w:rsidP="00D73D31">
      <w:pPr>
        <w:rPr>
          <w:lang w:val="en-US"/>
        </w:rPr>
      </w:pPr>
    </w:p>
    <w:p w14:paraId="7A31FAA3" w14:textId="77777777" w:rsidR="00D73D31" w:rsidRPr="00D73D31" w:rsidRDefault="00D73D31" w:rsidP="00D73D31">
      <w:pPr>
        <w:rPr>
          <w:lang w:val="en-US"/>
        </w:rPr>
      </w:pPr>
    </w:p>
    <w:p w14:paraId="3D66EF29" w14:textId="7EFFEEA1" w:rsidR="002B1651" w:rsidRPr="0048196F" w:rsidRDefault="002B1651" w:rsidP="004C3DC7">
      <w:pPr>
        <w:pStyle w:val="Heading3"/>
        <w:rPr>
          <w:lang w:val="en-US"/>
        </w:rPr>
      </w:pPr>
      <w:bookmarkStart w:id="87" w:name="_Toc14347341"/>
      <w:r w:rsidRPr="0048196F">
        <w:rPr>
          <w:lang w:val="en-US"/>
        </w:rPr>
        <w:t xml:space="preserve">Technological </w:t>
      </w:r>
      <w:r w:rsidR="00DA3BA4" w:rsidRPr="0048196F">
        <w:rPr>
          <w:lang w:val="en-US"/>
        </w:rPr>
        <w:t>c</w:t>
      </w:r>
      <w:r w:rsidRPr="0048196F">
        <w:rPr>
          <w:lang w:val="en-US"/>
        </w:rPr>
        <w:t>hallenges</w:t>
      </w:r>
      <w:r w:rsidR="00D80F5D" w:rsidRPr="0048196F">
        <w:rPr>
          <w:lang w:val="en-US"/>
        </w:rPr>
        <w:t xml:space="preserve"> and trends</w:t>
      </w:r>
      <w:bookmarkEnd w:id="87"/>
    </w:p>
    <w:p w14:paraId="47D94B92" w14:textId="1C0D94DB" w:rsidR="006D0730" w:rsidRPr="0048196F" w:rsidRDefault="00DC7C29" w:rsidP="002B1651">
      <w:pPr>
        <w:spacing w:line="360" w:lineRule="auto"/>
        <w:rPr>
          <w:rFonts w:ascii="Calibri" w:hAnsi="Calibri" w:cs="Calibri"/>
          <w:color w:val="000000"/>
          <w:lang w:val="en-US"/>
        </w:rPr>
      </w:pPr>
      <w:r w:rsidRPr="0048196F">
        <w:rPr>
          <w:lang w:val="en-US"/>
        </w:rPr>
        <w:t xml:space="preserve">In order </w:t>
      </w:r>
      <w:r w:rsidR="00C41715" w:rsidRPr="0048196F">
        <w:rPr>
          <w:lang w:val="en-US"/>
        </w:rPr>
        <w:t xml:space="preserve">to </w:t>
      </w:r>
      <w:r w:rsidR="00875330" w:rsidRPr="0048196F">
        <w:rPr>
          <w:lang w:val="en-US"/>
        </w:rPr>
        <w:t xml:space="preserve">analyze </w:t>
      </w:r>
      <w:r w:rsidRPr="0048196F">
        <w:rPr>
          <w:lang w:val="en-US"/>
        </w:rPr>
        <w:t>the interaction between trends and challenges, technological trend</w:t>
      </w:r>
      <w:r w:rsidR="0048196F" w:rsidRPr="0048196F">
        <w:rPr>
          <w:lang w:val="en-US"/>
        </w:rPr>
        <w:t xml:space="preserve"> categories are identified</w:t>
      </w:r>
      <w:r w:rsidR="0048196F">
        <w:rPr>
          <w:lang w:val="en-US"/>
        </w:rPr>
        <w:t>. Based on t</w:t>
      </w:r>
      <w:r w:rsidRPr="0048196F">
        <w:rPr>
          <w:lang w:val="en-US"/>
        </w:rPr>
        <w:t>he literature review and discussion with a technological expert</w:t>
      </w:r>
      <w:r w:rsidRPr="0048196F">
        <w:rPr>
          <w:rStyle w:val="FootnoteReference"/>
          <w:lang w:val="en-US"/>
        </w:rPr>
        <w:footnoteReference w:id="1"/>
      </w:r>
      <w:r w:rsidR="00C83AF0">
        <w:rPr>
          <w:lang w:val="en-US"/>
        </w:rPr>
        <w:t>,</w:t>
      </w:r>
      <w:r w:rsidR="0048196F">
        <w:rPr>
          <w:lang w:val="en-US"/>
        </w:rPr>
        <w:t xml:space="preserve"> </w:t>
      </w:r>
      <w:r w:rsidRPr="0048196F">
        <w:rPr>
          <w:lang w:val="en-US"/>
        </w:rPr>
        <w:t>four main categories for digital technology trends</w:t>
      </w:r>
      <w:r w:rsidR="0048196F">
        <w:rPr>
          <w:lang w:val="en-US"/>
        </w:rPr>
        <w:t xml:space="preserve"> are found</w:t>
      </w:r>
      <w:r w:rsidRPr="0048196F">
        <w:rPr>
          <w:lang w:val="en-US"/>
        </w:rPr>
        <w:t>.</w:t>
      </w:r>
      <w:r w:rsidR="0048196F">
        <w:rPr>
          <w:lang w:val="en-US"/>
        </w:rPr>
        <w:t xml:space="preserve"> In order to cross challenges and trends, t</w:t>
      </w:r>
      <w:r w:rsidR="00A4656E" w:rsidRPr="0048196F">
        <w:rPr>
          <w:lang w:val="en-US"/>
        </w:rPr>
        <w:t xml:space="preserve">he </w:t>
      </w:r>
      <w:r w:rsidR="00DA3BA4" w:rsidRPr="0048196F">
        <w:rPr>
          <w:rFonts w:ascii="Calibri" w:hAnsi="Calibri" w:cs="Calibri"/>
          <w:color w:val="000000"/>
          <w:lang w:val="en-US"/>
        </w:rPr>
        <w:t xml:space="preserve">18 challenges </w:t>
      </w:r>
      <w:r w:rsidR="0048196F">
        <w:rPr>
          <w:rFonts w:ascii="Calibri" w:hAnsi="Calibri" w:cs="Calibri"/>
          <w:color w:val="000000"/>
          <w:lang w:val="en-US"/>
        </w:rPr>
        <w:t>are</w:t>
      </w:r>
      <w:r w:rsidR="00DA3BA4" w:rsidRPr="0048196F">
        <w:rPr>
          <w:rFonts w:ascii="Calibri" w:hAnsi="Calibri" w:cs="Calibri"/>
          <w:color w:val="000000"/>
          <w:lang w:val="en-US"/>
        </w:rPr>
        <w:t xml:space="preserve"> reduced to </w:t>
      </w:r>
      <w:r w:rsidR="00077CD2" w:rsidRPr="0048196F">
        <w:rPr>
          <w:rFonts w:ascii="Calibri" w:hAnsi="Calibri" w:cs="Calibri"/>
          <w:color w:val="000000"/>
          <w:lang w:val="en-US"/>
        </w:rPr>
        <w:t>6</w:t>
      </w:r>
      <w:r w:rsidR="00DA3BA4" w:rsidRPr="0048196F">
        <w:rPr>
          <w:rFonts w:ascii="Calibri" w:hAnsi="Calibri" w:cs="Calibri"/>
          <w:color w:val="000000"/>
          <w:lang w:val="en-US"/>
        </w:rPr>
        <w:t xml:space="preserve"> categories of technological limitations</w:t>
      </w:r>
      <w:r w:rsidR="0048196F">
        <w:rPr>
          <w:rFonts w:ascii="Calibri" w:hAnsi="Calibri" w:cs="Calibri"/>
          <w:color w:val="000000"/>
          <w:lang w:val="en-US"/>
        </w:rPr>
        <w:t>.</w:t>
      </w:r>
      <w:r w:rsidR="0034349E" w:rsidRPr="0048196F">
        <w:rPr>
          <w:rFonts w:ascii="Calibri" w:hAnsi="Calibri" w:cs="Calibri"/>
          <w:color w:val="000000"/>
          <w:lang w:val="en-US"/>
        </w:rPr>
        <w:t xml:space="preserve"> Table </w:t>
      </w:r>
      <w:r w:rsidR="00896DCC">
        <w:rPr>
          <w:rFonts w:ascii="Calibri" w:hAnsi="Calibri" w:cs="Calibri"/>
          <w:color w:val="000000"/>
          <w:lang w:val="en-US"/>
        </w:rPr>
        <w:t>10</w:t>
      </w:r>
      <w:r w:rsidR="0034349E" w:rsidRPr="0048196F">
        <w:rPr>
          <w:rFonts w:ascii="Calibri" w:hAnsi="Calibri" w:cs="Calibri"/>
          <w:color w:val="000000"/>
          <w:lang w:val="en-US"/>
        </w:rPr>
        <w:t xml:space="preserve"> shows </w:t>
      </w:r>
      <w:r w:rsidR="00077CD2" w:rsidRPr="0048196F">
        <w:rPr>
          <w:rFonts w:ascii="Calibri" w:hAnsi="Calibri" w:cs="Calibri"/>
          <w:color w:val="000000"/>
          <w:lang w:val="en-US"/>
        </w:rPr>
        <w:t>the aggregation of technological obstacles per technological trend category</w:t>
      </w:r>
      <w:r w:rsidR="006B2980" w:rsidRPr="0048196F">
        <w:rPr>
          <w:rFonts w:ascii="Calibri" w:hAnsi="Calibri" w:cs="Calibri"/>
          <w:color w:val="000000"/>
          <w:lang w:val="en-US"/>
        </w:rPr>
        <w:t xml:space="preserve">. </w:t>
      </w:r>
      <w:r w:rsidR="00903D71" w:rsidRPr="0048196F">
        <w:rPr>
          <w:rFonts w:ascii="Calibri" w:hAnsi="Calibri" w:cs="Calibri"/>
          <w:color w:val="000000"/>
          <w:lang w:val="en-US"/>
        </w:rPr>
        <w:t xml:space="preserve">In order to clarify this concept, </w:t>
      </w:r>
      <w:r w:rsidR="006B2980" w:rsidRPr="0048196F">
        <w:rPr>
          <w:rFonts w:ascii="Calibri" w:hAnsi="Calibri" w:cs="Calibri"/>
          <w:color w:val="000000"/>
          <w:lang w:val="en-US"/>
        </w:rPr>
        <w:t>the irrigation management challenge (N.1)</w:t>
      </w:r>
      <w:r w:rsidR="00903D71" w:rsidRPr="0048196F">
        <w:rPr>
          <w:rFonts w:ascii="Calibri" w:hAnsi="Calibri" w:cs="Calibri"/>
          <w:color w:val="000000"/>
          <w:lang w:val="en-US"/>
        </w:rPr>
        <w:t xml:space="preserve"> states its main obstacles to be concerned with determining when irrigation should occur</w:t>
      </w:r>
      <w:r w:rsidR="006B2980" w:rsidRPr="0048196F">
        <w:rPr>
          <w:rFonts w:ascii="Calibri" w:hAnsi="Calibri" w:cs="Calibri"/>
          <w:color w:val="000000"/>
          <w:lang w:val="en-US"/>
        </w:rPr>
        <w:t xml:space="preserve"> (Decision Rules),</w:t>
      </w:r>
      <w:r w:rsidR="00903D71" w:rsidRPr="0048196F">
        <w:rPr>
          <w:rFonts w:ascii="Calibri" w:hAnsi="Calibri" w:cs="Calibri"/>
          <w:color w:val="000000"/>
          <w:lang w:val="en-US"/>
        </w:rPr>
        <w:t xml:space="preserve"> how to model plant growth according to a variety of characteristics</w:t>
      </w:r>
      <w:r w:rsidR="006B2980" w:rsidRPr="0048196F">
        <w:rPr>
          <w:rFonts w:ascii="Calibri" w:hAnsi="Calibri" w:cs="Calibri"/>
          <w:color w:val="000000"/>
          <w:lang w:val="en-US"/>
        </w:rPr>
        <w:t xml:space="preserve"> (Modelling)</w:t>
      </w:r>
      <w:r w:rsidR="00903D71" w:rsidRPr="0048196F">
        <w:rPr>
          <w:rFonts w:ascii="Calibri" w:hAnsi="Calibri" w:cs="Calibri"/>
          <w:color w:val="000000"/>
          <w:lang w:val="en-US"/>
        </w:rPr>
        <w:t>, finding a sensor suited for the culture</w:t>
      </w:r>
      <w:r w:rsidR="006B2980" w:rsidRPr="0048196F">
        <w:rPr>
          <w:rFonts w:ascii="Calibri" w:hAnsi="Calibri" w:cs="Calibri"/>
          <w:color w:val="000000"/>
          <w:lang w:val="en-US"/>
        </w:rPr>
        <w:t xml:space="preserve"> (Sensors)</w:t>
      </w:r>
      <w:r w:rsidR="00903D71" w:rsidRPr="0048196F">
        <w:rPr>
          <w:rFonts w:ascii="Calibri" w:hAnsi="Calibri" w:cs="Calibri"/>
          <w:color w:val="000000"/>
          <w:lang w:val="en-US"/>
        </w:rPr>
        <w:t xml:space="preserve"> and the communication</w:t>
      </w:r>
      <w:r w:rsidR="006B2980" w:rsidRPr="0048196F">
        <w:rPr>
          <w:rFonts w:ascii="Calibri" w:hAnsi="Calibri" w:cs="Calibri"/>
          <w:color w:val="000000"/>
          <w:lang w:val="en-US"/>
        </w:rPr>
        <w:t xml:space="preserve"> and integration of all different data sources</w:t>
      </w:r>
      <w:r w:rsidR="00903D71" w:rsidRPr="0048196F">
        <w:rPr>
          <w:rFonts w:ascii="Calibri" w:hAnsi="Calibri" w:cs="Calibri"/>
          <w:color w:val="000000"/>
          <w:lang w:val="en-US"/>
        </w:rPr>
        <w:t xml:space="preserve"> </w:t>
      </w:r>
      <w:r w:rsidR="006B2980" w:rsidRPr="0048196F">
        <w:rPr>
          <w:rFonts w:ascii="Calibri" w:hAnsi="Calibri" w:cs="Calibri"/>
          <w:color w:val="000000"/>
          <w:lang w:val="en-US"/>
        </w:rPr>
        <w:t>(Digital Integration)</w:t>
      </w:r>
      <w:r w:rsidR="00903D71" w:rsidRPr="0048196F">
        <w:rPr>
          <w:rFonts w:ascii="Calibri" w:hAnsi="Calibri" w:cs="Calibri"/>
          <w:color w:val="000000"/>
          <w:lang w:val="en-US"/>
        </w:rPr>
        <w:t>.</w:t>
      </w:r>
      <w:r w:rsidR="006B2980" w:rsidRPr="0048196F">
        <w:rPr>
          <w:rFonts w:ascii="Calibri" w:hAnsi="Calibri" w:cs="Calibri"/>
          <w:color w:val="000000"/>
          <w:lang w:val="en-US"/>
        </w:rPr>
        <w:t xml:space="preserve"> Another example is the livestock robotics challenge (N.4) which is mainly concerned with the integration of several technologies like 3D vision, robots and plumage tools</w:t>
      </w:r>
      <w:r w:rsidR="000A7095" w:rsidRPr="0048196F">
        <w:rPr>
          <w:rFonts w:ascii="Calibri" w:hAnsi="Calibri" w:cs="Calibri"/>
          <w:color w:val="000000"/>
          <w:lang w:val="en-US"/>
        </w:rPr>
        <w:t xml:space="preserve"> (Technology Integration)</w:t>
      </w:r>
      <w:r w:rsidR="006B2980" w:rsidRPr="0048196F">
        <w:rPr>
          <w:rFonts w:ascii="Calibri" w:hAnsi="Calibri" w:cs="Calibri"/>
          <w:color w:val="000000"/>
          <w:lang w:val="en-US"/>
        </w:rPr>
        <w:t>.</w:t>
      </w:r>
    </w:p>
    <w:p w14:paraId="361CF15B" w14:textId="617E9B75" w:rsidR="0034349E" w:rsidRPr="0048196F" w:rsidRDefault="0034349E" w:rsidP="0034349E">
      <w:pPr>
        <w:pStyle w:val="Caption"/>
        <w:framePr w:hSpace="142" w:wrap="around" w:vAnchor="text" w:hAnchor="page" w:x="2035" w:y="-3"/>
        <w:rPr>
          <w:lang w:val="en-US"/>
        </w:rPr>
      </w:pPr>
      <w:bookmarkStart w:id="88" w:name="_Toc14347499"/>
      <w:r w:rsidRPr="0048196F">
        <w:rPr>
          <w:lang w:val="en-US"/>
        </w:rPr>
        <w:t xml:space="preserve">Table </w:t>
      </w:r>
      <w:r w:rsidR="000D0D31">
        <w:rPr>
          <w:lang w:val="en-US"/>
        </w:rPr>
        <w:fldChar w:fldCharType="begin"/>
      </w:r>
      <w:r w:rsidR="000D0D31">
        <w:rPr>
          <w:lang w:val="en-US"/>
        </w:rPr>
        <w:instrText xml:space="preserve"> SEQ Table \* ARABIC </w:instrText>
      </w:r>
      <w:r w:rsidR="000D0D31">
        <w:rPr>
          <w:lang w:val="en-US"/>
        </w:rPr>
        <w:fldChar w:fldCharType="separate"/>
      </w:r>
      <w:r w:rsidR="009F0429">
        <w:rPr>
          <w:noProof/>
          <w:lang w:val="en-US"/>
        </w:rPr>
        <w:t>10</w:t>
      </w:r>
      <w:r w:rsidR="000D0D31">
        <w:rPr>
          <w:lang w:val="en-US"/>
        </w:rPr>
        <w:fldChar w:fldCharType="end"/>
      </w:r>
      <w:r w:rsidRPr="0048196F">
        <w:rPr>
          <w:lang w:val="en-US"/>
        </w:rPr>
        <w:t>: Number of technological challenges per trend</w:t>
      </w:r>
      <w:r w:rsidR="00A4656E" w:rsidRPr="0048196F">
        <w:rPr>
          <w:lang w:val="en-US"/>
        </w:rPr>
        <w:t xml:space="preserve"> category</w:t>
      </w:r>
      <w:bookmarkEnd w:id="88"/>
      <w:r w:rsidR="00A4656E" w:rsidRPr="0048196F">
        <w:rPr>
          <w:lang w:val="en-US"/>
        </w:rPr>
        <w:t xml:space="preserve"> </w:t>
      </w:r>
    </w:p>
    <w:tbl>
      <w:tblPr>
        <w:tblStyle w:val="TableGrid"/>
        <w:tblpPr w:leftFromText="141" w:rightFromText="141" w:vertAnchor="text" w:horzAnchor="margin" w:tblpY="407"/>
        <w:tblW w:w="8285" w:type="dxa"/>
        <w:tblBorders>
          <w:insideH w:val="none" w:sz="0" w:space="0" w:color="auto"/>
          <w:insideV w:val="none" w:sz="0" w:space="0" w:color="auto"/>
        </w:tblBorders>
        <w:tblLook w:val="04A0" w:firstRow="1" w:lastRow="0" w:firstColumn="1" w:lastColumn="0" w:noHBand="0" w:noVBand="1"/>
      </w:tblPr>
      <w:tblGrid>
        <w:gridCol w:w="2072"/>
        <w:gridCol w:w="1829"/>
        <w:gridCol w:w="1481"/>
        <w:gridCol w:w="1781"/>
        <w:gridCol w:w="1122"/>
      </w:tblGrid>
      <w:tr w:rsidR="00903D71" w:rsidRPr="0048196F" w14:paraId="7826154B" w14:textId="77777777" w:rsidTr="00077CD2">
        <w:trPr>
          <w:trHeight w:val="93"/>
        </w:trPr>
        <w:tc>
          <w:tcPr>
            <w:tcW w:w="2120" w:type="dxa"/>
            <w:tcBorders>
              <w:top w:val="single" w:sz="4" w:space="0" w:color="auto"/>
              <w:left w:val="nil"/>
              <w:bottom w:val="single" w:sz="4" w:space="0" w:color="auto"/>
              <w:tl2br w:val="single" w:sz="4" w:space="0" w:color="auto"/>
            </w:tcBorders>
            <w:hideMark/>
          </w:tcPr>
          <w:p w14:paraId="7DD1E5FD" w14:textId="096527DE" w:rsidR="0034349E" w:rsidRPr="0048196F" w:rsidRDefault="0034349E" w:rsidP="0034349E">
            <w:pPr>
              <w:spacing w:line="360" w:lineRule="auto"/>
              <w:rPr>
                <w:vertAlign w:val="subscript"/>
                <w:lang w:val="en-US"/>
              </w:rPr>
            </w:pPr>
            <w:r w:rsidRPr="0048196F">
              <w:rPr>
                <w:vertAlign w:val="subscript"/>
                <w:lang w:val="en-US"/>
              </w:rPr>
              <w:t xml:space="preserve">           </w:t>
            </w:r>
            <w:r w:rsidR="00C926D5" w:rsidRPr="0048196F">
              <w:rPr>
                <w:lang w:val="en-US"/>
              </w:rPr>
              <w:t xml:space="preserve"> Trend</w:t>
            </w:r>
          </w:p>
          <w:p w14:paraId="787115B7" w14:textId="0CC7ABC9" w:rsidR="0034349E" w:rsidRPr="0048196F" w:rsidRDefault="0034349E" w:rsidP="0034349E">
            <w:pPr>
              <w:spacing w:line="360" w:lineRule="auto"/>
              <w:rPr>
                <w:lang w:val="en-US"/>
              </w:rPr>
            </w:pPr>
            <w:r w:rsidRPr="0048196F">
              <w:rPr>
                <w:vertAlign w:val="subscript"/>
                <w:lang w:val="en-US"/>
              </w:rPr>
              <w:t xml:space="preserve">                                      </w:t>
            </w:r>
          </w:p>
          <w:p w14:paraId="255B0298" w14:textId="77777777" w:rsidR="0034349E" w:rsidRPr="0048196F" w:rsidRDefault="0034349E" w:rsidP="0034349E">
            <w:pPr>
              <w:rPr>
                <w:lang w:val="en-US"/>
              </w:rPr>
            </w:pPr>
            <w:r w:rsidRPr="0048196F">
              <w:rPr>
                <w:lang w:val="en-US"/>
              </w:rPr>
              <w:t>Challenge</w:t>
            </w:r>
          </w:p>
          <w:p w14:paraId="2F7F5776" w14:textId="77777777" w:rsidR="0034349E" w:rsidRPr="0048196F" w:rsidRDefault="0034349E" w:rsidP="0034349E">
            <w:pPr>
              <w:rPr>
                <w:lang w:val="en-US"/>
              </w:rPr>
            </w:pPr>
          </w:p>
        </w:tc>
        <w:tc>
          <w:tcPr>
            <w:tcW w:w="1813" w:type="dxa"/>
            <w:tcBorders>
              <w:top w:val="single" w:sz="4" w:space="0" w:color="auto"/>
              <w:bottom w:val="single" w:sz="4" w:space="0" w:color="auto"/>
            </w:tcBorders>
            <w:tcMar>
              <w:left w:w="0" w:type="dxa"/>
              <w:right w:w="0" w:type="dxa"/>
            </w:tcMar>
            <w:hideMark/>
          </w:tcPr>
          <w:p w14:paraId="434B2654" w14:textId="77777777" w:rsidR="0034349E" w:rsidRPr="0048196F" w:rsidRDefault="0034349E" w:rsidP="0034349E">
            <w:pPr>
              <w:spacing w:line="360" w:lineRule="auto"/>
              <w:rPr>
                <w:lang w:val="en-US"/>
              </w:rPr>
            </w:pPr>
            <w:r w:rsidRPr="0048196F">
              <w:rPr>
                <w:lang w:val="en-US"/>
              </w:rPr>
              <w:t xml:space="preserve">Robotics &amp; Unmanned </w:t>
            </w:r>
          </w:p>
          <w:p w14:paraId="350A43E6" w14:textId="77777777" w:rsidR="0034349E" w:rsidRPr="0048196F" w:rsidRDefault="0034349E" w:rsidP="0034349E">
            <w:pPr>
              <w:spacing w:line="360" w:lineRule="auto"/>
              <w:rPr>
                <w:lang w:val="en-US"/>
              </w:rPr>
            </w:pPr>
            <w:r w:rsidRPr="0048196F">
              <w:rPr>
                <w:lang w:val="en-US"/>
              </w:rPr>
              <w:t>vehicles</w:t>
            </w:r>
          </w:p>
        </w:tc>
        <w:tc>
          <w:tcPr>
            <w:tcW w:w="1473" w:type="dxa"/>
            <w:tcBorders>
              <w:top w:val="single" w:sz="4" w:space="0" w:color="auto"/>
              <w:bottom w:val="single" w:sz="4" w:space="0" w:color="auto"/>
            </w:tcBorders>
            <w:tcMar>
              <w:left w:w="0" w:type="dxa"/>
            </w:tcMar>
            <w:hideMark/>
          </w:tcPr>
          <w:p w14:paraId="65DBB129" w14:textId="77777777" w:rsidR="0034349E" w:rsidRPr="0048196F" w:rsidRDefault="0034349E" w:rsidP="0034349E">
            <w:pPr>
              <w:spacing w:line="360" w:lineRule="auto"/>
              <w:rPr>
                <w:lang w:val="en-US"/>
              </w:rPr>
            </w:pPr>
            <w:r w:rsidRPr="0048196F">
              <w:rPr>
                <w:lang w:val="en-US"/>
              </w:rPr>
              <w:t>IoT &amp; Data Collection</w:t>
            </w:r>
          </w:p>
        </w:tc>
        <w:tc>
          <w:tcPr>
            <w:tcW w:w="1773" w:type="dxa"/>
            <w:tcBorders>
              <w:top w:val="single" w:sz="4" w:space="0" w:color="auto"/>
              <w:bottom w:val="single" w:sz="4" w:space="0" w:color="auto"/>
            </w:tcBorders>
            <w:tcMar>
              <w:left w:w="0" w:type="dxa"/>
            </w:tcMar>
            <w:hideMark/>
          </w:tcPr>
          <w:p w14:paraId="38284D3C" w14:textId="77777777" w:rsidR="0034349E" w:rsidRPr="0048196F" w:rsidRDefault="0034349E" w:rsidP="0034349E">
            <w:pPr>
              <w:spacing w:line="360" w:lineRule="auto"/>
              <w:rPr>
                <w:lang w:val="en-US"/>
              </w:rPr>
            </w:pPr>
            <w:r w:rsidRPr="0048196F">
              <w:rPr>
                <w:lang w:val="en-US"/>
              </w:rPr>
              <w:t>Cloud Computing &amp; Data Analytics</w:t>
            </w:r>
          </w:p>
        </w:tc>
        <w:tc>
          <w:tcPr>
            <w:tcW w:w="1106" w:type="dxa"/>
            <w:tcBorders>
              <w:top w:val="single" w:sz="4" w:space="0" w:color="auto"/>
              <w:bottom w:val="single" w:sz="4" w:space="0" w:color="auto"/>
              <w:right w:val="nil"/>
            </w:tcBorders>
            <w:tcMar>
              <w:left w:w="0" w:type="dxa"/>
              <w:right w:w="0" w:type="dxa"/>
            </w:tcMar>
            <w:hideMark/>
          </w:tcPr>
          <w:p w14:paraId="7D27BA61" w14:textId="77777777" w:rsidR="0034349E" w:rsidRPr="0048196F" w:rsidRDefault="0034349E" w:rsidP="0034349E">
            <w:pPr>
              <w:spacing w:line="360" w:lineRule="auto"/>
              <w:rPr>
                <w:lang w:val="en-US"/>
              </w:rPr>
            </w:pPr>
            <w:r w:rsidRPr="0048196F">
              <w:rPr>
                <w:lang w:val="en-US"/>
              </w:rPr>
              <w:t>Digital platforms</w:t>
            </w:r>
          </w:p>
        </w:tc>
      </w:tr>
      <w:tr w:rsidR="00903D71" w:rsidRPr="0048196F" w14:paraId="0DEE13E5" w14:textId="77777777" w:rsidTr="00077CD2">
        <w:trPr>
          <w:trHeight w:val="30"/>
        </w:trPr>
        <w:tc>
          <w:tcPr>
            <w:tcW w:w="2120" w:type="dxa"/>
            <w:tcBorders>
              <w:top w:val="single" w:sz="4" w:space="0" w:color="auto"/>
              <w:left w:val="nil"/>
              <w:bottom w:val="nil"/>
            </w:tcBorders>
            <w:tcMar>
              <w:top w:w="85" w:type="dxa"/>
            </w:tcMar>
            <w:hideMark/>
          </w:tcPr>
          <w:p w14:paraId="680BDA66" w14:textId="77777777" w:rsidR="0034349E" w:rsidRPr="0048196F" w:rsidRDefault="0034349E" w:rsidP="0034349E">
            <w:pPr>
              <w:spacing w:line="360" w:lineRule="auto"/>
              <w:rPr>
                <w:lang w:val="en-US"/>
              </w:rPr>
            </w:pPr>
            <w:r w:rsidRPr="0048196F">
              <w:rPr>
                <w:lang w:val="en-US"/>
              </w:rPr>
              <w:t>Decision Rules</w:t>
            </w:r>
          </w:p>
        </w:tc>
        <w:tc>
          <w:tcPr>
            <w:tcW w:w="1813" w:type="dxa"/>
            <w:tcBorders>
              <w:top w:val="single" w:sz="4" w:space="0" w:color="auto"/>
              <w:bottom w:val="nil"/>
            </w:tcBorders>
            <w:noWrap/>
            <w:tcMar>
              <w:top w:w="85" w:type="dxa"/>
              <w:left w:w="0" w:type="dxa"/>
              <w:right w:w="0" w:type="dxa"/>
            </w:tcMar>
            <w:vAlign w:val="center"/>
            <w:hideMark/>
          </w:tcPr>
          <w:p w14:paraId="29C67A82" w14:textId="77777777" w:rsidR="0034349E" w:rsidRPr="0048196F" w:rsidRDefault="0034349E" w:rsidP="0034349E">
            <w:pPr>
              <w:spacing w:line="360" w:lineRule="auto"/>
              <w:jc w:val="center"/>
              <w:rPr>
                <w:lang w:val="en-US"/>
              </w:rPr>
            </w:pPr>
          </w:p>
        </w:tc>
        <w:tc>
          <w:tcPr>
            <w:tcW w:w="1473" w:type="dxa"/>
            <w:tcBorders>
              <w:top w:val="single" w:sz="4" w:space="0" w:color="auto"/>
              <w:bottom w:val="nil"/>
            </w:tcBorders>
            <w:noWrap/>
            <w:tcMar>
              <w:top w:w="85" w:type="dxa"/>
              <w:left w:w="0" w:type="dxa"/>
            </w:tcMar>
            <w:vAlign w:val="center"/>
            <w:hideMark/>
          </w:tcPr>
          <w:p w14:paraId="3E56A5F1" w14:textId="77777777" w:rsidR="0034349E" w:rsidRPr="0048196F" w:rsidRDefault="0034349E" w:rsidP="0034349E">
            <w:pPr>
              <w:spacing w:line="360" w:lineRule="auto"/>
              <w:jc w:val="center"/>
              <w:rPr>
                <w:lang w:val="en-US"/>
              </w:rPr>
            </w:pPr>
          </w:p>
        </w:tc>
        <w:tc>
          <w:tcPr>
            <w:tcW w:w="1773" w:type="dxa"/>
            <w:tcBorders>
              <w:top w:val="single" w:sz="4" w:space="0" w:color="auto"/>
              <w:bottom w:val="nil"/>
            </w:tcBorders>
            <w:noWrap/>
            <w:tcMar>
              <w:top w:w="85" w:type="dxa"/>
              <w:left w:w="0" w:type="dxa"/>
            </w:tcMar>
            <w:vAlign w:val="center"/>
            <w:hideMark/>
          </w:tcPr>
          <w:p w14:paraId="1D28EACA" w14:textId="77777777" w:rsidR="0034349E" w:rsidRPr="0048196F" w:rsidRDefault="0034349E" w:rsidP="0034349E">
            <w:pPr>
              <w:spacing w:line="360" w:lineRule="auto"/>
              <w:jc w:val="center"/>
              <w:rPr>
                <w:lang w:val="en-US"/>
              </w:rPr>
            </w:pPr>
            <w:r w:rsidRPr="0048196F">
              <w:rPr>
                <w:color w:val="000000"/>
                <w:lang w:val="en-US"/>
              </w:rPr>
              <w:t>8</w:t>
            </w:r>
          </w:p>
        </w:tc>
        <w:tc>
          <w:tcPr>
            <w:tcW w:w="1106" w:type="dxa"/>
            <w:tcBorders>
              <w:top w:val="single" w:sz="4" w:space="0" w:color="auto"/>
              <w:bottom w:val="nil"/>
              <w:right w:val="nil"/>
            </w:tcBorders>
            <w:noWrap/>
            <w:tcMar>
              <w:left w:w="0" w:type="dxa"/>
              <w:right w:w="0" w:type="dxa"/>
            </w:tcMar>
            <w:vAlign w:val="center"/>
            <w:hideMark/>
          </w:tcPr>
          <w:p w14:paraId="45C411DD" w14:textId="77777777" w:rsidR="0034349E" w:rsidRPr="0048196F" w:rsidRDefault="0034349E" w:rsidP="0034349E">
            <w:pPr>
              <w:spacing w:line="360" w:lineRule="auto"/>
              <w:jc w:val="center"/>
              <w:rPr>
                <w:lang w:val="en-US"/>
              </w:rPr>
            </w:pPr>
          </w:p>
        </w:tc>
      </w:tr>
      <w:tr w:rsidR="00903D71" w:rsidRPr="0048196F" w14:paraId="234F4E1E" w14:textId="77777777" w:rsidTr="00077CD2">
        <w:trPr>
          <w:trHeight w:val="30"/>
        </w:trPr>
        <w:tc>
          <w:tcPr>
            <w:tcW w:w="2120" w:type="dxa"/>
            <w:tcBorders>
              <w:top w:val="nil"/>
              <w:left w:val="nil"/>
            </w:tcBorders>
            <w:hideMark/>
          </w:tcPr>
          <w:p w14:paraId="017DEC0C" w14:textId="77777777" w:rsidR="0034349E" w:rsidRPr="0048196F" w:rsidRDefault="0034349E" w:rsidP="0034349E">
            <w:pPr>
              <w:spacing w:line="360" w:lineRule="auto"/>
              <w:rPr>
                <w:lang w:val="en-US"/>
              </w:rPr>
            </w:pPr>
            <w:r w:rsidRPr="0048196F">
              <w:rPr>
                <w:lang w:val="en-US"/>
              </w:rPr>
              <w:t>Sensors</w:t>
            </w:r>
          </w:p>
        </w:tc>
        <w:tc>
          <w:tcPr>
            <w:tcW w:w="1813" w:type="dxa"/>
            <w:tcBorders>
              <w:top w:val="nil"/>
            </w:tcBorders>
            <w:noWrap/>
            <w:tcMar>
              <w:left w:w="0" w:type="dxa"/>
              <w:right w:w="0" w:type="dxa"/>
            </w:tcMar>
            <w:vAlign w:val="center"/>
            <w:hideMark/>
          </w:tcPr>
          <w:p w14:paraId="56D53025" w14:textId="77777777" w:rsidR="0034349E" w:rsidRPr="0048196F" w:rsidRDefault="0034349E" w:rsidP="0034349E">
            <w:pPr>
              <w:spacing w:line="360" w:lineRule="auto"/>
              <w:jc w:val="center"/>
              <w:rPr>
                <w:lang w:val="en-US"/>
              </w:rPr>
            </w:pPr>
          </w:p>
        </w:tc>
        <w:tc>
          <w:tcPr>
            <w:tcW w:w="1473" w:type="dxa"/>
            <w:tcBorders>
              <w:top w:val="nil"/>
            </w:tcBorders>
            <w:noWrap/>
            <w:tcMar>
              <w:left w:w="0" w:type="dxa"/>
            </w:tcMar>
            <w:vAlign w:val="center"/>
            <w:hideMark/>
          </w:tcPr>
          <w:p w14:paraId="4BA4E697" w14:textId="77777777" w:rsidR="0034349E" w:rsidRPr="0048196F" w:rsidRDefault="0034349E" w:rsidP="0034349E">
            <w:pPr>
              <w:spacing w:line="360" w:lineRule="auto"/>
              <w:jc w:val="center"/>
              <w:rPr>
                <w:lang w:val="en-US"/>
              </w:rPr>
            </w:pPr>
            <w:r w:rsidRPr="0048196F">
              <w:rPr>
                <w:color w:val="000000"/>
                <w:lang w:val="en-US"/>
              </w:rPr>
              <w:t>9</w:t>
            </w:r>
          </w:p>
        </w:tc>
        <w:tc>
          <w:tcPr>
            <w:tcW w:w="1773" w:type="dxa"/>
            <w:tcBorders>
              <w:top w:val="nil"/>
            </w:tcBorders>
            <w:noWrap/>
            <w:tcMar>
              <w:left w:w="0" w:type="dxa"/>
            </w:tcMar>
            <w:vAlign w:val="center"/>
            <w:hideMark/>
          </w:tcPr>
          <w:p w14:paraId="102F0A6C" w14:textId="77777777" w:rsidR="0034349E" w:rsidRPr="0048196F" w:rsidRDefault="0034349E" w:rsidP="0034349E">
            <w:pPr>
              <w:spacing w:line="360" w:lineRule="auto"/>
              <w:jc w:val="center"/>
              <w:rPr>
                <w:lang w:val="en-US"/>
              </w:rPr>
            </w:pPr>
          </w:p>
        </w:tc>
        <w:tc>
          <w:tcPr>
            <w:tcW w:w="1106" w:type="dxa"/>
            <w:tcBorders>
              <w:top w:val="nil"/>
              <w:right w:val="nil"/>
            </w:tcBorders>
            <w:noWrap/>
            <w:tcMar>
              <w:left w:w="0" w:type="dxa"/>
              <w:right w:w="0" w:type="dxa"/>
            </w:tcMar>
            <w:vAlign w:val="center"/>
            <w:hideMark/>
          </w:tcPr>
          <w:p w14:paraId="77AF835C" w14:textId="77777777" w:rsidR="0034349E" w:rsidRPr="0048196F" w:rsidRDefault="0034349E" w:rsidP="0034349E">
            <w:pPr>
              <w:spacing w:line="360" w:lineRule="auto"/>
              <w:jc w:val="center"/>
              <w:rPr>
                <w:lang w:val="en-US"/>
              </w:rPr>
            </w:pPr>
          </w:p>
        </w:tc>
      </w:tr>
      <w:tr w:rsidR="00903D71" w:rsidRPr="0048196F" w14:paraId="718B619B" w14:textId="77777777" w:rsidTr="00077CD2">
        <w:trPr>
          <w:trHeight w:val="34"/>
        </w:trPr>
        <w:tc>
          <w:tcPr>
            <w:tcW w:w="2120" w:type="dxa"/>
            <w:tcBorders>
              <w:left w:val="nil"/>
            </w:tcBorders>
          </w:tcPr>
          <w:p w14:paraId="043EB6C7" w14:textId="4EBE7284" w:rsidR="00903D71" w:rsidRPr="0048196F" w:rsidRDefault="00903D71" w:rsidP="00903D71">
            <w:pPr>
              <w:spacing w:line="360" w:lineRule="auto"/>
              <w:rPr>
                <w:lang w:val="en-US"/>
              </w:rPr>
            </w:pPr>
            <w:r w:rsidRPr="0048196F">
              <w:rPr>
                <w:lang w:val="en-US"/>
              </w:rPr>
              <w:t>Modelling</w:t>
            </w:r>
          </w:p>
        </w:tc>
        <w:tc>
          <w:tcPr>
            <w:tcW w:w="1813" w:type="dxa"/>
            <w:noWrap/>
            <w:tcMar>
              <w:left w:w="0" w:type="dxa"/>
              <w:right w:w="0" w:type="dxa"/>
            </w:tcMar>
            <w:vAlign w:val="center"/>
          </w:tcPr>
          <w:p w14:paraId="74F69395" w14:textId="7B3C002D" w:rsidR="00903D71" w:rsidRPr="0048196F" w:rsidRDefault="00903D71" w:rsidP="00903D71">
            <w:pPr>
              <w:spacing w:line="360" w:lineRule="auto"/>
              <w:jc w:val="center"/>
              <w:rPr>
                <w:lang w:val="en-US"/>
              </w:rPr>
            </w:pPr>
            <w:r w:rsidRPr="0048196F">
              <w:rPr>
                <w:color w:val="000000"/>
                <w:sz w:val="20"/>
                <w:szCs w:val="20"/>
                <w:lang w:val="en-US"/>
              </w:rPr>
              <w:t> </w:t>
            </w:r>
          </w:p>
        </w:tc>
        <w:tc>
          <w:tcPr>
            <w:tcW w:w="1473" w:type="dxa"/>
            <w:noWrap/>
            <w:tcMar>
              <w:left w:w="0" w:type="dxa"/>
            </w:tcMar>
            <w:vAlign w:val="center"/>
          </w:tcPr>
          <w:p w14:paraId="3288AA2C" w14:textId="47DFB077" w:rsidR="00903D71" w:rsidRPr="0048196F" w:rsidRDefault="00903D71" w:rsidP="00903D71">
            <w:pPr>
              <w:spacing w:line="360" w:lineRule="auto"/>
              <w:jc w:val="center"/>
              <w:rPr>
                <w:lang w:val="en-US"/>
              </w:rPr>
            </w:pPr>
            <w:r w:rsidRPr="0048196F">
              <w:rPr>
                <w:color w:val="000000"/>
                <w:sz w:val="20"/>
                <w:szCs w:val="20"/>
                <w:lang w:val="en-US"/>
              </w:rPr>
              <w:t> </w:t>
            </w:r>
          </w:p>
        </w:tc>
        <w:tc>
          <w:tcPr>
            <w:tcW w:w="1773" w:type="dxa"/>
            <w:noWrap/>
            <w:tcMar>
              <w:left w:w="0" w:type="dxa"/>
            </w:tcMar>
            <w:vAlign w:val="center"/>
          </w:tcPr>
          <w:p w14:paraId="3FF53B51" w14:textId="6B819148" w:rsidR="00903D71" w:rsidRPr="0048196F" w:rsidRDefault="00903D71" w:rsidP="00903D71">
            <w:pPr>
              <w:spacing w:line="360" w:lineRule="auto"/>
              <w:jc w:val="center"/>
              <w:rPr>
                <w:color w:val="000000"/>
                <w:lang w:val="en-US"/>
              </w:rPr>
            </w:pPr>
            <w:r w:rsidRPr="0048196F">
              <w:rPr>
                <w:color w:val="000000"/>
                <w:lang w:val="en-US"/>
              </w:rPr>
              <w:t>5</w:t>
            </w:r>
          </w:p>
        </w:tc>
        <w:tc>
          <w:tcPr>
            <w:tcW w:w="1106" w:type="dxa"/>
            <w:tcBorders>
              <w:right w:val="nil"/>
            </w:tcBorders>
            <w:noWrap/>
            <w:tcMar>
              <w:left w:w="0" w:type="dxa"/>
              <w:right w:w="0" w:type="dxa"/>
            </w:tcMar>
            <w:vAlign w:val="center"/>
          </w:tcPr>
          <w:p w14:paraId="3DF16A64" w14:textId="64AF5F01" w:rsidR="00903D71" w:rsidRPr="0048196F" w:rsidRDefault="00903D71" w:rsidP="00903D71">
            <w:pPr>
              <w:spacing w:line="360" w:lineRule="auto"/>
              <w:jc w:val="center"/>
              <w:rPr>
                <w:lang w:val="en-US"/>
              </w:rPr>
            </w:pPr>
            <w:r w:rsidRPr="0048196F">
              <w:rPr>
                <w:color w:val="000000"/>
                <w:sz w:val="20"/>
                <w:szCs w:val="20"/>
                <w:lang w:val="en-US"/>
              </w:rPr>
              <w:t> </w:t>
            </w:r>
          </w:p>
        </w:tc>
      </w:tr>
      <w:tr w:rsidR="00903D71" w:rsidRPr="0048196F" w14:paraId="34B88D82" w14:textId="77777777" w:rsidTr="00077CD2">
        <w:trPr>
          <w:trHeight w:val="30"/>
        </w:trPr>
        <w:tc>
          <w:tcPr>
            <w:tcW w:w="2120" w:type="dxa"/>
            <w:tcBorders>
              <w:left w:val="nil"/>
            </w:tcBorders>
            <w:hideMark/>
          </w:tcPr>
          <w:p w14:paraId="64882736" w14:textId="77777777" w:rsidR="00903D71" w:rsidRPr="0048196F" w:rsidRDefault="00903D71" w:rsidP="00903D71">
            <w:pPr>
              <w:spacing w:line="360" w:lineRule="auto"/>
              <w:rPr>
                <w:lang w:val="en-US"/>
              </w:rPr>
            </w:pPr>
            <w:r w:rsidRPr="0048196F">
              <w:rPr>
                <w:lang w:val="en-US"/>
              </w:rPr>
              <w:t>Digital Integration</w:t>
            </w:r>
          </w:p>
        </w:tc>
        <w:tc>
          <w:tcPr>
            <w:tcW w:w="1813" w:type="dxa"/>
            <w:noWrap/>
            <w:tcMar>
              <w:left w:w="0" w:type="dxa"/>
              <w:right w:w="0" w:type="dxa"/>
            </w:tcMar>
            <w:vAlign w:val="center"/>
            <w:hideMark/>
          </w:tcPr>
          <w:p w14:paraId="565526DF" w14:textId="77777777" w:rsidR="00903D71" w:rsidRPr="0048196F" w:rsidRDefault="00903D71" w:rsidP="00903D71">
            <w:pPr>
              <w:spacing w:line="360" w:lineRule="auto"/>
              <w:jc w:val="center"/>
              <w:rPr>
                <w:lang w:val="en-US"/>
              </w:rPr>
            </w:pPr>
          </w:p>
        </w:tc>
        <w:tc>
          <w:tcPr>
            <w:tcW w:w="1473" w:type="dxa"/>
            <w:noWrap/>
            <w:tcMar>
              <w:left w:w="0" w:type="dxa"/>
            </w:tcMar>
            <w:vAlign w:val="center"/>
            <w:hideMark/>
          </w:tcPr>
          <w:p w14:paraId="1BC11434" w14:textId="77777777" w:rsidR="00903D71" w:rsidRPr="0048196F" w:rsidRDefault="00903D71" w:rsidP="00903D71">
            <w:pPr>
              <w:spacing w:line="360" w:lineRule="auto"/>
              <w:jc w:val="center"/>
              <w:rPr>
                <w:lang w:val="en-US"/>
              </w:rPr>
            </w:pPr>
          </w:p>
        </w:tc>
        <w:tc>
          <w:tcPr>
            <w:tcW w:w="1773" w:type="dxa"/>
            <w:noWrap/>
            <w:tcMar>
              <w:left w:w="0" w:type="dxa"/>
            </w:tcMar>
            <w:vAlign w:val="center"/>
            <w:hideMark/>
          </w:tcPr>
          <w:p w14:paraId="5930C48A" w14:textId="77777777" w:rsidR="00903D71" w:rsidRPr="0048196F" w:rsidRDefault="00903D71" w:rsidP="00903D71">
            <w:pPr>
              <w:spacing w:line="360" w:lineRule="auto"/>
              <w:jc w:val="center"/>
              <w:rPr>
                <w:lang w:val="en-US"/>
              </w:rPr>
            </w:pPr>
          </w:p>
        </w:tc>
        <w:tc>
          <w:tcPr>
            <w:tcW w:w="1106" w:type="dxa"/>
            <w:tcBorders>
              <w:right w:val="nil"/>
            </w:tcBorders>
            <w:noWrap/>
            <w:tcMar>
              <w:left w:w="0" w:type="dxa"/>
              <w:right w:w="0" w:type="dxa"/>
            </w:tcMar>
            <w:vAlign w:val="center"/>
            <w:hideMark/>
          </w:tcPr>
          <w:p w14:paraId="3EF0BE12" w14:textId="77777777" w:rsidR="00903D71" w:rsidRPr="0048196F" w:rsidRDefault="00903D71" w:rsidP="00903D71">
            <w:pPr>
              <w:spacing w:line="360" w:lineRule="auto"/>
              <w:jc w:val="center"/>
              <w:rPr>
                <w:lang w:val="en-US"/>
              </w:rPr>
            </w:pPr>
            <w:r w:rsidRPr="0048196F">
              <w:rPr>
                <w:color w:val="000000"/>
                <w:lang w:val="en-US"/>
              </w:rPr>
              <w:t>8</w:t>
            </w:r>
          </w:p>
        </w:tc>
      </w:tr>
      <w:tr w:rsidR="006B2980" w:rsidRPr="0048196F" w14:paraId="2A525D8D" w14:textId="77777777" w:rsidTr="00077CD2">
        <w:trPr>
          <w:trHeight w:val="34"/>
        </w:trPr>
        <w:tc>
          <w:tcPr>
            <w:tcW w:w="2120" w:type="dxa"/>
            <w:tcBorders>
              <w:left w:val="nil"/>
            </w:tcBorders>
          </w:tcPr>
          <w:p w14:paraId="343103D8" w14:textId="4701EC5B" w:rsidR="006B2980" w:rsidRPr="0048196F" w:rsidRDefault="006B2980" w:rsidP="006B2980">
            <w:pPr>
              <w:spacing w:line="360" w:lineRule="auto"/>
              <w:rPr>
                <w:lang w:val="en-US"/>
              </w:rPr>
            </w:pPr>
            <w:r w:rsidRPr="0048196F">
              <w:rPr>
                <w:lang w:val="en-US"/>
              </w:rPr>
              <w:t>Technology Integration</w:t>
            </w:r>
          </w:p>
        </w:tc>
        <w:tc>
          <w:tcPr>
            <w:tcW w:w="1813" w:type="dxa"/>
            <w:noWrap/>
            <w:tcMar>
              <w:left w:w="0" w:type="dxa"/>
              <w:right w:w="0" w:type="dxa"/>
            </w:tcMar>
            <w:vAlign w:val="center"/>
          </w:tcPr>
          <w:p w14:paraId="576D5440" w14:textId="2FD52E42" w:rsidR="006B2980" w:rsidRPr="0048196F" w:rsidRDefault="006B2980" w:rsidP="006B2980">
            <w:pPr>
              <w:spacing w:line="360" w:lineRule="auto"/>
              <w:jc w:val="center"/>
              <w:rPr>
                <w:lang w:val="en-US"/>
              </w:rPr>
            </w:pPr>
            <w:r w:rsidRPr="0048196F">
              <w:rPr>
                <w:color w:val="000000"/>
                <w:lang w:val="en-US"/>
              </w:rPr>
              <w:t>4</w:t>
            </w:r>
          </w:p>
        </w:tc>
        <w:tc>
          <w:tcPr>
            <w:tcW w:w="1473" w:type="dxa"/>
            <w:noWrap/>
            <w:tcMar>
              <w:left w:w="0" w:type="dxa"/>
            </w:tcMar>
            <w:vAlign w:val="center"/>
          </w:tcPr>
          <w:p w14:paraId="184612D7" w14:textId="77777777" w:rsidR="006B2980" w:rsidRPr="0048196F" w:rsidRDefault="006B2980" w:rsidP="006B2980">
            <w:pPr>
              <w:spacing w:line="360" w:lineRule="auto"/>
              <w:jc w:val="center"/>
              <w:rPr>
                <w:lang w:val="en-US"/>
              </w:rPr>
            </w:pPr>
          </w:p>
        </w:tc>
        <w:tc>
          <w:tcPr>
            <w:tcW w:w="1773" w:type="dxa"/>
            <w:noWrap/>
            <w:tcMar>
              <w:left w:w="0" w:type="dxa"/>
            </w:tcMar>
            <w:vAlign w:val="center"/>
          </w:tcPr>
          <w:p w14:paraId="534D71AF" w14:textId="77777777" w:rsidR="006B2980" w:rsidRPr="0048196F" w:rsidRDefault="006B2980" w:rsidP="006B2980">
            <w:pPr>
              <w:spacing w:line="360" w:lineRule="auto"/>
              <w:jc w:val="center"/>
              <w:rPr>
                <w:color w:val="000000"/>
                <w:lang w:val="en-US"/>
              </w:rPr>
            </w:pPr>
          </w:p>
        </w:tc>
        <w:tc>
          <w:tcPr>
            <w:tcW w:w="1106" w:type="dxa"/>
            <w:tcBorders>
              <w:right w:val="nil"/>
            </w:tcBorders>
            <w:noWrap/>
            <w:tcMar>
              <w:left w:w="0" w:type="dxa"/>
              <w:right w:w="0" w:type="dxa"/>
            </w:tcMar>
            <w:vAlign w:val="center"/>
          </w:tcPr>
          <w:p w14:paraId="5D0F2D86" w14:textId="77777777" w:rsidR="006B2980" w:rsidRPr="0048196F" w:rsidRDefault="006B2980" w:rsidP="006B2980">
            <w:pPr>
              <w:spacing w:line="360" w:lineRule="auto"/>
              <w:jc w:val="center"/>
              <w:rPr>
                <w:lang w:val="en-US"/>
              </w:rPr>
            </w:pPr>
          </w:p>
        </w:tc>
      </w:tr>
      <w:tr w:rsidR="006B2980" w:rsidRPr="0048196F" w14:paraId="7D795B7A" w14:textId="77777777" w:rsidTr="00077CD2">
        <w:trPr>
          <w:trHeight w:val="34"/>
        </w:trPr>
        <w:tc>
          <w:tcPr>
            <w:tcW w:w="2120" w:type="dxa"/>
            <w:tcBorders>
              <w:left w:val="nil"/>
            </w:tcBorders>
            <w:hideMark/>
          </w:tcPr>
          <w:p w14:paraId="3474ABBE" w14:textId="77777777" w:rsidR="006B2980" w:rsidRPr="0048196F" w:rsidRDefault="006B2980" w:rsidP="006B2980">
            <w:pPr>
              <w:spacing w:line="360" w:lineRule="auto"/>
              <w:rPr>
                <w:lang w:val="en-US"/>
              </w:rPr>
            </w:pPr>
            <w:r w:rsidRPr="0048196F">
              <w:rPr>
                <w:lang w:val="en-US"/>
              </w:rPr>
              <w:t>Machine Vision</w:t>
            </w:r>
          </w:p>
        </w:tc>
        <w:tc>
          <w:tcPr>
            <w:tcW w:w="1813" w:type="dxa"/>
            <w:noWrap/>
            <w:tcMar>
              <w:left w:w="0" w:type="dxa"/>
              <w:right w:w="0" w:type="dxa"/>
            </w:tcMar>
            <w:vAlign w:val="center"/>
            <w:hideMark/>
          </w:tcPr>
          <w:p w14:paraId="7AED5F80" w14:textId="77777777" w:rsidR="006B2980" w:rsidRPr="0048196F" w:rsidRDefault="006B2980" w:rsidP="006B2980">
            <w:pPr>
              <w:spacing w:line="360" w:lineRule="auto"/>
              <w:jc w:val="center"/>
              <w:rPr>
                <w:lang w:val="en-US"/>
              </w:rPr>
            </w:pPr>
          </w:p>
        </w:tc>
        <w:tc>
          <w:tcPr>
            <w:tcW w:w="1473" w:type="dxa"/>
            <w:noWrap/>
            <w:tcMar>
              <w:left w:w="0" w:type="dxa"/>
            </w:tcMar>
            <w:vAlign w:val="center"/>
            <w:hideMark/>
          </w:tcPr>
          <w:p w14:paraId="7F75BCA3" w14:textId="77777777" w:rsidR="006B2980" w:rsidRPr="0048196F" w:rsidRDefault="006B2980" w:rsidP="006B2980">
            <w:pPr>
              <w:spacing w:line="360" w:lineRule="auto"/>
              <w:jc w:val="center"/>
              <w:rPr>
                <w:lang w:val="en-US"/>
              </w:rPr>
            </w:pPr>
          </w:p>
        </w:tc>
        <w:tc>
          <w:tcPr>
            <w:tcW w:w="1773" w:type="dxa"/>
            <w:noWrap/>
            <w:tcMar>
              <w:left w:w="0" w:type="dxa"/>
            </w:tcMar>
            <w:vAlign w:val="center"/>
            <w:hideMark/>
          </w:tcPr>
          <w:p w14:paraId="62D2C541" w14:textId="77777777" w:rsidR="006B2980" w:rsidRPr="0048196F" w:rsidRDefault="006B2980" w:rsidP="006B2980">
            <w:pPr>
              <w:spacing w:line="360" w:lineRule="auto"/>
              <w:jc w:val="center"/>
              <w:rPr>
                <w:lang w:val="en-US"/>
              </w:rPr>
            </w:pPr>
            <w:r w:rsidRPr="0048196F">
              <w:rPr>
                <w:color w:val="000000"/>
                <w:lang w:val="en-US"/>
              </w:rPr>
              <w:t>4</w:t>
            </w:r>
          </w:p>
        </w:tc>
        <w:tc>
          <w:tcPr>
            <w:tcW w:w="1106" w:type="dxa"/>
            <w:tcBorders>
              <w:right w:val="nil"/>
            </w:tcBorders>
            <w:noWrap/>
            <w:tcMar>
              <w:left w:w="0" w:type="dxa"/>
              <w:right w:w="0" w:type="dxa"/>
            </w:tcMar>
            <w:vAlign w:val="center"/>
            <w:hideMark/>
          </w:tcPr>
          <w:p w14:paraId="4AE63B2F" w14:textId="77777777" w:rsidR="006B2980" w:rsidRPr="0048196F" w:rsidRDefault="006B2980" w:rsidP="006B2980">
            <w:pPr>
              <w:spacing w:line="360" w:lineRule="auto"/>
              <w:jc w:val="center"/>
              <w:rPr>
                <w:lang w:val="en-US"/>
              </w:rPr>
            </w:pPr>
          </w:p>
        </w:tc>
      </w:tr>
    </w:tbl>
    <w:p w14:paraId="02FC02A8" w14:textId="77777777" w:rsidR="00DA3BA4" w:rsidRPr="0048196F" w:rsidRDefault="00DA3BA4" w:rsidP="002B1651">
      <w:pPr>
        <w:spacing w:line="360" w:lineRule="auto"/>
        <w:rPr>
          <w:lang w:val="en-US"/>
        </w:rPr>
      </w:pPr>
    </w:p>
    <w:p w14:paraId="06943717" w14:textId="77777777" w:rsidR="004A1B20" w:rsidRPr="0048196F" w:rsidRDefault="004A1B20" w:rsidP="002B1651">
      <w:pPr>
        <w:spacing w:line="360" w:lineRule="auto"/>
        <w:rPr>
          <w:lang w:val="en-US"/>
        </w:rPr>
      </w:pPr>
    </w:p>
    <w:p w14:paraId="49EB9BB6" w14:textId="12F87383" w:rsidR="00CF1080" w:rsidRPr="0048196F" w:rsidRDefault="00745A20" w:rsidP="00745A20">
      <w:pPr>
        <w:pStyle w:val="Heading3"/>
        <w:rPr>
          <w:lang w:val="en-US"/>
        </w:rPr>
      </w:pPr>
      <w:bookmarkStart w:id="89" w:name="_Toc14347342"/>
      <w:r w:rsidRPr="0048196F">
        <w:rPr>
          <w:lang w:val="en-US"/>
        </w:rPr>
        <w:t xml:space="preserve">Industry demand as </w:t>
      </w:r>
      <w:r w:rsidR="00EF1FDB" w:rsidRPr="0048196F">
        <w:rPr>
          <w:lang w:val="en-US"/>
        </w:rPr>
        <w:t>validation</w:t>
      </w:r>
      <w:bookmarkEnd w:id="89"/>
    </w:p>
    <w:p w14:paraId="343EA310" w14:textId="6835A989" w:rsidR="0048196F" w:rsidRDefault="00DA3BA4" w:rsidP="00EF133C">
      <w:pPr>
        <w:spacing w:line="360" w:lineRule="auto"/>
        <w:rPr>
          <w:lang w:val="en-US"/>
        </w:rPr>
      </w:pPr>
      <w:r w:rsidRPr="0048196F">
        <w:rPr>
          <w:lang w:val="en-US"/>
        </w:rPr>
        <w:t xml:space="preserve">All primary trends are additionally validated </w:t>
      </w:r>
      <w:r w:rsidR="0034349E" w:rsidRPr="0048196F">
        <w:rPr>
          <w:lang w:val="en-US"/>
        </w:rPr>
        <w:t>through</w:t>
      </w:r>
      <w:r w:rsidR="00474DAD" w:rsidRPr="0048196F">
        <w:rPr>
          <w:lang w:val="en-US"/>
        </w:rPr>
        <w:t xml:space="preserve"> their presence in</w:t>
      </w:r>
      <w:r w:rsidRPr="0048196F">
        <w:rPr>
          <w:lang w:val="en-US"/>
        </w:rPr>
        <w:t xml:space="preserve"> the call for challenges, except for the sharing economy. Furthermore, listed challenges and trends found in the additional literature review of </w:t>
      </w:r>
      <w:r w:rsidR="00607E07" w:rsidRPr="0048196F">
        <w:rPr>
          <w:lang w:val="en-US"/>
        </w:rPr>
        <w:t>d</w:t>
      </w:r>
      <w:r w:rsidRPr="0048196F">
        <w:rPr>
          <w:lang w:val="en-US"/>
        </w:rPr>
        <w:t xml:space="preserve">evelopment </w:t>
      </w:r>
      <w:r w:rsidR="00607E07" w:rsidRPr="0048196F">
        <w:rPr>
          <w:lang w:val="en-US"/>
        </w:rPr>
        <w:t>p</w:t>
      </w:r>
      <w:r w:rsidRPr="0048196F">
        <w:rPr>
          <w:lang w:val="en-US"/>
        </w:rPr>
        <w:t xml:space="preserve">hase </w:t>
      </w:r>
      <w:r w:rsidR="00607E07" w:rsidRPr="0048196F">
        <w:rPr>
          <w:lang w:val="en-US"/>
        </w:rPr>
        <w:t>o</w:t>
      </w:r>
      <w:r w:rsidRPr="0048196F">
        <w:rPr>
          <w:lang w:val="en-US"/>
        </w:rPr>
        <w:t xml:space="preserve">ne are validated by their presence in the call for challenges. </w:t>
      </w:r>
      <w:r w:rsidR="00EF133C">
        <w:rPr>
          <w:lang w:val="en-US"/>
        </w:rPr>
        <w:t xml:space="preserve">This additional information has been included in the trend map. </w:t>
      </w:r>
    </w:p>
    <w:p w14:paraId="655684B6" w14:textId="77777777" w:rsidR="006D0730" w:rsidRPr="0048196F" w:rsidRDefault="006D0730" w:rsidP="00EF133C">
      <w:pPr>
        <w:spacing w:line="360" w:lineRule="auto"/>
        <w:rPr>
          <w:lang w:val="en-US"/>
        </w:rPr>
      </w:pPr>
    </w:p>
    <w:p w14:paraId="4FC4E3A1" w14:textId="365B313D" w:rsidR="0048196F" w:rsidRPr="0048196F" w:rsidRDefault="0048196F" w:rsidP="0048196F">
      <w:pPr>
        <w:pStyle w:val="Caption"/>
        <w:keepNext/>
        <w:rPr>
          <w:lang w:val="en-US"/>
        </w:rPr>
      </w:pPr>
      <w:bookmarkStart w:id="90" w:name="_Toc14347500"/>
      <w:r w:rsidRPr="0048196F">
        <w:rPr>
          <w:lang w:val="en-US"/>
        </w:rPr>
        <w:t xml:space="preserve">Table </w:t>
      </w:r>
      <w:r w:rsidR="000D0D31">
        <w:rPr>
          <w:lang w:val="en-US"/>
        </w:rPr>
        <w:fldChar w:fldCharType="begin"/>
      </w:r>
      <w:r w:rsidR="000D0D31">
        <w:rPr>
          <w:lang w:val="en-US"/>
        </w:rPr>
        <w:instrText xml:space="preserve"> SEQ Table \* ARABIC </w:instrText>
      </w:r>
      <w:r w:rsidR="000D0D31">
        <w:rPr>
          <w:lang w:val="en-US"/>
        </w:rPr>
        <w:fldChar w:fldCharType="separate"/>
      </w:r>
      <w:r w:rsidR="009F0429">
        <w:rPr>
          <w:noProof/>
          <w:lang w:val="en-US"/>
        </w:rPr>
        <w:t>11</w:t>
      </w:r>
      <w:r w:rsidR="000D0D31">
        <w:rPr>
          <w:lang w:val="en-US"/>
        </w:rPr>
        <w:fldChar w:fldCharType="end"/>
      </w:r>
      <w:r w:rsidRPr="0048196F">
        <w:rPr>
          <w:lang w:val="en-US"/>
        </w:rPr>
        <w:t>: Challenges and trends from Development Phase 1 present in industry demand</w:t>
      </w:r>
      <w:bookmarkEnd w:id="90"/>
    </w:p>
    <w:tbl>
      <w:tblPr>
        <w:tblStyle w:val="TableGrid"/>
        <w:tblW w:w="8616" w:type="dxa"/>
        <w:tblLook w:val="04A0" w:firstRow="1" w:lastRow="0" w:firstColumn="1" w:lastColumn="0" w:noHBand="0" w:noVBand="1"/>
      </w:tblPr>
      <w:tblGrid>
        <w:gridCol w:w="2872"/>
        <w:gridCol w:w="2872"/>
        <w:gridCol w:w="2872"/>
      </w:tblGrid>
      <w:tr w:rsidR="00353563" w:rsidRPr="0048196F" w14:paraId="3A362584" w14:textId="77777777" w:rsidTr="00BA0C88">
        <w:trPr>
          <w:trHeight w:val="183"/>
        </w:trPr>
        <w:tc>
          <w:tcPr>
            <w:tcW w:w="2872" w:type="dxa"/>
            <w:tcBorders>
              <w:left w:val="nil"/>
              <w:bottom w:val="single" w:sz="4" w:space="0" w:color="auto"/>
              <w:right w:val="nil"/>
            </w:tcBorders>
          </w:tcPr>
          <w:p w14:paraId="0634DF3A" w14:textId="1760A86F" w:rsidR="00353563" w:rsidRPr="0048196F" w:rsidRDefault="00353563" w:rsidP="00B31276">
            <w:pPr>
              <w:spacing w:line="360" w:lineRule="auto"/>
              <w:rPr>
                <w:bCs/>
                <w:lang w:val="en-US"/>
              </w:rPr>
            </w:pPr>
            <w:r w:rsidRPr="0048196F">
              <w:rPr>
                <w:rFonts w:eastAsia="Times New Roman"/>
                <w:bCs/>
                <w:lang w:val="en-US"/>
              </w:rPr>
              <w:t>Primary Trend</w:t>
            </w:r>
          </w:p>
        </w:tc>
        <w:tc>
          <w:tcPr>
            <w:tcW w:w="2872" w:type="dxa"/>
            <w:tcBorders>
              <w:left w:val="nil"/>
              <w:bottom w:val="single" w:sz="4" w:space="0" w:color="auto"/>
              <w:right w:val="nil"/>
            </w:tcBorders>
          </w:tcPr>
          <w:p w14:paraId="35646500" w14:textId="1A7E22E5" w:rsidR="00353563" w:rsidRPr="0048196F" w:rsidRDefault="00353563" w:rsidP="00B31276">
            <w:pPr>
              <w:spacing w:line="360" w:lineRule="auto"/>
              <w:rPr>
                <w:bCs/>
                <w:lang w:val="en-US"/>
              </w:rPr>
            </w:pPr>
            <w:r w:rsidRPr="0048196F">
              <w:rPr>
                <w:bCs/>
                <w:lang w:val="en-US"/>
              </w:rPr>
              <w:t>Challenge</w:t>
            </w:r>
          </w:p>
        </w:tc>
        <w:tc>
          <w:tcPr>
            <w:tcW w:w="2872" w:type="dxa"/>
            <w:tcBorders>
              <w:left w:val="nil"/>
              <w:bottom w:val="single" w:sz="4" w:space="0" w:color="auto"/>
              <w:right w:val="nil"/>
            </w:tcBorders>
          </w:tcPr>
          <w:p w14:paraId="67837BED" w14:textId="6ED669F0" w:rsidR="00353563" w:rsidRPr="0048196F" w:rsidRDefault="00353563" w:rsidP="00B31276">
            <w:pPr>
              <w:spacing w:line="360" w:lineRule="auto"/>
              <w:rPr>
                <w:bCs/>
                <w:lang w:val="en-US"/>
              </w:rPr>
            </w:pPr>
            <w:r w:rsidRPr="0048196F">
              <w:rPr>
                <w:bCs/>
                <w:lang w:val="en-US"/>
              </w:rPr>
              <w:t>Trend</w:t>
            </w:r>
          </w:p>
        </w:tc>
      </w:tr>
      <w:tr w:rsidR="00353563" w:rsidRPr="0048196F" w14:paraId="79BD5FAA" w14:textId="77777777" w:rsidTr="00DA3BA4">
        <w:trPr>
          <w:trHeight w:val="1268"/>
        </w:trPr>
        <w:tc>
          <w:tcPr>
            <w:tcW w:w="2872" w:type="dxa"/>
            <w:tcBorders>
              <w:top w:val="single" w:sz="4" w:space="0" w:color="auto"/>
              <w:left w:val="nil"/>
              <w:bottom w:val="nil"/>
              <w:right w:val="nil"/>
            </w:tcBorders>
            <w:tcMar>
              <w:top w:w="85" w:type="dxa"/>
            </w:tcMar>
          </w:tcPr>
          <w:p w14:paraId="4A49FA71" w14:textId="344E3898" w:rsidR="00353563" w:rsidRPr="0048196F" w:rsidRDefault="00353563" w:rsidP="00B31276">
            <w:pPr>
              <w:spacing w:line="360" w:lineRule="auto"/>
              <w:rPr>
                <w:bCs/>
                <w:lang w:val="en-US"/>
              </w:rPr>
            </w:pPr>
            <w:r w:rsidRPr="0048196F">
              <w:rPr>
                <w:bCs/>
                <w:lang w:val="en-US"/>
              </w:rPr>
              <w:t>Digital Economy</w:t>
            </w:r>
          </w:p>
        </w:tc>
        <w:tc>
          <w:tcPr>
            <w:tcW w:w="2872" w:type="dxa"/>
            <w:tcBorders>
              <w:top w:val="single" w:sz="4" w:space="0" w:color="auto"/>
              <w:left w:val="nil"/>
              <w:bottom w:val="nil"/>
              <w:right w:val="nil"/>
            </w:tcBorders>
            <w:tcMar>
              <w:top w:w="85" w:type="dxa"/>
            </w:tcMar>
          </w:tcPr>
          <w:p w14:paraId="6C765E11" w14:textId="5CA8F569" w:rsidR="00353563" w:rsidRPr="0048196F" w:rsidRDefault="00031172" w:rsidP="00B31276">
            <w:pPr>
              <w:spacing w:line="360" w:lineRule="auto"/>
              <w:rPr>
                <w:bCs/>
                <w:lang w:val="en-US"/>
              </w:rPr>
            </w:pPr>
            <w:r w:rsidRPr="0048196F">
              <w:rPr>
                <w:bCs/>
                <w:lang w:val="en-US"/>
              </w:rPr>
              <w:t xml:space="preserve">Digital </w:t>
            </w:r>
            <w:r w:rsidR="00353563" w:rsidRPr="0048196F">
              <w:rPr>
                <w:bCs/>
                <w:lang w:val="en-US"/>
              </w:rPr>
              <w:t>Skills</w:t>
            </w:r>
          </w:p>
          <w:p w14:paraId="13199174" w14:textId="63554A85" w:rsidR="00353563" w:rsidRPr="0048196F" w:rsidRDefault="00353563" w:rsidP="00B31276">
            <w:pPr>
              <w:spacing w:line="360" w:lineRule="auto"/>
              <w:rPr>
                <w:bCs/>
                <w:lang w:val="en-US"/>
              </w:rPr>
            </w:pPr>
            <w:r w:rsidRPr="0048196F">
              <w:rPr>
                <w:bCs/>
                <w:lang w:val="en-US"/>
              </w:rPr>
              <w:t>Cost/benefit ratio</w:t>
            </w:r>
          </w:p>
        </w:tc>
        <w:tc>
          <w:tcPr>
            <w:tcW w:w="2872" w:type="dxa"/>
            <w:tcBorders>
              <w:top w:val="single" w:sz="4" w:space="0" w:color="auto"/>
              <w:left w:val="nil"/>
              <w:bottom w:val="nil"/>
              <w:right w:val="nil"/>
            </w:tcBorders>
            <w:tcMar>
              <w:top w:w="85" w:type="dxa"/>
            </w:tcMar>
          </w:tcPr>
          <w:p w14:paraId="22F89D09" w14:textId="77777777" w:rsidR="00353563" w:rsidRPr="0048196F" w:rsidRDefault="00353563" w:rsidP="00B31276">
            <w:pPr>
              <w:spacing w:line="360" w:lineRule="auto"/>
              <w:rPr>
                <w:bCs/>
                <w:lang w:val="en-US"/>
              </w:rPr>
            </w:pPr>
            <w:r w:rsidRPr="0048196F">
              <w:rPr>
                <w:bCs/>
                <w:lang w:val="en-US"/>
              </w:rPr>
              <w:t>Traceability</w:t>
            </w:r>
          </w:p>
          <w:p w14:paraId="56EDBECB" w14:textId="42B64635" w:rsidR="00353563" w:rsidRPr="0048196F" w:rsidRDefault="00353563" w:rsidP="00B31276">
            <w:pPr>
              <w:spacing w:line="360" w:lineRule="auto"/>
              <w:rPr>
                <w:bCs/>
                <w:lang w:val="en-US"/>
              </w:rPr>
            </w:pPr>
            <w:r w:rsidRPr="0048196F">
              <w:rPr>
                <w:bCs/>
                <w:lang w:val="en-US"/>
              </w:rPr>
              <w:t>Advisory Services</w:t>
            </w:r>
          </w:p>
        </w:tc>
      </w:tr>
      <w:tr w:rsidR="00353563" w:rsidRPr="0048196F" w14:paraId="47F988C7" w14:textId="77777777" w:rsidTr="00DA3BA4">
        <w:trPr>
          <w:trHeight w:val="966"/>
        </w:trPr>
        <w:tc>
          <w:tcPr>
            <w:tcW w:w="2872" w:type="dxa"/>
            <w:tcBorders>
              <w:top w:val="nil"/>
              <w:left w:val="nil"/>
              <w:bottom w:val="nil"/>
              <w:right w:val="nil"/>
            </w:tcBorders>
          </w:tcPr>
          <w:p w14:paraId="710BE881" w14:textId="547A919A" w:rsidR="00353563" w:rsidRPr="0048196F" w:rsidRDefault="00353563" w:rsidP="00B31276">
            <w:pPr>
              <w:spacing w:line="360" w:lineRule="auto"/>
              <w:rPr>
                <w:bCs/>
                <w:lang w:val="en-US"/>
              </w:rPr>
            </w:pPr>
            <w:r w:rsidRPr="0048196F">
              <w:rPr>
                <w:bCs/>
                <w:lang w:val="en-US"/>
              </w:rPr>
              <w:t>Data Economy</w:t>
            </w:r>
          </w:p>
        </w:tc>
        <w:tc>
          <w:tcPr>
            <w:tcW w:w="2872" w:type="dxa"/>
            <w:tcBorders>
              <w:top w:val="nil"/>
              <w:left w:val="nil"/>
              <w:bottom w:val="nil"/>
              <w:right w:val="nil"/>
            </w:tcBorders>
          </w:tcPr>
          <w:p w14:paraId="70E37E7E" w14:textId="53E93603" w:rsidR="00353563" w:rsidRPr="0048196F" w:rsidRDefault="00353563" w:rsidP="00B31276">
            <w:pPr>
              <w:spacing w:line="360" w:lineRule="auto"/>
              <w:rPr>
                <w:bCs/>
                <w:lang w:val="en-US"/>
              </w:rPr>
            </w:pPr>
            <w:r w:rsidRPr="0048196F">
              <w:rPr>
                <w:bCs/>
                <w:lang w:val="en-US"/>
              </w:rPr>
              <w:t>Access to data</w:t>
            </w:r>
          </w:p>
        </w:tc>
        <w:tc>
          <w:tcPr>
            <w:tcW w:w="2872" w:type="dxa"/>
            <w:tcBorders>
              <w:top w:val="nil"/>
              <w:left w:val="nil"/>
              <w:bottom w:val="nil"/>
              <w:right w:val="nil"/>
            </w:tcBorders>
          </w:tcPr>
          <w:p w14:paraId="1B1296CD" w14:textId="77777777" w:rsidR="00353563" w:rsidRPr="0048196F" w:rsidRDefault="00353563" w:rsidP="00353563">
            <w:pPr>
              <w:spacing w:line="360" w:lineRule="auto"/>
              <w:rPr>
                <w:bCs/>
                <w:lang w:val="en-US"/>
              </w:rPr>
            </w:pPr>
            <w:r w:rsidRPr="0048196F">
              <w:rPr>
                <w:bCs/>
                <w:lang w:val="en-US"/>
              </w:rPr>
              <w:t>Data Sharing</w:t>
            </w:r>
          </w:p>
          <w:p w14:paraId="62789BB0" w14:textId="333002D3" w:rsidR="00353563" w:rsidRPr="0048196F" w:rsidRDefault="00353563" w:rsidP="00353563">
            <w:pPr>
              <w:spacing w:line="360" w:lineRule="auto"/>
              <w:rPr>
                <w:bCs/>
                <w:lang w:val="en-US"/>
              </w:rPr>
            </w:pPr>
            <w:r w:rsidRPr="0048196F">
              <w:rPr>
                <w:bCs/>
                <w:lang w:val="en-US"/>
              </w:rPr>
              <w:t>Data Aggregation</w:t>
            </w:r>
          </w:p>
        </w:tc>
      </w:tr>
      <w:tr w:rsidR="00353563" w:rsidRPr="0048196F" w14:paraId="6D750A2A" w14:textId="77777777" w:rsidTr="00DA3BA4">
        <w:trPr>
          <w:trHeight w:val="933"/>
        </w:trPr>
        <w:tc>
          <w:tcPr>
            <w:tcW w:w="2872" w:type="dxa"/>
            <w:tcBorders>
              <w:top w:val="nil"/>
              <w:left w:val="nil"/>
              <w:bottom w:val="nil"/>
              <w:right w:val="nil"/>
            </w:tcBorders>
          </w:tcPr>
          <w:p w14:paraId="4B010BF7" w14:textId="672CCA24" w:rsidR="00353563" w:rsidRPr="0048196F" w:rsidRDefault="00353563" w:rsidP="00B31276">
            <w:pPr>
              <w:spacing w:line="360" w:lineRule="auto"/>
              <w:rPr>
                <w:bCs/>
                <w:lang w:val="en-US"/>
              </w:rPr>
            </w:pPr>
            <w:r w:rsidRPr="0048196F">
              <w:rPr>
                <w:bCs/>
                <w:lang w:val="en-US"/>
              </w:rPr>
              <w:t>Sustainable Intensification</w:t>
            </w:r>
          </w:p>
        </w:tc>
        <w:tc>
          <w:tcPr>
            <w:tcW w:w="2872" w:type="dxa"/>
            <w:tcBorders>
              <w:top w:val="nil"/>
              <w:left w:val="nil"/>
              <w:bottom w:val="nil"/>
              <w:right w:val="nil"/>
            </w:tcBorders>
          </w:tcPr>
          <w:p w14:paraId="6750D2C1" w14:textId="77777777" w:rsidR="00353563" w:rsidRPr="0048196F" w:rsidRDefault="00D80F5D" w:rsidP="00B31276">
            <w:pPr>
              <w:spacing w:line="360" w:lineRule="auto"/>
              <w:rPr>
                <w:bCs/>
                <w:lang w:val="en-US"/>
              </w:rPr>
            </w:pPr>
            <w:r w:rsidRPr="0048196F">
              <w:rPr>
                <w:bCs/>
                <w:lang w:val="en-US"/>
              </w:rPr>
              <w:t>R</w:t>
            </w:r>
            <w:r w:rsidR="00353563" w:rsidRPr="0048196F">
              <w:rPr>
                <w:bCs/>
                <w:lang w:val="en-US"/>
              </w:rPr>
              <w:t>esearch</w:t>
            </w:r>
          </w:p>
          <w:p w14:paraId="0234DC20" w14:textId="59395A3F" w:rsidR="00D80F5D" w:rsidRPr="0048196F" w:rsidRDefault="00D80F5D" w:rsidP="00B31276">
            <w:pPr>
              <w:spacing w:line="360" w:lineRule="auto"/>
              <w:rPr>
                <w:bCs/>
                <w:lang w:val="en-US"/>
              </w:rPr>
            </w:pPr>
            <w:r w:rsidRPr="0048196F">
              <w:rPr>
                <w:bCs/>
                <w:lang w:val="en-US"/>
              </w:rPr>
              <w:t>Sustainability standards</w:t>
            </w:r>
          </w:p>
        </w:tc>
        <w:tc>
          <w:tcPr>
            <w:tcW w:w="2872" w:type="dxa"/>
            <w:tcBorders>
              <w:top w:val="nil"/>
              <w:left w:val="nil"/>
              <w:bottom w:val="nil"/>
              <w:right w:val="nil"/>
            </w:tcBorders>
          </w:tcPr>
          <w:p w14:paraId="40ED5F7D" w14:textId="77777777" w:rsidR="00353563" w:rsidRPr="0048196F" w:rsidRDefault="00353563" w:rsidP="00B31276">
            <w:pPr>
              <w:spacing w:line="360" w:lineRule="auto"/>
              <w:rPr>
                <w:bCs/>
                <w:lang w:val="en-US"/>
              </w:rPr>
            </w:pPr>
          </w:p>
        </w:tc>
      </w:tr>
      <w:tr w:rsidR="00353563" w:rsidRPr="0048196F" w14:paraId="465B49B7" w14:textId="77777777" w:rsidTr="00DA3BA4">
        <w:trPr>
          <w:trHeight w:val="966"/>
        </w:trPr>
        <w:tc>
          <w:tcPr>
            <w:tcW w:w="2872" w:type="dxa"/>
            <w:tcBorders>
              <w:top w:val="nil"/>
              <w:left w:val="nil"/>
              <w:bottom w:val="nil"/>
              <w:right w:val="nil"/>
            </w:tcBorders>
          </w:tcPr>
          <w:p w14:paraId="3E13D03D" w14:textId="76550F33" w:rsidR="00353563" w:rsidRPr="0048196F" w:rsidRDefault="00353563" w:rsidP="00B31276">
            <w:pPr>
              <w:spacing w:line="360" w:lineRule="auto"/>
              <w:rPr>
                <w:bCs/>
                <w:lang w:val="en-US"/>
              </w:rPr>
            </w:pPr>
            <w:r w:rsidRPr="0048196F">
              <w:rPr>
                <w:bCs/>
                <w:lang w:val="en-US"/>
              </w:rPr>
              <w:t>Circular Economy</w:t>
            </w:r>
          </w:p>
        </w:tc>
        <w:tc>
          <w:tcPr>
            <w:tcW w:w="2872" w:type="dxa"/>
            <w:tcBorders>
              <w:top w:val="nil"/>
              <w:left w:val="nil"/>
              <w:bottom w:val="nil"/>
              <w:right w:val="nil"/>
            </w:tcBorders>
          </w:tcPr>
          <w:p w14:paraId="19288C0E" w14:textId="7F914748" w:rsidR="00353563" w:rsidRPr="0048196F" w:rsidRDefault="00353563" w:rsidP="00B31276">
            <w:pPr>
              <w:spacing w:line="360" w:lineRule="auto"/>
              <w:rPr>
                <w:bCs/>
                <w:lang w:val="en-US"/>
              </w:rPr>
            </w:pPr>
            <w:r w:rsidRPr="0048196F">
              <w:rPr>
                <w:bCs/>
                <w:lang w:val="en-US"/>
              </w:rPr>
              <w:t>Waste Infrastructure</w:t>
            </w:r>
          </w:p>
        </w:tc>
        <w:tc>
          <w:tcPr>
            <w:tcW w:w="2872" w:type="dxa"/>
            <w:tcBorders>
              <w:top w:val="nil"/>
              <w:left w:val="nil"/>
              <w:bottom w:val="nil"/>
              <w:right w:val="nil"/>
            </w:tcBorders>
          </w:tcPr>
          <w:p w14:paraId="4AC6BBB0" w14:textId="77777777" w:rsidR="00353563" w:rsidRPr="0048196F" w:rsidRDefault="00353563" w:rsidP="00B31276">
            <w:pPr>
              <w:spacing w:line="360" w:lineRule="auto"/>
              <w:rPr>
                <w:bCs/>
                <w:lang w:val="en-US"/>
              </w:rPr>
            </w:pPr>
            <w:r w:rsidRPr="0048196F">
              <w:rPr>
                <w:bCs/>
                <w:lang w:val="en-US"/>
              </w:rPr>
              <w:t>Precision Agriculture</w:t>
            </w:r>
          </w:p>
          <w:p w14:paraId="4391AB09" w14:textId="0CCAB047" w:rsidR="00353563" w:rsidRPr="0048196F" w:rsidRDefault="00353563" w:rsidP="00B31276">
            <w:pPr>
              <w:spacing w:line="360" w:lineRule="auto"/>
              <w:rPr>
                <w:bCs/>
                <w:lang w:val="en-US"/>
              </w:rPr>
            </w:pPr>
            <w:r w:rsidRPr="0048196F">
              <w:rPr>
                <w:bCs/>
                <w:lang w:val="en-US"/>
              </w:rPr>
              <w:t>Bio Economy</w:t>
            </w:r>
          </w:p>
        </w:tc>
      </w:tr>
      <w:tr w:rsidR="00353563" w:rsidRPr="0048196F" w14:paraId="5A0D623A" w14:textId="77777777" w:rsidTr="0048196F">
        <w:trPr>
          <w:trHeight w:val="466"/>
        </w:trPr>
        <w:tc>
          <w:tcPr>
            <w:tcW w:w="2872" w:type="dxa"/>
            <w:tcBorders>
              <w:top w:val="nil"/>
              <w:left w:val="nil"/>
              <w:bottom w:val="single" w:sz="4" w:space="0" w:color="auto"/>
              <w:right w:val="nil"/>
            </w:tcBorders>
          </w:tcPr>
          <w:p w14:paraId="3727DC54" w14:textId="1CD65B7E" w:rsidR="00353563" w:rsidRPr="0048196F" w:rsidRDefault="00353563" w:rsidP="00B31276">
            <w:pPr>
              <w:spacing w:line="360" w:lineRule="auto"/>
              <w:rPr>
                <w:bCs/>
                <w:lang w:val="en-US"/>
              </w:rPr>
            </w:pPr>
            <w:r w:rsidRPr="0048196F">
              <w:rPr>
                <w:bCs/>
                <w:lang w:val="en-US"/>
              </w:rPr>
              <w:t>On Demand Economy</w:t>
            </w:r>
          </w:p>
        </w:tc>
        <w:tc>
          <w:tcPr>
            <w:tcW w:w="2872" w:type="dxa"/>
            <w:tcBorders>
              <w:top w:val="nil"/>
              <w:left w:val="nil"/>
              <w:bottom w:val="single" w:sz="4" w:space="0" w:color="auto"/>
              <w:right w:val="nil"/>
            </w:tcBorders>
          </w:tcPr>
          <w:p w14:paraId="0F3C5D1B" w14:textId="215C4761" w:rsidR="00353563" w:rsidRPr="0048196F" w:rsidRDefault="00353563" w:rsidP="00B31276">
            <w:pPr>
              <w:spacing w:line="360" w:lineRule="auto"/>
              <w:rPr>
                <w:bCs/>
                <w:lang w:val="en-US"/>
              </w:rPr>
            </w:pPr>
            <w:r w:rsidRPr="0048196F">
              <w:rPr>
                <w:bCs/>
                <w:lang w:val="en-US"/>
              </w:rPr>
              <w:t>Peak working l</w:t>
            </w:r>
            <w:r w:rsidR="00D80F5D" w:rsidRPr="0048196F">
              <w:rPr>
                <w:bCs/>
                <w:lang w:val="en-US"/>
              </w:rPr>
              <w:t>oad</w:t>
            </w:r>
          </w:p>
        </w:tc>
        <w:tc>
          <w:tcPr>
            <w:tcW w:w="2872" w:type="dxa"/>
            <w:tcBorders>
              <w:top w:val="nil"/>
              <w:left w:val="nil"/>
              <w:bottom w:val="single" w:sz="4" w:space="0" w:color="auto"/>
              <w:right w:val="nil"/>
            </w:tcBorders>
          </w:tcPr>
          <w:p w14:paraId="19CC9F71" w14:textId="3BB49B61" w:rsidR="00353563" w:rsidRPr="0048196F" w:rsidRDefault="00353563" w:rsidP="00B31276">
            <w:pPr>
              <w:spacing w:line="360" w:lineRule="auto"/>
              <w:rPr>
                <w:bCs/>
                <w:lang w:val="en-US"/>
              </w:rPr>
            </w:pPr>
            <w:r w:rsidRPr="0048196F">
              <w:rPr>
                <w:bCs/>
                <w:lang w:val="en-US"/>
              </w:rPr>
              <w:t xml:space="preserve">On demand </w:t>
            </w:r>
            <w:r w:rsidR="0091145D" w:rsidRPr="0048196F">
              <w:rPr>
                <w:bCs/>
                <w:lang w:val="en-US"/>
              </w:rPr>
              <w:t>Tr</w:t>
            </w:r>
            <w:bookmarkStart w:id="91" w:name="_GoBack"/>
            <w:bookmarkEnd w:id="91"/>
            <w:r w:rsidR="0091145D" w:rsidRPr="0048196F">
              <w:rPr>
                <w:bCs/>
                <w:lang w:val="en-US"/>
              </w:rPr>
              <w:t>aining</w:t>
            </w:r>
          </w:p>
        </w:tc>
      </w:tr>
    </w:tbl>
    <w:p w14:paraId="670328D4" w14:textId="26AA6C97" w:rsidR="00634236" w:rsidRDefault="00634236" w:rsidP="00634236">
      <w:pPr>
        <w:pStyle w:val="Heading1"/>
        <w:numPr>
          <w:ilvl w:val="0"/>
          <w:numId w:val="0"/>
        </w:numPr>
        <w:ind w:left="432"/>
        <w:rPr>
          <w:lang w:val="en-US"/>
        </w:rPr>
      </w:pPr>
      <w:r>
        <w:rPr>
          <w:noProof/>
          <w:lang w:val="pt-PT" w:eastAsia="pt-PT"/>
        </w:rPr>
        <w:drawing>
          <wp:anchor distT="0" distB="0" distL="114300" distR="114300" simplePos="0" relativeHeight="251675648" behindDoc="0" locked="0" layoutInCell="1" allowOverlap="1" wp14:anchorId="4447DC72" wp14:editId="7BAEE7F9">
            <wp:simplePos x="0" y="0"/>
            <wp:positionH relativeFrom="column">
              <wp:posOffset>-516255</wp:posOffset>
            </wp:positionH>
            <wp:positionV relativeFrom="paragraph">
              <wp:posOffset>585</wp:posOffset>
            </wp:positionV>
            <wp:extent cx="5386070" cy="3810635"/>
            <wp:effectExtent l="0" t="0" r="0" b="0"/>
            <wp:wrapSquare wrapText="bothSides"/>
            <wp:docPr id="5" name="Afbeelding 5"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0613_FINAL_Digital Value Chain.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86070" cy="3810635"/>
                    </a:xfrm>
                    <a:prstGeom prst="rect">
                      <a:avLst/>
                    </a:prstGeom>
                  </pic:spPr>
                </pic:pic>
              </a:graphicData>
            </a:graphic>
            <wp14:sizeRelH relativeFrom="page">
              <wp14:pctWidth>0</wp14:pctWidth>
            </wp14:sizeRelH>
            <wp14:sizeRelV relativeFrom="page">
              <wp14:pctHeight>0</wp14:pctHeight>
            </wp14:sizeRelV>
          </wp:anchor>
        </w:drawing>
      </w:r>
    </w:p>
    <w:p w14:paraId="2801AF6C" w14:textId="3FD0227E" w:rsidR="00634236" w:rsidRDefault="00634236" w:rsidP="00634236">
      <w:pPr>
        <w:rPr>
          <w:lang w:val="en-US"/>
        </w:rPr>
      </w:pPr>
    </w:p>
    <w:p w14:paraId="798078B7" w14:textId="714F3EC2" w:rsidR="00634236" w:rsidRDefault="00634236" w:rsidP="00634236">
      <w:pPr>
        <w:rPr>
          <w:lang w:val="en-US"/>
        </w:rPr>
      </w:pPr>
    </w:p>
    <w:p w14:paraId="3B946A84" w14:textId="15CA8567" w:rsidR="00634236" w:rsidRDefault="00634236" w:rsidP="00634236">
      <w:pPr>
        <w:rPr>
          <w:lang w:val="en-US"/>
        </w:rPr>
      </w:pPr>
    </w:p>
    <w:p w14:paraId="3DFCD12F" w14:textId="64A41A9C" w:rsidR="00634236" w:rsidRDefault="00634236" w:rsidP="00634236">
      <w:pPr>
        <w:rPr>
          <w:lang w:val="en-US"/>
        </w:rPr>
      </w:pPr>
    </w:p>
    <w:p w14:paraId="27CC5BA3" w14:textId="6994CCC0" w:rsidR="00634236" w:rsidRDefault="00634236" w:rsidP="00634236">
      <w:pPr>
        <w:rPr>
          <w:lang w:val="en-US"/>
        </w:rPr>
      </w:pPr>
    </w:p>
    <w:p w14:paraId="7FF7B498" w14:textId="72BCC61B" w:rsidR="00634236" w:rsidRDefault="00634236" w:rsidP="00634236">
      <w:pPr>
        <w:rPr>
          <w:lang w:val="en-US"/>
        </w:rPr>
      </w:pPr>
    </w:p>
    <w:p w14:paraId="6E59A548" w14:textId="08DE4192" w:rsidR="00634236" w:rsidRDefault="00634236" w:rsidP="00634236">
      <w:pPr>
        <w:rPr>
          <w:lang w:val="en-US"/>
        </w:rPr>
      </w:pPr>
    </w:p>
    <w:p w14:paraId="6998229C" w14:textId="1051EA36" w:rsidR="00634236" w:rsidRDefault="00634236" w:rsidP="00634236">
      <w:pPr>
        <w:rPr>
          <w:lang w:val="en-US"/>
        </w:rPr>
      </w:pPr>
    </w:p>
    <w:p w14:paraId="75462286" w14:textId="5E82197F" w:rsidR="00634236" w:rsidRDefault="00634236" w:rsidP="00634236">
      <w:pPr>
        <w:rPr>
          <w:lang w:val="en-US"/>
        </w:rPr>
      </w:pPr>
    </w:p>
    <w:p w14:paraId="18F97E68" w14:textId="065EBB90" w:rsidR="00634236" w:rsidRDefault="00634236" w:rsidP="00634236">
      <w:pPr>
        <w:rPr>
          <w:lang w:val="en-US"/>
        </w:rPr>
      </w:pPr>
    </w:p>
    <w:p w14:paraId="7656D192" w14:textId="7DA2BEC3" w:rsidR="00634236" w:rsidRDefault="00634236" w:rsidP="00634236">
      <w:pPr>
        <w:rPr>
          <w:lang w:val="en-US"/>
        </w:rPr>
      </w:pPr>
    </w:p>
    <w:p w14:paraId="122C79E7" w14:textId="0C7FD8D1" w:rsidR="00634236" w:rsidRPr="00634236" w:rsidRDefault="00634236" w:rsidP="00634236">
      <w:pPr>
        <w:rPr>
          <w:lang w:val="en-US"/>
        </w:rPr>
      </w:pPr>
      <w:r>
        <w:rPr>
          <w:noProof/>
          <w:lang w:val="pt-PT" w:eastAsia="pt-PT"/>
        </w:rPr>
        <mc:AlternateContent>
          <mc:Choice Requires="wps">
            <w:drawing>
              <wp:anchor distT="0" distB="0" distL="114300" distR="114300" simplePos="0" relativeHeight="251677696" behindDoc="0" locked="0" layoutInCell="1" allowOverlap="1" wp14:anchorId="2A6D63FF" wp14:editId="6710160B">
                <wp:simplePos x="0" y="0"/>
                <wp:positionH relativeFrom="column">
                  <wp:posOffset>-515949</wp:posOffset>
                </wp:positionH>
                <wp:positionV relativeFrom="paragraph">
                  <wp:posOffset>346382</wp:posOffset>
                </wp:positionV>
                <wp:extent cx="5386070" cy="635"/>
                <wp:effectExtent l="0" t="0" r="0" b="12065"/>
                <wp:wrapSquare wrapText="bothSides"/>
                <wp:docPr id="6" name="Tekstvak 6"/>
                <wp:cNvGraphicFramePr/>
                <a:graphic xmlns:a="http://schemas.openxmlformats.org/drawingml/2006/main">
                  <a:graphicData uri="http://schemas.microsoft.com/office/word/2010/wordprocessingShape">
                    <wps:wsp>
                      <wps:cNvSpPr txBox="1"/>
                      <wps:spPr>
                        <a:xfrm>
                          <a:off x="0" y="0"/>
                          <a:ext cx="5386070" cy="635"/>
                        </a:xfrm>
                        <a:prstGeom prst="rect">
                          <a:avLst/>
                        </a:prstGeom>
                        <a:solidFill>
                          <a:prstClr val="white"/>
                        </a:solidFill>
                        <a:ln>
                          <a:noFill/>
                        </a:ln>
                      </wps:spPr>
                      <wps:txbx>
                        <w:txbxContent>
                          <w:p w14:paraId="6BC1FB9E" w14:textId="5717EA53" w:rsidR="00AB00BD" w:rsidRPr="00CB4969" w:rsidRDefault="00AB00BD" w:rsidP="008E2C26">
                            <w:pPr>
                              <w:pStyle w:val="Caption"/>
                              <w:rPr>
                                <w:noProof/>
                                <w:lang w:val="en-US"/>
                              </w:rPr>
                            </w:pPr>
                            <w:bookmarkStart w:id="92" w:name="_Toc14347575"/>
                            <w:r w:rsidRPr="00CB4969">
                              <w:rPr>
                                <w:lang w:val="en-US"/>
                              </w:rPr>
                              <w:t xml:space="preserve">Figure </w:t>
                            </w:r>
                            <w:r>
                              <w:fldChar w:fldCharType="begin"/>
                            </w:r>
                            <w:r w:rsidRPr="00CB4969">
                              <w:rPr>
                                <w:lang w:val="en-US"/>
                              </w:rPr>
                              <w:instrText xml:space="preserve"> SEQ Figure \* ARABIC </w:instrText>
                            </w:r>
                            <w:r>
                              <w:fldChar w:fldCharType="separate"/>
                            </w:r>
                            <w:r>
                              <w:rPr>
                                <w:noProof/>
                                <w:lang w:val="en-US"/>
                              </w:rPr>
                              <w:t>7</w:t>
                            </w:r>
                            <w:r>
                              <w:fldChar w:fldCharType="end"/>
                            </w:r>
                            <w:r w:rsidRPr="00CB4969">
                              <w:rPr>
                                <w:lang w:val="en-US"/>
                              </w:rPr>
                              <w:t xml:space="preserve">: Digitech Value Chain (Small </w:t>
                            </w:r>
                            <w:r>
                              <w:rPr>
                                <w:lang w:val="en-US"/>
                              </w:rPr>
                              <w:t>format v</w:t>
                            </w:r>
                            <w:r w:rsidRPr="00CB4969">
                              <w:rPr>
                                <w:lang w:val="en-US"/>
                              </w:rPr>
                              <w:t>ersion)</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6D63FF" id="Tekstvak 6" o:spid="_x0000_s1028" type="#_x0000_t202" style="position:absolute;margin-left:-40.65pt;margin-top:27.25pt;width:424.1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" stroked="f">
                <v:textbox style="mso-fit-shape-to-text:t" inset="0,0,0,0">
                  <w:txbxContent>
                    <w:p w14:paraId="6BC1FB9E" w14:textId="5717EA53" w:rsidR="00AB00BD" w:rsidRPr="00CB4969" w:rsidRDefault="00AB00BD" w:rsidP="008E2C26">
                      <w:pPr>
                        <w:pStyle w:val="Caption"/>
                        <w:rPr>
                          <w:noProof/>
                          <w:lang w:val="en-US"/>
                        </w:rPr>
                      </w:pPr>
                      <w:bookmarkStart w:id="93" w:name="_Toc14347575"/>
                      <w:r w:rsidRPr="00CB4969">
                        <w:rPr>
                          <w:lang w:val="en-US"/>
                        </w:rPr>
                        <w:t xml:space="preserve">Figure </w:t>
                      </w:r>
                      <w:r>
                        <w:fldChar w:fldCharType="begin"/>
                      </w:r>
                      <w:r w:rsidRPr="00CB4969">
                        <w:rPr>
                          <w:lang w:val="en-US"/>
                        </w:rPr>
                        <w:instrText xml:space="preserve"> SEQ Figure \* ARABIC </w:instrText>
                      </w:r>
                      <w:r>
                        <w:fldChar w:fldCharType="separate"/>
                      </w:r>
                      <w:r>
                        <w:rPr>
                          <w:noProof/>
                          <w:lang w:val="en-US"/>
                        </w:rPr>
                        <w:t>7</w:t>
                      </w:r>
                      <w:r>
                        <w:fldChar w:fldCharType="end"/>
                      </w:r>
                      <w:r w:rsidRPr="00CB4969">
                        <w:rPr>
                          <w:lang w:val="en-US"/>
                        </w:rPr>
                        <w:t xml:space="preserve">: Digitech Value Chain (Small </w:t>
                      </w:r>
                      <w:r>
                        <w:rPr>
                          <w:lang w:val="en-US"/>
                        </w:rPr>
                        <w:t>format v</w:t>
                      </w:r>
                      <w:r w:rsidRPr="00CB4969">
                        <w:rPr>
                          <w:lang w:val="en-US"/>
                        </w:rPr>
                        <w:t>ersion)</w:t>
                      </w:r>
                      <w:bookmarkEnd w:id="93"/>
                    </w:p>
                  </w:txbxContent>
                </v:textbox>
                <w10:wrap type="square"/>
              </v:shape>
            </w:pict>
          </mc:Fallback>
        </mc:AlternateContent>
      </w:r>
    </w:p>
    <w:p w14:paraId="2EAC3BB2" w14:textId="207AD68F" w:rsidR="00634236" w:rsidRDefault="00634236" w:rsidP="00634236">
      <w:pPr>
        <w:pStyle w:val="Heading1"/>
        <w:numPr>
          <w:ilvl w:val="0"/>
          <w:numId w:val="0"/>
        </w:numPr>
        <w:ind w:left="432"/>
        <w:rPr>
          <w:lang w:val="en-US"/>
        </w:rPr>
      </w:pPr>
      <w:bookmarkStart w:id="94" w:name="_Toc14347343"/>
    </w:p>
    <w:p w14:paraId="2385FCF3" w14:textId="6645B750" w:rsidR="00634236" w:rsidRDefault="00634236" w:rsidP="00634236">
      <w:pPr>
        <w:rPr>
          <w:lang w:val="en-US"/>
        </w:rPr>
      </w:pPr>
    </w:p>
    <w:p w14:paraId="1B966B61" w14:textId="74A2309E" w:rsidR="00634236" w:rsidRDefault="00634236" w:rsidP="00634236">
      <w:pPr>
        <w:rPr>
          <w:lang w:val="en-US"/>
        </w:rPr>
      </w:pPr>
    </w:p>
    <w:p w14:paraId="0D300913" w14:textId="06D8D222" w:rsidR="00634236" w:rsidRDefault="00634236" w:rsidP="00634236">
      <w:pPr>
        <w:rPr>
          <w:lang w:val="en-US"/>
        </w:rPr>
      </w:pPr>
    </w:p>
    <w:p w14:paraId="4702069E" w14:textId="77777777" w:rsidR="00634236" w:rsidRPr="00634236" w:rsidRDefault="00634236" w:rsidP="00634236">
      <w:pPr>
        <w:rPr>
          <w:lang w:val="en-US"/>
        </w:rPr>
      </w:pPr>
    </w:p>
    <w:p w14:paraId="58264201" w14:textId="1FAF99CE" w:rsidR="006D0F03" w:rsidRPr="0048196F" w:rsidRDefault="00745A20" w:rsidP="00745A20">
      <w:pPr>
        <w:pStyle w:val="Heading1"/>
        <w:rPr>
          <w:lang w:val="en-US"/>
        </w:rPr>
      </w:pPr>
      <w:r w:rsidRPr="0048196F">
        <w:rPr>
          <w:lang w:val="en-US"/>
        </w:rPr>
        <w:t>Discussion and conclusion</w:t>
      </w:r>
      <w:bookmarkEnd w:id="94"/>
    </w:p>
    <w:p w14:paraId="2183CBAB" w14:textId="77777777" w:rsidR="006D0F03" w:rsidRPr="0048196F" w:rsidRDefault="006D0F03" w:rsidP="006D0F03">
      <w:pPr>
        <w:rPr>
          <w:lang w:val="en-US"/>
        </w:rPr>
      </w:pPr>
    </w:p>
    <w:p w14:paraId="7C46F6A3" w14:textId="79F1827D" w:rsidR="00110B33" w:rsidRPr="0048196F" w:rsidRDefault="006D0F03" w:rsidP="00B045A3">
      <w:pPr>
        <w:pStyle w:val="Heading2"/>
        <w:numPr>
          <w:ilvl w:val="1"/>
          <w:numId w:val="40"/>
        </w:numPr>
        <w:rPr>
          <w:lang w:val="en-US"/>
        </w:rPr>
      </w:pPr>
      <w:bookmarkStart w:id="95" w:name="_Toc14347344"/>
      <w:r w:rsidRPr="0048196F">
        <w:rPr>
          <w:lang w:val="en-US"/>
        </w:rPr>
        <w:t>Discussion</w:t>
      </w:r>
      <w:bookmarkEnd w:id="95"/>
    </w:p>
    <w:p w14:paraId="36930514" w14:textId="13537E7D" w:rsidR="00EE022A" w:rsidRPr="0048196F" w:rsidRDefault="006D0F03" w:rsidP="00970F4B">
      <w:pPr>
        <w:spacing w:line="360" w:lineRule="auto"/>
        <w:rPr>
          <w:lang w:val="en-US"/>
        </w:rPr>
      </w:pPr>
      <w:r w:rsidRPr="0048196F">
        <w:rPr>
          <w:lang w:val="en-US"/>
        </w:rPr>
        <w:t>This research concludes based on the opinion of 7 experts that the main trends</w:t>
      </w:r>
      <w:r w:rsidR="00EB442D" w:rsidRPr="0048196F">
        <w:rPr>
          <w:lang w:val="en-US"/>
        </w:rPr>
        <w:t xml:space="preserve"> related to digital technologies</w:t>
      </w:r>
      <w:r w:rsidRPr="0048196F">
        <w:rPr>
          <w:lang w:val="en-US"/>
        </w:rPr>
        <w:t xml:space="preserve"> </w:t>
      </w:r>
      <w:r w:rsidR="00EB442D" w:rsidRPr="0048196F">
        <w:rPr>
          <w:lang w:val="en-US"/>
        </w:rPr>
        <w:t>in</w:t>
      </w:r>
      <w:r w:rsidRPr="0048196F">
        <w:rPr>
          <w:lang w:val="en-US"/>
        </w:rPr>
        <w:t xml:space="preserve"> the European Agri-food sector are the Data Economy, Digital Economy, Circular Economy, Sustainable intensification, On Demand Economy and the Sharing Economy. Additional research has revealed underlying trends and challenges to be interconnected, and that data sharing is at the core of the </w:t>
      </w:r>
      <w:r w:rsidR="00EE022A" w:rsidRPr="0048196F">
        <w:rPr>
          <w:lang w:val="en-US"/>
        </w:rPr>
        <w:t xml:space="preserve">digital transformation as it supports research, development of products and services, and traceability which </w:t>
      </w:r>
      <w:r w:rsidR="00EF1FDB" w:rsidRPr="0048196F">
        <w:rPr>
          <w:lang w:val="en-US"/>
        </w:rPr>
        <w:t xml:space="preserve">in turn </w:t>
      </w:r>
      <w:r w:rsidR="00EE022A" w:rsidRPr="0048196F">
        <w:rPr>
          <w:lang w:val="en-US"/>
        </w:rPr>
        <w:t>increases transparency, safety and trust. Main technological challenges involve</w:t>
      </w:r>
      <w:r w:rsidR="007202CC" w:rsidRPr="0048196F">
        <w:rPr>
          <w:lang w:val="en-US"/>
        </w:rPr>
        <w:t xml:space="preserve"> the</w:t>
      </w:r>
      <w:r w:rsidR="00EE022A" w:rsidRPr="0048196F">
        <w:rPr>
          <w:lang w:val="en-US"/>
        </w:rPr>
        <w:t xml:space="preserve"> development of sensors, </w:t>
      </w:r>
      <w:r w:rsidR="007202CC" w:rsidRPr="0048196F">
        <w:rPr>
          <w:lang w:val="en-US"/>
        </w:rPr>
        <w:t xml:space="preserve">decision rules, models, integration of various technologies and the digital integration of various data sources. </w:t>
      </w:r>
    </w:p>
    <w:p w14:paraId="3A3AE10C" w14:textId="2873139B" w:rsidR="00110B33" w:rsidRPr="0048196F" w:rsidRDefault="007202CC" w:rsidP="00E171A9">
      <w:pPr>
        <w:spacing w:line="360" w:lineRule="auto"/>
        <w:rPr>
          <w:lang w:val="en-US"/>
        </w:rPr>
      </w:pPr>
      <w:r w:rsidRPr="0048196F">
        <w:rPr>
          <w:lang w:val="en-US"/>
        </w:rPr>
        <w:t>The call for challenges representing the industry showed concentration in the smart farming field. This is in line with the literature that is mainly focused around the production part of the value chain. It was expected however, to find some challenge involving consumer behavior concerning food waste as this is a prevalent challenge in developed countries. Another oddity is the</w:t>
      </w:r>
      <w:r w:rsidR="00EB442D" w:rsidRPr="0048196F">
        <w:rPr>
          <w:lang w:val="en-US"/>
        </w:rPr>
        <w:t xml:space="preserve"> low</w:t>
      </w:r>
      <w:r w:rsidRPr="0048196F">
        <w:rPr>
          <w:lang w:val="en-US"/>
        </w:rPr>
        <w:t xml:space="preserve"> rating of experts concerning the trend “Vocation &amp; Skills”. Even though the literature mentions the attraction of talent and </w:t>
      </w:r>
      <w:r w:rsidR="00EB442D" w:rsidRPr="0048196F">
        <w:rPr>
          <w:lang w:val="en-US"/>
        </w:rPr>
        <w:t xml:space="preserve">the </w:t>
      </w:r>
      <w:r w:rsidRPr="0048196F">
        <w:rPr>
          <w:lang w:val="en-US"/>
        </w:rPr>
        <w:t>development of digital skills to be essential for the transformation of the sector. In addition to the low rating of the trend “Marketing Innovation”</w:t>
      </w:r>
      <w:r w:rsidR="00970F4B" w:rsidRPr="0048196F">
        <w:rPr>
          <w:lang w:val="en-US"/>
        </w:rPr>
        <w:t xml:space="preserve"> it </w:t>
      </w:r>
      <w:r w:rsidR="00EB442D" w:rsidRPr="0048196F">
        <w:rPr>
          <w:lang w:val="en-US"/>
        </w:rPr>
        <w:t>can</w:t>
      </w:r>
      <w:r w:rsidR="00970F4B" w:rsidRPr="0048196F">
        <w:rPr>
          <w:lang w:val="en-US"/>
        </w:rPr>
        <w:t xml:space="preserve"> be noted, scores of the experts are mainly concerned with the importance of suggested trends within the DIVA project. Marketing innovation could be prevalent in the industry, but not considered important for the project. This leads to the conclusion that some bias might exist and limits the generalizability of results for the complete agri-food sector. Furthermore,</w:t>
      </w:r>
      <w:r w:rsidR="0008336E">
        <w:rPr>
          <w:lang w:val="en-US"/>
        </w:rPr>
        <w:t xml:space="preserve"> as</w:t>
      </w:r>
      <w:r w:rsidR="00970F4B" w:rsidRPr="0048196F">
        <w:rPr>
          <w:lang w:val="en-US"/>
        </w:rPr>
        <w:t xml:space="preserve"> the sector </w:t>
      </w:r>
      <w:r w:rsidR="0008336E">
        <w:rPr>
          <w:lang w:val="en-US"/>
        </w:rPr>
        <w:t>comprises such</w:t>
      </w:r>
      <w:r w:rsidR="00970F4B" w:rsidRPr="0048196F">
        <w:rPr>
          <w:lang w:val="en-US"/>
        </w:rPr>
        <w:t xml:space="preserve"> a large </w:t>
      </w:r>
      <w:r w:rsidR="0008336E">
        <w:rPr>
          <w:lang w:val="en-US"/>
        </w:rPr>
        <w:t>area,</w:t>
      </w:r>
      <w:r w:rsidR="00970F4B" w:rsidRPr="0048196F">
        <w:rPr>
          <w:lang w:val="en-US"/>
        </w:rPr>
        <w:t xml:space="preserve"> this research has been unable to include all </w:t>
      </w:r>
      <w:r w:rsidR="0008336E">
        <w:rPr>
          <w:lang w:val="en-US"/>
        </w:rPr>
        <w:t>importan</w:t>
      </w:r>
      <w:r w:rsidR="00970F4B" w:rsidRPr="0048196F">
        <w:rPr>
          <w:lang w:val="en-US"/>
        </w:rPr>
        <w:t>t trends and challenges.</w:t>
      </w:r>
      <w:r w:rsidR="0008336E">
        <w:rPr>
          <w:lang w:val="en-US"/>
        </w:rPr>
        <w:t xml:space="preserve"> </w:t>
      </w:r>
      <w:r w:rsidR="00085DAA" w:rsidRPr="0048196F">
        <w:rPr>
          <w:lang w:val="en-US"/>
        </w:rPr>
        <w:t>Despite given limitations,</w:t>
      </w:r>
      <w:r w:rsidR="00970F4B" w:rsidRPr="0048196F">
        <w:rPr>
          <w:lang w:val="en-US"/>
        </w:rPr>
        <w:t xml:space="preserve"> the result of this research can provide support and inspiration to </w:t>
      </w:r>
      <w:r w:rsidR="005C3E35" w:rsidRPr="0048196F">
        <w:rPr>
          <w:lang w:val="en-US"/>
        </w:rPr>
        <w:t>stakeholders in the</w:t>
      </w:r>
      <w:r w:rsidR="00EB442D" w:rsidRPr="0048196F">
        <w:rPr>
          <w:lang w:val="en-US"/>
        </w:rPr>
        <w:t xml:space="preserve"> innovation process</w:t>
      </w:r>
      <w:r w:rsidR="00970F4B" w:rsidRPr="0048196F">
        <w:rPr>
          <w:lang w:val="en-US"/>
        </w:rPr>
        <w:t xml:space="preserve"> by providing </w:t>
      </w:r>
      <w:r w:rsidR="0008336E">
        <w:rPr>
          <w:lang w:val="en-US"/>
        </w:rPr>
        <w:t xml:space="preserve">a </w:t>
      </w:r>
      <w:r w:rsidR="00970F4B" w:rsidRPr="0048196F">
        <w:rPr>
          <w:lang w:val="en-US"/>
        </w:rPr>
        <w:t>transparent form of hierarchization and validation</w:t>
      </w:r>
      <w:r w:rsidR="00634236">
        <w:rPr>
          <w:lang w:val="en-US"/>
        </w:rPr>
        <w:t xml:space="preserve">. </w:t>
      </w:r>
      <w:r w:rsidR="00970F4B" w:rsidRPr="0048196F">
        <w:rPr>
          <w:lang w:val="en-US"/>
        </w:rPr>
        <w:t xml:space="preserve">Furthermore, the approach is holistic and centered around trends based on the interaction of </w:t>
      </w:r>
      <w:r w:rsidR="00085DAA" w:rsidRPr="0048196F">
        <w:rPr>
          <w:lang w:val="en-US"/>
        </w:rPr>
        <w:t xml:space="preserve">current </w:t>
      </w:r>
      <w:r w:rsidR="00970F4B" w:rsidRPr="0048196F">
        <w:rPr>
          <w:lang w:val="en-US"/>
        </w:rPr>
        <w:t>underlying trends and challenges.</w:t>
      </w:r>
      <w:r w:rsidR="00793BAA">
        <w:rPr>
          <w:lang w:val="en-US"/>
        </w:rPr>
        <w:t xml:space="preserve"> </w:t>
      </w:r>
      <w:r w:rsidR="00793BAA" w:rsidRPr="00793BAA">
        <w:rPr>
          <w:lang w:val="en-US"/>
        </w:rPr>
        <w:t xml:space="preserve">The objectives of this research to produce two visualizations have been achieved. To what degree they add value in the decision process of innovation activities and technology adoption is yet to be confirmed.  </w:t>
      </w:r>
    </w:p>
    <w:p w14:paraId="283FF9AB" w14:textId="77777777" w:rsidR="00B31276" w:rsidRPr="0048196F" w:rsidRDefault="00B31276" w:rsidP="00B31276">
      <w:pPr>
        <w:rPr>
          <w:lang w:val="en-US"/>
        </w:rPr>
      </w:pPr>
    </w:p>
    <w:p w14:paraId="1C64E4FF" w14:textId="3083E673" w:rsidR="00EF1FDB" w:rsidRDefault="00B31276" w:rsidP="00EF1FDB">
      <w:pPr>
        <w:pStyle w:val="Heading2"/>
        <w:numPr>
          <w:ilvl w:val="1"/>
          <w:numId w:val="40"/>
        </w:numPr>
        <w:rPr>
          <w:lang w:val="en-US"/>
        </w:rPr>
      </w:pPr>
      <w:bookmarkStart w:id="96" w:name="_Toc14347345"/>
      <w:r w:rsidRPr="0048196F">
        <w:rPr>
          <w:lang w:val="en-US"/>
        </w:rPr>
        <w:t>Conclusion</w:t>
      </w:r>
      <w:bookmarkEnd w:id="96"/>
    </w:p>
    <w:p w14:paraId="4F2C8C50" w14:textId="7B6718F9" w:rsidR="00FF0A64" w:rsidRPr="00FF0A64" w:rsidRDefault="00F472C6" w:rsidP="00F472C6">
      <w:pPr>
        <w:spacing w:line="360" w:lineRule="auto"/>
        <w:rPr>
          <w:lang w:val="en-US"/>
        </w:rPr>
      </w:pPr>
      <w:r>
        <w:rPr>
          <w:lang w:val="en-US"/>
        </w:rPr>
        <w:t xml:space="preserve">After having conducted a literature </w:t>
      </w:r>
      <w:r w:rsidR="00785D47">
        <w:rPr>
          <w:lang w:val="en-US"/>
        </w:rPr>
        <w:t>review, followed</w:t>
      </w:r>
      <w:r>
        <w:rPr>
          <w:lang w:val="en-US"/>
        </w:rPr>
        <w:t xml:space="preserve"> by an expert survey an understanding was formed </w:t>
      </w:r>
      <w:r w:rsidR="00FF0A64">
        <w:rPr>
          <w:lang w:val="en-US"/>
        </w:rPr>
        <w:t>of trends</w:t>
      </w:r>
      <w:r>
        <w:rPr>
          <w:lang w:val="en-US"/>
        </w:rPr>
        <w:t xml:space="preserve"> and</w:t>
      </w:r>
      <w:r w:rsidR="00FF0A64">
        <w:rPr>
          <w:lang w:val="en-US"/>
        </w:rPr>
        <w:t xml:space="preserve"> challenges</w:t>
      </w:r>
      <w:r>
        <w:rPr>
          <w:lang w:val="en-US"/>
        </w:rPr>
        <w:t xml:space="preserve"> in the </w:t>
      </w:r>
      <w:r w:rsidR="00785D47">
        <w:rPr>
          <w:lang w:val="en-US"/>
        </w:rPr>
        <w:t>agri-food</w:t>
      </w:r>
      <w:r>
        <w:rPr>
          <w:lang w:val="en-US"/>
        </w:rPr>
        <w:t xml:space="preserve"> sector. Analyzing technological trends and applications, in addition to an analysis of industry demands adds the understanding of digital technologies in the sector, allowing the answering of set research questions:</w:t>
      </w:r>
    </w:p>
    <w:p w14:paraId="6BC34352" w14:textId="37D1D09C" w:rsidR="005C3E35" w:rsidRPr="0048196F" w:rsidRDefault="0069537F" w:rsidP="00EF1FDB">
      <w:pPr>
        <w:pStyle w:val="ListParagraph"/>
        <w:numPr>
          <w:ilvl w:val="0"/>
          <w:numId w:val="35"/>
        </w:numPr>
        <w:spacing w:line="360" w:lineRule="auto"/>
        <w:rPr>
          <w:i/>
          <w:iCs/>
          <w:lang w:val="en-US"/>
        </w:rPr>
      </w:pPr>
      <w:r w:rsidRPr="0048196F">
        <w:rPr>
          <w:i/>
          <w:iCs/>
          <w:lang w:val="en-US"/>
        </w:rPr>
        <w:t>What are the main trends and forces impacting the agri-food sector?</w:t>
      </w:r>
    </w:p>
    <w:p w14:paraId="1471BAEE" w14:textId="11F3A503" w:rsidR="0069537F" w:rsidRPr="0048196F" w:rsidRDefault="00FF0A64" w:rsidP="00EF1FDB">
      <w:pPr>
        <w:spacing w:line="360" w:lineRule="auto"/>
        <w:rPr>
          <w:lang w:val="en-US"/>
        </w:rPr>
      </w:pPr>
      <w:r>
        <w:rPr>
          <w:lang w:val="en-US"/>
        </w:rPr>
        <w:t>Research</w:t>
      </w:r>
      <w:r w:rsidR="0069537F" w:rsidRPr="0048196F">
        <w:rPr>
          <w:lang w:val="en-US"/>
        </w:rPr>
        <w:t xml:space="preserve"> question </w:t>
      </w:r>
      <w:r>
        <w:rPr>
          <w:lang w:val="en-US"/>
        </w:rPr>
        <w:t xml:space="preserve">1 </w:t>
      </w:r>
      <w:r w:rsidR="0069537F" w:rsidRPr="0048196F">
        <w:rPr>
          <w:lang w:val="en-US"/>
        </w:rPr>
        <w:t xml:space="preserve">was </w:t>
      </w:r>
      <w:r w:rsidR="0008336E">
        <w:rPr>
          <w:lang w:val="en-US"/>
        </w:rPr>
        <w:t>presented</w:t>
      </w:r>
      <w:r w:rsidR="0069537F" w:rsidRPr="0048196F">
        <w:rPr>
          <w:lang w:val="en-US"/>
        </w:rPr>
        <w:t xml:space="preserve"> in literature review part 2, and concluded in table </w:t>
      </w:r>
      <w:r w:rsidR="00E5718D">
        <w:rPr>
          <w:lang w:val="en-US"/>
        </w:rPr>
        <w:t>2</w:t>
      </w:r>
      <w:r w:rsidR="0069537F" w:rsidRPr="0048196F">
        <w:rPr>
          <w:lang w:val="en-US"/>
        </w:rPr>
        <w:t xml:space="preserve">- Trends, Drivers and Challenges of the </w:t>
      </w:r>
      <w:r w:rsidR="004E7AE4" w:rsidRPr="0048196F">
        <w:rPr>
          <w:lang w:val="en-US"/>
        </w:rPr>
        <w:t>agri-food</w:t>
      </w:r>
      <w:r w:rsidR="0069537F" w:rsidRPr="0048196F">
        <w:rPr>
          <w:lang w:val="en-US"/>
        </w:rPr>
        <w:t xml:space="preserve"> sector. This section provide</w:t>
      </w:r>
      <w:r w:rsidR="004E7AE4" w:rsidRPr="0048196F">
        <w:rPr>
          <w:lang w:val="en-US"/>
        </w:rPr>
        <w:t xml:space="preserve">d </w:t>
      </w:r>
      <w:r w:rsidR="0069537F" w:rsidRPr="0048196F">
        <w:rPr>
          <w:lang w:val="en-US"/>
        </w:rPr>
        <w:t>insight in the external pressures placed on the agri</w:t>
      </w:r>
      <w:r w:rsidR="004E7AE4" w:rsidRPr="0048196F">
        <w:rPr>
          <w:lang w:val="en-US"/>
        </w:rPr>
        <w:t>-</w:t>
      </w:r>
      <w:r w:rsidR="0069537F" w:rsidRPr="0048196F">
        <w:rPr>
          <w:lang w:val="en-US"/>
        </w:rPr>
        <w:t xml:space="preserve">food sector. This same literature review provided the basis to answer the second research question. </w:t>
      </w:r>
    </w:p>
    <w:p w14:paraId="3981CF8B" w14:textId="067C83A4" w:rsidR="005C3E35" w:rsidRPr="0048196F" w:rsidRDefault="0069537F" w:rsidP="00EF1FDB">
      <w:pPr>
        <w:pStyle w:val="ListParagraph"/>
        <w:numPr>
          <w:ilvl w:val="0"/>
          <w:numId w:val="35"/>
        </w:numPr>
        <w:spacing w:line="360" w:lineRule="auto"/>
        <w:rPr>
          <w:i/>
          <w:iCs/>
          <w:lang w:val="en-US"/>
        </w:rPr>
      </w:pPr>
      <w:r w:rsidRPr="0048196F">
        <w:rPr>
          <w:i/>
          <w:iCs/>
          <w:lang w:val="en-US"/>
        </w:rPr>
        <w:t>What are the potentially valuable intersections between digital trends and challenges faced by the agri-food sector?</w:t>
      </w:r>
    </w:p>
    <w:p w14:paraId="79308FDC" w14:textId="45728067" w:rsidR="0008336E" w:rsidRDefault="0008336E" w:rsidP="0069537F">
      <w:pPr>
        <w:spacing w:line="360" w:lineRule="auto"/>
        <w:rPr>
          <w:lang w:val="en-US"/>
        </w:rPr>
      </w:pPr>
      <w:r>
        <w:rPr>
          <w:lang w:val="en-US"/>
        </w:rPr>
        <w:t xml:space="preserve">Table </w:t>
      </w:r>
      <w:r w:rsidR="00E5718D">
        <w:rPr>
          <w:lang w:val="en-US"/>
        </w:rPr>
        <w:t xml:space="preserve">6- </w:t>
      </w:r>
      <w:r w:rsidR="00E5718D" w:rsidRPr="006D0730">
        <w:rPr>
          <w:lang w:val="en-US"/>
        </w:rPr>
        <w:t>Trends and final descriptions</w:t>
      </w:r>
      <w:r w:rsidR="00E5718D">
        <w:rPr>
          <w:lang w:val="en-US"/>
        </w:rPr>
        <w:t>,</w:t>
      </w:r>
      <w:r>
        <w:rPr>
          <w:lang w:val="en-US"/>
        </w:rPr>
        <w:t xml:space="preserve"> presents a full list of hierarchized trends, which are fueled by digital technologies. Additionally, table </w:t>
      </w:r>
      <w:r w:rsidR="00E5718D">
        <w:rPr>
          <w:lang w:val="en-US"/>
        </w:rPr>
        <w:t>10</w:t>
      </w:r>
      <w:r>
        <w:rPr>
          <w:lang w:val="en-US"/>
        </w:rPr>
        <w:t xml:space="preserve">- </w:t>
      </w:r>
      <w:r w:rsidRPr="0048196F">
        <w:rPr>
          <w:lang w:val="en-US"/>
        </w:rPr>
        <w:t>Number of technological challenges per trend category</w:t>
      </w:r>
      <w:r>
        <w:rPr>
          <w:lang w:val="en-US"/>
        </w:rPr>
        <w:t xml:space="preserve">, confirms the </w:t>
      </w:r>
      <w:r w:rsidR="00793BAA">
        <w:rPr>
          <w:lang w:val="en-US"/>
        </w:rPr>
        <w:t xml:space="preserve">value of the four technological trends in realizing new technological applications. </w:t>
      </w:r>
    </w:p>
    <w:p w14:paraId="54B4BA92" w14:textId="346653FF" w:rsidR="00CB4969" w:rsidRDefault="00CB4969" w:rsidP="0069537F">
      <w:pPr>
        <w:spacing w:line="360" w:lineRule="auto"/>
        <w:rPr>
          <w:lang w:val="en-US"/>
        </w:rPr>
      </w:pPr>
    </w:p>
    <w:p w14:paraId="7F3CA114" w14:textId="0EE3C243" w:rsidR="00CB4969" w:rsidRDefault="00CB4969" w:rsidP="00CB4969">
      <w:pPr>
        <w:pStyle w:val="Heading2"/>
      </w:pPr>
      <w:bookmarkStart w:id="97" w:name="_Toc14347346"/>
      <w:r>
        <w:t>Future Research</w:t>
      </w:r>
      <w:bookmarkEnd w:id="97"/>
    </w:p>
    <w:p w14:paraId="52A04E38" w14:textId="075A3E89" w:rsidR="00CB4969" w:rsidRPr="00CB4969" w:rsidRDefault="00CB4969" w:rsidP="00CB4969">
      <w:pPr>
        <w:spacing w:line="360" w:lineRule="auto"/>
        <w:rPr>
          <w:lang w:val="en-US"/>
        </w:rPr>
      </w:pPr>
      <w:r w:rsidRPr="00CB4969">
        <w:rPr>
          <w:lang w:val="en-US"/>
        </w:rPr>
        <w:t>A follow</w:t>
      </w:r>
      <w:r w:rsidR="000F55A1">
        <w:rPr>
          <w:lang w:val="en-US"/>
        </w:rPr>
        <w:t>-</w:t>
      </w:r>
      <w:r w:rsidR="000F55A1" w:rsidRPr="00CB4969">
        <w:rPr>
          <w:lang w:val="en-US"/>
        </w:rPr>
        <w:t>up</w:t>
      </w:r>
      <w:r w:rsidR="000F55A1">
        <w:rPr>
          <w:lang w:val="en-US"/>
        </w:rPr>
        <w:t xml:space="preserve"> </w:t>
      </w:r>
      <w:r w:rsidR="000F55A1" w:rsidRPr="00CB4969">
        <w:rPr>
          <w:lang w:val="en-US"/>
        </w:rPr>
        <w:t>of</w:t>
      </w:r>
      <w:r w:rsidRPr="00CB4969">
        <w:rPr>
          <w:lang w:val="en-US"/>
        </w:rPr>
        <w:t xml:space="preserve"> this research would benefit from expanding the sample size of the pool of experts. Not only </w:t>
      </w:r>
      <w:r w:rsidR="000F55A1">
        <w:rPr>
          <w:lang w:val="en-US"/>
        </w:rPr>
        <w:t>an increased</w:t>
      </w:r>
      <w:r w:rsidRPr="00CB4969">
        <w:rPr>
          <w:lang w:val="en-US"/>
        </w:rPr>
        <w:t xml:space="preserve"> number of experts would provide improved validation, also the origin of experts is of importance. A suggestion is to make </w:t>
      </w:r>
      <w:r w:rsidR="000F55A1">
        <w:rPr>
          <w:lang w:val="en-US"/>
        </w:rPr>
        <w:t xml:space="preserve">a </w:t>
      </w:r>
      <w:r w:rsidRPr="00CB4969">
        <w:rPr>
          <w:lang w:val="en-US"/>
        </w:rPr>
        <w:t xml:space="preserve">comparison between geographic regions throughout Europe. </w:t>
      </w:r>
    </w:p>
    <w:p w14:paraId="299F0D83" w14:textId="77777777" w:rsidR="00601764" w:rsidRDefault="00601764" w:rsidP="00EB442D">
      <w:pPr>
        <w:rPr>
          <w:lang w:val="en-US"/>
        </w:rPr>
      </w:pPr>
    </w:p>
    <w:p w14:paraId="40942570" w14:textId="22ECE6E0" w:rsidR="00CB4969" w:rsidRDefault="00CB4969" w:rsidP="00EB442D">
      <w:pPr>
        <w:rPr>
          <w:lang w:val="en-US"/>
        </w:rPr>
        <w:sectPr w:rsidR="00CB4969" w:rsidSect="00B92A9F">
          <w:headerReference w:type="even" r:id="rId37"/>
          <w:headerReference w:type="default" r:id="rId38"/>
          <w:footerReference w:type="even" r:id="rId39"/>
          <w:footerReference w:type="default" r:id="rId40"/>
          <w:headerReference w:type="first" r:id="rId41"/>
          <w:pgSz w:w="11907" w:h="16840" w:code="9"/>
          <w:pgMar w:top="1418" w:right="1440" w:bottom="1418" w:left="1985" w:header="284" w:footer="720" w:gutter="0"/>
          <w:pgNumType w:start="1"/>
          <w:cols w:space="720"/>
          <w:titlePg/>
        </w:sectPr>
      </w:pPr>
    </w:p>
    <w:p w14:paraId="738D0258" w14:textId="77777777" w:rsidR="00612276" w:rsidRPr="0048196F" w:rsidRDefault="00612276" w:rsidP="00B31276">
      <w:pPr>
        <w:spacing w:line="360" w:lineRule="auto"/>
        <w:rPr>
          <w:lang w:val="en-US"/>
        </w:rPr>
      </w:pPr>
    </w:p>
    <w:p w14:paraId="4F331277" w14:textId="47E9FBD3" w:rsidR="00612276" w:rsidRPr="00E171A9" w:rsidRDefault="00E171A9" w:rsidP="00612276">
      <w:pPr>
        <w:pStyle w:val="Heading2"/>
      </w:pPr>
      <w:bookmarkStart w:id="98" w:name="_Toc14347347"/>
      <w:r>
        <w:t>References</w:t>
      </w:r>
      <w:bookmarkEnd w:id="98"/>
    </w:p>
    <w:p w14:paraId="578ED6CF" w14:textId="1DD3ACED" w:rsidR="00612276" w:rsidRDefault="00612276" w:rsidP="00612276">
      <w:pPr>
        <w:rPr>
          <w:lang w:val="pt-PT"/>
        </w:rPr>
      </w:pPr>
    </w:p>
    <w:p w14:paraId="2FBEB14B" w14:textId="6FD3A893" w:rsidR="008619A7" w:rsidRPr="00CC1C1C" w:rsidRDefault="00E171A9" w:rsidP="008619A7">
      <w:pPr>
        <w:widowControl w:val="0"/>
        <w:autoSpaceDE w:val="0"/>
        <w:autoSpaceDN w:val="0"/>
        <w:adjustRightInd w:val="0"/>
        <w:ind w:left="480" w:hanging="480"/>
        <w:rPr>
          <w:noProof/>
          <w:lang w:val="en-US"/>
        </w:rPr>
      </w:pPr>
      <w:r>
        <w:rPr>
          <w:lang w:val="pt-PT"/>
        </w:rPr>
        <w:fldChar w:fldCharType="begin" w:fldLock="1"/>
      </w:r>
      <w:r w:rsidRPr="00AB00BD">
        <w:rPr>
          <w:lang w:val="en-US"/>
        </w:rPr>
        <w:instrText xml:space="preserve">ADDIN Mendeley Bibliography CSL_BIBLIOGRAPHY </w:instrText>
      </w:r>
      <w:r>
        <w:rPr>
          <w:lang w:val="pt-PT"/>
        </w:rPr>
        <w:fldChar w:fldCharType="separate"/>
      </w:r>
      <w:r w:rsidR="008619A7" w:rsidRPr="00CC1C1C">
        <w:rPr>
          <w:noProof/>
          <w:lang w:val="en-US"/>
        </w:rPr>
        <w:t xml:space="preserve">AgFunder. (2017). </w:t>
      </w:r>
      <w:r w:rsidR="008619A7" w:rsidRPr="00CC1C1C">
        <w:rPr>
          <w:i/>
          <w:iCs/>
          <w:noProof/>
          <w:lang w:val="en-US"/>
        </w:rPr>
        <w:t>AgFunder Agrifood Tech Investing Report 2017</w:t>
      </w:r>
      <w:r w:rsidR="008619A7" w:rsidRPr="00CC1C1C">
        <w:rPr>
          <w:noProof/>
          <w:lang w:val="en-US"/>
        </w:rPr>
        <w:t>. Retrieved from https://research.agfunder.com/2017/AgFunder-Agrifood-Tech-Investing-Report-2017.pdf</w:t>
      </w:r>
    </w:p>
    <w:p w14:paraId="41A44FDB" w14:textId="5E164A0A" w:rsidR="008619A7" w:rsidRPr="00CC1C1C" w:rsidRDefault="008619A7" w:rsidP="008619A7">
      <w:pPr>
        <w:widowControl w:val="0"/>
        <w:autoSpaceDE w:val="0"/>
        <w:autoSpaceDN w:val="0"/>
        <w:adjustRightInd w:val="0"/>
        <w:ind w:left="480" w:hanging="480"/>
        <w:rPr>
          <w:noProof/>
          <w:lang w:val="en-US"/>
        </w:rPr>
      </w:pPr>
      <w:r w:rsidRPr="00CC1C1C">
        <w:rPr>
          <w:i/>
          <w:iCs/>
          <w:noProof/>
          <w:lang w:val="en-US"/>
        </w:rPr>
        <w:t>Agricultural Policy Monitoring and Evaluation</w:t>
      </w:r>
      <w:r w:rsidRPr="00CC1C1C">
        <w:rPr>
          <w:noProof/>
          <w:lang w:val="en-US"/>
        </w:rPr>
        <w:t>. (2018). https://doi.org/10.1787/agr_pol-2018-en</w:t>
      </w:r>
    </w:p>
    <w:p w14:paraId="18235001" w14:textId="4FF55F4B" w:rsidR="008619A7" w:rsidRPr="008619A7" w:rsidRDefault="008619A7" w:rsidP="008619A7">
      <w:pPr>
        <w:widowControl w:val="0"/>
        <w:autoSpaceDE w:val="0"/>
        <w:autoSpaceDN w:val="0"/>
        <w:adjustRightInd w:val="0"/>
        <w:ind w:left="480" w:hanging="480"/>
        <w:rPr>
          <w:noProof/>
          <w:lang w:val="en-US"/>
        </w:rPr>
      </w:pPr>
      <w:r w:rsidRPr="008619A7">
        <w:rPr>
          <w:noProof/>
        </w:rPr>
        <w:t xml:space="preserve">Agrofood: Stille motor grootste sector van Nederland. </w:t>
      </w:r>
      <w:r w:rsidRPr="008619A7">
        <w:rPr>
          <w:noProof/>
          <w:lang w:val="en-US"/>
        </w:rPr>
        <w:t>(n.d.). Retrieved from http://www.agro-food.nl/nationaal/agrofood-stille-motor-grootste-sector-van-nederland</w:t>
      </w:r>
    </w:p>
    <w:p w14:paraId="57985495"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Ainia. (n.d.). </w:t>
      </w:r>
      <w:r w:rsidRPr="00CC1C1C">
        <w:rPr>
          <w:i/>
          <w:iCs/>
          <w:noProof/>
          <w:lang w:val="en-US"/>
        </w:rPr>
        <w:t>Stakeholders and Activities in the Agri-Food Supply Chain</w:t>
      </w:r>
      <w:r w:rsidRPr="00CC1C1C">
        <w:rPr>
          <w:noProof/>
          <w:lang w:val="en-US"/>
        </w:rPr>
        <w:t>. 1–12. Retrieved from http://www.tecnoali.com/files/emensa/D3/Report Ainia.pdf</w:t>
      </w:r>
    </w:p>
    <w:p w14:paraId="09F1B1AC" w14:textId="77777777" w:rsidR="008619A7" w:rsidRPr="00CC1C1C" w:rsidRDefault="008619A7" w:rsidP="008619A7">
      <w:pPr>
        <w:widowControl w:val="0"/>
        <w:autoSpaceDE w:val="0"/>
        <w:autoSpaceDN w:val="0"/>
        <w:adjustRightInd w:val="0"/>
        <w:ind w:left="480" w:hanging="480"/>
        <w:rPr>
          <w:noProof/>
          <w:lang w:val="en-US"/>
        </w:rPr>
      </w:pPr>
      <w:r w:rsidRPr="00AB00BD">
        <w:rPr>
          <w:noProof/>
          <w:lang w:val="pt-PT"/>
        </w:rPr>
        <w:t xml:space="preserve">Amanatidou, E., Butter, M., Carabias, V., Könnölä, T., Leis, M., Saritas, O., … van Rij, V. (2012). </w:t>
      </w:r>
      <w:r w:rsidRPr="00CC1C1C">
        <w:rPr>
          <w:noProof/>
          <w:lang w:val="en-US"/>
        </w:rPr>
        <w:t xml:space="preserve">On concepts and methods in horizon scanning: Lessons from initiating policy dialogues on emerging issues. </w:t>
      </w:r>
      <w:r w:rsidRPr="00CC1C1C">
        <w:rPr>
          <w:i/>
          <w:iCs/>
          <w:noProof/>
          <w:lang w:val="en-US"/>
        </w:rPr>
        <w:t>Science and Public Policy</w:t>
      </w:r>
      <w:r w:rsidRPr="00CC1C1C">
        <w:rPr>
          <w:noProof/>
          <w:lang w:val="en-US"/>
        </w:rPr>
        <w:t xml:space="preserve">, </w:t>
      </w:r>
      <w:r w:rsidRPr="00CC1C1C">
        <w:rPr>
          <w:i/>
          <w:iCs/>
          <w:noProof/>
          <w:lang w:val="en-US"/>
        </w:rPr>
        <w:t>39</w:t>
      </w:r>
      <w:r w:rsidRPr="00CC1C1C">
        <w:rPr>
          <w:noProof/>
          <w:lang w:val="en-US"/>
        </w:rPr>
        <w:t>(2), 208–221. https://doi.org/10.1093/scipol/scs017</w:t>
      </w:r>
    </w:p>
    <w:p w14:paraId="1839C949"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Anastasiadis, F., Tsolakis, N., &amp; Srai, J. S. (2018). Digital technologies towards resource efficiency in the agrifood sector: Key challenges in developing countries. </w:t>
      </w:r>
      <w:r w:rsidRPr="00CC1C1C">
        <w:rPr>
          <w:i/>
          <w:iCs/>
          <w:noProof/>
          <w:lang w:val="en-US"/>
        </w:rPr>
        <w:t>Sustainability (Switzerland)</w:t>
      </w:r>
      <w:r w:rsidRPr="00CC1C1C">
        <w:rPr>
          <w:noProof/>
          <w:lang w:val="en-US"/>
        </w:rPr>
        <w:t>, Vol. 10. https://doi.org/10.3390/su10124850</w:t>
      </w:r>
    </w:p>
    <w:p w14:paraId="7BEBB907" w14:textId="77777777" w:rsidR="008619A7" w:rsidRPr="008619A7" w:rsidRDefault="008619A7" w:rsidP="008619A7">
      <w:pPr>
        <w:widowControl w:val="0"/>
        <w:autoSpaceDE w:val="0"/>
        <w:autoSpaceDN w:val="0"/>
        <w:adjustRightInd w:val="0"/>
        <w:ind w:left="480" w:hanging="480"/>
        <w:rPr>
          <w:noProof/>
        </w:rPr>
      </w:pPr>
      <w:r w:rsidRPr="00CC1C1C">
        <w:rPr>
          <w:noProof/>
          <w:lang w:val="en-US"/>
        </w:rPr>
        <w:t xml:space="preserve">Antikainen, M., Uusitalo, T., &amp; Kivikytö-Reponen, P. (2018). Digitalisation as an Enabler of Circular Economy. </w:t>
      </w:r>
      <w:r w:rsidRPr="008619A7">
        <w:rPr>
          <w:i/>
          <w:iCs/>
          <w:noProof/>
        </w:rPr>
        <w:t>Procedia CIRP</w:t>
      </w:r>
      <w:r w:rsidRPr="008619A7">
        <w:rPr>
          <w:noProof/>
        </w:rPr>
        <w:t xml:space="preserve">, </w:t>
      </w:r>
      <w:r w:rsidRPr="008619A7">
        <w:rPr>
          <w:i/>
          <w:iCs/>
          <w:noProof/>
        </w:rPr>
        <w:t>73</w:t>
      </w:r>
      <w:r w:rsidRPr="008619A7">
        <w:rPr>
          <w:noProof/>
        </w:rPr>
        <w:t>, 45–49. https://doi.org/10.1016/j.procir.2018.04.027</w:t>
      </w:r>
    </w:p>
    <w:p w14:paraId="1D2634A3" w14:textId="77777777" w:rsidR="008619A7" w:rsidRPr="00AB00BD" w:rsidRDefault="008619A7" w:rsidP="008619A7">
      <w:pPr>
        <w:widowControl w:val="0"/>
        <w:autoSpaceDE w:val="0"/>
        <w:autoSpaceDN w:val="0"/>
        <w:adjustRightInd w:val="0"/>
        <w:ind w:left="480" w:hanging="480"/>
        <w:rPr>
          <w:noProof/>
          <w:lang w:val="pt-PT"/>
        </w:rPr>
      </w:pPr>
      <w:r w:rsidRPr="008619A7">
        <w:rPr>
          <w:noProof/>
        </w:rPr>
        <w:t xml:space="preserve">Bais-Moleman, A. L., Schulp, C. J. E., &amp; Verburg, P. H. (2019). </w:t>
      </w:r>
      <w:r w:rsidRPr="00CC1C1C">
        <w:rPr>
          <w:noProof/>
          <w:lang w:val="en-US"/>
        </w:rPr>
        <w:t xml:space="preserve">Assessing the environmental impacts of production- and consumption-side measures in sustainable agriculture intensification in the European Union. </w:t>
      </w:r>
      <w:r w:rsidRPr="00AB00BD">
        <w:rPr>
          <w:i/>
          <w:iCs/>
          <w:noProof/>
          <w:lang w:val="pt-PT"/>
        </w:rPr>
        <w:t>Geoderma</w:t>
      </w:r>
      <w:r w:rsidRPr="00AB00BD">
        <w:rPr>
          <w:noProof/>
          <w:lang w:val="pt-PT"/>
        </w:rPr>
        <w:t xml:space="preserve">, </w:t>
      </w:r>
      <w:r w:rsidRPr="00AB00BD">
        <w:rPr>
          <w:i/>
          <w:iCs/>
          <w:noProof/>
          <w:lang w:val="pt-PT"/>
        </w:rPr>
        <w:t>338</w:t>
      </w:r>
      <w:r w:rsidRPr="00AB00BD">
        <w:rPr>
          <w:noProof/>
          <w:lang w:val="pt-PT"/>
        </w:rPr>
        <w:t>(November 2018), 555–567. https://doi.org/10.1016/j.geoderma.2018.11.042</w:t>
      </w:r>
    </w:p>
    <w:p w14:paraId="5DBE04B0" w14:textId="77777777" w:rsidR="008619A7" w:rsidRPr="00CC1C1C" w:rsidRDefault="008619A7" w:rsidP="008619A7">
      <w:pPr>
        <w:widowControl w:val="0"/>
        <w:autoSpaceDE w:val="0"/>
        <w:autoSpaceDN w:val="0"/>
        <w:adjustRightInd w:val="0"/>
        <w:ind w:left="480" w:hanging="480"/>
        <w:rPr>
          <w:noProof/>
          <w:lang w:val="en-US"/>
        </w:rPr>
      </w:pPr>
      <w:r w:rsidRPr="00AB00BD">
        <w:rPr>
          <w:noProof/>
          <w:lang w:val="pt-PT"/>
        </w:rPr>
        <w:t xml:space="preserve">Bank, E. C. (2018). </w:t>
      </w:r>
      <w:r w:rsidRPr="00CC1C1C">
        <w:rPr>
          <w:noProof/>
          <w:lang w:val="en-US"/>
        </w:rPr>
        <w:t xml:space="preserve">Euro area. </w:t>
      </w:r>
      <w:r w:rsidRPr="00CC1C1C">
        <w:rPr>
          <w:i/>
          <w:iCs/>
          <w:noProof/>
          <w:lang w:val="en-US"/>
        </w:rPr>
        <w:t>Quarterly National Accounts</w:t>
      </w:r>
      <w:r w:rsidRPr="00CC1C1C">
        <w:rPr>
          <w:noProof/>
          <w:lang w:val="en-US"/>
        </w:rPr>
        <w:t xml:space="preserve">, </w:t>
      </w:r>
      <w:r w:rsidRPr="00CC1C1C">
        <w:rPr>
          <w:i/>
          <w:iCs/>
          <w:noProof/>
          <w:lang w:val="en-US"/>
        </w:rPr>
        <w:t>2017</w:t>
      </w:r>
      <w:r w:rsidRPr="00CC1C1C">
        <w:rPr>
          <w:noProof/>
          <w:lang w:val="en-US"/>
        </w:rPr>
        <w:t>(3), 266–267. https://doi.org/10.1787/qna-v2017-3-37-en</w:t>
      </w:r>
    </w:p>
    <w:p w14:paraId="5DC6CBF9"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Bellù, L. G. (2013). </w:t>
      </w:r>
      <w:r w:rsidRPr="00CC1C1C">
        <w:rPr>
          <w:i/>
          <w:iCs/>
          <w:noProof/>
          <w:lang w:val="en-US"/>
        </w:rPr>
        <w:t>Analysis, Value Chain Making, for Policy And, Methodological Guidelines Quantitative, country cases for a Approach</w:t>
      </w:r>
      <w:r w:rsidRPr="00CC1C1C">
        <w:rPr>
          <w:noProof/>
          <w:lang w:val="en-US"/>
        </w:rPr>
        <w:t>. Retrieved from http://www.fao.org/docs/up/easypol/935/Value_chain_analysis_FAO_VCA_software_tool_methodological_guidelines_129EN.pdf</w:t>
      </w:r>
    </w:p>
    <w:p w14:paraId="2E8BE8D9"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Bengtsson, M. (2016). How to plan and perform a qualitative study using content analysis. </w:t>
      </w:r>
      <w:r w:rsidRPr="00CC1C1C">
        <w:rPr>
          <w:i/>
          <w:iCs/>
          <w:noProof/>
          <w:lang w:val="en-US"/>
        </w:rPr>
        <w:t>NursingPlus Open</w:t>
      </w:r>
      <w:r w:rsidRPr="00CC1C1C">
        <w:rPr>
          <w:noProof/>
          <w:lang w:val="en-US"/>
        </w:rPr>
        <w:t xml:space="preserve">, </w:t>
      </w:r>
      <w:r w:rsidRPr="00CC1C1C">
        <w:rPr>
          <w:i/>
          <w:iCs/>
          <w:noProof/>
          <w:lang w:val="en-US"/>
        </w:rPr>
        <w:t>2</w:t>
      </w:r>
      <w:r w:rsidRPr="00CC1C1C">
        <w:rPr>
          <w:noProof/>
          <w:lang w:val="en-US"/>
        </w:rPr>
        <w:t>, 8–14. https://doi.org/10.1016/j.npls.2016.01.001</w:t>
      </w:r>
    </w:p>
    <w:p w14:paraId="48709B0F"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Berti, G., &amp; Mulligan, C. (2016). Competitiveness of small farms and innovative food supply chains: The role of food hubs in creating sustainable regional and local food systems. </w:t>
      </w:r>
      <w:r w:rsidRPr="00CC1C1C">
        <w:rPr>
          <w:i/>
          <w:iCs/>
          <w:noProof/>
          <w:lang w:val="en-US"/>
        </w:rPr>
        <w:t>Sustainability (Switzerland)</w:t>
      </w:r>
      <w:r w:rsidRPr="00CC1C1C">
        <w:rPr>
          <w:noProof/>
          <w:lang w:val="en-US"/>
        </w:rPr>
        <w:t xml:space="preserve">, </w:t>
      </w:r>
      <w:r w:rsidRPr="00CC1C1C">
        <w:rPr>
          <w:i/>
          <w:iCs/>
          <w:noProof/>
          <w:lang w:val="en-US"/>
        </w:rPr>
        <w:t>8</w:t>
      </w:r>
      <w:r w:rsidRPr="00CC1C1C">
        <w:rPr>
          <w:noProof/>
          <w:lang w:val="en-US"/>
        </w:rPr>
        <w:t>(7). https://doi.org/10.3390/su8070616</w:t>
      </w:r>
    </w:p>
    <w:p w14:paraId="22F95A34"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Borrello, M., Lombardi, A., Pascucci, S., &amp; Cembalo, L. (2016). The Seven Challenges for Transitioning into a Bio-based Circular Economy in the Agri-food Sector. </w:t>
      </w:r>
      <w:r w:rsidRPr="00CC1C1C">
        <w:rPr>
          <w:i/>
          <w:iCs/>
          <w:noProof/>
          <w:lang w:val="en-US"/>
        </w:rPr>
        <w:t>Recent Patents on Food, Nutrition &amp; Agriculture</w:t>
      </w:r>
      <w:r w:rsidRPr="00CC1C1C">
        <w:rPr>
          <w:noProof/>
          <w:lang w:val="en-US"/>
        </w:rPr>
        <w:t xml:space="preserve">, </w:t>
      </w:r>
      <w:r w:rsidRPr="00CC1C1C">
        <w:rPr>
          <w:i/>
          <w:iCs/>
          <w:noProof/>
          <w:lang w:val="en-US"/>
        </w:rPr>
        <w:t>8</w:t>
      </w:r>
      <w:r w:rsidRPr="00CC1C1C">
        <w:rPr>
          <w:noProof/>
          <w:lang w:val="en-US"/>
        </w:rPr>
        <w:t>(1), 39–47. https://doi.org/10.2174/221279840801160304143939</w:t>
      </w:r>
    </w:p>
    <w:p w14:paraId="530648DE"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Brown, B. B. (1968). Delphi Process: A Methodology Used for the Elicitation of Opinions of Experts. </w:t>
      </w:r>
      <w:r w:rsidRPr="00CC1C1C">
        <w:rPr>
          <w:i/>
          <w:iCs/>
          <w:noProof/>
          <w:lang w:val="en-US"/>
        </w:rPr>
        <w:t>No. RAND-P-3925</w:t>
      </w:r>
      <w:r w:rsidRPr="00CC1C1C">
        <w:rPr>
          <w:noProof/>
          <w:lang w:val="en-US"/>
        </w:rPr>
        <w:t>, p. 14.</w:t>
      </w:r>
    </w:p>
    <w:p w14:paraId="33264D88"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Burkhard, R. A. (2005). </w:t>
      </w:r>
      <w:r w:rsidRPr="00CC1C1C">
        <w:rPr>
          <w:i/>
          <w:iCs/>
          <w:noProof/>
          <w:lang w:val="en-US"/>
        </w:rPr>
        <w:t>Towards a Framework and a Model for Knowledge Visualization: Synergies Between Information and Knowledge Visualization</w:t>
      </w:r>
      <w:r w:rsidRPr="00CC1C1C">
        <w:rPr>
          <w:noProof/>
          <w:lang w:val="en-US"/>
        </w:rPr>
        <w:t>. 238–255. https://doi.org/10.1007/11510154_13</w:t>
      </w:r>
    </w:p>
    <w:p w14:paraId="5F792EEC"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Calicioglu, O., Flammini, A., Bracco, S., Bellù, L., &amp; Sims, R. (2019). The future challenges of food and agriculture: An integrated analysis of trends and solutions. </w:t>
      </w:r>
      <w:r w:rsidRPr="00CC1C1C">
        <w:rPr>
          <w:i/>
          <w:iCs/>
          <w:noProof/>
          <w:lang w:val="en-US"/>
        </w:rPr>
        <w:t>Sustainability (Switzerland)</w:t>
      </w:r>
      <w:r w:rsidRPr="00CC1C1C">
        <w:rPr>
          <w:noProof/>
          <w:lang w:val="en-US"/>
        </w:rPr>
        <w:t xml:space="preserve">, </w:t>
      </w:r>
      <w:r w:rsidRPr="00CC1C1C">
        <w:rPr>
          <w:i/>
          <w:iCs/>
          <w:noProof/>
          <w:lang w:val="en-US"/>
        </w:rPr>
        <w:t>11</w:t>
      </w:r>
      <w:r w:rsidRPr="00CC1C1C">
        <w:rPr>
          <w:noProof/>
          <w:lang w:val="en-US"/>
        </w:rPr>
        <w:t>(1). https://doi.org/10.3390/su11010222</w:t>
      </w:r>
    </w:p>
    <w:p w14:paraId="470A0FBE"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Carvalho, M. M., Fleury, A., &amp; Lopes, A. P. (2013). An overview of the literature on technology roadmapping (TRM): Contributions and trends. </w:t>
      </w:r>
      <w:r w:rsidRPr="00CC1C1C">
        <w:rPr>
          <w:i/>
          <w:iCs/>
          <w:noProof/>
          <w:lang w:val="en-US"/>
        </w:rPr>
        <w:t>Technological Forecasting and Social Change</w:t>
      </w:r>
      <w:r w:rsidRPr="00CC1C1C">
        <w:rPr>
          <w:noProof/>
          <w:lang w:val="en-US"/>
        </w:rPr>
        <w:t xml:space="preserve">, </w:t>
      </w:r>
      <w:r w:rsidRPr="00CC1C1C">
        <w:rPr>
          <w:i/>
          <w:iCs/>
          <w:noProof/>
          <w:lang w:val="en-US"/>
        </w:rPr>
        <w:t>80</w:t>
      </w:r>
      <w:r w:rsidRPr="00CC1C1C">
        <w:rPr>
          <w:noProof/>
          <w:lang w:val="en-US"/>
        </w:rPr>
        <w:t>(7), 1418–1437. https://doi.org/10.1016/j.techfore.2012.11.008</w:t>
      </w:r>
    </w:p>
    <w:p w14:paraId="680AB719"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Clark, J. K., Sharp, J. S., &amp; Dugan, K. L. (2015). The agrifood system policy agenda and research domain. </w:t>
      </w:r>
      <w:r w:rsidRPr="00CC1C1C">
        <w:rPr>
          <w:i/>
          <w:iCs/>
          <w:noProof/>
          <w:lang w:val="en-US"/>
        </w:rPr>
        <w:t>Journal of Rural Studies</w:t>
      </w:r>
      <w:r w:rsidRPr="00CC1C1C">
        <w:rPr>
          <w:noProof/>
          <w:lang w:val="en-US"/>
        </w:rPr>
        <w:t xml:space="preserve">, </w:t>
      </w:r>
      <w:r w:rsidRPr="00CC1C1C">
        <w:rPr>
          <w:i/>
          <w:iCs/>
          <w:noProof/>
          <w:lang w:val="en-US"/>
        </w:rPr>
        <w:t>42</w:t>
      </w:r>
      <w:r w:rsidRPr="00CC1C1C">
        <w:rPr>
          <w:noProof/>
          <w:lang w:val="en-US"/>
        </w:rPr>
        <w:t>, 112–122. https://doi.org/10.1016/j.jrurstud.2015.10.004</w:t>
      </w:r>
    </w:p>
    <w:p w14:paraId="7E1F3A6E"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Coates, J. F. (2010). The future of foresight-A US perspective. </w:t>
      </w:r>
      <w:r w:rsidRPr="00CC1C1C">
        <w:rPr>
          <w:i/>
          <w:iCs/>
          <w:noProof/>
          <w:lang w:val="en-US"/>
        </w:rPr>
        <w:t>Technological Forecasting and Social Change</w:t>
      </w:r>
      <w:r w:rsidRPr="00CC1C1C">
        <w:rPr>
          <w:noProof/>
          <w:lang w:val="en-US"/>
        </w:rPr>
        <w:t xml:space="preserve">, </w:t>
      </w:r>
      <w:r w:rsidRPr="00CC1C1C">
        <w:rPr>
          <w:i/>
          <w:iCs/>
          <w:noProof/>
          <w:lang w:val="en-US"/>
        </w:rPr>
        <w:t>77</w:t>
      </w:r>
      <w:r w:rsidRPr="00CC1C1C">
        <w:rPr>
          <w:noProof/>
          <w:lang w:val="en-US"/>
        </w:rPr>
        <w:t>(9), 1428–1437. https://doi.org/10.1016/j.techfore.2010.07.009</w:t>
      </w:r>
    </w:p>
    <w:p w14:paraId="0F1193F0"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Cucagna, M. E., &amp; Goldsmith, P. D. (2018). Value adding in the agri-food value chain. </w:t>
      </w:r>
      <w:r w:rsidRPr="00CC1C1C">
        <w:rPr>
          <w:i/>
          <w:iCs/>
          <w:noProof/>
          <w:lang w:val="en-US"/>
        </w:rPr>
        <w:t>International Food and Agribusiness Management Review</w:t>
      </w:r>
      <w:r w:rsidRPr="00CC1C1C">
        <w:rPr>
          <w:noProof/>
          <w:lang w:val="en-US"/>
        </w:rPr>
        <w:t xml:space="preserve">, </w:t>
      </w:r>
      <w:r w:rsidRPr="00CC1C1C">
        <w:rPr>
          <w:i/>
          <w:iCs/>
          <w:noProof/>
          <w:lang w:val="en-US"/>
        </w:rPr>
        <w:t>21</w:t>
      </w:r>
      <w:r w:rsidRPr="00CC1C1C">
        <w:rPr>
          <w:noProof/>
          <w:lang w:val="en-US"/>
        </w:rPr>
        <w:t>(3), 293–316. https://doi.org/10.22434/ifamr2017.0051</w:t>
      </w:r>
    </w:p>
    <w:p w14:paraId="306508F9"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EIP-AGRI network. (2017a). </w:t>
      </w:r>
      <w:r w:rsidRPr="00CC1C1C">
        <w:rPr>
          <w:i/>
          <w:iCs/>
          <w:noProof/>
          <w:lang w:val="en-US"/>
        </w:rPr>
        <w:t>Eip-Agri Workshop Data Sharing: Ensuring Fair Sharing of Digitisation Benefits in Agriculture</w:t>
      </w:r>
      <w:r w:rsidRPr="00CC1C1C">
        <w:rPr>
          <w:noProof/>
          <w:lang w:val="en-US"/>
        </w:rPr>
        <w:t>. (July), 16. Retrieved from www.forbes.com/sites/perryrotella/2012/04/02/is-data-the-new-oil/#1389828e7db3</w:t>
      </w:r>
    </w:p>
    <w:p w14:paraId="2F16076F"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EIP-AGRI network. (2017b). </w:t>
      </w:r>
      <w:r w:rsidRPr="00CC1C1C">
        <w:rPr>
          <w:i/>
          <w:iCs/>
          <w:noProof/>
          <w:lang w:val="en-US"/>
        </w:rPr>
        <w:t>Shaping the digital (r)evolution in agriculture</w:t>
      </w:r>
      <w:r w:rsidRPr="00CC1C1C">
        <w:rPr>
          <w:noProof/>
          <w:lang w:val="en-US"/>
        </w:rPr>
        <w:t>. 12. Retrieved from https://ec.europa.eu/eip/agriculture/sites/agri-eip/files/eip-agri_brochure_digital_revolution_2017_en_web.pdf</w:t>
      </w:r>
    </w:p>
    <w:p w14:paraId="7B27F208"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El Bilali, H., &amp; Allahyari, M. S. (2018). Transition towards sustainability in agriculture and food systems: Role of information and communication technologies. </w:t>
      </w:r>
      <w:r w:rsidRPr="00CC1C1C">
        <w:rPr>
          <w:i/>
          <w:iCs/>
          <w:noProof/>
          <w:lang w:val="en-US"/>
        </w:rPr>
        <w:t>Information Processing in Agriculture</w:t>
      </w:r>
      <w:r w:rsidRPr="00CC1C1C">
        <w:rPr>
          <w:noProof/>
          <w:lang w:val="en-US"/>
        </w:rPr>
        <w:t xml:space="preserve">, </w:t>
      </w:r>
      <w:r w:rsidRPr="00CC1C1C">
        <w:rPr>
          <w:i/>
          <w:iCs/>
          <w:noProof/>
          <w:lang w:val="en-US"/>
        </w:rPr>
        <w:t>5</w:t>
      </w:r>
      <w:r w:rsidRPr="00CC1C1C">
        <w:rPr>
          <w:noProof/>
          <w:lang w:val="en-US"/>
        </w:rPr>
        <w:t>(4), 456–464. https://doi.org/10.1016/j.inpa.2018.06.006</w:t>
      </w:r>
    </w:p>
    <w:p w14:paraId="467D0C66"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Eurchoices. (2012). </w:t>
      </w:r>
      <w:r w:rsidRPr="00CC1C1C">
        <w:rPr>
          <w:i/>
          <w:iCs/>
          <w:noProof/>
          <w:lang w:val="en-US"/>
        </w:rPr>
        <w:t>ICT as a driver for change in agri-food chains</w:t>
      </w:r>
      <w:r w:rsidRPr="00CC1C1C">
        <w:rPr>
          <w:noProof/>
          <w:lang w:val="en-US"/>
        </w:rPr>
        <w:t>.</w:t>
      </w:r>
    </w:p>
    <w:p w14:paraId="465189AF"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European Network for Rural Development. (2016). </w:t>
      </w:r>
      <w:r w:rsidRPr="00CC1C1C">
        <w:rPr>
          <w:i/>
          <w:iCs/>
          <w:noProof/>
          <w:lang w:val="en-US"/>
        </w:rPr>
        <w:t>Smart agri-food supply chains</w:t>
      </w:r>
      <w:r w:rsidRPr="00CC1C1C">
        <w:rPr>
          <w:noProof/>
          <w:lang w:val="en-US"/>
        </w:rPr>
        <w:t>.</w:t>
      </w:r>
    </w:p>
    <w:p w14:paraId="411BD63E" w14:textId="77777777" w:rsidR="008619A7" w:rsidRPr="00CC1C1C" w:rsidRDefault="008619A7" w:rsidP="008619A7">
      <w:pPr>
        <w:widowControl w:val="0"/>
        <w:autoSpaceDE w:val="0"/>
        <w:autoSpaceDN w:val="0"/>
        <w:adjustRightInd w:val="0"/>
        <w:ind w:left="480" w:hanging="480"/>
        <w:rPr>
          <w:noProof/>
          <w:lang w:val="en-US"/>
        </w:rPr>
      </w:pPr>
      <w:r w:rsidRPr="00AB00BD">
        <w:rPr>
          <w:noProof/>
          <w:lang w:val="pt-PT"/>
        </w:rPr>
        <w:t xml:space="preserve">Falguera, V., Aliguer, N., &amp; Falguera, M. (2012). </w:t>
      </w:r>
      <w:r w:rsidRPr="00CC1C1C">
        <w:rPr>
          <w:noProof/>
          <w:lang w:val="en-US"/>
        </w:rPr>
        <w:t xml:space="preserve">An integrated approach to current trends in food consumption: Moving toward functional and organic products? </w:t>
      </w:r>
      <w:r w:rsidRPr="00CC1C1C">
        <w:rPr>
          <w:i/>
          <w:iCs/>
          <w:noProof/>
          <w:lang w:val="en-US"/>
        </w:rPr>
        <w:t>Food Control</w:t>
      </w:r>
      <w:r w:rsidRPr="00CC1C1C">
        <w:rPr>
          <w:noProof/>
          <w:lang w:val="en-US"/>
        </w:rPr>
        <w:t xml:space="preserve">, </w:t>
      </w:r>
      <w:r w:rsidRPr="00CC1C1C">
        <w:rPr>
          <w:i/>
          <w:iCs/>
          <w:noProof/>
          <w:lang w:val="en-US"/>
        </w:rPr>
        <w:t>26</w:t>
      </w:r>
      <w:r w:rsidRPr="00CC1C1C">
        <w:rPr>
          <w:noProof/>
          <w:lang w:val="en-US"/>
        </w:rPr>
        <w:t>(2), 274–281. https://doi.org/10.1016/j.foodcont.2012.01.051</w:t>
      </w:r>
    </w:p>
    <w:p w14:paraId="63F6CFEE"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FAO. (2012). Global Trends and Future Challenges for the Work of the Organization. </w:t>
      </w:r>
      <w:r w:rsidRPr="00CC1C1C">
        <w:rPr>
          <w:i/>
          <w:iCs/>
          <w:noProof/>
          <w:lang w:val="en-US"/>
        </w:rPr>
        <w:t>Committee on Agriculture, 23rd Session</w:t>
      </w:r>
      <w:r w:rsidRPr="00CC1C1C">
        <w:rPr>
          <w:noProof/>
          <w:lang w:val="en-US"/>
        </w:rPr>
        <w:t>. Retrieved from http://www.fao.org/docrep/meeting/025/md883E.pdf</w:t>
      </w:r>
    </w:p>
    <w:p w14:paraId="0E93BB46"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FAO. (2017). The future of food and agriculture: Trends and challenges. </w:t>
      </w:r>
      <w:r w:rsidRPr="00CC1C1C">
        <w:rPr>
          <w:i/>
          <w:iCs/>
          <w:noProof/>
          <w:lang w:val="en-US"/>
        </w:rPr>
        <w:t>Food and Agriculture Organization of the United Nations</w:t>
      </w:r>
      <w:r w:rsidRPr="00CC1C1C">
        <w:rPr>
          <w:noProof/>
          <w:lang w:val="en-US"/>
        </w:rPr>
        <w:t>, 180. https://doi.org/10.4161/chan.4.6.12871</w:t>
      </w:r>
    </w:p>
    <w:p w14:paraId="54842FCA"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FAO, &amp; OECD. (2018). </w:t>
      </w:r>
      <w:r w:rsidRPr="00CC1C1C">
        <w:rPr>
          <w:i/>
          <w:iCs/>
          <w:noProof/>
          <w:lang w:val="en-US"/>
        </w:rPr>
        <w:t>OECD ‑ FAO Agricultural Outlook 2018 ‑ 2027</w:t>
      </w:r>
      <w:r w:rsidRPr="00CC1C1C">
        <w:rPr>
          <w:noProof/>
          <w:lang w:val="en-US"/>
        </w:rPr>
        <w:t>.</w:t>
      </w:r>
    </w:p>
    <w:p w14:paraId="6E2A3D89"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Farm Europe. (2017). </w:t>
      </w:r>
      <w:r w:rsidRPr="00CC1C1C">
        <w:rPr>
          <w:i/>
          <w:iCs/>
          <w:noProof/>
          <w:lang w:val="en-US"/>
        </w:rPr>
        <w:t>GLOBAL FOOD FORUM A new ambition for EU agri-food systems</w:t>
      </w:r>
      <w:r w:rsidRPr="00CC1C1C">
        <w:rPr>
          <w:noProof/>
          <w:lang w:val="en-US"/>
        </w:rPr>
        <w:t>.</w:t>
      </w:r>
    </w:p>
    <w:p w14:paraId="658792D9"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Fiore, M., Stašys, R., &amp; Pellegrini, G. (2018). Agri-Food Supply Chain Optimization Through the Swot Analysis. </w:t>
      </w:r>
      <w:r w:rsidRPr="00CC1C1C">
        <w:rPr>
          <w:i/>
          <w:iCs/>
          <w:noProof/>
          <w:lang w:val="en-US"/>
        </w:rPr>
        <w:t>Management Theory and Studies for Rural Business and Infrastructure Development</w:t>
      </w:r>
      <w:r w:rsidRPr="00CC1C1C">
        <w:rPr>
          <w:noProof/>
          <w:lang w:val="en-US"/>
        </w:rPr>
        <w:t xml:space="preserve">, </w:t>
      </w:r>
      <w:r w:rsidRPr="00CC1C1C">
        <w:rPr>
          <w:i/>
          <w:iCs/>
          <w:noProof/>
          <w:lang w:val="en-US"/>
        </w:rPr>
        <w:t>40</w:t>
      </w:r>
      <w:r w:rsidRPr="00CC1C1C">
        <w:rPr>
          <w:noProof/>
          <w:lang w:val="en-US"/>
        </w:rPr>
        <w:t>(1), 28–36. https://doi.org/10.15544/mts.2018.03</w:t>
      </w:r>
    </w:p>
    <w:p w14:paraId="1D198632" w14:textId="77777777" w:rsidR="008619A7" w:rsidRPr="00CC1C1C" w:rsidRDefault="008619A7" w:rsidP="008619A7">
      <w:pPr>
        <w:widowControl w:val="0"/>
        <w:autoSpaceDE w:val="0"/>
        <w:autoSpaceDN w:val="0"/>
        <w:adjustRightInd w:val="0"/>
        <w:ind w:left="480" w:hanging="480"/>
        <w:rPr>
          <w:noProof/>
          <w:lang w:val="en-US"/>
        </w:rPr>
      </w:pPr>
      <w:r w:rsidRPr="008619A7">
        <w:rPr>
          <w:noProof/>
        </w:rPr>
        <w:t xml:space="preserve">Flörke, M., Schneider, C., &amp; Mcdonald, R. I. (2018). </w:t>
      </w:r>
      <w:r w:rsidRPr="00CC1C1C">
        <w:rPr>
          <w:noProof/>
          <w:lang w:val="en-US"/>
        </w:rPr>
        <w:t xml:space="preserve">Driven By Climate Change and Urban Growth. </w:t>
      </w:r>
      <w:r w:rsidRPr="00CC1C1C">
        <w:rPr>
          <w:i/>
          <w:iCs/>
          <w:noProof/>
          <w:lang w:val="en-US"/>
        </w:rPr>
        <w:t>Nature Sustainability</w:t>
      </w:r>
      <w:r w:rsidRPr="00CC1C1C">
        <w:rPr>
          <w:noProof/>
          <w:lang w:val="en-US"/>
        </w:rPr>
        <w:t xml:space="preserve">, </w:t>
      </w:r>
      <w:r w:rsidRPr="00CC1C1C">
        <w:rPr>
          <w:i/>
          <w:iCs/>
          <w:noProof/>
          <w:lang w:val="en-US"/>
        </w:rPr>
        <w:t>1</w:t>
      </w:r>
      <w:r w:rsidRPr="00CC1C1C">
        <w:rPr>
          <w:noProof/>
          <w:lang w:val="en-US"/>
        </w:rPr>
        <w:t>(January), 1–11. https://doi.org/10.1038/s41893-017-0006-8</w:t>
      </w:r>
    </w:p>
    <w:p w14:paraId="773DED33"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Gavrilova, T., Alsufyev, A., &amp; Gladkova, M. (2008). Perceptual factors in knowledge map visual design Tatiana. </w:t>
      </w:r>
      <w:r w:rsidRPr="00CC1C1C">
        <w:rPr>
          <w:i/>
          <w:iCs/>
          <w:noProof/>
          <w:lang w:val="en-US"/>
        </w:rPr>
        <w:t>British Journal of Cancer</w:t>
      </w:r>
      <w:r w:rsidRPr="00CC1C1C">
        <w:rPr>
          <w:noProof/>
          <w:lang w:val="en-US"/>
        </w:rPr>
        <w:t xml:space="preserve">, </w:t>
      </w:r>
      <w:r w:rsidRPr="00CC1C1C">
        <w:rPr>
          <w:i/>
          <w:iCs/>
          <w:noProof/>
          <w:lang w:val="en-US"/>
        </w:rPr>
        <w:t>98</w:t>
      </w:r>
      <w:r w:rsidRPr="00CC1C1C">
        <w:rPr>
          <w:noProof/>
          <w:lang w:val="en-US"/>
        </w:rPr>
        <w:t>(3), 660–663. https://doi.org/10.1038/sj.bjc.6604183</w:t>
      </w:r>
    </w:p>
    <w:p w14:paraId="1DC1B0D8"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GFAR. (2014). A glossary of terms commonly used in Futures Studies. </w:t>
      </w:r>
      <w:r w:rsidRPr="00CC1C1C">
        <w:rPr>
          <w:i/>
          <w:iCs/>
          <w:noProof/>
          <w:lang w:val="en-US"/>
        </w:rPr>
        <w:t>A Glossary of Terms Commonly Used in Futures Studies</w:t>
      </w:r>
      <w:r w:rsidRPr="00CC1C1C">
        <w:rPr>
          <w:noProof/>
          <w:lang w:val="en-US"/>
        </w:rPr>
        <w:t>, 29. Retrieved from http://www.fao.org/docs/eims/upload//315972/Glossary of Terms.pdf</w:t>
      </w:r>
    </w:p>
    <w:p w14:paraId="2AAA16ED" w14:textId="77777777" w:rsidR="008619A7" w:rsidRPr="008619A7" w:rsidRDefault="008619A7" w:rsidP="008619A7">
      <w:pPr>
        <w:widowControl w:val="0"/>
        <w:autoSpaceDE w:val="0"/>
        <w:autoSpaceDN w:val="0"/>
        <w:adjustRightInd w:val="0"/>
        <w:ind w:left="480" w:hanging="480"/>
        <w:rPr>
          <w:noProof/>
        </w:rPr>
      </w:pPr>
      <w:r w:rsidRPr="00CC1C1C">
        <w:rPr>
          <w:noProof/>
          <w:lang w:val="en-US"/>
        </w:rPr>
        <w:t xml:space="preserve">GHK. (n.d.). </w:t>
      </w:r>
      <w:r w:rsidRPr="00CC1C1C">
        <w:rPr>
          <w:i/>
          <w:iCs/>
          <w:noProof/>
          <w:lang w:val="en-US"/>
        </w:rPr>
        <w:t>the Agri-Food Chain</w:t>
      </w:r>
      <w:r w:rsidRPr="00CC1C1C">
        <w:rPr>
          <w:noProof/>
          <w:lang w:val="en-US"/>
        </w:rPr>
        <w:t xml:space="preserve">. </w:t>
      </w:r>
      <w:r w:rsidRPr="008619A7">
        <w:rPr>
          <w:noProof/>
        </w:rPr>
        <w:t>1–18.</w:t>
      </w:r>
    </w:p>
    <w:p w14:paraId="5A3E4E60" w14:textId="77777777" w:rsidR="008619A7" w:rsidRPr="00CC1C1C" w:rsidRDefault="008619A7" w:rsidP="008619A7">
      <w:pPr>
        <w:widowControl w:val="0"/>
        <w:autoSpaceDE w:val="0"/>
        <w:autoSpaceDN w:val="0"/>
        <w:adjustRightInd w:val="0"/>
        <w:ind w:left="480" w:hanging="480"/>
        <w:rPr>
          <w:noProof/>
          <w:lang w:val="en-US"/>
        </w:rPr>
      </w:pPr>
      <w:r w:rsidRPr="008619A7">
        <w:rPr>
          <w:noProof/>
        </w:rPr>
        <w:t xml:space="preserve">Goedde, L., Horil, M., &amp; Sanghvi, S. (2015). </w:t>
      </w:r>
      <w:r w:rsidRPr="00CC1C1C">
        <w:rPr>
          <w:noProof/>
          <w:lang w:val="en-US"/>
        </w:rPr>
        <w:t xml:space="preserve">Pursuing the global opportunity in food and agribusiness. </w:t>
      </w:r>
      <w:r w:rsidRPr="00CC1C1C">
        <w:rPr>
          <w:i/>
          <w:iCs/>
          <w:noProof/>
          <w:lang w:val="en-US"/>
        </w:rPr>
        <w:t>McKinsey &amp; Company</w:t>
      </w:r>
      <w:r w:rsidRPr="00CC1C1C">
        <w:rPr>
          <w:noProof/>
          <w:lang w:val="en-US"/>
        </w:rPr>
        <w:t>, 1–12. Retrieved from http://www.mckinsey.com/insights/Food_Agriculture/Pursuing_the_global_opportunity_in_food_and_agribusiness?cid=other-eml-alt-mip-mck-oth-1507</w:t>
      </w:r>
    </w:p>
    <w:p w14:paraId="23518F45"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Gustavsson, J., Cederberg, C., Sonesson, U., van Otterdijk, R., &amp; Meybeck, A. (2011). Global Food Losses and Food Waste: Extent, Causes and Prevention, Rome: Food and Agriculture Organisation of the United Nations. In </w:t>
      </w:r>
      <w:r w:rsidRPr="00CC1C1C">
        <w:rPr>
          <w:i/>
          <w:iCs/>
          <w:noProof/>
          <w:lang w:val="en-US"/>
        </w:rPr>
        <w:t>Philosophical Transactions of the Royal Society B: Biological Sciences</w:t>
      </w:r>
      <w:r w:rsidRPr="00CC1C1C">
        <w:rPr>
          <w:noProof/>
          <w:lang w:val="en-US"/>
        </w:rPr>
        <w:t xml:space="preserve"> (Vol. 365). https://doi.org/10.1098/rstb.2010.0126</w:t>
      </w:r>
    </w:p>
    <w:p w14:paraId="0AF20E1B"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HM Government. (2013). </w:t>
      </w:r>
      <w:r w:rsidRPr="00CC1C1C">
        <w:rPr>
          <w:i/>
          <w:iCs/>
          <w:noProof/>
          <w:lang w:val="en-US"/>
        </w:rPr>
        <w:t>A UK Strategy for Agricultural Technologies Industrial Strategy</w:t>
      </w:r>
      <w:r w:rsidRPr="00CC1C1C">
        <w:rPr>
          <w:noProof/>
          <w:lang w:val="en-US"/>
        </w:rPr>
        <w:t>. (July), 52. Retrieved from https://assets.publishing.service.gov.uk/government/uploads/system/uploads/attachment_data/file/227259/9643-BIS-UK_Agri_Tech_Strategy_Accessible.pdf</w:t>
      </w:r>
    </w:p>
    <w:p w14:paraId="0313D297" w14:textId="77777777" w:rsidR="008619A7" w:rsidRPr="00CC1C1C" w:rsidRDefault="008619A7" w:rsidP="008619A7">
      <w:pPr>
        <w:widowControl w:val="0"/>
        <w:autoSpaceDE w:val="0"/>
        <w:autoSpaceDN w:val="0"/>
        <w:adjustRightInd w:val="0"/>
        <w:ind w:left="480" w:hanging="480"/>
        <w:rPr>
          <w:noProof/>
          <w:lang w:val="en-US"/>
        </w:rPr>
      </w:pPr>
      <w:r w:rsidRPr="00AB00BD">
        <w:rPr>
          <w:noProof/>
          <w:lang w:val="pt-PT"/>
        </w:rPr>
        <w:t xml:space="preserve">Iakovou, E., Vlachos, D., Achillas, C., &amp; Anastasiadis, F. (2014). </w:t>
      </w:r>
      <w:r w:rsidRPr="00CC1C1C">
        <w:rPr>
          <w:noProof/>
          <w:lang w:val="en-US"/>
        </w:rPr>
        <w:t xml:space="preserve">Design of sustainable supply chains for the agrifood sector: A holistic research framework. </w:t>
      </w:r>
      <w:r w:rsidRPr="00CC1C1C">
        <w:rPr>
          <w:i/>
          <w:iCs/>
          <w:noProof/>
          <w:lang w:val="en-US"/>
        </w:rPr>
        <w:t>Agricultural Engineering International: CIGR Journal</w:t>
      </w:r>
      <w:r w:rsidRPr="00CC1C1C">
        <w:rPr>
          <w:noProof/>
          <w:lang w:val="en-US"/>
        </w:rPr>
        <w:t>, (SPEC. ISSUE), 1–10.</w:t>
      </w:r>
    </w:p>
    <w:p w14:paraId="2A82A7D9"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Kelly, S., Bensemann, J., Bhide, V., Eweje, G., Imbeau, J., Scott, J., … Warren, L. (2017). </w:t>
      </w:r>
      <w:r w:rsidRPr="00CC1C1C">
        <w:rPr>
          <w:i/>
          <w:iCs/>
          <w:noProof/>
          <w:lang w:val="en-US"/>
        </w:rPr>
        <w:t>Disruptive Technology Agri-Food Sector</w:t>
      </w:r>
      <w:r w:rsidRPr="00CC1C1C">
        <w:rPr>
          <w:noProof/>
          <w:lang w:val="en-US"/>
        </w:rPr>
        <w:t>. (August), 141. https://doi.org/10.13140/RG.2.2.19520.02566</w:t>
      </w:r>
    </w:p>
    <w:p w14:paraId="716E0420"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King, T., Cole, M., Farber, J. M., Eisenbrand, G., Zabaras, D., Fox, E. M., &amp; Hill, J. P. (2017). Food safety for food security: Relationship between global megatrends and developments in food safety. </w:t>
      </w:r>
      <w:r w:rsidRPr="00CC1C1C">
        <w:rPr>
          <w:i/>
          <w:iCs/>
          <w:noProof/>
          <w:lang w:val="en-US"/>
        </w:rPr>
        <w:t>Trends in Food Science and Technology</w:t>
      </w:r>
      <w:r w:rsidRPr="00CC1C1C">
        <w:rPr>
          <w:noProof/>
          <w:lang w:val="en-US"/>
        </w:rPr>
        <w:t xml:space="preserve">, </w:t>
      </w:r>
      <w:r w:rsidRPr="00CC1C1C">
        <w:rPr>
          <w:i/>
          <w:iCs/>
          <w:noProof/>
          <w:lang w:val="en-US"/>
        </w:rPr>
        <w:t>68</w:t>
      </w:r>
      <w:r w:rsidRPr="00CC1C1C">
        <w:rPr>
          <w:noProof/>
          <w:lang w:val="en-US"/>
        </w:rPr>
        <w:t>, 160–175. https://doi.org/10.1016/j.tifs.2017.08.014</w:t>
      </w:r>
    </w:p>
    <w:p w14:paraId="24A13DBB"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Kline et al. (2016). Gaps and barriers along the North Carolina agri-food value chain. </w:t>
      </w:r>
      <w:r w:rsidRPr="00CC1C1C">
        <w:rPr>
          <w:i/>
          <w:iCs/>
          <w:noProof/>
          <w:lang w:val="en-US"/>
        </w:rPr>
        <w:t>British Food Journal</w:t>
      </w:r>
      <w:r w:rsidRPr="00CC1C1C">
        <w:rPr>
          <w:noProof/>
          <w:lang w:val="en-US"/>
        </w:rPr>
        <w:t xml:space="preserve">, </w:t>
      </w:r>
      <w:r w:rsidRPr="00CC1C1C">
        <w:rPr>
          <w:i/>
          <w:iCs/>
          <w:noProof/>
          <w:lang w:val="en-US"/>
        </w:rPr>
        <w:t>118</w:t>
      </w:r>
      <w:r w:rsidRPr="00CC1C1C">
        <w:rPr>
          <w:noProof/>
          <w:lang w:val="en-US"/>
        </w:rPr>
        <w:t>(2), 301–317. Retrieved from https://www.scopus.com/inward/record.uri?eid=2-s2.0-84954421843&amp;doi=10.1108%2FBFJ-06-2015-0223&amp;partnerID=40&amp;md5=8d8fa03359d08ea2a70e592abbca3488</w:t>
      </w:r>
    </w:p>
    <w:p w14:paraId="58C9FD62"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KPMG. (2013). </w:t>
      </w:r>
      <w:r w:rsidRPr="00CC1C1C">
        <w:rPr>
          <w:i/>
          <w:iCs/>
          <w:noProof/>
          <w:lang w:val="en-US"/>
        </w:rPr>
        <w:t>The agricultural and food value chain: Entering a new era of cooperation, KPMG International: Global Life Sciences</w:t>
      </w:r>
      <w:r w:rsidRPr="00CC1C1C">
        <w:rPr>
          <w:noProof/>
          <w:lang w:val="en-US"/>
        </w:rPr>
        <w:t>.</w:t>
      </w:r>
    </w:p>
    <w:p w14:paraId="580A7942"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Lehmann, R. J., Reiche, R., &amp; Schiefer, G. (2012). Future internet and the agri-food sector: State-of-the-art in literature and research. </w:t>
      </w:r>
      <w:r w:rsidRPr="00CC1C1C">
        <w:rPr>
          <w:i/>
          <w:iCs/>
          <w:noProof/>
          <w:lang w:val="en-US"/>
        </w:rPr>
        <w:t>Computers and Electronics in Agriculture</w:t>
      </w:r>
      <w:r w:rsidRPr="00CC1C1C">
        <w:rPr>
          <w:noProof/>
          <w:lang w:val="en-US"/>
        </w:rPr>
        <w:t xml:space="preserve">, </w:t>
      </w:r>
      <w:r w:rsidRPr="00CC1C1C">
        <w:rPr>
          <w:i/>
          <w:iCs/>
          <w:noProof/>
          <w:lang w:val="en-US"/>
        </w:rPr>
        <w:t>89</w:t>
      </w:r>
      <w:r w:rsidRPr="00CC1C1C">
        <w:rPr>
          <w:noProof/>
          <w:lang w:val="en-US"/>
        </w:rPr>
        <w:t>, 158–174. https://doi.org/10.1016/j.compag.2012.09.005</w:t>
      </w:r>
    </w:p>
    <w:p w14:paraId="24DABEF5" w14:textId="77777777" w:rsidR="008619A7" w:rsidRPr="00CC1C1C" w:rsidRDefault="008619A7" w:rsidP="008619A7">
      <w:pPr>
        <w:widowControl w:val="0"/>
        <w:autoSpaceDE w:val="0"/>
        <w:autoSpaceDN w:val="0"/>
        <w:adjustRightInd w:val="0"/>
        <w:ind w:left="480" w:hanging="480"/>
        <w:rPr>
          <w:noProof/>
          <w:lang w:val="en-US"/>
        </w:rPr>
      </w:pPr>
      <w:r w:rsidRPr="008619A7">
        <w:rPr>
          <w:noProof/>
        </w:rPr>
        <w:t xml:space="preserve">López, E. G., Gelante, N., &amp; Monroe, S. (2013). </w:t>
      </w:r>
      <w:r w:rsidRPr="00CC1C1C">
        <w:rPr>
          <w:noProof/>
          <w:lang w:val="en-US"/>
        </w:rPr>
        <w:t xml:space="preserve">The future of online grocery in Europe. </w:t>
      </w:r>
      <w:r w:rsidRPr="00CC1C1C">
        <w:rPr>
          <w:i/>
          <w:iCs/>
          <w:noProof/>
          <w:lang w:val="en-US"/>
        </w:rPr>
        <w:t>McKinsey</w:t>
      </w:r>
      <w:r w:rsidRPr="00CC1C1C">
        <w:rPr>
          <w:noProof/>
          <w:lang w:val="en-US"/>
        </w:rPr>
        <w:t>, 22–31.</w:t>
      </w:r>
    </w:p>
    <w:p w14:paraId="76DC78A5"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McKinsey. (2015). </w:t>
      </w:r>
      <w:r w:rsidRPr="00CC1C1C">
        <w:rPr>
          <w:i/>
          <w:iCs/>
          <w:noProof/>
          <w:lang w:val="en-US"/>
        </w:rPr>
        <w:t>Successful agricultural transformations</w:t>
      </w:r>
      <w:r w:rsidRPr="00CC1C1C">
        <w:rPr>
          <w:noProof/>
          <w:lang w:val="en-US"/>
        </w:rPr>
        <w:t>.</w:t>
      </w:r>
    </w:p>
    <w:p w14:paraId="030D4243"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Means, A. J. (2018). Platform learning and on-demand labor: sociotechnical projections on the future of education and work. </w:t>
      </w:r>
      <w:r w:rsidRPr="00CC1C1C">
        <w:rPr>
          <w:i/>
          <w:iCs/>
          <w:noProof/>
          <w:lang w:val="en-US"/>
        </w:rPr>
        <w:t>Learning, Media and Technology</w:t>
      </w:r>
      <w:r w:rsidRPr="00CC1C1C">
        <w:rPr>
          <w:noProof/>
          <w:lang w:val="en-US"/>
        </w:rPr>
        <w:t xml:space="preserve">, </w:t>
      </w:r>
      <w:r w:rsidRPr="00CC1C1C">
        <w:rPr>
          <w:i/>
          <w:iCs/>
          <w:noProof/>
          <w:lang w:val="en-US"/>
        </w:rPr>
        <w:t>43</w:t>
      </w:r>
      <w:r w:rsidRPr="00CC1C1C">
        <w:rPr>
          <w:noProof/>
          <w:lang w:val="en-US"/>
        </w:rPr>
        <w:t>(3), 326–338. https://doi.org/10.1080/17439884.2018.1504792</w:t>
      </w:r>
    </w:p>
    <w:p w14:paraId="2EB3C29B"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Mikova, N., &amp; Sokolova, A. (2014). Global Technology Trends Monitoring: Theoretical Frameworks and Best Practices*. </w:t>
      </w:r>
      <w:r w:rsidRPr="00CC1C1C">
        <w:rPr>
          <w:i/>
          <w:iCs/>
          <w:noProof/>
          <w:lang w:val="en-US"/>
        </w:rPr>
        <w:t>Foresight-Russia</w:t>
      </w:r>
      <w:r w:rsidRPr="00CC1C1C">
        <w:rPr>
          <w:noProof/>
          <w:lang w:val="en-US"/>
        </w:rPr>
        <w:t xml:space="preserve">, </w:t>
      </w:r>
      <w:r w:rsidRPr="00CC1C1C">
        <w:rPr>
          <w:i/>
          <w:iCs/>
          <w:noProof/>
          <w:lang w:val="en-US"/>
        </w:rPr>
        <w:t>8</w:t>
      </w:r>
      <w:r w:rsidRPr="00CC1C1C">
        <w:rPr>
          <w:noProof/>
          <w:lang w:val="en-US"/>
        </w:rPr>
        <w:t>(4), 64–83.</w:t>
      </w:r>
    </w:p>
    <w:p w14:paraId="413D8BFA"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Miles, I., &amp; Saritas, O. (2012). The depth of the horizon: Searching, scanning and widening horizons. </w:t>
      </w:r>
      <w:r w:rsidRPr="00CC1C1C">
        <w:rPr>
          <w:i/>
          <w:iCs/>
          <w:noProof/>
          <w:lang w:val="en-US"/>
        </w:rPr>
        <w:t>Foresight</w:t>
      </w:r>
      <w:r w:rsidRPr="00CC1C1C">
        <w:rPr>
          <w:noProof/>
          <w:lang w:val="en-US"/>
        </w:rPr>
        <w:t xml:space="preserve">, </w:t>
      </w:r>
      <w:r w:rsidRPr="00CC1C1C">
        <w:rPr>
          <w:i/>
          <w:iCs/>
          <w:noProof/>
          <w:lang w:val="en-US"/>
        </w:rPr>
        <w:t>14</w:t>
      </w:r>
      <w:r w:rsidRPr="00CC1C1C">
        <w:rPr>
          <w:noProof/>
          <w:lang w:val="en-US"/>
        </w:rPr>
        <w:t>(6), 530–545. https://doi.org/10.1108/14636681211284953</w:t>
      </w:r>
    </w:p>
    <w:p w14:paraId="712FD43A"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Mirabella, N., Castellani, V., &amp; Sala, S. (2014). Current options for the valorization of food manufacturing waste: A review. </w:t>
      </w:r>
      <w:r w:rsidRPr="00CC1C1C">
        <w:rPr>
          <w:i/>
          <w:iCs/>
          <w:noProof/>
          <w:lang w:val="en-US"/>
        </w:rPr>
        <w:t>Journal of Cleaner Production</w:t>
      </w:r>
      <w:r w:rsidRPr="00CC1C1C">
        <w:rPr>
          <w:noProof/>
          <w:lang w:val="en-US"/>
        </w:rPr>
        <w:t xml:space="preserve">, </w:t>
      </w:r>
      <w:r w:rsidRPr="00CC1C1C">
        <w:rPr>
          <w:i/>
          <w:iCs/>
          <w:noProof/>
          <w:lang w:val="en-US"/>
        </w:rPr>
        <w:t>65</w:t>
      </w:r>
      <w:r w:rsidRPr="00CC1C1C">
        <w:rPr>
          <w:noProof/>
          <w:lang w:val="en-US"/>
        </w:rPr>
        <w:t>, 28–41. https://doi.org/10.1016/j.jclepro.2013.10.051</w:t>
      </w:r>
    </w:p>
    <w:p w14:paraId="52EDB02D"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Miralles, I., Dentoni, D., &amp; Pascucci, S. (2017). Understanding the organization of sharing economy in agri-food systems: evidence from alternative food networks in Valencia. </w:t>
      </w:r>
      <w:r w:rsidRPr="00CC1C1C">
        <w:rPr>
          <w:i/>
          <w:iCs/>
          <w:noProof/>
          <w:lang w:val="en-US"/>
        </w:rPr>
        <w:t>Agriculture and Human Values</w:t>
      </w:r>
      <w:r w:rsidRPr="00CC1C1C">
        <w:rPr>
          <w:noProof/>
          <w:lang w:val="en-US"/>
        </w:rPr>
        <w:t xml:space="preserve">, </w:t>
      </w:r>
      <w:r w:rsidRPr="00CC1C1C">
        <w:rPr>
          <w:i/>
          <w:iCs/>
          <w:noProof/>
          <w:lang w:val="en-US"/>
        </w:rPr>
        <w:t>34</w:t>
      </w:r>
      <w:r w:rsidRPr="00CC1C1C">
        <w:rPr>
          <w:noProof/>
          <w:lang w:val="en-US"/>
        </w:rPr>
        <w:t>(4), 833–854. https://doi.org/10.1007/s10460-017-9778-8</w:t>
      </w:r>
    </w:p>
    <w:p w14:paraId="038C98FA"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Miranda, J., Ponce, P., Molina, A., &amp; Wright, P. (2019). Sensing, smart and sustainable technologies for Agri-Food 4.0. </w:t>
      </w:r>
      <w:r w:rsidRPr="00CC1C1C">
        <w:rPr>
          <w:i/>
          <w:iCs/>
          <w:noProof/>
          <w:lang w:val="en-US"/>
        </w:rPr>
        <w:t>Computers in Industry</w:t>
      </w:r>
      <w:r w:rsidRPr="00CC1C1C">
        <w:rPr>
          <w:noProof/>
          <w:lang w:val="en-US"/>
        </w:rPr>
        <w:t xml:space="preserve">, </w:t>
      </w:r>
      <w:r w:rsidRPr="00CC1C1C">
        <w:rPr>
          <w:i/>
          <w:iCs/>
          <w:noProof/>
          <w:lang w:val="en-US"/>
        </w:rPr>
        <w:t>108</w:t>
      </w:r>
      <w:r w:rsidRPr="00CC1C1C">
        <w:rPr>
          <w:noProof/>
          <w:lang w:val="en-US"/>
        </w:rPr>
        <w:t>, 21–36. https://doi.org/10.1016/j.compind.2019.02.002</w:t>
      </w:r>
    </w:p>
    <w:p w14:paraId="43D54E24"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Nomura, Y. (2017). </w:t>
      </w:r>
      <w:r w:rsidRPr="00CC1C1C">
        <w:rPr>
          <w:i/>
          <w:iCs/>
          <w:noProof/>
          <w:lang w:val="en-US"/>
        </w:rPr>
        <w:t>Future Technology Trends and How They Will Affect Us Power of the Individual</w:t>
      </w:r>
      <w:r w:rsidRPr="00CC1C1C">
        <w:rPr>
          <w:noProof/>
          <w:lang w:val="en-US"/>
        </w:rPr>
        <w:t>.</w:t>
      </w:r>
    </w:p>
    <w:p w14:paraId="69239211"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OECD. (2011a). </w:t>
      </w:r>
      <w:r w:rsidRPr="00CC1C1C">
        <w:rPr>
          <w:i/>
          <w:iCs/>
          <w:noProof/>
          <w:lang w:val="en-US"/>
        </w:rPr>
        <w:t>Challenges for Agricultural Research</w:t>
      </w:r>
      <w:r w:rsidRPr="00CC1C1C">
        <w:rPr>
          <w:noProof/>
          <w:lang w:val="en-US"/>
        </w:rPr>
        <w:t>. https://doi.org/10.1787/9789264090101-en</w:t>
      </w:r>
    </w:p>
    <w:p w14:paraId="14A791F6"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OECD. (2011b). Unclassified COM / TAD / CA / ENV / EPOC ( 2010 ) 35 / FINAL COM / TAD / CA / ENV / EPOC ( 2010 ) 35 / FINAL Unclassified Joint Working Party on Agriculture and the Environment. </w:t>
      </w:r>
      <w:r w:rsidRPr="00CC1C1C">
        <w:rPr>
          <w:i/>
          <w:iCs/>
          <w:noProof/>
          <w:lang w:val="en-US"/>
        </w:rPr>
        <w:t>Agriculture</w:t>
      </w:r>
      <w:r w:rsidRPr="00CC1C1C">
        <w:rPr>
          <w:noProof/>
          <w:lang w:val="en-US"/>
        </w:rPr>
        <w:t>, (2010).</w:t>
      </w:r>
    </w:p>
    <w:p w14:paraId="7B974089"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OECD. (2018). Global Forum on Agriculture: How Digital Technologies are Impacting the Way we Grow and Distribute Food. </w:t>
      </w:r>
      <w:r w:rsidRPr="00CC1C1C">
        <w:rPr>
          <w:i/>
          <w:iCs/>
          <w:noProof/>
          <w:lang w:val="en-US"/>
        </w:rPr>
        <w:t>Tad/Ca/Gf(2018)1</w:t>
      </w:r>
      <w:r w:rsidRPr="00CC1C1C">
        <w:rPr>
          <w:noProof/>
          <w:lang w:val="en-US"/>
        </w:rPr>
        <w:t>, 1–13. Retrieved from http://www.oecd.org/officialdocuments/publicdisplaydocumentpdf/?cote=TAD/CA/GF(2018)1&amp;docLanguage=En</w:t>
      </w:r>
    </w:p>
    <w:p w14:paraId="7493D47B" w14:textId="77777777" w:rsidR="008619A7" w:rsidRPr="00CC1C1C" w:rsidRDefault="008619A7" w:rsidP="008619A7">
      <w:pPr>
        <w:widowControl w:val="0"/>
        <w:autoSpaceDE w:val="0"/>
        <w:autoSpaceDN w:val="0"/>
        <w:adjustRightInd w:val="0"/>
        <w:ind w:left="480" w:hanging="480"/>
        <w:rPr>
          <w:noProof/>
          <w:lang w:val="en-US"/>
        </w:rPr>
      </w:pPr>
      <w:r w:rsidRPr="00AB00BD">
        <w:rPr>
          <w:noProof/>
          <w:lang w:val="pt-PT"/>
        </w:rPr>
        <w:t xml:space="preserve">Pivoto, D., Waquil, P. D., Talamini, E., Finocchio, C. P. S., Dalla Corte, V. F., &amp; de Vargas Mores, G. (2018). </w:t>
      </w:r>
      <w:r w:rsidRPr="00CC1C1C">
        <w:rPr>
          <w:noProof/>
          <w:lang w:val="en-US"/>
        </w:rPr>
        <w:t xml:space="preserve">Scientific development of smart farming technologies and their application in Brazil. </w:t>
      </w:r>
      <w:r w:rsidRPr="00CC1C1C">
        <w:rPr>
          <w:i/>
          <w:iCs/>
          <w:noProof/>
          <w:lang w:val="en-US"/>
        </w:rPr>
        <w:t>Information Processing in Agriculture</w:t>
      </w:r>
      <w:r w:rsidRPr="00CC1C1C">
        <w:rPr>
          <w:noProof/>
          <w:lang w:val="en-US"/>
        </w:rPr>
        <w:t xml:space="preserve">, </w:t>
      </w:r>
      <w:r w:rsidRPr="00CC1C1C">
        <w:rPr>
          <w:i/>
          <w:iCs/>
          <w:noProof/>
          <w:lang w:val="en-US"/>
        </w:rPr>
        <w:t>5</w:t>
      </w:r>
      <w:r w:rsidRPr="00CC1C1C">
        <w:rPr>
          <w:noProof/>
          <w:lang w:val="en-US"/>
        </w:rPr>
        <w:t>(1), 21–32. https://doi.org/10.1016/j.inpa.2017.12.002</w:t>
      </w:r>
    </w:p>
    <w:p w14:paraId="664B77AE"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Ponomareva, J., &amp; Sokolova, A. (2015). The Identification of Weak Signals and Wild Cards in Foresight Methodology: Stages and Methods. </w:t>
      </w:r>
      <w:r w:rsidRPr="00CC1C1C">
        <w:rPr>
          <w:i/>
          <w:iCs/>
          <w:noProof/>
          <w:lang w:val="en-US"/>
        </w:rPr>
        <w:t>Ssrn</w:t>
      </w:r>
      <w:r w:rsidRPr="00CC1C1C">
        <w:rPr>
          <w:noProof/>
          <w:lang w:val="en-US"/>
        </w:rPr>
        <w:t>. https://doi.org/10.2139/ssrn.2655520</w:t>
      </w:r>
    </w:p>
    <w:p w14:paraId="783B37EF"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Potter, A., Murray, J., Lawson, B., &amp; Graham, S. (2012). Trends in product recalls within the agri-food industry: Empirical evidence from the USA, UK and the Republic of Ireland. </w:t>
      </w:r>
      <w:r w:rsidRPr="00CC1C1C">
        <w:rPr>
          <w:i/>
          <w:iCs/>
          <w:noProof/>
          <w:lang w:val="en-US"/>
        </w:rPr>
        <w:t>Trends in Food Science and Technology</w:t>
      </w:r>
      <w:r w:rsidRPr="00CC1C1C">
        <w:rPr>
          <w:noProof/>
          <w:lang w:val="en-US"/>
        </w:rPr>
        <w:t xml:space="preserve">, </w:t>
      </w:r>
      <w:r w:rsidRPr="00CC1C1C">
        <w:rPr>
          <w:i/>
          <w:iCs/>
          <w:noProof/>
          <w:lang w:val="en-US"/>
        </w:rPr>
        <w:t>28</w:t>
      </w:r>
      <w:r w:rsidRPr="00CC1C1C">
        <w:rPr>
          <w:noProof/>
          <w:lang w:val="en-US"/>
        </w:rPr>
        <w:t>(2), 77–86. https://doi.org/10.1016/j.tifs.2012.06.017</w:t>
      </w:r>
    </w:p>
    <w:p w14:paraId="12DDB0FB"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PWC. (2015). </w:t>
      </w:r>
      <w:r w:rsidRPr="00CC1C1C">
        <w:rPr>
          <w:i/>
          <w:iCs/>
          <w:noProof/>
          <w:lang w:val="en-US"/>
        </w:rPr>
        <w:t>Megatrends impacting the industry A brief look at business issues</w:t>
      </w:r>
      <w:r w:rsidRPr="00CC1C1C">
        <w:rPr>
          <w:noProof/>
          <w:lang w:val="en-US"/>
        </w:rPr>
        <w:t>. (January).</w:t>
      </w:r>
    </w:p>
    <w:p w14:paraId="5DDB490D"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PWC. (2017). </w:t>
      </w:r>
      <w:r w:rsidRPr="00CC1C1C">
        <w:rPr>
          <w:i/>
          <w:iCs/>
          <w:noProof/>
          <w:lang w:val="en-US"/>
        </w:rPr>
        <w:t>Four possible scenarios for the AgriFood industry</w:t>
      </w:r>
      <w:r w:rsidRPr="00CC1C1C">
        <w:rPr>
          <w:noProof/>
          <w:lang w:val="en-US"/>
        </w:rPr>
        <w:t>.</w:t>
      </w:r>
    </w:p>
    <w:p w14:paraId="408E5695"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Rabobank. (2014). </w:t>
      </w:r>
      <w:r w:rsidRPr="00CC1C1C">
        <w:rPr>
          <w:i/>
          <w:iCs/>
          <w:noProof/>
          <w:lang w:val="en-US"/>
        </w:rPr>
        <w:t>Circle Scan : Current state and future vision Automotive sector</w:t>
      </w:r>
      <w:r w:rsidRPr="00CC1C1C">
        <w:rPr>
          <w:noProof/>
          <w:lang w:val="en-US"/>
        </w:rPr>
        <w:t>.</w:t>
      </w:r>
    </w:p>
    <w:p w14:paraId="2F9C6A52"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Rajasekar, S., Philominathan, P., &amp; Chinnathambi, V. (2016). Research methodology. </w:t>
      </w:r>
      <w:r w:rsidRPr="00CC1C1C">
        <w:rPr>
          <w:i/>
          <w:iCs/>
          <w:noProof/>
          <w:lang w:val="en-US"/>
        </w:rPr>
        <w:t>Studies in Systems, Decision and Control</w:t>
      </w:r>
      <w:r w:rsidRPr="00CC1C1C">
        <w:rPr>
          <w:noProof/>
          <w:lang w:val="en-US"/>
        </w:rPr>
        <w:t xml:space="preserve">, </w:t>
      </w:r>
      <w:r w:rsidRPr="00CC1C1C">
        <w:rPr>
          <w:i/>
          <w:iCs/>
          <w:noProof/>
          <w:lang w:val="en-US"/>
        </w:rPr>
        <w:t>60</w:t>
      </w:r>
      <w:r w:rsidRPr="00CC1C1C">
        <w:rPr>
          <w:noProof/>
          <w:lang w:val="en-US"/>
        </w:rPr>
        <w:t>, 111–127. https://doi.org/10.1007/978-81-322-2785-4_4</w:t>
      </w:r>
    </w:p>
    <w:p w14:paraId="1EA79D9D" w14:textId="77777777" w:rsidR="008619A7" w:rsidRPr="00CC1C1C" w:rsidRDefault="008619A7" w:rsidP="008619A7">
      <w:pPr>
        <w:widowControl w:val="0"/>
        <w:autoSpaceDE w:val="0"/>
        <w:autoSpaceDN w:val="0"/>
        <w:adjustRightInd w:val="0"/>
        <w:ind w:left="480" w:hanging="480"/>
        <w:rPr>
          <w:noProof/>
          <w:lang w:val="en-US"/>
        </w:rPr>
      </w:pPr>
      <w:r w:rsidRPr="00AB00BD">
        <w:rPr>
          <w:noProof/>
          <w:lang w:val="pt-PT"/>
        </w:rPr>
        <w:t xml:space="preserve">Ramundo, L., Taisch, M., &amp; Terzi, S. (2016). </w:t>
      </w:r>
      <w:r w:rsidRPr="00CC1C1C">
        <w:rPr>
          <w:noProof/>
          <w:lang w:val="en-US"/>
        </w:rPr>
        <w:t xml:space="preserve">State of the art of technology in the food sector value chain towards the IoT. </w:t>
      </w:r>
      <w:r w:rsidRPr="00CC1C1C">
        <w:rPr>
          <w:i/>
          <w:iCs/>
          <w:noProof/>
          <w:lang w:val="en-US"/>
        </w:rPr>
        <w:t>2016 IEEE 2nd International Forum on Research and Technologies for Society and Industry Leveraging a Better Tomorrow, RTSI 2016</w:t>
      </w:r>
      <w:r w:rsidRPr="00CC1C1C">
        <w:rPr>
          <w:noProof/>
          <w:lang w:val="en-US"/>
        </w:rPr>
        <w:t>, 1–6. https://doi.org/10.1109/RTSI.2016.7740612</w:t>
      </w:r>
    </w:p>
    <w:p w14:paraId="1F565100"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Rotz, S., Duncan, E., Small, M., Botschner, J., Dara, R., Mosby, I., … Fraser, E. D. G. (2019). The Politics of Digital Agricultural Technologies: A Preliminary Review. </w:t>
      </w:r>
      <w:r w:rsidRPr="00CC1C1C">
        <w:rPr>
          <w:i/>
          <w:iCs/>
          <w:noProof/>
          <w:lang w:val="en-US"/>
        </w:rPr>
        <w:t>Sociologia Ruralis</w:t>
      </w:r>
      <w:r w:rsidRPr="00CC1C1C">
        <w:rPr>
          <w:noProof/>
          <w:lang w:val="en-US"/>
        </w:rPr>
        <w:t xml:space="preserve">, </w:t>
      </w:r>
      <w:r w:rsidRPr="00CC1C1C">
        <w:rPr>
          <w:i/>
          <w:iCs/>
          <w:noProof/>
          <w:lang w:val="en-US"/>
        </w:rPr>
        <w:t>59</w:t>
      </w:r>
      <w:r w:rsidRPr="00CC1C1C">
        <w:rPr>
          <w:noProof/>
          <w:lang w:val="en-US"/>
        </w:rPr>
        <w:t>(2), 203–229. https://doi.org/10.1111/soru.12233</w:t>
      </w:r>
    </w:p>
    <w:p w14:paraId="4D6E32FC"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Rowe, E., Wright, G., &amp; Derbyshire, J. (2017). Enhancing horizon scanning by utilizing pre-developed scenarios: Analysis of current practice and specification of a process improvement to aid the identification of important ‘weak signals.’ </w:t>
      </w:r>
      <w:r w:rsidRPr="00CC1C1C">
        <w:rPr>
          <w:i/>
          <w:iCs/>
          <w:noProof/>
          <w:lang w:val="en-US"/>
        </w:rPr>
        <w:t>Technological Forecasting and Social Change</w:t>
      </w:r>
      <w:r w:rsidRPr="00CC1C1C">
        <w:rPr>
          <w:noProof/>
          <w:lang w:val="en-US"/>
        </w:rPr>
        <w:t xml:space="preserve">, </w:t>
      </w:r>
      <w:r w:rsidRPr="00CC1C1C">
        <w:rPr>
          <w:i/>
          <w:iCs/>
          <w:noProof/>
          <w:lang w:val="en-US"/>
        </w:rPr>
        <w:t>125</w:t>
      </w:r>
      <w:r w:rsidRPr="00CC1C1C">
        <w:rPr>
          <w:noProof/>
          <w:lang w:val="en-US"/>
        </w:rPr>
        <w:t>(July), 224–235. https://doi.org/10.1016/j.techfore.2017.08.001</w:t>
      </w:r>
    </w:p>
    <w:p w14:paraId="17A6BA0D" w14:textId="77777777" w:rsidR="008619A7" w:rsidRPr="00CC1C1C" w:rsidRDefault="008619A7" w:rsidP="008619A7">
      <w:pPr>
        <w:widowControl w:val="0"/>
        <w:autoSpaceDE w:val="0"/>
        <w:autoSpaceDN w:val="0"/>
        <w:adjustRightInd w:val="0"/>
        <w:ind w:left="480" w:hanging="480"/>
        <w:rPr>
          <w:noProof/>
          <w:lang w:val="en-US"/>
        </w:rPr>
      </w:pPr>
      <w:r w:rsidRPr="00AB00BD">
        <w:rPr>
          <w:noProof/>
          <w:lang w:val="pt-PT"/>
        </w:rPr>
        <w:t xml:space="preserve">Saitone, T. L., &amp; Sexton, R. J. (2017). </w:t>
      </w:r>
      <w:r w:rsidRPr="00CC1C1C">
        <w:rPr>
          <w:noProof/>
          <w:lang w:val="en-US"/>
        </w:rPr>
        <w:t xml:space="preserve">Agri-food supply chain: evolution and performance with conflicting consumer and societal demands. </w:t>
      </w:r>
      <w:r w:rsidRPr="00CC1C1C">
        <w:rPr>
          <w:i/>
          <w:iCs/>
          <w:noProof/>
          <w:lang w:val="en-US"/>
        </w:rPr>
        <w:t>European Review of Agricultural Economics</w:t>
      </w:r>
      <w:r w:rsidRPr="00CC1C1C">
        <w:rPr>
          <w:noProof/>
          <w:lang w:val="en-US"/>
        </w:rPr>
        <w:t xml:space="preserve">, </w:t>
      </w:r>
      <w:r w:rsidRPr="00CC1C1C">
        <w:rPr>
          <w:i/>
          <w:iCs/>
          <w:noProof/>
          <w:lang w:val="en-US"/>
        </w:rPr>
        <w:t>44</w:t>
      </w:r>
      <w:r w:rsidRPr="00CC1C1C">
        <w:rPr>
          <w:noProof/>
          <w:lang w:val="en-US"/>
        </w:rPr>
        <w:t>(4), 634–657. https://doi.org/10.1093/erae/jbx003</w:t>
      </w:r>
    </w:p>
    <w:p w14:paraId="723C49A7"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Saritas, O., &amp; Kuzminov, I. (2017). Global challenges and trends in agriculture: impacts on Russia and possible strategies for adaptation. </w:t>
      </w:r>
      <w:r w:rsidRPr="00CC1C1C">
        <w:rPr>
          <w:i/>
          <w:iCs/>
          <w:noProof/>
          <w:lang w:val="en-US"/>
        </w:rPr>
        <w:t>Foresight</w:t>
      </w:r>
      <w:r w:rsidRPr="00CC1C1C">
        <w:rPr>
          <w:noProof/>
          <w:lang w:val="en-US"/>
        </w:rPr>
        <w:t xml:space="preserve">, </w:t>
      </w:r>
      <w:r w:rsidRPr="00CC1C1C">
        <w:rPr>
          <w:i/>
          <w:iCs/>
          <w:noProof/>
          <w:lang w:val="en-US"/>
        </w:rPr>
        <w:t>19</w:t>
      </w:r>
      <w:r w:rsidRPr="00CC1C1C">
        <w:rPr>
          <w:noProof/>
          <w:lang w:val="en-US"/>
        </w:rPr>
        <w:t>(2), 218–250. https://doi.org/10.1108/FS-09-2016-0045</w:t>
      </w:r>
    </w:p>
    <w:p w14:paraId="0DE29012"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Saritas, O., &amp; Smith, J. E. (2011). The Big Picture - trends, drivers, wild cards, discontinuities and weak signals. </w:t>
      </w:r>
      <w:r w:rsidRPr="00CC1C1C">
        <w:rPr>
          <w:i/>
          <w:iCs/>
          <w:noProof/>
          <w:lang w:val="en-US"/>
        </w:rPr>
        <w:t>Futures</w:t>
      </w:r>
      <w:r w:rsidRPr="00CC1C1C">
        <w:rPr>
          <w:noProof/>
          <w:lang w:val="en-US"/>
        </w:rPr>
        <w:t xml:space="preserve">, </w:t>
      </w:r>
      <w:r w:rsidRPr="00CC1C1C">
        <w:rPr>
          <w:i/>
          <w:iCs/>
          <w:noProof/>
          <w:lang w:val="en-US"/>
        </w:rPr>
        <w:t>43</w:t>
      </w:r>
      <w:r w:rsidRPr="00CC1C1C">
        <w:rPr>
          <w:noProof/>
          <w:lang w:val="en-US"/>
        </w:rPr>
        <w:t>(3), 292–312. https://doi.org/10.1016/j.futures.2010.11.007</w:t>
      </w:r>
    </w:p>
    <w:p w14:paraId="47BDB484"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Smit, L. A. M., &amp; Heederik, D. (2017). Impacts of Intensive Livestock Production on Human Health in Densely Populated Regions. </w:t>
      </w:r>
      <w:r w:rsidRPr="00CC1C1C">
        <w:rPr>
          <w:i/>
          <w:iCs/>
          <w:noProof/>
          <w:lang w:val="en-US"/>
        </w:rPr>
        <w:t>GeoHealth</w:t>
      </w:r>
      <w:r w:rsidRPr="00CC1C1C">
        <w:rPr>
          <w:noProof/>
          <w:lang w:val="en-US"/>
        </w:rPr>
        <w:t xml:space="preserve">, </w:t>
      </w:r>
      <w:r w:rsidRPr="00CC1C1C">
        <w:rPr>
          <w:i/>
          <w:iCs/>
          <w:noProof/>
          <w:lang w:val="en-US"/>
        </w:rPr>
        <w:t>1</w:t>
      </w:r>
      <w:r w:rsidRPr="00CC1C1C">
        <w:rPr>
          <w:noProof/>
          <w:lang w:val="en-US"/>
        </w:rPr>
        <w:t>(7), 272–277. https://doi.org/10.1002/2017gh000103</w:t>
      </w:r>
    </w:p>
    <w:p w14:paraId="53C30BB6"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Struik, P. C., &amp; Kuyper, T. W. (2017). Sustainable intensification in agriculture: the richer shade of green. A review. </w:t>
      </w:r>
      <w:r w:rsidRPr="00CC1C1C">
        <w:rPr>
          <w:i/>
          <w:iCs/>
          <w:noProof/>
          <w:lang w:val="en-US"/>
        </w:rPr>
        <w:t>Agronomy for Sustainable Development</w:t>
      </w:r>
      <w:r w:rsidRPr="00CC1C1C">
        <w:rPr>
          <w:noProof/>
          <w:lang w:val="en-US"/>
        </w:rPr>
        <w:t xml:space="preserve">, </w:t>
      </w:r>
      <w:r w:rsidRPr="00CC1C1C">
        <w:rPr>
          <w:i/>
          <w:iCs/>
          <w:noProof/>
          <w:lang w:val="en-US"/>
        </w:rPr>
        <w:t>37</w:t>
      </w:r>
      <w:r w:rsidRPr="00CC1C1C">
        <w:rPr>
          <w:noProof/>
          <w:lang w:val="en-US"/>
        </w:rPr>
        <w:t>(5). https://doi.org/10.1007/s13593-017-0445-7</w:t>
      </w:r>
    </w:p>
    <w:p w14:paraId="7CA52433" w14:textId="77777777" w:rsidR="008619A7" w:rsidRPr="00CC1C1C" w:rsidRDefault="008619A7" w:rsidP="008619A7">
      <w:pPr>
        <w:widowControl w:val="0"/>
        <w:autoSpaceDE w:val="0"/>
        <w:autoSpaceDN w:val="0"/>
        <w:adjustRightInd w:val="0"/>
        <w:ind w:left="480" w:hanging="480"/>
        <w:rPr>
          <w:noProof/>
          <w:lang w:val="en-US"/>
        </w:rPr>
      </w:pPr>
      <w:r w:rsidRPr="008619A7">
        <w:rPr>
          <w:noProof/>
        </w:rPr>
        <w:t xml:space="preserve">Svenfelt, A., &amp; Zapico, J. L. (2016). </w:t>
      </w:r>
      <w:r w:rsidRPr="00CC1C1C">
        <w:rPr>
          <w:i/>
          <w:iCs/>
          <w:noProof/>
          <w:lang w:val="en-US"/>
        </w:rPr>
        <w:t>Sustainable food systems with ICT</w:t>
      </w:r>
      <w:r w:rsidRPr="00CC1C1C">
        <w:rPr>
          <w:noProof/>
          <w:lang w:val="en-US"/>
        </w:rPr>
        <w:t>. (Ict4s), 194–201. https://doi.org/10.2991/ict4s-16.2016.23</w:t>
      </w:r>
    </w:p>
    <w:p w14:paraId="666AA59F"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TEAGASC. (2016). </w:t>
      </w:r>
      <w:r w:rsidRPr="00CC1C1C">
        <w:rPr>
          <w:i/>
          <w:iCs/>
          <w:noProof/>
          <w:lang w:val="en-US"/>
        </w:rPr>
        <w:t>TEAGASC Technology Foresight 2035</w:t>
      </w:r>
      <w:r w:rsidRPr="00CC1C1C">
        <w:rPr>
          <w:noProof/>
          <w:lang w:val="en-US"/>
        </w:rPr>
        <w:t>. (March), 80. Retrieved from https://www.teagasc.ie/media/website/publications/2016/Teagasc-Technology-Foresight-Report-2035.pdf</w:t>
      </w:r>
    </w:p>
    <w:p w14:paraId="2460B096"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Tell, J., Hoveskog, M., Ulvenblad, P., Ulvenblad, P.-O., Barth, H., &amp; Stahl, J. (2016). </w:t>
      </w:r>
      <w:r w:rsidRPr="00CC1C1C">
        <w:rPr>
          <w:i/>
          <w:iCs/>
          <w:noProof/>
          <w:lang w:val="en-US"/>
        </w:rPr>
        <w:t>Business model innovation in the agri-food sector: a literature review</w:t>
      </w:r>
      <w:r w:rsidRPr="00CC1C1C">
        <w:rPr>
          <w:noProof/>
          <w:lang w:val="en-US"/>
        </w:rPr>
        <w:t>.</w:t>
      </w:r>
    </w:p>
    <w:p w14:paraId="2C632C95" w14:textId="45F6A72C"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Therond, O., Duru, M., Roger-Estrade, J., &amp; Richard, G. (2017). A new analytical framework of farming system and agriculture model diversities. A review. </w:t>
      </w:r>
      <w:r w:rsidRPr="00CC1C1C">
        <w:rPr>
          <w:i/>
          <w:iCs/>
          <w:noProof/>
          <w:lang w:val="en-US"/>
        </w:rPr>
        <w:t>Agronomy for Sustainable Development</w:t>
      </w:r>
      <w:r w:rsidRPr="00CC1C1C">
        <w:rPr>
          <w:noProof/>
          <w:lang w:val="en-US"/>
        </w:rPr>
        <w:t xml:space="preserve">, </w:t>
      </w:r>
      <w:r w:rsidRPr="00CC1C1C">
        <w:rPr>
          <w:i/>
          <w:iCs/>
          <w:noProof/>
          <w:lang w:val="en-US"/>
        </w:rPr>
        <w:t>37</w:t>
      </w:r>
      <w:r w:rsidRPr="00CC1C1C">
        <w:rPr>
          <w:noProof/>
          <w:lang w:val="en-US"/>
        </w:rPr>
        <w:t>(3). https://doi.org/10.1007/s13593-017-0429-7</w:t>
      </w:r>
    </w:p>
    <w:p w14:paraId="73B20B8B" w14:textId="25A98BE8"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Tripoli, M., &amp; Schmidhuber, J. (2018). Emerging Opportunities for the Application of Blockchain in the Agri-food Industry Agriculture. </w:t>
      </w:r>
      <w:r w:rsidRPr="00CC1C1C">
        <w:rPr>
          <w:i/>
          <w:iCs/>
          <w:noProof/>
          <w:lang w:val="en-US"/>
        </w:rPr>
        <w:t>Food and Agriculture Organization of the United Nations</w:t>
      </w:r>
      <w:r w:rsidRPr="00CC1C1C">
        <w:rPr>
          <w:noProof/>
          <w:lang w:val="en-US"/>
        </w:rPr>
        <w:t>, (August). Retrieved from https://www.researchgate.net/profile/Josef_Schmidhuber/publication/327287235_Emerging_Opportunities_for_the_Application_of_Blockchain_in_the_Agri-food_Industry/links/5b86ced4299bf1d5a7310c38/Emerging-Opportunities-for-the-Application-of-Blockchain-in-the-</w:t>
      </w:r>
    </w:p>
    <w:p w14:paraId="1071D546" w14:textId="2AB2760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Ukolov, V. F., Solomatin, A. V., Solomatin, Y. V., Chernikov, S. U., &amp; Ukolov, A. V. (2016). Food-sharing economy pattern comparison in UK and Russian markets. </w:t>
      </w:r>
      <w:r w:rsidRPr="00CC1C1C">
        <w:rPr>
          <w:i/>
          <w:iCs/>
          <w:noProof/>
          <w:lang w:val="en-US"/>
        </w:rPr>
        <w:t>International Business Management</w:t>
      </w:r>
      <w:r w:rsidRPr="00CC1C1C">
        <w:rPr>
          <w:noProof/>
          <w:lang w:val="en-US"/>
        </w:rPr>
        <w:t>, Vol. 10, pp. 4268–4282.</w:t>
      </w:r>
    </w:p>
    <w:p w14:paraId="7A0FA8FB" w14:textId="10BD0BDB"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UNIDO. (2016). Global value chains in the food sector. In </w:t>
      </w:r>
      <w:r w:rsidRPr="00CC1C1C">
        <w:rPr>
          <w:i/>
          <w:iCs/>
          <w:noProof/>
          <w:lang w:val="en-US"/>
        </w:rPr>
        <w:t>International Trade and Food Security</w:t>
      </w:r>
      <w:r w:rsidRPr="00CC1C1C">
        <w:rPr>
          <w:noProof/>
          <w:lang w:val="en-US"/>
        </w:rPr>
        <w:t>. https://doi.org/10.4337/9781785361890.00011</w:t>
      </w:r>
    </w:p>
    <w:p w14:paraId="45D29B1F"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US Center for Disease Control and Prevention. (2015). </w:t>
      </w:r>
      <w:r w:rsidRPr="00CC1C1C">
        <w:rPr>
          <w:i/>
          <w:iCs/>
          <w:noProof/>
          <w:lang w:val="en-US"/>
        </w:rPr>
        <w:t>Estimates of Foodborne Illness in the United States</w:t>
      </w:r>
      <w:r w:rsidRPr="00CC1C1C">
        <w:rPr>
          <w:noProof/>
          <w:lang w:val="en-US"/>
        </w:rPr>
        <w:t>. 3–5. Retrieved from http://www.cdc.gov/foodborneburden/index.html</w:t>
      </w:r>
    </w:p>
    <w:p w14:paraId="3B95CA81"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Wiebe, K., Zurek, M., Lord, S., Brzezina, N., Gabrielyan, G., Libertini, J., … Westhoek, H. (2018). Scenario Development and Foresight Analysis: Exploring Options to Inform Choices. </w:t>
      </w:r>
      <w:r w:rsidRPr="00CC1C1C">
        <w:rPr>
          <w:i/>
          <w:iCs/>
          <w:noProof/>
          <w:lang w:val="en-US"/>
        </w:rPr>
        <w:t>Annual Review of Environment and Resources</w:t>
      </w:r>
      <w:r w:rsidRPr="00CC1C1C">
        <w:rPr>
          <w:noProof/>
          <w:lang w:val="en-US"/>
        </w:rPr>
        <w:t>, Vol. 43, pp. 545–570. https://doi.org/10.1146/annurev-environ-102017-030109</w:t>
      </w:r>
    </w:p>
    <w:p w14:paraId="7C869352" w14:textId="77777777" w:rsidR="008619A7" w:rsidRPr="00CC1C1C" w:rsidRDefault="008619A7" w:rsidP="008619A7">
      <w:pPr>
        <w:widowControl w:val="0"/>
        <w:autoSpaceDE w:val="0"/>
        <w:autoSpaceDN w:val="0"/>
        <w:adjustRightInd w:val="0"/>
        <w:ind w:left="480" w:hanging="480"/>
        <w:rPr>
          <w:noProof/>
          <w:lang w:val="en-US"/>
        </w:rPr>
      </w:pPr>
      <w:r w:rsidRPr="008619A7">
        <w:rPr>
          <w:noProof/>
        </w:rPr>
        <w:t xml:space="preserve">Wolfert, J., Verdouw, C. N., Verloop, C. M., &amp; Beulens, A. J. M. (2010). </w:t>
      </w:r>
      <w:r w:rsidRPr="00CC1C1C">
        <w:rPr>
          <w:noProof/>
          <w:lang w:val="en-US"/>
        </w:rPr>
        <w:t xml:space="preserve">Organizing information integration in agri-food-A method based on a service-oriented architecture and living lab approach. </w:t>
      </w:r>
      <w:r w:rsidRPr="00CC1C1C">
        <w:rPr>
          <w:i/>
          <w:iCs/>
          <w:noProof/>
          <w:lang w:val="en-US"/>
        </w:rPr>
        <w:t>Computers and Electronics in Agriculture</w:t>
      </w:r>
      <w:r w:rsidRPr="00CC1C1C">
        <w:rPr>
          <w:noProof/>
          <w:lang w:val="en-US"/>
        </w:rPr>
        <w:t xml:space="preserve">, </w:t>
      </w:r>
      <w:r w:rsidRPr="00CC1C1C">
        <w:rPr>
          <w:i/>
          <w:iCs/>
          <w:noProof/>
          <w:lang w:val="en-US"/>
        </w:rPr>
        <w:t>70</w:t>
      </w:r>
      <w:r w:rsidRPr="00CC1C1C">
        <w:rPr>
          <w:noProof/>
          <w:lang w:val="en-US"/>
        </w:rPr>
        <w:t>(2), 389–405. https://doi.org/10.1016/j.compag.2009.07.015</w:t>
      </w:r>
    </w:p>
    <w:p w14:paraId="51CEB689" w14:textId="77777777" w:rsidR="008619A7" w:rsidRPr="00CC1C1C" w:rsidRDefault="008619A7" w:rsidP="008619A7">
      <w:pPr>
        <w:widowControl w:val="0"/>
        <w:autoSpaceDE w:val="0"/>
        <w:autoSpaceDN w:val="0"/>
        <w:adjustRightInd w:val="0"/>
        <w:ind w:left="480" w:hanging="480"/>
        <w:rPr>
          <w:noProof/>
          <w:lang w:val="en-US"/>
        </w:rPr>
      </w:pPr>
      <w:r w:rsidRPr="008619A7">
        <w:rPr>
          <w:noProof/>
        </w:rPr>
        <w:t xml:space="preserve">Wolfert, S., Bogaardt, M., Ge, L., Soma, K., &amp; Verdouw, C. (2016). </w:t>
      </w:r>
      <w:r w:rsidRPr="00CC1C1C">
        <w:rPr>
          <w:i/>
          <w:iCs/>
          <w:noProof/>
          <w:lang w:val="en-US"/>
        </w:rPr>
        <w:t>Guidelines for governance of data sharing in agri-food networks</w:t>
      </w:r>
      <w:r w:rsidRPr="00CC1C1C">
        <w:rPr>
          <w:noProof/>
          <w:lang w:val="en-US"/>
        </w:rPr>
        <w:t>. (October), 1–11. https://doi.org/10.5281/zenodo.893700</w:t>
      </w:r>
    </w:p>
    <w:p w14:paraId="023D8874" w14:textId="77777777" w:rsidR="008619A7" w:rsidRPr="00CC1C1C" w:rsidRDefault="008619A7" w:rsidP="008619A7">
      <w:pPr>
        <w:widowControl w:val="0"/>
        <w:autoSpaceDE w:val="0"/>
        <w:autoSpaceDN w:val="0"/>
        <w:adjustRightInd w:val="0"/>
        <w:ind w:left="480" w:hanging="480"/>
        <w:rPr>
          <w:noProof/>
          <w:lang w:val="en-US"/>
        </w:rPr>
      </w:pPr>
      <w:r w:rsidRPr="00CC1C1C">
        <w:rPr>
          <w:noProof/>
          <w:lang w:val="en-US"/>
        </w:rPr>
        <w:t xml:space="preserve">World Economic Forum. (2016). </w:t>
      </w:r>
      <w:r w:rsidRPr="00CC1C1C">
        <w:rPr>
          <w:i/>
          <w:iCs/>
          <w:noProof/>
          <w:lang w:val="en-US"/>
        </w:rPr>
        <w:t>Building Partnerships for Sustainable Agriculture and Food Security: A Guide to Country-Led Action Contents Preface</w:t>
      </w:r>
      <w:r w:rsidRPr="00CC1C1C">
        <w:rPr>
          <w:noProof/>
          <w:lang w:val="en-US"/>
        </w:rPr>
        <w:t>. (January).</w:t>
      </w:r>
    </w:p>
    <w:p w14:paraId="0DA88616" w14:textId="77777777" w:rsidR="008619A7" w:rsidRPr="008619A7" w:rsidRDefault="008619A7" w:rsidP="008619A7">
      <w:pPr>
        <w:widowControl w:val="0"/>
        <w:autoSpaceDE w:val="0"/>
        <w:autoSpaceDN w:val="0"/>
        <w:adjustRightInd w:val="0"/>
        <w:ind w:left="480" w:hanging="480"/>
        <w:rPr>
          <w:noProof/>
        </w:rPr>
      </w:pPr>
      <w:r w:rsidRPr="00CC1C1C">
        <w:rPr>
          <w:noProof/>
          <w:lang w:val="en-US"/>
        </w:rPr>
        <w:t xml:space="preserve">World Economic Forum. (2017). Shaping the Future of Global Food Systems: A Scenarios Analysis. </w:t>
      </w:r>
      <w:r w:rsidRPr="008619A7">
        <w:rPr>
          <w:i/>
          <w:iCs/>
          <w:noProof/>
        </w:rPr>
        <w:t>World Trade Review</w:t>
      </w:r>
      <w:r w:rsidRPr="008619A7">
        <w:rPr>
          <w:noProof/>
        </w:rPr>
        <w:t xml:space="preserve">, </w:t>
      </w:r>
      <w:r w:rsidRPr="008619A7">
        <w:rPr>
          <w:i/>
          <w:iCs/>
          <w:noProof/>
        </w:rPr>
        <w:t>7</w:t>
      </w:r>
      <w:r w:rsidRPr="008619A7">
        <w:rPr>
          <w:noProof/>
        </w:rPr>
        <w:t>(04), 710–712. https://doi.org/10.1017/S1474745608004035</w:t>
      </w:r>
    </w:p>
    <w:p w14:paraId="5D428473" w14:textId="77777777" w:rsidR="00601764" w:rsidRDefault="00E171A9" w:rsidP="008619A7">
      <w:pPr>
        <w:widowControl w:val="0"/>
        <w:autoSpaceDE w:val="0"/>
        <w:autoSpaceDN w:val="0"/>
        <w:adjustRightInd w:val="0"/>
        <w:ind w:left="480" w:hanging="480"/>
        <w:rPr>
          <w:lang w:val="pt-PT"/>
        </w:rPr>
        <w:sectPr w:rsidR="00601764" w:rsidSect="00752F60">
          <w:pgSz w:w="11907" w:h="16840" w:code="9"/>
          <w:pgMar w:top="1418" w:right="1440" w:bottom="1418" w:left="1985" w:header="284" w:footer="720" w:gutter="0"/>
          <w:cols w:space="720"/>
        </w:sectPr>
      </w:pPr>
      <w:r>
        <w:rPr>
          <w:lang w:val="pt-PT"/>
        </w:rPr>
        <w:fldChar w:fldCharType="end"/>
      </w:r>
    </w:p>
    <w:p w14:paraId="39D257F9" w14:textId="6D10D028" w:rsidR="00E171A9" w:rsidRDefault="00E171A9" w:rsidP="00601764">
      <w:pPr>
        <w:widowControl w:val="0"/>
        <w:autoSpaceDE w:val="0"/>
        <w:autoSpaceDN w:val="0"/>
        <w:adjustRightInd w:val="0"/>
        <w:spacing w:after="840"/>
      </w:pPr>
    </w:p>
    <w:p w14:paraId="285C9C0A" w14:textId="60C3B5F2" w:rsidR="00CB4969" w:rsidRPr="00634236" w:rsidRDefault="00634236" w:rsidP="00CB4969">
      <w:pPr>
        <w:pStyle w:val="Heading2"/>
      </w:pPr>
      <w:bookmarkStart w:id="99" w:name="_Toc14347348"/>
      <w:r>
        <w:rPr>
          <w:noProof/>
          <w:lang w:eastAsia="pt-PT"/>
        </w:rPr>
        <mc:AlternateContent>
          <mc:Choice Requires="wps">
            <w:drawing>
              <wp:anchor distT="0" distB="0" distL="114300" distR="114300" simplePos="0" relativeHeight="251680768" behindDoc="0" locked="0" layoutInCell="1" allowOverlap="1" wp14:anchorId="74B1E2FB" wp14:editId="04CB4EBE">
                <wp:simplePos x="0" y="0"/>
                <wp:positionH relativeFrom="column">
                  <wp:posOffset>3810</wp:posOffset>
                </wp:positionH>
                <wp:positionV relativeFrom="paragraph">
                  <wp:posOffset>7505415</wp:posOffset>
                </wp:positionV>
                <wp:extent cx="5001260" cy="635"/>
                <wp:effectExtent l="0" t="0" r="2540" b="12065"/>
                <wp:wrapSquare wrapText="bothSides"/>
                <wp:docPr id="1" name="Tekstvak 1"/>
                <wp:cNvGraphicFramePr/>
                <a:graphic xmlns:a="http://schemas.openxmlformats.org/drawingml/2006/main">
                  <a:graphicData uri="http://schemas.microsoft.com/office/word/2010/wordprocessingShape">
                    <wps:wsp>
                      <wps:cNvSpPr txBox="1"/>
                      <wps:spPr>
                        <a:xfrm>
                          <a:off x="0" y="0"/>
                          <a:ext cx="5001260" cy="635"/>
                        </a:xfrm>
                        <a:prstGeom prst="rect">
                          <a:avLst/>
                        </a:prstGeom>
                        <a:solidFill>
                          <a:prstClr val="white"/>
                        </a:solidFill>
                        <a:ln>
                          <a:noFill/>
                        </a:ln>
                      </wps:spPr>
                      <wps:txbx>
                        <w:txbxContent>
                          <w:p w14:paraId="669F1955" w14:textId="7A3DD285" w:rsidR="00AB00BD" w:rsidRPr="007752BA" w:rsidRDefault="00AB00BD" w:rsidP="00CB4969">
                            <w:pPr>
                              <w:pStyle w:val="Caption"/>
                              <w:rPr>
                                <w:noProof/>
                              </w:rPr>
                            </w:pPr>
                            <w:bookmarkStart w:id="100" w:name="_Toc14347576"/>
                            <w:r>
                              <w:t xml:space="preserve">Figure </w:t>
                            </w:r>
                            <w:r>
                              <w:fldChar w:fldCharType="begin"/>
                            </w:r>
                            <w:r>
                              <w:instrText xml:space="preserve"> SEQ Figure \* ARABIC </w:instrText>
                            </w:r>
                            <w:r>
                              <w:fldChar w:fldCharType="separate"/>
                            </w:r>
                            <w:r>
                              <w:rPr>
                                <w:noProof/>
                              </w:rPr>
                              <w:t>8</w:t>
                            </w:r>
                            <w:r>
                              <w:fldChar w:fldCharType="end"/>
                            </w:r>
                            <w:r>
                              <w:t>: Visual Trend Map</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B1E2FB" id="Tekstvak 1" o:spid="_x0000_s1029" type="#_x0000_t202" style="position:absolute;left:0;text-align:left;margin-left:.3pt;margin-top:591pt;width:393.8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" stroked="f">
                <v:textbox style="mso-fit-shape-to-text:t" inset="0,0,0,0">
                  <w:txbxContent>
                    <w:p w14:paraId="669F1955" w14:textId="7A3DD285" w:rsidR="00AB00BD" w:rsidRPr="007752BA" w:rsidRDefault="00AB00BD" w:rsidP="00CB4969">
                      <w:pPr>
                        <w:pStyle w:val="Caption"/>
                        <w:rPr>
                          <w:noProof/>
                        </w:rPr>
                      </w:pPr>
                      <w:bookmarkStart w:id="101" w:name="_Toc14347576"/>
                      <w:r>
                        <w:t xml:space="preserve">Figure </w:t>
                      </w:r>
                      <w:r>
                        <w:fldChar w:fldCharType="begin"/>
                      </w:r>
                      <w:r>
                        <w:instrText xml:space="preserve"> SEQ Figure \* ARABIC </w:instrText>
                      </w:r>
                      <w:r>
                        <w:fldChar w:fldCharType="separate"/>
                      </w:r>
                      <w:r>
                        <w:rPr>
                          <w:noProof/>
                        </w:rPr>
                        <w:t>8</w:t>
                      </w:r>
                      <w:r>
                        <w:fldChar w:fldCharType="end"/>
                      </w:r>
                      <w:r>
                        <w:t>: Visual Trend Map</w:t>
                      </w:r>
                      <w:bookmarkEnd w:id="101"/>
                    </w:p>
                  </w:txbxContent>
                </v:textbox>
                <w10:wrap type="square"/>
              </v:shape>
            </w:pict>
          </mc:Fallback>
        </mc:AlternateContent>
      </w:r>
      <w:r w:rsidR="00CF3A66">
        <w:rPr>
          <w:noProof/>
          <w:lang w:eastAsia="pt-PT"/>
        </w:rPr>
        <w:drawing>
          <wp:anchor distT="0" distB="0" distL="114300" distR="114300" simplePos="0" relativeHeight="251678720" behindDoc="0" locked="0" layoutInCell="1" allowOverlap="1" wp14:anchorId="4876DCC3" wp14:editId="6503B173">
            <wp:simplePos x="0" y="0"/>
            <wp:positionH relativeFrom="column">
              <wp:posOffset>-1038225</wp:posOffset>
            </wp:positionH>
            <wp:positionV relativeFrom="paragraph">
              <wp:posOffset>1395095</wp:posOffset>
            </wp:positionV>
            <wp:extent cx="7118985" cy="5036185"/>
            <wp:effectExtent l="0" t="0" r="5715" b="5715"/>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613_FINAL_Trend Map.jpg"/>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7118985" cy="5036185"/>
                    </a:xfrm>
                    <a:prstGeom prst="rect">
                      <a:avLst/>
                    </a:prstGeom>
                  </pic:spPr>
                </pic:pic>
              </a:graphicData>
            </a:graphic>
            <wp14:sizeRelH relativeFrom="page">
              <wp14:pctWidth>0</wp14:pctWidth>
            </wp14:sizeRelH>
            <wp14:sizeRelV relativeFrom="page">
              <wp14:pctHeight>0</wp14:pctHeight>
            </wp14:sizeRelV>
          </wp:anchor>
        </w:drawing>
      </w:r>
      <w:r w:rsidR="004443B1" w:rsidRPr="0048196F">
        <w:t>Annex</w:t>
      </w:r>
      <w:bookmarkEnd w:id="99"/>
    </w:p>
    <w:p w14:paraId="7350FD97" w14:textId="77777777" w:rsidR="00634236" w:rsidRDefault="00CB4969" w:rsidP="00634236">
      <w:pPr>
        <w:pStyle w:val="Caption"/>
        <w:keepNext/>
      </w:pPr>
      <w:r>
        <w:rPr>
          <w:noProof/>
          <w:lang w:val="pt-PT" w:eastAsia="pt-PT"/>
        </w:rPr>
        <w:drawing>
          <wp:inline distT="0" distB="0" distL="0" distR="0" wp14:anchorId="56C8A708" wp14:editId="19F97A46">
            <wp:extent cx="7810106" cy="5525636"/>
            <wp:effectExtent l="0" t="635" r="0" b="0"/>
            <wp:docPr id="14" name="Afbeelding 14"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0613_FINAL_Digital Value Chain.jpg"/>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7825124" cy="5536261"/>
                    </a:xfrm>
                    <a:prstGeom prst="rect">
                      <a:avLst/>
                    </a:prstGeom>
                  </pic:spPr>
                </pic:pic>
              </a:graphicData>
            </a:graphic>
          </wp:inline>
        </w:drawing>
      </w:r>
    </w:p>
    <w:p w14:paraId="5B4E4DF0" w14:textId="7185F2A1" w:rsidR="00CB4969" w:rsidRDefault="00634236" w:rsidP="00634236">
      <w:pPr>
        <w:pStyle w:val="Caption"/>
      </w:pPr>
      <w:bookmarkStart w:id="102" w:name="_Toc14347577"/>
      <w:r>
        <w:t xml:space="preserve">Figure </w:t>
      </w:r>
      <w:r>
        <w:fldChar w:fldCharType="begin"/>
      </w:r>
      <w:r>
        <w:instrText xml:space="preserve"> SEQ Figure \* ARABIC </w:instrText>
      </w:r>
      <w:r>
        <w:fldChar w:fldCharType="separate"/>
      </w:r>
      <w:r>
        <w:rPr>
          <w:noProof/>
        </w:rPr>
        <w:t>9</w:t>
      </w:r>
      <w:r>
        <w:fldChar w:fldCharType="end"/>
      </w:r>
      <w:r>
        <w:t xml:space="preserve">: </w:t>
      </w:r>
      <w:r w:rsidRPr="004D37C8">
        <w:t>Digitech Value Chain</w:t>
      </w:r>
      <w:bookmarkEnd w:id="102"/>
    </w:p>
    <w:p w14:paraId="3C2F5894" w14:textId="77777777" w:rsidR="00CB4969" w:rsidRDefault="00CB4969" w:rsidP="00612276">
      <w:pPr>
        <w:pStyle w:val="Caption"/>
        <w:keepNext/>
        <w:rPr>
          <w:lang w:val="en-US"/>
        </w:rPr>
      </w:pPr>
    </w:p>
    <w:p w14:paraId="06849510" w14:textId="77777777" w:rsidR="00CB4969" w:rsidRDefault="00CB4969" w:rsidP="00612276">
      <w:pPr>
        <w:pStyle w:val="Caption"/>
        <w:keepNext/>
        <w:rPr>
          <w:lang w:val="en-US"/>
        </w:rPr>
      </w:pPr>
    </w:p>
    <w:p w14:paraId="589D77F8" w14:textId="77777777" w:rsidR="00CB4969" w:rsidRDefault="00CB4969" w:rsidP="00612276">
      <w:pPr>
        <w:pStyle w:val="Caption"/>
        <w:keepNext/>
        <w:rPr>
          <w:lang w:val="en-US"/>
        </w:rPr>
      </w:pPr>
    </w:p>
    <w:p w14:paraId="055F731B" w14:textId="77777777" w:rsidR="00CB4969" w:rsidRDefault="00CB4969" w:rsidP="00612276">
      <w:pPr>
        <w:pStyle w:val="Caption"/>
        <w:keepNext/>
        <w:rPr>
          <w:lang w:val="en-US"/>
        </w:rPr>
      </w:pPr>
    </w:p>
    <w:p w14:paraId="50B29811" w14:textId="2C1038CA" w:rsidR="00612276" w:rsidRPr="00612276" w:rsidRDefault="00612276" w:rsidP="00612276">
      <w:pPr>
        <w:pStyle w:val="Caption"/>
        <w:keepNext/>
        <w:rPr>
          <w:lang w:val="en-US"/>
        </w:rPr>
      </w:pPr>
      <w:bookmarkStart w:id="103" w:name="_Toc14347501"/>
      <w:r w:rsidRPr="00612276">
        <w:rPr>
          <w:lang w:val="en-US"/>
        </w:rPr>
        <w:t xml:space="preserve">Table </w:t>
      </w:r>
      <w:r w:rsidR="000D0D31">
        <w:rPr>
          <w:lang w:val="en-US"/>
        </w:rPr>
        <w:fldChar w:fldCharType="begin"/>
      </w:r>
      <w:r w:rsidR="000D0D31">
        <w:rPr>
          <w:lang w:val="en-US"/>
        </w:rPr>
        <w:instrText xml:space="preserve"> SEQ Table \* ARABIC </w:instrText>
      </w:r>
      <w:r w:rsidR="000D0D31">
        <w:rPr>
          <w:lang w:val="en-US"/>
        </w:rPr>
        <w:fldChar w:fldCharType="separate"/>
      </w:r>
      <w:r w:rsidR="009F0429">
        <w:rPr>
          <w:noProof/>
          <w:lang w:val="en-US"/>
        </w:rPr>
        <w:t>12</w:t>
      </w:r>
      <w:r w:rsidR="000D0D31">
        <w:rPr>
          <w:lang w:val="en-US"/>
        </w:rPr>
        <w:fldChar w:fldCharType="end"/>
      </w:r>
      <w:r w:rsidRPr="00612276">
        <w:rPr>
          <w:lang w:val="en-US"/>
        </w:rPr>
        <w:t>: Drivers of change, Megatrends according to the PESTEL framework</w:t>
      </w:r>
      <w:bookmarkEnd w:id="10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3"/>
        <w:gridCol w:w="3727"/>
        <w:gridCol w:w="1300"/>
        <w:gridCol w:w="1692"/>
      </w:tblGrid>
      <w:tr w:rsidR="00474DAD" w:rsidRPr="0048196F" w14:paraId="2E043770" w14:textId="77777777" w:rsidTr="00AB4CAE">
        <w:trPr>
          <w:trHeight w:val="320"/>
          <w:tblHeader/>
        </w:trPr>
        <w:tc>
          <w:tcPr>
            <w:tcW w:w="1643" w:type="dxa"/>
            <w:tcBorders>
              <w:bottom w:val="single" w:sz="4" w:space="0" w:color="auto"/>
            </w:tcBorders>
            <w:noWrap/>
            <w:hideMark/>
          </w:tcPr>
          <w:p w14:paraId="09488ED5" w14:textId="4AB79D98" w:rsidR="00474DAD" w:rsidRPr="00AB4CAE" w:rsidRDefault="00AB4713">
            <w:pPr>
              <w:rPr>
                <w:b/>
                <w:bCs/>
                <w:lang w:val="en-US"/>
              </w:rPr>
            </w:pPr>
            <w:r>
              <w:rPr>
                <w:b/>
                <w:bCs/>
                <w:lang w:val="en-US"/>
              </w:rPr>
              <w:t>PESTEL</w:t>
            </w:r>
          </w:p>
        </w:tc>
        <w:tc>
          <w:tcPr>
            <w:tcW w:w="3727" w:type="dxa"/>
            <w:tcBorders>
              <w:bottom w:val="single" w:sz="4" w:space="0" w:color="auto"/>
            </w:tcBorders>
            <w:hideMark/>
          </w:tcPr>
          <w:p w14:paraId="3F9C3920" w14:textId="77777777" w:rsidR="00474DAD" w:rsidRPr="00AB4CAE" w:rsidRDefault="00474DAD">
            <w:pPr>
              <w:rPr>
                <w:b/>
                <w:bCs/>
                <w:lang w:val="en-US"/>
              </w:rPr>
            </w:pPr>
            <w:r w:rsidRPr="00AB4CAE">
              <w:rPr>
                <w:b/>
                <w:bCs/>
                <w:lang w:val="en-US"/>
              </w:rPr>
              <w:t>Trend/Driver</w:t>
            </w:r>
          </w:p>
        </w:tc>
        <w:tc>
          <w:tcPr>
            <w:tcW w:w="1300" w:type="dxa"/>
            <w:tcBorders>
              <w:bottom w:val="single" w:sz="4" w:space="0" w:color="auto"/>
            </w:tcBorders>
            <w:noWrap/>
            <w:hideMark/>
          </w:tcPr>
          <w:p w14:paraId="67485FDB" w14:textId="77777777" w:rsidR="00474DAD" w:rsidRPr="00AB4CAE" w:rsidRDefault="00474DAD">
            <w:pPr>
              <w:rPr>
                <w:b/>
                <w:bCs/>
                <w:lang w:val="en-US"/>
              </w:rPr>
            </w:pPr>
            <w:r w:rsidRPr="00AB4CAE">
              <w:rPr>
                <w:b/>
                <w:bCs/>
                <w:lang w:val="en-US"/>
              </w:rPr>
              <w:t>Presence</w:t>
            </w:r>
          </w:p>
        </w:tc>
        <w:tc>
          <w:tcPr>
            <w:tcW w:w="1692" w:type="dxa"/>
            <w:tcBorders>
              <w:bottom w:val="single" w:sz="4" w:space="0" w:color="auto"/>
            </w:tcBorders>
            <w:noWrap/>
            <w:hideMark/>
          </w:tcPr>
          <w:p w14:paraId="5E924F97" w14:textId="77777777" w:rsidR="00474DAD" w:rsidRPr="00AB4CAE" w:rsidRDefault="00474DAD">
            <w:pPr>
              <w:rPr>
                <w:b/>
                <w:bCs/>
                <w:lang w:val="en-US"/>
              </w:rPr>
            </w:pPr>
            <w:r w:rsidRPr="00AB4CAE">
              <w:rPr>
                <w:b/>
                <w:bCs/>
                <w:lang w:val="en-US"/>
              </w:rPr>
              <w:t>Category</w:t>
            </w:r>
          </w:p>
        </w:tc>
      </w:tr>
      <w:tr w:rsidR="00474DAD" w:rsidRPr="0048196F" w14:paraId="7BF95E85" w14:textId="77777777" w:rsidTr="00612276">
        <w:trPr>
          <w:trHeight w:val="340"/>
        </w:trPr>
        <w:tc>
          <w:tcPr>
            <w:tcW w:w="1643" w:type="dxa"/>
            <w:tcBorders>
              <w:top w:val="single" w:sz="4" w:space="0" w:color="auto"/>
              <w:bottom w:val="nil"/>
            </w:tcBorders>
            <w:hideMark/>
          </w:tcPr>
          <w:p w14:paraId="72CF8685" w14:textId="77777777" w:rsidR="00474DAD" w:rsidRPr="0048196F" w:rsidRDefault="00474DAD">
            <w:pPr>
              <w:rPr>
                <w:lang w:val="en-US"/>
              </w:rPr>
            </w:pPr>
            <w:r w:rsidRPr="0048196F">
              <w:rPr>
                <w:lang w:val="en-US"/>
              </w:rPr>
              <w:t>Political</w:t>
            </w:r>
          </w:p>
        </w:tc>
        <w:tc>
          <w:tcPr>
            <w:tcW w:w="3727" w:type="dxa"/>
            <w:tcBorders>
              <w:top w:val="single" w:sz="4" w:space="0" w:color="auto"/>
              <w:bottom w:val="nil"/>
            </w:tcBorders>
            <w:hideMark/>
          </w:tcPr>
          <w:p w14:paraId="1E689D6C" w14:textId="77777777" w:rsidR="00474DAD" w:rsidRPr="0048196F" w:rsidRDefault="00474DAD">
            <w:pPr>
              <w:rPr>
                <w:lang w:val="en-US"/>
              </w:rPr>
            </w:pPr>
            <w:r w:rsidRPr="0048196F">
              <w:rPr>
                <w:lang w:val="en-US"/>
              </w:rPr>
              <w:t>Globalization</w:t>
            </w:r>
          </w:p>
        </w:tc>
        <w:tc>
          <w:tcPr>
            <w:tcW w:w="1300" w:type="dxa"/>
            <w:tcBorders>
              <w:top w:val="single" w:sz="4" w:space="0" w:color="auto"/>
              <w:bottom w:val="nil"/>
            </w:tcBorders>
            <w:noWrap/>
            <w:hideMark/>
          </w:tcPr>
          <w:p w14:paraId="2E6BEA83" w14:textId="77777777" w:rsidR="00474DAD" w:rsidRPr="0048196F" w:rsidRDefault="00474DAD" w:rsidP="00474DAD">
            <w:pPr>
              <w:rPr>
                <w:lang w:val="en-US"/>
              </w:rPr>
            </w:pPr>
            <w:r w:rsidRPr="0048196F">
              <w:rPr>
                <w:lang w:val="en-US"/>
              </w:rPr>
              <w:t>21%</w:t>
            </w:r>
          </w:p>
        </w:tc>
        <w:tc>
          <w:tcPr>
            <w:tcW w:w="1692" w:type="dxa"/>
            <w:tcBorders>
              <w:top w:val="single" w:sz="4" w:space="0" w:color="auto"/>
              <w:bottom w:val="nil"/>
            </w:tcBorders>
            <w:noWrap/>
            <w:hideMark/>
          </w:tcPr>
          <w:p w14:paraId="7D1078DB" w14:textId="77777777" w:rsidR="00474DAD" w:rsidRPr="0048196F" w:rsidRDefault="00474DAD" w:rsidP="00474DAD">
            <w:pPr>
              <w:rPr>
                <w:i/>
                <w:iCs/>
                <w:lang w:val="en-US"/>
              </w:rPr>
            </w:pPr>
            <w:r w:rsidRPr="0048196F">
              <w:rPr>
                <w:i/>
                <w:iCs/>
                <w:lang w:val="en-US"/>
              </w:rPr>
              <w:t>Megatrend</w:t>
            </w:r>
          </w:p>
        </w:tc>
      </w:tr>
      <w:tr w:rsidR="00474DAD" w:rsidRPr="0048196F" w14:paraId="507A0636" w14:textId="77777777" w:rsidTr="00612276">
        <w:trPr>
          <w:trHeight w:val="340"/>
        </w:trPr>
        <w:tc>
          <w:tcPr>
            <w:tcW w:w="1643" w:type="dxa"/>
            <w:tcBorders>
              <w:top w:val="nil"/>
            </w:tcBorders>
            <w:noWrap/>
            <w:hideMark/>
          </w:tcPr>
          <w:p w14:paraId="28AC02FD" w14:textId="77777777" w:rsidR="00474DAD" w:rsidRPr="0048196F" w:rsidRDefault="00474DAD" w:rsidP="00474DAD">
            <w:pPr>
              <w:rPr>
                <w:i/>
                <w:iCs/>
                <w:lang w:val="en-US"/>
              </w:rPr>
            </w:pPr>
          </w:p>
        </w:tc>
        <w:tc>
          <w:tcPr>
            <w:tcW w:w="3727" w:type="dxa"/>
            <w:tcBorders>
              <w:top w:val="nil"/>
            </w:tcBorders>
            <w:hideMark/>
          </w:tcPr>
          <w:p w14:paraId="69FB6253" w14:textId="77777777" w:rsidR="00474DAD" w:rsidRPr="0048196F" w:rsidRDefault="00474DAD">
            <w:pPr>
              <w:rPr>
                <w:i/>
                <w:iCs/>
                <w:lang w:val="en-US"/>
              </w:rPr>
            </w:pPr>
            <w:r w:rsidRPr="0048196F">
              <w:rPr>
                <w:i/>
                <w:iCs/>
                <w:lang w:val="en-US"/>
              </w:rPr>
              <w:t>Growing agricultural trade</w:t>
            </w:r>
          </w:p>
        </w:tc>
        <w:tc>
          <w:tcPr>
            <w:tcW w:w="1300" w:type="dxa"/>
            <w:tcBorders>
              <w:top w:val="nil"/>
            </w:tcBorders>
            <w:noWrap/>
            <w:hideMark/>
          </w:tcPr>
          <w:p w14:paraId="6BF7EFC1" w14:textId="77777777" w:rsidR="00474DAD" w:rsidRPr="0048196F" w:rsidRDefault="00474DAD">
            <w:pPr>
              <w:rPr>
                <w:i/>
                <w:iCs/>
                <w:lang w:val="en-US"/>
              </w:rPr>
            </w:pPr>
          </w:p>
        </w:tc>
        <w:tc>
          <w:tcPr>
            <w:tcW w:w="1692" w:type="dxa"/>
            <w:tcBorders>
              <w:top w:val="nil"/>
            </w:tcBorders>
            <w:noWrap/>
            <w:hideMark/>
          </w:tcPr>
          <w:p w14:paraId="21B5A4A5" w14:textId="77777777" w:rsidR="00474DAD" w:rsidRPr="0048196F" w:rsidRDefault="00474DAD">
            <w:pPr>
              <w:rPr>
                <w:lang w:val="en-US"/>
              </w:rPr>
            </w:pPr>
          </w:p>
        </w:tc>
      </w:tr>
      <w:tr w:rsidR="00474DAD" w:rsidRPr="0048196F" w14:paraId="20EAFCF8" w14:textId="77777777" w:rsidTr="00612276">
        <w:trPr>
          <w:trHeight w:val="340"/>
        </w:trPr>
        <w:tc>
          <w:tcPr>
            <w:tcW w:w="1643" w:type="dxa"/>
            <w:noWrap/>
            <w:hideMark/>
          </w:tcPr>
          <w:p w14:paraId="744D2F43" w14:textId="77777777" w:rsidR="00474DAD" w:rsidRPr="0048196F" w:rsidRDefault="00474DAD">
            <w:pPr>
              <w:rPr>
                <w:lang w:val="en-US"/>
              </w:rPr>
            </w:pPr>
          </w:p>
        </w:tc>
        <w:tc>
          <w:tcPr>
            <w:tcW w:w="3727" w:type="dxa"/>
            <w:hideMark/>
          </w:tcPr>
          <w:p w14:paraId="501B21E3" w14:textId="77777777" w:rsidR="00474DAD" w:rsidRPr="0048196F" w:rsidRDefault="00474DAD">
            <w:pPr>
              <w:rPr>
                <w:i/>
                <w:iCs/>
                <w:lang w:val="en-US"/>
              </w:rPr>
            </w:pPr>
            <w:r w:rsidRPr="0048196F">
              <w:rPr>
                <w:i/>
                <w:iCs/>
                <w:lang w:val="en-US"/>
              </w:rPr>
              <w:t>Increased interconnectivity</w:t>
            </w:r>
          </w:p>
        </w:tc>
        <w:tc>
          <w:tcPr>
            <w:tcW w:w="1300" w:type="dxa"/>
            <w:noWrap/>
            <w:hideMark/>
          </w:tcPr>
          <w:p w14:paraId="3BEFE7BE" w14:textId="77777777" w:rsidR="00474DAD" w:rsidRPr="0048196F" w:rsidRDefault="00474DAD">
            <w:pPr>
              <w:rPr>
                <w:i/>
                <w:iCs/>
                <w:lang w:val="en-US"/>
              </w:rPr>
            </w:pPr>
          </w:p>
        </w:tc>
        <w:tc>
          <w:tcPr>
            <w:tcW w:w="1692" w:type="dxa"/>
            <w:noWrap/>
            <w:hideMark/>
          </w:tcPr>
          <w:p w14:paraId="7D9A3B89" w14:textId="77777777" w:rsidR="00474DAD" w:rsidRPr="0048196F" w:rsidRDefault="00474DAD">
            <w:pPr>
              <w:rPr>
                <w:lang w:val="en-US"/>
              </w:rPr>
            </w:pPr>
          </w:p>
        </w:tc>
      </w:tr>
      <w:tr w:rsidR="00474DAD" w:rsidRPr="0048196F" w14:paraId="7DA20930" w14:textId="77777777" w:rsidTr="00E171A9">
        <w:trPr>
          <w:trHeight w:val="543"/>
        </w:trPr>
        <w:tc>
          <w:tcPr>
            <w:tcW w:w="1643" w:type="dxa"/>
            <w:noWrap/>
            <w:hideMark/>
          </w:tcPr>
          <w:p w14:paraId="71F775DB" w14:textId="77777777" w:rsidR="00474DAD" w:rsidRPr="0048196F" w:rsidRDefault="00474DAD">
            <w:pPr>
              <w:rPr>
                <w:lang w:val="en-US"/>
              </w:rPr>
            </w:pPr>
          </w:p>
        </w:tc>
        <w:tc>
          <w:tcPr>
            <w:tcW w:w="3727" w:type="dxa"/>
            <w:hideMark/>
          </w:tcPr>
          <w:p w14:paraId="3D714281" w14:textId="77777777" w:rsidR="00474DAD" w:rsidRPr="0048196F" w:rsidRDefault="00474DAD">
            <w:pPr>
              <w:rPr>
                <w:lang w:val="en-US"/>
              </w:rPr>
            </w:pPr>
            <w:r w:rsidRPr="0048196F">
              <w:rPr>
                <w:lang w:val="en-US"/>
              </w:rPr>
              <w:t>Political Instability</w:t>
            </w:r>
          </w:p>
        </w:tc>
        <w:tc>
          <w:tcPr>
            <w:tcW w:w="1300" w:type="dxa"/>
            <w:noWrap/>
            <w:hideMark/>
          </w:tcPr>
          <w:p w14:paraId="3D1110BA" w14:textId="77777777" w:rsidR="00474DAD" w:rsidRPr="0048196F" w:rsidRDefault="00474DAD" w:rsidP="00474DAD">
            <w:pPr>
              <w:rPr>
                <w:lang w:val="en-US"/>
              </w:rPr>
            </w:pPr>
            <w:r w:rsidRPr="0048196F">
              <w:rPr>
                <w:lang w:val="en-US"/>
              </w:rPr>
              <w:t>7%</w:t>
            </w:r>
          </w:p>
        </w:tc>
        <w:tc>
          <w:tcPr>
            <w:tcW w:w="1692" w:type="dxa"/>
            <w:noWrap/>
            <w:hideMark/>
          </w:tcPr>
          <w:p w14:paraId="52BB7C72" w14:textId="77777777" w:rsidR="00474DAD" w:rsidRPr="0048196F" w:rsidRDefault="00474DAD" w:rsidP="00474DAD">
            <w:pPr>
              <w:rPr>
                <w:i/>
                <w:iCs/>
                <w:lang w:val="en-US"/>
              </w:rPr>
            </w:pPr>
            <w:r w:rsidRPr="0048196F">
              <w:rPr>
                <w:i/>
                <w:iCs/>
                <w:lang w:val="en-US"/>
              </w:rPr>
              <w:t>Driver Of Change</w:t>
            </w:r>
          </w:p>
        </w:tc>
      </w:tr>
      <w:tr w:rsidR="00474DAD" w:rsidRPr="0048196F" w14:paraId="024FE8C8" w14:textId="77777777" w:rsidTr="00E171A9">
        <w:trPr>
          <w:trHeight w:val="327"/>
        </w:trPr>
        <w:tc>
          <w:tcPr>
            <w:tcW w:w="1643" w:type="dxa"/>
            <w:noWrap/>
            <w:hideMark/>
          </w:tcPr>
          <w:p w14:paraId="4C47663B" w14:textId="77777777" w:rsidR="00474DAD" w:rsidRPr="0048196F" w:rsidRDefault="00474DAD" w:rsidP="00474DAD">
            <w:pPr>
              <w:rPr>
                <w:i/>
                <w:iCs/>
                <w:lang w:val="en-US"/>
              </w:rPr>
            </w:pPr>
          </w:p>
        </w:tc>
        <w:tc>
          <w:tcPr>
            <w:tcW w:w="3727" w:type="dxa"/>
            <w:hideMark/>
          </w:tcPr>
          <w:p w14:paraId="6A29BF92" w14:textId="77777777" w:rsidR="00474DAD" w:rsidRPr="0048196F" w:rsidRDefault="00474DAD">
            <w:pPr>
              <w:rPr>
                <w:i/>
                <w:iCs/>
                <w:lang w:val="en-US"/>
              </w:rPr>
            </w:pPr>
            <w:r w:rsidRPr="0048196F">
              <w:rPr>
                <w:i/>
                <w:iCs/>
                <w:lang w:val="en-US"/>
              </w:rPr>
              <w:t>Unstable relation with Russia</w:t>
            </w:r>
          </w:p>
        </w:tc>
        <w:tc>
          <w:tcPr>
            <w:tcW w:w="1300" w:type="dxa"/>
            <w:noWrap/>
            <w:hideMark/>
          </w:tcPr>
          <w:p w14:paraId="5EA73195" w14:textId="77777777" w:rsidR="00474DAD" w:rsidRPr="0048196F" w:rsidRDefault="00474DAD">
            <w:pPr>
              <w:rPr>
                <w:i/>
                <w:iCs/>
                <w:lang w:val="en-US"/>
              </w:rPr>
            </w:pPr>
          </w:p>
        </w:tc>
        <w:tc>
          <w:tcPr>
            <w:tcW w:w="1692" w:type="dxa"/>
            <w:noWrap/>
            <w:hideMark/>
          </w:tcPr>
          <w:p w14:paraId="4F261066" w14:textId="77777777" w:rsidR="00474DAD" w:rsidRPr="0048196F" w:rsidRDefault="00474DAD">
            <w:pPr>
              <w:rPr>
                <w:lang w:val="en-US"/>
              </w:rPr>
            </w:pPr>
          </w:p>
        </w:tc>
      </w:tr>
      <w:tr w:rsidR="00474DAD" w:rsidRPr="00AB4713" w14:paraId="04E9B314" w14:textId="77777777" w:rsidTr="00612276">
        <w:trPr>
          <w:trHeight w:val="680"/>
        </w:trPr>
        <w:tc>
          <w:tcPr>
            <w:tcW w:w="1643" w:type="dxa"/>
            <w:noWrap/>
            <w:hideMark/>
          </w:tcPr>
          <w:p w14:paraId="4EA1FE52" w14:textId="77777777" w:rsidR="00474DAD" w:rsidRPr="0048196F" w:rsidRDefault="00474DAD">
            <w:pPr>
              <w:rPr>
                <w:lang w:val="en-US"/>
              </w:rPr>
            </w:pPr>
          </w:p>
        </w:tc>
        <w:tc>
          <w:tcPr>
            <w:tcW w:w="3727" w:type="dxa"/>
            <w:hideMark/>
          </w:tcPr>
          <w:p w14:paraId="37A67C70" w14:textId="77777777" w:rsidR="00474DAD" w:rsidRPr="0048196F" w:rsidRDefault="00474DAD">
            <w:pPr>
              <w:rPr>
                <w:i/>
                <w:iCs/>
                <w:lang w:val="en-US"/>
              </w:rPr>
            </w:pPr>
            <w:r w:rsidRPr="0048196F">
              <w:rPr>
                <w:i/>
                <w:iCs/>
                <w:lang w:val="en-US"/>
              </w:rPr>
              <w:t>Increased bilateral vs multilateral alliances</w:t>
            </w:r>
          </w:p>
        </w:tc>
        <w:tc>
          <w:tcPr>
            <w:tcW w:w="1300" w:type="dxa"/>
            <w:noWrap/>
            <w:hideMark/>
          </w:tcPr>
          <w:p w14:paraId="0900ADB5" w14:textId="77777777" w:rsidR="00474DAD" w:rsidRPr="0048196F" w:rsidRDefault="00474DAD">
            <w:pPr>
              <w:rPr>
                <w:i/>
                <w:iCs/>
                <w:lang w:val="en-US"/>
              </w:rPr>
            </w:pPr>
          </w:p>
        </w:tc>
        <w:tc>
          <w:tcPr>
            <w:tcW w:w="1692" w:type="dxa"/>
            <w:noWrap/>
            <w:hideMark/>
          </w:tcPr>
          <w:p w14:paraId="7A14A422" w14:textId="77777777" w:rsidR="00474DAD" w:rsidRPr="0048196F" w:rsidRDefault="00474DAD">
            <w:pPr>
              <w:rPr>
                <w:lang w:val="en-US"/>
              </w:rPr>
            </w:pPr>
          </w:p>
        </w:tc>
      </w:tr>
      <w:tr w:rsidR="00474DAD" w:rsidRPr="00AB4713" w14:paraId="02EF6811" w14:textId="77777777" w:rsidTr="00612276">
        <w:trPr>
          <w:trHeight w:val="340"/>
        </w:trPr>
        <w:tc>
          <w:tcPr>
            <w:tcW w:w="1643" w:type="dxa"/>
            <w:noWrap/>
            <w:hideMark/>
          </w:tcPr>
          <w:p w14:paraId="1487AA29" w14:textId="77777777" w:rsidR="00474DAD" w:rsidRPr="0048196F" w:rsidRDefault="00474DAD">
            <w:pPr>
              <w:rPr>
                <w:lang w:val="en-US"/>
              </w:rPr>
            </w:pPr>
          </w:p>
        </w:tc>
        <w:tc>
          <w:tcPr>
            <w:tcW w:w="3727" w:type="dxa"/>
            <w:hideMark/>
          </w:tcPr>
          <w:p w14:paraId="33979A99" w14:textId="77777777" w:rsidR="00474DAD" w:rsidRPr="0048196F" w:rsidRDefault="00474DAD">
            <w:pPr>
              <w:rPr>
                <w:i/>
                <w:iCs/>
                <w:lang w:val="en-US"/>
              </w:rPr>
            </w:pPr>
            <w:r w:rsidRPr="0048196F">
              <w:rPr>
                <w:i/>
                <w:iCs/>
                <w:lang w:val="en-US"/>
              </w:rPr>
              <w:t>Paris Climate change accord exists</w:t>
            </w:r>
          </w:p>
        </w:tc>
        <w:tc>
          <w:tcPr>
            <w:tcW w:w="1300" w:type="dxa"/>
            <w:noWrap/>
            <w:hideMark/>
          </w:tcPr>
          <w:p w14:paraId="5A129FCB" w14:textId="77777777" w:rsidR="00474DAD" w:rsidRPr="0048196F" w:rsidRDefault="00474DAD">
            <w:pPr>
              <w:rPr>
                <w:i/>
                <w:iCs/>
                <w:lang w:val="en-US"/>
              </w:rPr>
            </w:pPr>
          </w:p>
        </w:tc>
        <w:tc>
          <w:tcPr>
            <w:tcW w:w="1692" w:type="dxa"/>
            <w:noWrap/>
            <w:hideMark/>
          </w:tcPr>
          <w:p w14:paraId="17892223" w14:textId="77777777" w:rsidR="00474DAD" w:rsidRPr="0048196F" w:rsidRDefault="00474DAD">
            <w:pPr>
              <w:rPr>
                <w:lang w:val="en-US"/>
              </w:rPr>
            </w:pPr>
          </w:p>
        </w:tc>
      </w:tr>
      <w:tr w:rsidR="00474DAD" w:rsidRPr="0048196F" w14:paraId="7E31AFFE" w14:textId="77777777" w:rsidTr="00612276">
        <w:trPr>
          <w:trHeight w:val="340"/>
        </w:trPr>
        <w:tc>
          <w:tcPr>
            <w:tcW w:w="1643" w:type="dxa"/>
            <w:noWrap/>
            <w:hideMark/>
          </w:tcPr>
          <w:p w14:paraId="3578155D" w14:textId="77777777" w:rsidR="00474DAD" w:rsidRPr="0048196F" w:rsidRDefault="00474DAD">
            <w:pPr>
              <w:rPr>
                <w:lang w:val="en-US"/>
              </w:rPr>
            </w:pPr>
          </w:p>
        </w:tc>
        <w:tc>
          <w:tcPr>
            <w:tcW w:w="3727" w:type="dxa"/>
            <w:hideMark/>
          </w:tcPr>
          <w:p w14:paraId="5AD86BAD" w14:textId="77777777" w:rsidR="00474DAD" w:rsidRPr="0048196F" w:rsidRDefault="00474DAD">
            <w:pPr>
              <w:rPr>
                <w:i/>
                <w:iCs/>
                <w:lang w:val="en-US"/>
              </w:rPr>
            </w:pPr>
            <w:r w:rsidRPr="0048196F">
              <w:rPr>
                <w:i/>
                <w:iCs/>
                <w:lang w:val="en-US"/>
              </w:rPr>
              <w:t>Brexit</w:t>
            </w:r>
          </w:p>
        </w:tc>
        <w:tc>
          <w:tcPr>
            <w:tcW w:w="1300" w:type="dxa"/>
            <w:noWrap/>
            <w:hideMark/>
          </w:tcPr>
          <w:p w14:paraId="3BA7A2FD" w14:textId="77777777" w:rsidR="00474DAD" w:rsidRPr="0048196F" w:rsidRDefault="00474DAD">
            <w:pPr>
              <w:rPr>
                <w:i/>
                <w:iCs/>
                <w:lang w:val="en-US"/>
              </w:rPr>
            </w:pPr>
          </w:p>
        </w:tc>
        <w:tc>
          <w:tcPr>
            <w:tcW w:w="1692" w:type="dxa"/>
            <w:noWrap/>
            <w:hideMark/>
          </w:tcPr>
          <w:p w14:paraId="2924A744" w14:textId="77777777" w:rsidR="00474DAD" w:rsidRPr="0048196F" w:rsidRDefault="00474DAD">
            <w:pPr>
              <w:rPr>
                <w:lang w:val="en-US"/>
              </w:rPr>
            </w:pPr>
          </w:p>
        </w:tc>
      </w:tr>
      <w:tr w:rsidR="00474DAD" w:rsidRPr="0048196F" w14:paraId="749DC39C" w14:textId="77777777" w:rsidTr="00612276">
        <w:trPr>
          <w:trHeight w:val="340"/>
        </w:trPr>
        <w:tc>
          <w:tcPr>
            <w:tcW w:w="1643" w:type="dxa"/>
            <w:hideMark/>
          </w:tcPr>
          <w:p w14:paraId="5339B0BD" w14:textId="77777777" w:rsidR="00474DAD" w:rsidRPr="0048196F" w:rsidRDefault="00474DAD">
            <w:pPr>
              <w:rPr>
                <w:lang w:val="en-US"/>
              </w:rPr>
            </w:pPr>
            <w:r w:rsidRPr="0048196F">
              <w:rPr>
                <w:lang w:val="en-US"/>
              </w:rPr>
              <w:t>Economic</w:t>
            </w:r>
          </w:p>
        </w:tc>
        <w:tc>
          <w:tcPr>
            <w:tcW w:w="3727" w:type="dxa"/>
            <w:hideMark/>
          </w:tcPr>
          <w:p w14:paraId="673E1A19" w14:textId="77777777" w:rsidR="00474DAD" w:rsidRPr="0048196F" w:rsidRDefault="00474DAD">
            <w:pPr>
              <w:rPr>
                <w:lang w:val="en-US"/>
              </w:rPr>
            </w:pPr>
            <w:r w:rsidRPr="0048196F">
              <w:rPr>
                <w:lang w:val="en-US"/>
              </w:rPr>
              <w:t>Market Volatility</w:t>
            </w:r>
          </w:p>
        </w:tc>
        <w:tc>
          <w:tcPr>
            <w:tcW w:w="1300" w:type="dxa"/>
            <w:noWrap/>
            <w:hideMark/>
          </w:tcPr>
          <w:p w14:paraId="547C304F" w14:textId="77777777" w:rsidR="00474DAD" w:rsidRPr="0048196F" w:rsidRDefault="00474DAD" w:rsidP="00474DAD">
            <w:pPr>
              <w:rPr>
                <w:lang w:val="en-US"/>
              </w:rPr>
            </w:pPr>
            <w:r w:rsidRPr="0048196F">
              <w:rPr>
                <w:lang w:val="en-US"/>
              </w:rPr>
              <w:t>24%</w:t>
            </w:r>
          </w:p>
        </w:tc>
        <w:tc>
          <w:tcPr>
            <w:tcW w:w="1692" w:type="dxa"/>
            <w:noWrap/>
            <w:hideMark/>
          </w:tcPr>
          <w:p w14:paraId="3B5630E0" w14:textId="77777777" w:rsidR="00474DAD" w:rsidRPr="0048196F" w:rsidRDefault="00474DAD" w:rsidP="00474DAD">
            <w:pPr>
              <w:rPr>
                <w:i/>
                <w:iCs/>
                <w:lang w:val="en-US"/>
              </w:rPr>
            </w:pPr>
            <w:r w:rsidRPr="0048196F">
              <w:rPr>
                <w:i/>
                <w:iCs/>
                <w:lang w:val="en-US"/>
              </w:rPr>
              <w:t>Megatrend</w:t>
            </w:r>
          </w:p>
        </w:tc>
      </w:tr>
      <w:tr w:rsidR="00474DAD" w:rsidRPr="0048196F" w14:paraId="24564799" w14:textId="77777777" w:rsidTr="00612276">
        <w:trPr>
          <w:trHeight w:val="340"/>
        </w:trPr>
        <w:tc>
          <w:tcPr>
            <w:tcW w:w="1643" w:type="dxa"/>
            <w:noWrap/>
            <w:hideMark/>
          </w:tcPr>
          <w:p w14:paraId="63662763" w14:textId="77777777" w:rsidR="00474DAD" w:rsidRPr="0048196F" w:rsidRDefault="00474DAD" w:rsidP="00474DAD">
            <w:pPr>
              <w:rPr>
                <w:i/>
                <w:iCs/>
                <w:lang w:val="en-US"/>
              </w:rPr>
            </w:pPr>
          </w:p>
        </w:tc>
        <w:tc>
          <w:tcPr>
            <w:tcW w:w="3727" w:type="dxa"/>
            <w:hideMark/>
          </w:tcPr>
          <w:p w14:paraId="6101FA92" w14:textId="77777777" w:rsidR="00474DAD" w:rsidRPr="0048196F" w:rsidRDefault="00474DAD">
            <w:pPr>
              <w:rPr>
                <w:i/>
                <w:iCs/>
                <w:lang w:val="en-US"/>
              </w:rPr>
            </w:pPr>
            <w:r w:rsidRPr="0048196F">
              <w:rPr>
                <w:i/>
                <w:iCs/>
                <w:lang w:val="en-US"/>
              </w:rPr>
              <w:t>Rising Input prices</w:t>
            </w:r>
          </w:p>
        </w:tc>
        <w:tc>
          <w:tcPr>
            <w:tcW w:w="1300" w:type="dxa"/>
            <w:noWrap/>
            <w:hideMark/>
          </w:tcPr>
          <w:p w14:paraId="23F6ABAD" w14:textId="77777777" w:rsidR="00474DAD" w:rsidRPr="0048196F" w:rsidRDefault="00474DAD">
            <w:pPr>
              <w:rPr>
                <w:i/>
                <w:iCs/>
                <w:lang w:val="en-US"/>
              </w:rPr>
            </w:pPr>
          </w:p>
        </w:tc>
        <w:tc>
          <w:tcPr>
            <w:tcW w:w="1692" w:type="dxa"/>
            <w:noWrap/>
            <w:hideMark/>
          </w:tcPr>
          <w:p w14:paraId="4924D042" w14:textId="77777777" w:rsidR="00474DAD" w:rsidRPr="0048196F" w:rsidRDefault="00474DAD">
            <w:pPr>
              <w:rPr>
                <w:lang w:val="en-US"/>
              </w:rPr>
            </w:pPr>
          </w:p>
        </w:tc>
      </w:tr>
      <w:tr w:rsidR="00474DAD" w:rsidRPr="0048196F" w14:paraId="5E50AA21" w14:textId="77777777" w:rsidTr="00612276">
        <w:trPr>
          <w:trHeight w:val="340"/>
        </w:trPr>
        <w:tc>
          <w:tcPr>
            <w:tcW w:w="1643" w:type="dxa"/>
            <w:noWrap/>
            <w:hideMark/>
          </w:tcPr>
          <w:p w14:paraId="1D058756" w14:textId="77777777" w:rsidR="00474DAD" w:rsidRPr="0048196F" w:rsidRDefault="00474DAD">
            <w:pPr>
              <w:rPr>
                <w:lang w:val="en-US"/>
              </w:rPr>
            </w:pPr>
          </w:p>
        </w:tc>
        <w:tc>
          <w:tcPr>
            <w:tcW w:w="3727" w:type="dxa"/>
            <w:hideMark/>
          </w:tcPr>
          <w:p w14:paraId="78259E0B" w14:textId="77777777" w:rsidR="00474DAD" w:rsidRPr="0048196F" w:rsidRDefault="00474DAD">
            <w:pPr>
              <w:rPr>
                <w:lang w:val="en-US"/>
              </w:rPr>
            </w:pPr>
            <w:r w:rsidRPr="0048196F">
              <w:rPr>
                <w:lang w:val="en-US"/>
              </w:rPr>
              <w:t>Economic Growth</w:t>
            </w:r>
          </w:p>
        </w:tc>
        <w:tc>
          <w:tcPr>
            <w:tcW w:w="1300" w:type="dxa"/>
            <w:noWrap/>
            <w:hideMark/>
          </w:tcPr>
          <w:p w14:paraId="562D07DA" w14:textId="77777777" w:rsidR="00474DAD" w:rsidRPr="0048196F" w:rsidRDefault="00474DAD" w:rsidP="00474DAD">
            <w:pPr>
              <w:rPr>
                <w:lang w:val="en-US"/>
              </w:rPr>
            </w:pPr>
            <w:r w:rsidRPr="0048196F">
              <w:rPr>
                <w:lang w:val="en-US"/>
              </w:rPr>
              <w:t>21%</w:t>
            </w:r>
          </w:p>
        </w:tc>
        <w:tc>
          <w:tcPr>
            <w:tcW w:w="1692" w:type="dxa"/>
            <w:noWrap/>
            <w:hideMark/>
          </w:tcPr>
          <w:p w14:paraId="189319C7" w14:textId="77777777" w:rsidR="00474DAD" w:rsidRPr="0048196F" w:rsidRDefault="00474DAD" w:rsidP="00474DAD">
            <w:pPr>
              <w:rPr>
                <w:i/>
                <w:iCs/>
                <w:lang w:val="en-US"/>
              </w:rPr>
            </w:pPr>
            <w:r w:rsidRPr="0048196F">
              <w:rPr>
                <w:i/>
                <w:iCs/>
                <w:lang w:val="en-US"/>
              </w:rPr>
              <w:t>Megatrend</w:t>
            </w:r>
          </w:p>
        </w:tc>
      </w:tr>
      <w:tr w:rsidR="00474DAD" w:rsidRPr="0048196F" w14:paraId="106D7D35" w14:textId="77777777" w:rsidTr="00612276">
        <w:trPr>
          <w:trHeight w:val="340"/>
        </w:trPr>
        <w:tc>
          <w:tcPr>
            <w:tcW w:w="1643" w:type="dxa"/>
            <w:noWrap/>
            <w:hideMark/>
          </w:tcPr>
          <w:p w14:paraId="579B8EBA" w14:textId="77777777" w:rsidR="00474DAD" w:rsidRPr="0048196F" w:rsidRDefault="00474DAD" w:rsidP="00474DAD">
            <w:pPr>
              <w:rPr>
                <w:i/>
                <w:iCs/>
                <w:lang w:val="en-US"/>
              </w:rPr>
            </w:pPr>
          </w:p>
        </w:tc>
        <w:tc>
          <w:tcPr>
            <w:tcW w:w="3727" w:type="dxa"/>
            <w:hideMark/>
          </w:tcPr>
          <w:p w14:paraId="05BF4E24" w14:textId="77777777" w:rsidR="00474DAD" w:rsidRPr="0048196F" w:rsidRDefault="00474DAD">
            <w:pPr>
              <w:rPr>
                <w:i/>
                <w:iCs/>
                <w:lang w:val="en-US"/>
              </w:rPr>
            </w:pPr>
            <w:r w:rsidRPr="0048196F">
              <w:rPr>
                <w:i/>
                <w:iCs/>
                <w:lang w:val="en-US"/>
              </w:rPr>
              <w:t>Demand shifts</w:t>
            </w:r>
          </w:p>
        </w:tc>
        <w:tc>
          <w:tcPr>
            <w:tcW w:w="1300" w:type="dxa"/>
            <w:noWrap/>
            <w:hideMark/>
          </w:tcPr>
          <w:p w14:paraId="17256305" w14:textId="77777777" w:rsidR="00474DAD" w:rsidRPr="0048196F" w:rsidRDefault="00474DAD">
            <w:pPr>
              <w:rPr>
                <w:i/>
                <w:iCs/>
                <w:lang w:val="en-US"/>
              </w:rPr>
            </w:pPr>
          </w:p>
        </w:tc>
        <w:tc>
          <w:tcPr>
            <w:tcW w:w="1692" w:type="dxa"/>
            <w:noWrap/>
            <w:hideMark/>
          </w:tcPr>
          <w:p w14:paraId="1054632D" w14:textId="77777777" w:rsidR="00474DAD" w:rsidRPr="0048196F" w:rsidRDefault="00474DAD">
            <w:pPr>
              <w:rPr>
                <w:lang w:val="en-US"/>
              </w:rPr>
            </w:pPr>
          </w:p>
        </w:tc>
      </w:tr>
      <w:tr w:rsidR="00474DAD" w:rsidRPr="0048196F" w14:paraId="2AB21683" w14:textId="77777777" w:rsidTr="00612276">
        <w:trPr>
          <w:trHeight w:val="340"/>
        </w:trPr>
        <w:tc>
          <w:tcPr>
            <w:tcW w:w="1643" w:type="dxa"/>
            <w:noWrap/>
            <w:hideMark/>
          </w:tcPr>
          <w:p w14:paraId="53691526" w14:textId="77777777" w:rsidR="00474DAD" w:rsidRPr="0048196F" w:rsidRDefault="00474DAD">
            <w:pPr>
              <w:rPr>
                <w:lang w:val="en-US"/>
              </w:rPr>
            </w:pPr>
          </w:p>
        </w:tc>
        <w:tc>
          <w:tcPr>
            <w:tcW w:w="3727" w:type="dxa"/>
            <w:hideMark/>
          </w:tcPr>
          <w:p w14:paraId="015D23CE" w14:textId="11973C4B" w:rsidR="00474DAD" w:rsidRPr="0048196F" w:rsidRDefault="00474DAD">
            <w:pPr>
              <w:rPr>
                <w:lang w:val="en-US"/>
              </w:rPr>
            </w:pPr>
            <w:r w:rsidRPr="0048196F">
              <w:rPr>
                <w:lang w:val="en-US"/>
              </w:rPr>
              <w:t xml:space="preserve">Tight </w:t>
            </w:r>
            <w:r w:rsidR="00C926D5" w:rsidRPr="0048196F">
              <w:rPr>
                <w:lang w:val="en-US"/>
              </w:rPr>
              <w:t>Labor</w:t>
            </w:r>
            <w:r w:rsidRPr="0048196F">
              <w:rPr>
                <w:lang w:val="en-US"/>
              </w:rPr>
              <w:t xml:space="preserve"> Markets</w:t>
            </w:r>
          </w:p>
        </w:tc>
        <w:tc>
          <w:tcPr>
            <w:tcW w:w="1300" w:type="dxa"/>
            <w:noWrap/>
            <w:hideMark/>
          </w:tcPr>
          <w:p w14:paraId="6D3356DF" w14:textId="77777777" w:rsidR="00474DAD" w:rsidRPr="0048196F" w:rsidRDefault="00474DAD" w:rsidP="00474DAD">
            <w:pPr>
              <w:rPr>
                <w:lang w:val="en-US"/>
              </w:rPr>
            </w:pPr>
            <w:r w:rsidRPr="0048196F">
              <w:rPr>
                <w:lang w:val="en-US"/>
              </w:rPr>
              <w:t>17%</w:t>
            </w:r>
          </w:p>
        </w:tc>
        <w:tc>
          <w:tcPr>
            <w:tcW w:w="1692" w:type="dxa"/>
            <w:noWrap/>
            <w:hideMark/>
          </w:tcPr>
          <w:p w14:paraId="65989C53" w14:textId="77777777" w:rsidR="00474DAD" w:rsidRPr="0048196F" w:rsidRDefault="00474DAD" w:rsidP="00474DAD">
            <w:pPr>
              <w:rPr>
                <w:lang w:val="en-US"/>
              </w:rPr>
            </w:pPr>
          </w:p>
        </w:tc>
      </w:tr>
      <w:tr w:rsidR="00474DAD" w:rsidRPr="0048196F" w14:paraId="02C4A6A1" w14:textId="77777777" w:rsidTr="00612276">
        <w:trPr>
          <w:trHeight w:val="340"/>
        </w:trPr>
        <w:tc>
          <w:tcPr>
            <w:tcW w:w="1643" w:type="dxa"/>
            <w:noWrap/>
            <w:hideMark/>
          </w:tcPr>
          <w:p w14:paraId="0D166AD2" w14:textId="77777777" w:rsidR="00474DAD" w:rsidRPr="0048196F" w:rsidRDefault="00474DAD">
            <w:pPr>
              <w:rPr>
                <w:lang w:val="en-US"/>
              </w:rPr>
            </w:pPr>
          </w:p>
        </w:tc>
        <w:tc>
          <w:tcPr>
            <w:tcW w:w="3727" w:type="dxa"/>
            <w:hideMark/>
          </w:tcPr>
          <w:p w14:paraId="300CBBDA" w14:textId="77777777" w:rsidR="00474DAD" w:rsidRPr="0048196F" w:rsidRDefault="00474DAD">
            <w:pPr>
              <w:rPr>
                <w:i/>
                <w:iCs/>
                <w:lang w:val="en-US"/>
              </w:rPr>
            </w:pPr>
            <w:r w:rsidRPr="0048196F">
              <w:rPr>
                <w:i/>
                <w:iCs/>
                <w:lang w:val="en-US"/>
              </w:rPr>
              <w:t>Aging workforce</w:t>
            </w:r>
          </w:p>
        </w:tc>
        <w:tc>
          <w:tcPr>
            <w:tcW w:w="1300" w:type="dxa"/>
            <w:noWrap/>
            <w:hideMark/>
          </w:tcPr>
          <w:p w14:paraId="738F718F" w14:textId="77777777" w:rsidR="00474DAD" w:rsidRPr="0048196F" w:rsidRDefault="00474DAD">
            <w:pPr>
              <w:rPr>
                <w:i/>
                <w:iCs/>
                <w:lang w:val="en-US"/>
              </w:rPr>
            </w:pPr>
          </w:p>
        </w:tc>
        <w:tc>
          <w:tcPr>
            <w:tcW w:w="1692" w:type="dxa"/>
            <w:noWrap/>
            <w:hideMark/>
          </w:tcPr>
          <w:p w14:paraId="61047335" w14:textId="77777777" w:rsidR="00474DAD" w:rsidRPr="0048196F" w:rsidRDefault="00474DAD">
            <w:pPr>
              <w:rPr>
                <w:lang w:val="en-US"/>
              </w:rPr>
            </w:pPr>
          </w:p>
        </w:tc>
      </w:tr>
      <w:tr w:rsidR="00474DAD" w:rsidRPr="0048196F" w14:paraId="68D56E05" w14:textId="77777777" w:rsidTr="00612276">
        <w:trPr>
          <w:trHeight w:val="340"/>
        </w:trPr>
        <w:tc>
          <w:tcPr>
            <w:tcW w:w="1643" w:type="dxa"/>
            <w:noWrap/>
            <w:hideMark/>
          </w:tcPr>
          <w:p w14:paraId="4D3910F4" w14:textId="77777777" w:rsidR="00474DAD" w:rsidRPr="0048196F" w:rsidRDefault="00474DAD">
            <w:pPr>
              <w:rPr>
                <w:lang w:val="en-US"/>
              </w:rPr>
            </w:pPr>
          </w:p>
        </w:tc>
        <w:tc>
          <w:tcPr>
            <w:tcW w:w="3727" w:type="dxa"/>
            <w:hideMark/>
          </w:tcPr>
          <w:p w14:paraId="214C4FC4" w14:textId="77777777" w:rsidR="00474DAD" w:rsidRPr="0048196F" w:rsidRDefault="00474DAD">
            <w:pPr>
              <w:rPr>
                <w:i/>
                <w:iCs/>
                <w:lang w:val="en-US"/>
              </w:rPr>
            </w:pPr>
            <w:r w:rsidRPr="0048196F">
              <w:rPr>
                <w:i/>
                <w:iCs/>
                <w:lang w:val="en-US"/>
              </w:rPr>
              <w:t>Labor shortages</w:t>
            </w:r>
          </w:p>
        </w:tc>
        <w:tc>
          <w:tcPr>
            <w:tcW w:w="1300" w:type="dxa"/>
            <w:noWrap/>
            <w:hideMark/>
          </w:tcPr>
          <w:p w14:paraId="079CC4A2" w14:textId="77777777" w:rsidR="00474DAD" w:rsidRPr="0048196F" w:rsidRDefault="00474DAD">
            <w:pPr>
              <w:rPr>
                <w:i/>
                <w:iCs/>
                <w:lang w:val="en-US"/>
              </w:rPr>
            </w:pPr>
          </w:p>
        </w:tc>
        <w:tc>
          <w:tcPr>
            <w:tcW w:w="1692" w:type="dxa"/>
            <w:noWrap/>
            <w:hideMark/>
          </w:tcPr>
          <w:p w14:paraId="243037B2" w14:textId="77777777" w:rsidR="00474DAD" w:rsidRPr="0048196F" w:rsidRDefault="00474DAD">
            <w:pPr>
              <w:rPr>
                <w:lang w:val="en-US"/>
              </w:rPr>
            </w:pPr>
          </w:p>
        </w:tc>
      </w:tr>
      <w:tr w:rsidR="00474DAD" w:rsidRPr="0048196F" w14:paraId="74F1A1C1" w14:textId="77777777" w:rsidTr="00612276">
        <w:trPr>
          <w:trHeight w:val="340"/>
        </w:trPr>
        <w:tc>
          <w:tcPr>
            <w:tcW w:w="1643" w:type="dxa"/>
            <w:hideMark/>
          </w:tcPr>
          <w:p w14:paraId="5EEAA529" w14:textId="77777777" w:rsidR="00474DAD" w:rsidRPr="0048196F" w:rsidRDefault="00474DAD">
            <w:pPr>
              <w:rPr>
                <w:lang w:val="en-US"/>
              </w:rPr>
            </w:pPr>
            <w:r w:rsidRPr="0048196F">
              <w:rPr>
                <w:lang w:val="en-US"/>
              </w:rPr>
              <w:t>Social</w:t>
            </w:r>
          </w:p>
        </w:tc>
        <w:tc>
          <w:tcPr>
            <w:tcW w:w="3727" w:type="dxa"/>
            <w:hideMark/>
          </w:tcPr>
          <w:p w14:paraId="6ACEEC96" w14:textId="77777777" w:rsidR="00474DAD" w:rsidRPr="0048196F" w:rsidRDefault="00474DAD">
            <w:pPr>
              <w:rPr>
                <w:lang w:val="en-US"/>
              </w:rPr>
            </w:pPr>
            <w:r w:rsidRPr="0048196F">
              <w:rPr>
                <w:lang w:val="en-US"/>
              </w:rPr>
              <w:t>Health Awareness</w:t>
            </w:r>
          </w:p>
        </w:tc>
        <w:tc>
          <w:tcPr>
            <w:tcW w:w="1300" w:type="dxa"/>
            <w:noWrap/>
            <w:hideMark/>
          </w:tcPr>
          <w:p w14:paraId="1F571667" w14:textId="77777777" w:rsidR="00474DAD" w:rsidRPr="0048196F" w:rsidRDefault="00474DAD" w:rsidP="00474DAD">
            <w:pPr>
              <w:rPr>
                <w:lang w:val="en-US"/>
              </w:rPr>
            </w:pPr>
            <w:r w:rsidRPr="0048196F">
              <w:rPr>
                <w:lang w:val="en-US"/>
              </w:rPr>
              <w:t>31%</w:t>
            </w:r>
          </w:p>
        </w:tc>
        <w:tc>
          <w:tcPr>
            <w:tcW w:w="1692" w:type="dxa"/>
            <w:noWrap/>
            <w:hideMark/>
          </w:tcPr>
          <w:p w14:paraId="6B033413" w14:textId="77777777" w:rsidR="00474DAD" w:rsidRPr="0048196F" w:rsidRDefault="00474DAD" w:rsidP="00474DAD">
            <w:pPr>
              <w:rPr>
                <w:i/>
                <w:iCs/>
                <w:lang w:val="en-US"/>
              </w:rPr>
            </w:pPr>
            <w:r w:rsidRPr="0048196F">
              <w:rPr>
                <w:i/>
                <w:iCs/>
                <w:lang w:val="en-US"/>
              </w:rPr>
              <w:t>Megatrend</w:t>
            </w:r>
          </w:p>
        </w:tc>
      </w:tr>
      <w:tr w:rsidR="00474DAD" w:rsidRPr="00AB4713" w14:paraId="5068DEFB" w14:textId="77777777" w:rsidTr="00612276">
        <w:trPr>
          <w:trHeight w:val="340"/>
        </w:trPr>
        <w:tc>
          <w:tcPr>
            <w:tcW w:w="1643" w:type="dxa"/>
            <w:noWrap/>
            <w:hideMark/>
          </w:tcPr>
          <w:p w14:paraId="74D755D5" w14:textId="77777777" w:rsidR="00474DAD" w:rsidRPr="0048196F" w:rsidRDefault="00474DAD" w:rsidP="00474DAD">
            <w:pPr>
              <w:rPr>
                <w:i/>
                <w:iCs/>
                <w:lang w:val="en-US"/>
              </w:rPr>
            </w:pPr>
          </w:p>
        </w:tc>
        <w:tc>
          <w:tcPr>
            <w:tcW w:w="3727" w:type="dxa"/>
            <w:hideMark/>
          </w:tcPr>
          <w:p w14:paraId="0404BBCD" w14:textId="77777777" w:rsidR="00474DAD" w:rsidRPr="0048196F" w:rsidRDefault="00474DAD">
            <w:pPr>
              <w:rPr>
                <w:i/>
                <w:iCs/>
                <w:lang w:val="en-US"/>
              </w:rPr>
            </w:pPr>
            <w:r w:rsidRPr="0048196F">
              <w:rPr>
                <w:i/>
                <w:iCs/>
                <w:lang w:val="en-US"/>
              </w:rPr>
              <w:t>Increased awareness of health risks</w:t>
            </w:r>
          </w:p>
        </w:tc>
        <w:tc>
          <w:tcPr>
            <w:tcW w:w="1300" w:type="dxa"/>
            <w:noWrap/>
            <w:hideMark/>
          </w:tcPr>
          <w:p w14:paraId="44A55ED8" w14:textId="77777777" w:rsidR="00474DAD" w:rsidRPr="0048196F" w:rsidRDefault="00474DAD">
            <w:pPr>
              <w:rPr>
                <w:i/>
                <w:iCs/>
                <w:lang w:val="en-US"/>
              </w:rPr>
            </w:pPr>
          </w:p>
        </w:tc>
        <w:tc>
          <w:tcPr>
            <w:tcW w:w="1692" w:type="dxa"/>
            <w:noWrap/>
            <w:hideMark/>
          </w:tcPr>
          <w:p w14:paraId="1734673A" w14:textId="77777777" w:rsidR="00474DAD" w:rsidRPr="0048196F" w:rsidRDefault="00474DAD">
            <w:pPr>
              <w:rPr>
                <w:lang w:val="en-US"/>
              </w:rPr>
            </w:pPr>
          </w:p>
        </w:tc>
      </w:tr>
      <w:tr w:rsidR="00474DAD" w:rsidRPr="0048196F" w14:paraId="2640C058" w14:textId="77777777" w:rsidTr="00612276">
        <w:trPr>
          <w:trHeight w:val="340"/>
        </w:trPr>
        <w:tc>
          <w:tcPr>
            <w:tcW w:w="1643" w:type="dxa"/>
            <w:noWrap/>
            <w:hideMark/>
          </w:tcPr>
          <w:p w14:paraId="623F24E3" w14:textId="77777777" w:rsidR="00474DAD" w:rsidRPr="0048196F" w:rsidRDefault="00474DAD">
            <w:pPr>
              <w:rPr>
                <w:lang w:val="en-US"/>
              </w:rPr>
            </w:pPr>
          </w:p>
        </w:tc>
        <w:tc>
          <w:tcPr>
            <w:tcW w:w="3727" w:type="dxa"/>
            <w:hideMark/>
          </w:tcPr>
          <w:p w14:paraId="2B771346" w14:textId="77777777" w:rsidR="00474DAD" w:rsidRPr="0048196F" w:rsidRDefault="00474DAD">
            <w:pPr>
              <w:rPr>
                <w:i/>
                <w:iCs/>
                <w:lang w:val="en-US"/>
              </w:rPr>
            </w:pPr>
            <w:r w:rsidRPr="0048196F">
              <w:rPr>
                <w:i/>
                <w:iCs/>
                <w:lang w:val="en-US"/>
              </w:rPr>
              <w:t>Increased demand functional foods</w:t>
            </w:r>
          </w:p>
        </w:tc>
        <w:tc>
          <w:tcPr>
            <w:tcW w:w="1300" w:type="dxa"/>
            <w:noWrap/>
            <w:hideMark/>
          </w:tcPr>
          <w:p w14:paraId="122B331C" w14:textId="77777777" w:rsidR="00474DAD" w:rsidRPr="0048196F" w:rsidRDefault="00474DAD">
            <w:pPr>
              <w:rPr>
                <w:i/>
                <w:iCs/>
                <w:lang w:val="en-US"/>
              </w:rPr>
            </w:pPr>
          </w:p>
        </w:tc>
        <w:tc>
          <w:tcPr>
            <w:tcW w:w="1692" w:type="dxa"/>
            <w:noWrap/>
            <w:hideMark/>
          </w:tcPr>
          <w:p w14:paraId="1E546203" w14:textId="77777777" w:rsidR="00474DAD" w:rsidRPr="0048196F" w:rsidRDefault="00474DAD">
            <w:pPr>
              <w:rPr>
                <w:lang w:val="en-US"/>
              </w:rPr>
            </w:pPr>
          </w:p>
        </w:tc>
      </w:tr>
      <w:tr w:rsidR="00474DAD" w:rsidRPr="00AB4713" w14:paraId="2F13EE86" w14:textId="77777777" w:rsidTr="00612276">
        <w:trPr>
          <w:trHeight w:val="340"/>
        </w:trPr>
        <w:tc>
          <w:tcPr>
            <w:tcW w:w="1643" w:type="dxa"/>
            <w:noWrap/>
            <w:hideMark/>
          </w:tcPr>
          <w:p w14:paraId="1D1FACBD" w14:textId="77777777" w:rsidR="00474DAD" w:rsidRPr="0048196F" w:rsidRDefault="00474DAD">
            <w:pPr>
              <w:rPr>
                <w:lang w:val="en-US"/>
              </w:rPr>
            </w:pPr>
          </w:p>
        </w:tc>
        <w:tc>
          <w:tcPr>
            <w:tcW w:w="3727" w:type="dxa"/>
            <w:hideMark/>
          </w:tcPr>
          <w:p w14:paraId="63328E0C" w14:textId="77777777" w:rsidR="00474DAD" w:rsidRPr="0048196F" w:rsidRDefault="00474DAD">
            <w:pPr>
              <w:rPr>
                <w:i/>
                <w:iCs/>
                <w:lang w:val="en-US"/>
              </w:rPr>
            </w:pPr>
            <w:r w:rsidRPr="0048196F">
              <w:rPr>
                <w:i/>
                <w:iCs/>
                <w:lang w:val="en-US"/>
              </w:rPr>
              <w:t>Changing patterns of consumer demands</w:t>
            </w:r>
          </w:p>
        </w:tc>
        <w:tc>
          <w:tcPr>
            <w:tcW w:w="1300" w:type="dxa"/>
            <w:noWrap/>
            <w:hideMark/>
          </w:tcPr>
          <w:p w14:paraId="258055D3" w14:textId="77777777" w:rsidR="00474DAD" w:rsidRPr="0048196F" w:rsidRDefault="00474DAD">
            <w:pPr>
              <w:rPr>
                <w:i/>
                <w:iCs/>
                <w:lang w:val="en-US"/>
              </w:rPr>
            </w:pPr>
          </w:p>
        </w:tc>
        <w:tc>
          <w:tcPr>
            <w:tcW w:w="1692" w:type="dxa"/>
            <w:noWrap/>
            <w:hideMark/>
          </w:tcPr>
          <w:p w14:paraId="476955F8" w14:textId="77777777" w:rsidR="00474DAD" w:rsidRPr="0048196F" w:rsidRDefault="00474DAD">
            <w:pPr>
              <w:rPr>
                <w:lang w:val="en-US"/>
              </w:rPr>
            </w:pPr>
          </w:p>
        </w:tc>
      </w:tr>
      <w:tr w:rsidR="00474DAD" w:rsidRPr="0048196F" w14:paraId="0B79DE4B" w14:textId="77777777" w:rsidTr="00612276">
        <w:trPr>
          <w:trHeight w:val="340"/>
        </w:trPr>
        <w:tc>
          <w:tcPr>
            <w:tcW w:w="1643" w:type="dxa"/>
            <w:noWrap/>
            <w:hideMark/>
          </w:tcPr>
          <w:p w14:paraId="2AB265F2" w14:textId="77777777" w:rsidR="00474DAD" w:rsidRPr="0048196F" w:rsidRDefault="00474DAD">
            <w:pPr>
              <w:rPr>
                <w:lang w:val="en-US"/>
              </w:rPr>
            </w:pPr>
          </w:p>
        </w:tc>
        <w:tc>
          <w:tcPr>
            <w:tcW w:w="3727" w:type="dxa"/>
            <w:hideMark/>
          </w:tcPr>
          <w:p w14:paraId="18FDB189" w14:textId="77777777" w:rsidR="00474DAD" w:rsidRPr="0048196F" w:rsidRDefault="00474DAD">
            <w:pPr>
              <w:rPr>
                <w:i/>
                <w:iCs/>
                <w:lang w:val="en-US"/>
              </w:rPr>
            </w:pPr>
            <w:r w:rsidRPr="0048196F">
              <w:rPr>
                <w:i/>
                <w:iCs/>
                <w:lang w:val="en-US"/>
              </w:rPr>
              <w:t>Organic farming demand</w:t>
            </w:r>
          </w:p>
        </w:tc>
        <w:tc>
          <w:tcPr>
            <w:tcW w:w="1300" w:type="dxa"/>
            <w:noWrap/>
            <w:hideMark/>
          </w:tcPr>
          <w:p w14:paraId="57908639" w14:textId="77777777" w:rsidR="00474DAD" w:rsidRPr="0048196F" w:rsidRDefault="00474DAD">
            <w:pPr>
              <w:rPr>
                <w:i/>
                <w:iCs/>
                <w:lang w:val="en-US"/>
              </w:rPr>
            </w:pPr>
          </w:p>
        </w:tc>
        <w:tc>
          <w:tcPr>
            <w:tcW w:w="1692" w:type="dxa"/>
            <w:noWrap/>
            <w:hideMark/>
          </w:tcPr>
          <w:p w14:paraId="5E7A0E0C" w14:textId="77777777" w:rsidR="00474DAD" w:rsidRPr="0048196F" w:rsidRDefault="00474DAD">
            <w:pPr>
              <w:rPr>
                <w:lang w:val="en-US"/>
              </w:rPr>
            </w:pPr>
          </w:p>
        </w:tc>
      </w:tr>
      <w:tr w:rsidR="00474DAD" w:rsidRPr="0048196F" w14:paraId="6EAF8EA6" w14:textId="77777777" w:rsidTr="00612276">
        <w:trPr>
          <w:trHeight w:val="340"/>
        </w:trPr>
        <w:tc>
          <w:tcPr>
            <w:tcW w:w="1643" w:type="dxa"/>
            <w:noWrap/>
            <w:hideMark/>
          </w:tcPr>
          <w:p w14:paraId="5D51A75B" w14:textId="77777777" w:rsidR="00474DAD" w:rsidRPr="0048196F" w:rsidRDefault="00474DAD">
            <w:pPr>
              <w:rPr>
                <w:lang w:val="en-US"/>
              </w:rPr>
            </w:pPr>
          </w:p>
        </w:tc>
        <w:tc>
          <w:tcPr>
            <w:tcW w:w="3727" w:type="dxa"/>
            <w:hideMark/>
          </w:tcPr>
          <w:p w14:paraId="208E2C2C" w14:textId="77777777" w:rsidR="00474DAD" w:rsidRPr="0048196F" w:rsidRDefault="00474DAD">
            <w:pPr>
              <w:rPr>
                <w:lang w:val="en-US"/>
              </w:rPr>
            </w:pPr>
            <w:r w:rsidRPr="0048196F">
              <w:rPr>
                <w:lang w:val="en-US"/>
              </w:rPr>
              <w:t>Changing consumer demands</w:t>
            </w:r>
          </w:p>
        </w:tc>
        <w:tc>
          <w:tcPr>
            <w:tcW w:w="1300" w:type="dxa"/>
            <w:noWrap/>
            <w:hideMark/>
          </w:tcPr>
          <w:p w14:paraId="09414CDC" w14:textId="77777777" w:rsidR="00474DAD" w:rsidRPr="0048196F" w:rsidRDefault="00474DAD" w:rsidP="00474DAD">
            <w:pPr>
              <w:rPr>
                <w:lang w:val="en-US"/>
              </w:rPr>
            </w:pPr>
            <w:r w:rsidRPr="0048196F">
              <w:rPr>
                <w:lang w:val="en-US"/>
              </w:rPr>
              <w:t>21%</w:t>
            </w:r>
          </w:p>
        </w:tc>
        <w:tc>
          <w:tcPr>
            <w:tcW w:w="1692" w:type="dxa"/>
            <w:noWrap/>
            <w:hideMark/>
          </w:tcPr>
          <w:p w14:paraId="292E423B" w14:textId="77777777" w:rsidR="00474DAD" w:rsidRPr="0048196F" w:rsidRDefault="00474DAD" w:rsidP="00474DAD">
            <w:pPr>
              <w:rPr>
                <w:i/>
                <w:iCs/>
                <w:lang w:val="en-US"/>
              </w:rPr>
            </w:pPr>
            <w:r w:rsidRPr="0048196F">
              <w:rPr>
                <w:i/>
                <w:iCs/>
                <w:lang w:val="en-US"/>
              </w:rPr>
              <w:t>Driver Of Change</w:t>
            </w:r>
          </w:p>
        </w:tc>
      </w:tr>
      <w:tr w:rsidR="00474DAD" w:rsidRPr="00AB4713" w14:paraId="7EC1168C" w14:textId="77777777" w:rsidTr="00612276">
        <w:trPr>
          <w:trHeight w:val="680"/>
        </w:trPr>
        <w:tc>
          <w:tcPr>
            <w:tcW w:w="1643" w:type="dxa"/>
            <w:noWrap/>
            <w:hideMark/>
          </w:tcPr>
          <w:p w14:paraId="60005F81" w14:textId="77777777" w:rsidR="00474DAD" w:rsidRPr="0048196F" w:rsidRDefault="00474DAD" w:rsidP="00474DAD">
            <w:pPr>
              <w:rPr>
                <w:i/>
                <w:iCs/>
                <w:lang w:val="en-US"/>
              </w:rPr>
            </w:pPr>
          </w:p>
        </w:tc>
        <w:tc>
          <w:tcPr>
            <w:tcW w:w="3727" w:type="dxa"/>
            <w:hideMark/>
          </w:tcPr>
          <w:p w14:paraId="095CB29B" w14:textId="77777777" w:rsidR="00474DAD" w:rsidRPr="0048196F" w:rsidRDefault="00474DAD">
            <w:pPr>
              <w:rPr>
                <w:i/>
                <w:iCs/>
                <w:lang w:val="en-US"/>
              </w:rPr>
            </w:pPr>
            <w:r w:rsidRPr="0048196F">
              <w:rPr>
                <w:i/>
                <w:iCs/>
                <w:lang w:val="en-US"/>
              </w:rPr>
              <w:t>Increased demand on variety of product dimensions</w:t>
            </w:r>
          </w:p>
        </w:tc>
        <w:tc>
          <w:tcPr>
            <w:tcW w:w="1300" w:type="dxa"/>
            <w:noWrap/>
            <w:hideMark/>
          </w:tcPr>
          <w:p w14:paraId="443C9683" w14:textId="77777777" w:rsidR="00474DAD" w:rsidRPr="0048196F" w:rsidRDefault="00474DAD">
            <w:pPr>
              <w:rPr>
                <w:i/>
                <w:iCs/>
                <w:lang w:val="en-US"/>
              </w:rPr>
            </w:pPr>
          </w:p>
        </w:tc>
        <w:tc>
          <w:tcPr>
            <w:tcW w:w="1692" w:type="dxa"/>
            <w:noWrap/>
            <w:hideMark/>
          </w:tcPr>
          <w:p w14:paraId="6366EDE3" w14:textId="77777777" w:rsidR="00474DAD" w:rsidRPr="0048196F" w:rsidRDefault="00474DAD">
            <w:pPr>
              <w:rPr>
                <w:lang w:val="en-US"/>
              </w:rPr>
            </w:pPr>
          </w:p>
        </w:tc>
      </w:tr>
      <w:tr w:rsidR="00474DAD" w:rsidRPr="0048196F" w14:paraId="42873C38" w14:textId="77777777" w:rsidTr="00612276">
        <w:trPr>
          <w:trHeight w:val="340"/>
        </w:trPr>
        <w:tc>
          <w:tcPr>
            <w:tcW w:w="1643" w:type="dxa"/>
            <w:noWrap/>
            <w:hideMark/>
          </w:tcPr>
          <w:p w14:paraId="508AE714" w14:textId="77777777" w:rsidR="00474DAD" w:rsidRPr="0048196F" w:rsidRDefault="00474DAD">
            <w:pPr>
              <w:rPr>
                <w:lang w:val="en-US"/>
              </w:rPr>
            </w:pPr>
          </w:p>
        </w:tc>
        <w:tc>
          <w:tcPr>
            <w:tcW w:w="3727" w:type="dxa"/>
            <w:hideMark/>
          </w:tcPr>
          <w:p w14:paraId="7BCFCB98" w14:textId="77777777" w:rsidR="00474DAD" w:rsidRPr="0048196F" w:rsidRDefault="00474DAD">
            <w:pPr>
              <w:rPr>
                <w:i/>
                <w:iCs/>
                <w:lang w:val="en-US"/>
              </w:rPr>
            </w:pPr>
            <w:r w:rsidRPr="0048196F">
              <w:rPr>
                <w:i/>
                <w:iCs/>
                <w:lang w:val="en-US"/>
              </w:rPr>
              <w:t>Different consumer spending</w:t>
            </w:r>
          </w:p>
        </w:tc>
        <w:tc>
          <w:tcPr>
            <w:tcW w:w="1300" w:type="dxa"/>
            <w:noWrap/>
            <w:hideMark/>
          </w:tcPr>
          <w:p w14:paraId="6DC2848C" w14:textId="77777777" w:rsidR="00474DAD" w:rsidRPr="0048196F" w:rsidRDefault="00474DAD">
            <w:pPr>
              <w:rPr>
                <w:i/>
                <w:iCs/>
                <w:lang w:val="en-US"/>
              </w:rPr>
            </w:pPr>
          </w:p>
        </w:tc>
        <w:tc>
          <w:tcPr>
            <w:tcW w:w="1692" w:type="dxa"/>
            <w:noWrap/>
            <w:hideMark/>
          </w:tcPr>
          <w:p w14:paraId="5A63D24A" w14:textId="77777777" w:rsidR="00474DAD" w:rsidRPr="0048196F" w:rsidRDefault="00474DAD">
            <w:pPr>
              <w:rPr>
                <w:lang w:val="en-US"/>
              </w:rPr>
            </w:pPr>
          </w:p>
        </w:tc>
      </w:tr>
      <w:tr w:rsidR="00474DAD" w:rsidRPr="0048196F" w14:paraId="4E686867" w14:textId="77777777" w:rsidTr="00612276">
        <w:trPr>
          <w:trHeight w:val="340"/>
        </w:trPr>
        <w:tc>
          <w:tcPr>
            <w:tcW w:w="1643" w:type="dxa"/>
            <w:noWrap/>
            <w:hideMark/>
          </w:tcPr>
          <w:p w14:paraId="591E1A4B" w14:textId="77777777" w:rsidR="00474DAD" w:rsidRPr="0048196F" w:rsidRDefault="00474DAD">
            <w:pPr>
              <w:rPr>
                <w:lang w:val="en-US"/>
              </w:rPr>
            </w:pPr>
          </w:p>
        </w:tc>
        <w:tc>
          <w:tcPr>
            <w:tcW w:w="3727" w:type="dxa"/>
            <w:hideMark/>
          </w:tcPr>
          <w:p w14:paraId="72E382F0" w14:textId="77777777" w:rsidR="00474DAD" w:rsidRPr="0048196F" w:rsidRDefault="00474DAD">
            <w:pPr>
              <w:rPr>
                <w:i/>
                <w:iCs/>
                <w:lang w:val="en-US"/>
              </w:rPr>
            </w:pPr>
            <w:r w:rsidRPr="0048196F">
              <w:rPr>
                <w:i/>
                <w:iCs/>
                <w:lang w:val="en-US"/>
              </w:rPr>
              <w:t>Demand side fragmentation</w:t>
            </w:r>
          </w:p>
        </w:tc>
        <w:tc>
          <w:tcPr>
            <w:tcW w:w="1300" w:type="dxa"/>
            <w:noWrap/>
            <w:hideMark/>
          </w:tcPr>
          <w:p w14:paraId="1D232D45" w14:textId="77777777" w:rsidR="00474DAD" w:rsidRPr="0048196F" w:rsidRDefault="00474DAD">
            <w:pPr>
              <w:rPr>
                <w:i/>
                <w:iCs/>
                <w:lang w:val="en-US"/>
              </w:rPr>
            </w:pPr>
          </w:p>
        </w:tc>
        <w:tc>
          <w:tcPr>
            <w:tcW w:w="1692" w:type="dxa"/>
            <w:noWrap/>
            <w:hideMark/>
          </w:tcPr>
          <w:p w14:paraId="698C821C" w14:textId="77777777" w:rsidR="00474DAD" w:rsidRPr="0048196F" w:rsidRDefault="00474DAD">
            <w:pPr>
              <w:rPr>
                <w:lang w:val="en-US"/>
              </w:rPr>
            </w:pPr>
          </w:p>
        </w:tc>
      </w:tr>
      <w:tr w:rsidR="00474DAD" w:rsidRPr="0048196F" w14:paraId="2FB2EFD7" w14:textId="77777777" w:rsidTr="00612276">
        <w:trPr>
          <w:trHeight w:val="340"/>
        </w:trPr>
        <w:tc>
          <w:tcPr>
            <w:tcW w:w="1643" w:type="dxa"/>
            <w:noWrap/>
            <w:hideMark/>
          </w:tcPr>
          <w:p w14:paraId="167A1767" w14:textId="77777777" w:rsidR="00474DAD" w:rsidRPr="0048196F" w:rsidRDefault="00474DAD">
            <w:pPr>
              <w:rPr>
                <w:lang w:val="en-US"/>
              </w:rPr>
            </w:pPr>
          </w:p>
        </w:tc>
        <w:tc>
          <w:tcPr>
            <w:tcW w:w="3727" w:type="dxa"/>
            <w:hideMark/>
          </w:tcPr>
          <w:p w14:paraId="64E0980B" w14:textId="77777777" w:rsidR="00474DAD" w:rsidRPr="0048196F" w:rsidRDefault="00474DAD">
            <w:pPr>
              <w:rPr>
                <w:lang w:val="en-US"/>
              </w:rPr>
            </w:pPr>
            <w:r w:rsidRPr="0048196F">
              <w:rPr>
                <w:lang w:val="en-US"/>
              </w:rPr>
              <w:t>Population Growth</w:t>
            </w:r>
          </w:p>
        </w:tc>
        <w:tc>
          <w:tcPr>
            <w:tcW w:w="1300" w:type="dxa"/>
            <w:noWrap/>
            <w:hideMark/>
          </w:tcPr>
          <w:p w14:paraId="1735BEBB" w14:textId="77777777" w:rsidR="00474DAD" w:rsidRPr="0048196F" w:rsidRDefault="00474DAD" w:rsidP="00474DAD">
            <w:pPr>
              <w:rPr>
                <w:lang w:val="en-US"/>
              </w:rPr>
            </w:pPr>
            <w:r w:rsidRPr="0048196F">
              <w:rPr>
                <w:lang w:val="en-US"/>
              </w:rPr>
              <w:t>28%</w:t>
            </w:r>
          </w:p>
        </w:tc>
        <w:tc>
          <w:tcPr>
            <w:tcW w:w="1692" w:type="dxa"/>
            <w:noWrap/>
            <w:hideMark/>
          </w:tcPr>
          <w:p w14:paraId="03E2D285" w14:textId="77777777" w:rsidR="00474DAD" w:rsidRPr="0048196F" w:rsidRDefault="00474DAD" w:rsidP="00474DAD">
            <w:pPr>
              <w:rPr>
                <w:i/>
                <w:iCs/>
                <w:lang w:val="en-US"/>
              </w:rPr>
            </w:pPr>
            <w:r w:rsidRPr="0048196F">
              <w:rPr>
                <w:i/>
                <w:iCs/>
                <w:lang w:val="en-US"/>
              </w:rPr>
              <w:t>Megatrend</w:t>
            </w:r>
          </w:p>
        </w:tc>
      </w:tr>
      <w:tr w:rsidR="00474DAD" w:rsidRPr="0048196F" w14:paraId="6DFBDAC6" w14:textId="77777777" w:rsidTr="00612276">
        <w:trPr>
          <w:trHeight w:val="340"/>
        </w:trPr>
        <w:tc>
          <w:tcPr>
            <w:tcW w:w="1643" w:type="dxa"/>
            <w:noWrap/>
            <w:hideMark/>
          </w:tcPr>
          <w:p w14:paraId="7EA7D56E" w14:textId="77777777" w:rsidR="00474DAD" w:rsidRPr="0048196F" w:rsidRDefault="00474DAD" w:rsidP="00474DAD">
            <w:pPr>
              <w:rPr>
                <w:i/>
                <w:iCs/>
                <w:lang w:val="en-US"/>
              </w:rPr>
            </w:pPr>
          </w:p>
        </w:tc>
        <w:tc>
          <w:tcPr>
            <w:tcW w:w="3727" w:type="dxa"/>
            <w:hideMark/>
          </w:tcPr>
          <w:p w14:paraId="07B3E45C" w14:textId="77777777" w:rsidR="00474DAD" w:rsidRPr="0048196F" w:rsidRDefault="00474DAD">
            <w:pPr>
              <w:rPr>
                <w:lang w:val="en-US"/>
              </w:rPr>
            </w:pPr>
            <w:r w:rsidRPr="0048196F">
              <w:rPr>
                <w:lang w:val="en-US"/>
              </w:rPr>
              <w:t>Urbanization</w:t>
            </w:r>
          </w:p>
        </w:tc>
        <w:tc>
          <w:tcPr>
            <w:tcW w:w="1300" w:type="dxa"/>
            <w:noWrap/>
            <w:hideMark/>
          </w:tcPr>
          <w:p w14:paraId="1B4C5998" w14:textId="77777777" w:rsidR="00474DAD" w:rsidRPr="0048196F" w:rsidRDefault="00474DAD" w:rsidP="00474DAD">
            <w:pPr>
              <w:rPr>
                <w:lang w:val="en-US"/>
              </w:rPr>
            </w:pPr>
            <w:r w:rsidRPr="0048196F">
              <w:rPr>
                <w:lang w:val="en-US"/>
              </w:rPr>
              <w:t>17%</w:t>
            </w:r>
          </w:p>
        </w:tc>
        <w:tc>
          <w:tcPr>
            <w:tcW w:w="1692" w:type="dxa"/>
            <w:noWrap/>
            <w:hideMark/>
          </w:tcPr>
          <w:p w14:paraId="5B15CA39" w14:textId="77777777" w:rsidR="00474DAD" w:rsidRPr="0048196F" w:rsidRDefault="00474DAD" w:rsidP="00474DAD">
            <w:pPr>
              <w:rPr>
                <w:i/>
                <w:iCs/>
                <w:lang w:val="en-US"/>
              </w:rPr>
            </w:pPr>
            <w:r w:rsidRPr="0048196F">
              <w:rPr>
                <w:i/>
                <w:iCs/>
                <w:lang w:val="en-US"/>
              </w:rPr>
              <w:t>Megatrend</w:t>
            </w:r>
          </w:p>
        </w:tc>
      </w:tr>
      <w:tr w:rsidR="00474DAD" w:rsidRPr="0048196F" w14:paraId="5E8A8F3E" w14:textId="77777777" w:rsidTr="00612276">
        <w:trPr>
          <w:trHeight w:val="680"/>
        </w:trPr>
        <w:tc>
          <w:tcPr>
            <w:tcW w:w="1643" w:type="dxa"/>
            <w:hideMark/>
          </w:tcPr>
          <w:p w14:paraId="7204D79C" w14:textId="77777777" w:rsidR="00474DAD" w:rsidRPr="0048196F" w:rsidRDefault="00474DAD">
            <w:pPr>
              <w:rPr>
                <w:lang w:val="en-US"/>
              </w:rPr>
            </w:pPr>
            <w:r w:rsidRPr="0048196F">
              <w:rPr>
                <w:lang w:val="en-US"/>
              </w:rPr>
              <w:t>Technological</w:t>
            </w:r>
          </w:p>
        </w:tc>
        <w:tc>
          <w:tcPr>
            <w:tcW w:w="3727" w:type="dxa"/>
            <w:hideMark/>
          </w:tcPr>
          <w:p w14:paraId="3ED07B46" w14:textId="77777777" w:rsidR="00474DAD" w:rsidRPr="0048196F" w:rsidRDefault="00474DAD">
            <w:pPr>
              <w:rPr>
                <w:lang w:val="en-US"/>
              </w:rPr>
            </w:pPr>
            <w:r w:rsidRPr="0048196F">
              <w:rPr>
                <w:lang w:val="en-US"/>
              </w:rPr>
              <w:t>Digitalization</w:t>
            </w:r>
          </w:p>
        </w:tc>
        <w:tc>
          <w:tcPr>
            <w:tcW w:w="1300" w:type="dxa"/>
            <w:noWrap/>
            <w:hideMark/>
          </w:tcPr>
          <w:p w14:paraId="5F161328" w14:textId="77777777" w:rsidR="00474DAD" w:rsidRPr="0048196F" w:rsidRDefault="00474DAD" w:rsidP="00474DAD">
            <w:pPr>
              <w:rPr>
                <w:lang w:val="en-US"/>
              </w:rPr>
            </w:pPr>
            <w:r w:rsidRPr="0048196F">
              <w:rPr>
                <w:lang w:val="en-US"/>
              </w:rPr>
              <w:t>21%</w:t>
            </w:r>
          </w:p>
        </w:tc>
        <w:tc>
          <w:tcPr>
            <w:tcW w:w="1692" w:type="dxa"/>
            <w:noWrap/>
            <w:hideMark/>
          </w:tcPr>
          <w:p w14:paraId="6CE9C07E" w14:textId="77777777" w:rsidR="00474DAD" w:rsidRPr="0048196F" w:rsidRDefault="00474DAD" w:rsidP="00474DAD">
            <w:pPr>
              <w:rPr>
                <w:i/>
                <w:iCs/>
                <w:lang w:val="en-US"/>
              </w:rPr>
            </w:pPr>
            <w:r w:rsidRPr="0048196F">
              <w:rPr>
                <w:i/>
                <w:iCs/>
                <w:lang w:val="en-US"/>
              </w:rPr>
              <w:t>Megatrend</w:t>
            </w:r>
          </w:p>
        </w:tc>
      </w:tr>
      <w:tr w:rsidR="00474DAD" w:rsidRPr="0048196F" w14:paraId="1759E228" w14:textId="77777777" w:rsidTr="00612276">
        <w:trPr>
          <w:trHeight w:val="340"/>
        </w:trPr>
        <w:tc>
          <w:tcPr>
            <w:tcW w:w="1643" w:type="dxa"/>
            <w:noWrap/>
            <w:hideMark/>
          </w:tcPr>
          <w:p w14:paraId="04A625E7" w14:textId="77777777" w:rsidR="00474DAD" w:rsidRPr="0048196F" w:rsidRDefault="00474DAD" w:rsidP="00474DAD">
            <w:pPr>
              <w:rPr>
                <w:i/>
                <w:iCs/>
                <w:lang w:val="en-US"/>
              </w:rPr>
            </w:pPr>
          </w:p>
        </w:tc>
        <w:tc>
          <w:tcPr>
            <w:tcW w:w="3727" w:type="dxa"/>
            <w:hideMark/>
          </w:tcPr>
          <w:p w14:paraId="7508C35D" w14:textId="77777777" w:rsidR="00474DAD" w:rsidRPr="0048196F" w:rsidRDefault="00474DAD">
            <w:pPr>
              <w:rPr>
                <w:i/>
                <w:iCs/>
                <w:lang w:val="en-US"/>
              </w:rPr>
            </w:pPr>
            <w:r w:rsidRPr="0048196F">
              <w:rPr>
                <w:i/>
                <w:iCs/>
                <w:lang w:val="en-US"/>
              </w:rPr>
              <w:t>Industry 4.0</w:t>
            </w:r>
          </w:p>
        </w:tc>
        <w:tc>
          <w:tcPr>
            <w:tcW w:w="1300" w:type="dxa"/>
            <w:noWrap/>
            <w:hideMark/>
          </w:tcPr>
          <w:p w14:paraId="6C3BCCAE" w14:textId="77777777" w:rsidR="00474DAD" w:rsidRPr="0048196F" w:rsidRDefault="00474DAD">
            <w:pPr>
              <w:rPr>
                <w:i/>
                <w:iCs/>
                <w:lang w:val="en-US"/>
              </w:rPr>
            </w:pPr>
          </w:p>
        </w:tc>
        <w:tc>
          <w:tcPr>
            <w:tcW w:w="1692" w:type="dxa"/>
            <w:noWrap/>
            <w:hideMark/>
          </w:tcPr>
          <w:p w14:paraId="4D281FD4" w14:textId="77777777" w:rsidR="00474DAD" w:rsidRPr="0048196F" w:rsidRDefault="00474DAD">
            <w:pPr>
              <w:rPr>
                <w:lang w:val="en-US"/>
              </w:rPr>
            </w:pPr>
          </w:p>
        </w:tc>
      </w:tr>
      <w:tr w:rsidR="00474DAD" w:rsidRPr="0048196F" w14:paraId="2B285645" w14:textId="77777777" w:rsidTr="00612276">
        <w:trPr>
          <w:trHeight w:val="340"/>
        </w:trPr>
        <w:tc>
          <w:tcPr>
            <w:tcW w:w="1643" w:type="dxa"/>
            <w:noWrap/>
            <w:hideMark/>
          </w:tcPr>
          <w:p w14:paraId="6E45DFB6" w14:textId="77777777" w:rsidR="00474DAD" w:rsidRPr="0048196F" w:rsidRDefault="00474DAD">
            <w:pPr>
              <w:rPr>
                <w:lang w:val="en-US"/>
              </w:rPr>
            </w:pPr>
          </w:p>
        </w:tc>
        <w:tc>
          <w:tcPr>
            <w:tcW w:w="3727" w:type="dxa"/>
            <w:hideMark/>
          </w:tcPr>
          <w:p w14:paraId="09A43864" w14:textId="77777777" w:rsidR="00474DAD" w:rsidRPr="0048196F" w:rsidRDefault="00474DAD">
            <w:pPr>
              <w:rPr>
                <w:i/>
                <w:iCs/>
                <w:lang w:val="en-US"/>
              </w:rPr>
            </w:pPr>
            <w:r w:rsidRPr="0048196F">
              <w:rPr>
                <w:i/>
                <w:iCs/>
                <w:lang w:val="en-US"/>
              </w:rPr>
              <w:t>Datafication</w:t>
            </w:r>
          </w:p>
        </w:tc>
        <w:tc>
          <w:tcPr>
            <w:tcW w:w="1300" w:type="dxa"/>
            <w:noWrap/>
            <w:hideMark/>
          </w:tcPr>
          <w:p w14:paraId="7C13FDC3" w14:textId="77777777" w:rsidR="00474DAD" w:rsidRPr="0048196F" w:rsidRDefault="00474DAD">
            <w:pPr>
              <w:rPr>
                <w:i/>
                <w:iCs/>
                <w:lang w:val="en-US"/>
              </w:rPr>
            </w:pPr>
          </w:p>
        </w:tc>
        <w:tc>
          <w:tcPr>
            <w:tcW w:w="1692" w:type="dxa"/>
            <w:noWrap/>
            <w:hideMark/>
          </w:tcPr>
          <w:p w14:paraId="25FB0CD7" w14:textId="77777777" w:rsidR="00474DAD" w:rsidRPr="0048196F" w:rsidRDefault="00474DAD">
            <w:pPr>
              <w:rPr>
                <w:lang w:val="en-US"/>
              </w:rPr>
            </w:pPr>
          </w:p>
        </w:tc>
      </w:tr>
      <w:tr w:rsidR="00474DAD" w:rsidRPr="0048196F" w14:paraId="50C8DF9C" w14:textId="77777777" w:rsidTr="00612276">
        <w:trPr>
          <w:trHeight w:val="680"/>
        </w:trPr>
        <w:tc>
          <w:tcPr>
            <w:tcW w:w="1643" w:type="dxa"/>
            <w:hideMark/>
          </w:tcPr>
          <w:p w14:paraId="45825774" w14:textId="77777777" w:rsidR="00474DAD" w:rsidRPr="0048196F" w:rsidRDefault="00474DAD">
            <w:pPr>
              <w:rPr>
                <w:lang w:val="en-US"/>
              </w:rPr>
            </w:pPr>
            <w:r w:rsidRPr="0048196F">
              <w:rPr>
                <w:lang w:val="en-US"/>
              </w:rPr>
              <w:t>Environmental</w:t>
            </w:r>
          </w:p>
        </w:tc>
        <w:tc>
          <w:tcPr>
            <w:tcW w:w="3727" w:type="dxa"/>
            <w:hideMark/>
          </w:tcPr>
          <w:p w14:paraId="3461D46F" w14:textId="77777777" w:rsidR="00474DAD" w:rsidRPr="0048196F" w:rsidRDefault="00474DAD">
            <w:pPr>
              <w:rPr>
                <w:lang w:val="en-US"/>
              </w:rPr>
            </w:pPr>
            <w:r w:rsidRPr="0048196F">
              <w:rPr>
                <w:lang w:val="en-US"/>
              </w:rPr>
              <w:t>Climate Change</w:t>
            </w:r>
          </w:p>
        </w:tc>
        <w:tc>
          <w:tcPr>
            <w:tcW w:w="1300" w:type="dxa"/>
            <w:noWrap/>
            <w:hideMark/>
          </w:tcPr>
          <w:p w14:paraId="281F7141" w14:textId="77777777" w:rsidR="00474DAD" w:rsidRPr="0048196F" w:rsidRDefault="00474DAD" w:rsidP="00474DAD">
            <w:pPr>
              <w:rPr>
                <w:lang w:val="en-US"/>
              </w:rPr>
            </w:pPr>
            <w:r w:rsidRPr="0048196F">
              <w:rPr>
                <w:lang w:val="en-US"/>
              </w:rPr>
              <w:t>38%</w:t>
            </w:r>
          </w:p>
        </w:tc>
        <w:tc>
          <w:tcPr>
            <w:tcW w:w="1692" w:type="dxa"/>
            <w:noWrap/>
            <w:hideMark/>
          </w:tcPr>
          <w:p w14:paraId="594896AA" w14:textId="77777777" w:rsidR="00474DAD" w:rsidRPr="0048196F" w:rsidRDefault="00474DAD" w:rsidP="00474DAD">
            <w:pPr>
              <w:rPr>
                <w:i/>
                <w:iCs/>
                <w:lang w:val="en-US"/>
              </w:rPr>
            </w:pPr>
            <w:r w:rsidRPr="0048196F">
              <w:rPr>
                <w:i/>
                <w:iCs/>
                <w:lang w:val="en-US"/>
              </w:rPr>
              <w:t>Megatrend</w:t>
            </w:r>
          </w:p>
        </w:tc>
      </w:tr>
      <w:tr w:rsidR="00474DAD" w:rsidRPr="0048196F" w14:paraId="52E61B06" w14:textId="77777777" w:rsidTr="00612276">
        <w:trPr>
          <w:trHeight w:val="340"/>
        </w:trPr>
        <w:tc>
          <w:tcPr>
            <w:tcW w:w="1643" w:type="dxa"/>
            <w:noWrap/>
            <w:hideMark/>
          </w:tcPr>
          <w:p w14:paraId="45373412" w14:textId="77777777" w:rsidR="00474DAD" w:rsidRPr="0048196F" w:rsidRDefault="00474DAD" w:rsidP="00474DAD">
            <w:pPr>
              <w:rPr>
                <w:i/>
                <w:iCs/>
                <w:lang w:val="en-US"/>
              </w:rPr>
            </w:pPr>
          </w:p>
        </w:tc>
        <w:tc>
          <w:tcPr>
            <w:tcW w:w="3727" w:type="dxa"/>
            <w:hideMark/>
          </w:tcPr>
          <w:p w14:paraId="71D56C8E" w14:textId="77777777" w:rsidR="00474DAD" w:rsidRPr="0048196F" w:rsidRDefault="00474DAD">
            <w:pPr>
              <w:rPr>
                <w:i/>
                <w:iCs/>
                <w:lang w:val="en-US"/>
              </w:rPr>
            </w:pPr>
            <w:r w:rsidRPr="0048196F">
              <w:rPr>
                <w:i/>
                <w:iCs/>
                <w:lang w:val="en-US"/>
              </w:rPr>
              <w:t>Drought</w:t>
            </w:r>
          </w:p>
        </w:tc>
        <w:tc>
          <w:tcPr>
            <w:tcW w:w="1300" w:type="dxa"/>
            <w:noWrap/>
            <w:hideMark/>
          </w:tcPr>
          <w:p w14:paraId="23B27182" w14:textId="77777777" w:rsidR="00474DAD" w:rsidRPr="0048196F" w:rsidRDefault="00474DAD">
            <w:pPr>
              <w:rPr>
                <w:i/>
                <w:iCs/>
                <w:lang w:val="en-US"/>
              </w:rPr>
            </w:pPr>
          </w:p>
        </w:tc>
        <w:tc>
          <w:tcPr>
            <w:tcW w:w="1692" w:type="dxa"/>
            <w:noWrap/>
            <w:hideMark/>
          </w:tcPr>
          <w:p w14:paraId="0FB94DB0" w14:textId="77777777" w:rsidR="00474DAD" w:rsidRPr="0048196F" w:rsidRDefault="00474DAD">
            <w:pPr>
              <w:rPr>
                <w:lang w:val="en-US"/>
              </w:rPr>
            </w:pPr>
          </w:p>
        </w:tc>
      </w:tr>
      <w:tr w:rsidR="00474DAD" w:rsidRPr="0048196F" w14:paraId="0D6441E6" w14:textId="77777777" w:rsidTr="00612276">
        <w:trPr>
          <w:trHeight w:val="340"/>
        </w:trPr>
        <w:tc>
          <w:tcPr>
            <w:tcW w:w="1643" w:type="dxa"/>
            <w:noWrap/>
            <w:hideMark/>
          </w:tcPr>
          <w:p w14:paraId="60A796F6" w14:textId="77777777" w:rsidR="00474DAD" w:rsidRPr="0048196F" w:rsidRDefault="00474DAD">
            <w:pPr>
              <w:rPr>
                <w:lang w:val="en-US"/>
              </w:rPr>
            </w:pPr>
          </w:p>
        </w:tc>
        <w:tc>
          <w:tcPr>
            <w:tcW w:w="3727" w:type="dxa"/>
            <w:hideMark/>
          </w:tcPr>
          <w:p w14:paraId="185736C8" w14:textId="77777777" w:rsidR="00474DAD" w:rsidRPr="0048196F" w:rsidRDefault="00474DAD">
            <w:pPr>
              <w:rPr>
                <w:i/>
                <w:iCs/>
                <w:lang w:val="en-US"/>
              </w:rPr>
            </w:pPr>
            <w:r w:rsidRPr="0048196F">
              <w:rPr>
                <w:i/>
                <w:iCs/>
                <w:lang w:val="en-US"/>
              </w:rPr>
              <w:t>Heat</w:t>
            </w:r>
          </w:p>
        </w:tc>
        <w:tc>
          <w:tcPr>
            <w:tcW w:w="1300" w:type="dxa"/>
            <w:noWrap/>
            <w:hideMark/>
          </w:tcPr>
          <w:p w14:paraId="64DD6135" w14:textId="77777777" w:rsidR="00474DAD" w:rsidRPr="0048196F" w:rsidRDefault="00474DAD">
            <w:pPr>
              <w:rPr>
                <w:i/>
                <w:iCs/>
                <w:lang w:val="en-US"/>
              </w:rPr>
            </w:pPr>
          </w:p>
        </w:tc>
        <w:tc>
          <w:tcPr>
            <w:tcW w:w="1692" w:type="dxa"/>
            <w:noWrap/>
            <w:hideMark/>
          </w:tcPr>
          <w:p w14:paraId="1BE72432" w14:textId="77777777" w:rsidR="00474DAD" w:rsidRPr="0048196F" w:rsidRDefault="00474DAD">
            <w:pPr>
              <w:rPr>
                <w:lang w:val="en-US"/>
              </w:rPr>
            </w:pPr>
          </w:p>
        </w:tc>
      </w:tr>
      <w:tr w:rsidR="00474DAD" w:rsidRPr="0048196F" w14:paraId="3BD3D7FA" w14:textId="77777777" w:rsidTr="00612276">
        <w:trPr>
          <w:trHeight w:val="340"/>
        </w:trPr>
        <w:tc>
          <w:tcPr>
            <w:tcW w:w="1643" w:type="dxa"/>
            <w:noWrap/>
            <w:hideMark/>
          </w:tcPr>
          <w:p w14:paraId="5A40BCB7" w14:textId="77777777" w:rsidR="00474DAD" w:rsidRPr="0048196F" w:rsidRDefault="00474DAD">
            <w:pPr>
              <w:rPr>
                <w:lang w:val="en-US"/>
              </w:rPr>
            </w:pPr>
          </w:p>
        </w:tc>
        <w:tc>
          <w:tcPr>
            <w:tcW w:w="3727" w:type="dxa"/>
            <w:hideMark/>
          </w:tcPr>
          <w:p w14:paraId="0094A01C" w14:textId="77777777" w:rsidR="00474DAD" w:rsidRPr="0048196F" w:rsidRDefault="00474DAD">
            <w:pPr>
              <w:rPr>
                <w:i/>
                <w:iCs/>
                <w:lang w:val="en-US"/>
              </w:rPr>
            </w:pPr>
            <w:r w:rsidRPr="0048196F">
              <w:rPr>
                <w:i/>
                <w:iCs/>
                <w:lang w:val="en-US"/>
              </w:rPr>
              <w:t>Flooding</w:t>
            </w:r>
          </w:p>
        </w:tc>
        <w:tc>
          <w:tcPr>
            <w:tcW w:w="1300" w:type="dxa"/>
            <w:noWrap/>
            <w:hideMark/>
          </w:tcPr>
          <w:p w14:paraId="60CF0DAA" w14:textId="77777777" w:rsidR="00474DAD" w:rsidRPr="0048196F" w:rsidRDefault="00474DAD">
            <w:pPr>
              <w:rPr>
                <w:i/>
                <w:iCs/>
                <w:lang w:val="en-US"/>
              </w:rPr>
            </w:pPr>
          </w:p>
        </w:tc>
        <w:tc>
          <w:tcPr>
            <w:tcW w:w="1692" w:type="dxa"/>
            <w:noWrap/>
            <w:hideMark/>
          </w:tcPr>
          <w:p w14:paraId="024C1525" w14:textId="77777777" w:rsidR="00474DAD" w:rsidRPr="0048196F" w:rsidRDefault="00474DAD">
            <w:pPr>
              <w:rPr>
                <w:lang w:val="en-US"/>
              </w:rPr>
            </w:pPr>
          </w:p>
        </w:tc>
      </w:tr>
      <w:tr w:rsidR="00474DAD" w:rsidRPr="0048196F" w14:paraId="2FD94FBB" w14:textId="77777777" w:rsidTr="00612276">
        <w:trPr>
          <w:trHeight w:val="340"/>
        </w:trPr>
        <w:tc>
          <w:tcPr>
            <w:tcW w:w="1643" w:type="dxa"/>
            <w:noWrap/>
            <w:hideMark/>
          </w:tcPr>
          <w:p w14:paraId="491159C1" w14:textId="77777777" w:rsidR="00474DAD" w:rsidRPr="0048196F" w:rsidRDefault="00474DAD">
            <w:pPr>
              <w:rPr>
                <w:lang w:val="en-US"/>
              </w:rPr>
            </w:pPr>
          </w:p>
        </w:tc>
        <w:tc>
          <w:tcPr>
            <w:tcW w:w="3727" w:type="dxa"/>
            <w:hideMark/>
          </w:tcPr>
          <w:p w14:paraId="39AD19FB" w14:textId="77777777" w:rsidR="00474DAD" w:rsidRPr="0048196F" w:rsidRDefault="00474DAD">
            <w:pPr>
              <w:rPr>
                <w:i/>
                <w:iCs/>
                <w:lang w:val="en-US"/>
              </w:rPr>
            </w:pPr>
            <w:r w:rsidRPr="0048196F">
              <w:rPr>
                <w:i/>
                <w:iCs/>
                <w:lang w:val="en-US"/>
              </w:rPr>
              <w:t>Extreme weather events</w:t>
            </w:r>
          </w:p>
        </w:tc>
        <w:tc>
          <w:tcPr>
            <w:tcW w:w="1300" w:type="dxa"/>
            <w:noWrap/>
            <w:hideMark/>
          </w:tcPr>
          <w:p w14:paraId="40CA75FE" w14:textId="77777777" w:rsidR="00474DAD" w:rsidRPr="0048196F" w:rsidRDefault="00474DAD">
            <w:pPr>
              <w:rPr>
                <w:i/>
                <w:iCs/>
                <w:lang w:val="en-US"/>
              </w:rPr>
            </w:pPr>
          </w:p>
        </w:tc>
        <w:tc>
          <w:tcPr>
            <w:tcW w:w="1692" w:type="dxa"/>
            <w:noWrap/>
            <w:hideMark/>
          </w:tcPr>
          <w:p w14:paraId="321D79E0" w14:textId="77777777" w:rsidR="00474DAD" w:rsidRPr="0048196F" w:rsidRDefault="00474DAD">
            <w:pPr>
              <w:rPr>
                <w:lang w:val="en-US"/>
              </w:rPr>
            </w:pPr>
          </w:p>
        </w:tc>
      </w:tr>
      <w:tr w:rsidR="00474DAD" w:rsidRPr="0048196F" w14:paraId="70C2EC81" w14:textId="77777777" w:rsidTr="00612276">
        <w:trPr>
          <w:trHeight w:val="340"/>
        </w:trPr>
        <w:tc>
          <w:tcPr>
            <w:tcW w:w="1643" w:type="dxa"/>
            <w:noWrap/>
            <w:hideMark/>
          </w:tcPr>
          <w:p w14:paraId="3ED48C1B" w14:textId="77777777" w:rsidR="00474DAD" w:rsidRPr="0048196F" w:rsidRDefault="00474DAD">
            <w:pPr>
              <w:rPr>
                <w:lang w:val="en-US"/>
              </w:rPr>
            </w:pPr>
          </w:p>
        </w:tc>
        <w:tc>
          <w:tcPr>
            <w:tcW w:w="3727" w:type="dxa"/>
            <w:hideMark/>
          </w:tcPr>
          <w:p w14:paraId="7B0FB31C" w14:textId="77777777" w:rsidR="00474DAD" w:rsidRPr="0048196F" w:rsidRDefault="00474DAD">
            <w:pPr>
              <w:rPr>
                <w:lang w:val="en-US"/>
              </w:rPr>
            </w:pPr>
            <w:r w:rsidRPr="0048196F">
              <w:rPr>
                <w:lang w:val="en-US"/>
              </w:rPr>
              <w:t>Resource scarcity</w:t>
            </w:r>
          </w:p>
        </w:tc>
        <w:tc>
          <w:tcPr>
            <w:tcW w:w="1300" w:type="dxa"/>
            <w:noWrap/>
            <w:hideMark/>
          </w:tcPr>
          <w:p w14:paraId="24572811" w14:textId="77777777" w:rsidR="00474DAD" w:rsidRPr="0048196F" w:rsidRDefault="00474DAD" w:rsidP="00474DAD">
            <w:pPr>
              <w:rPr>
                <w:lang w:val="en-US"/>
              </w:rPr>
            </w:pPr>
            <w:r w:rsidRPr="0048196F">
              <w:rPr>
                <w:lang w:val="en-US"/>
              </w:rPr>
              <w:t>41%</w:t>
            </w:r>
          </w:p>
        </w:tc>
        <w:tc>
          <w:tcPr>
            <w:tcW w:w="1692" w:type="dxa"/>
            <w:noWrap/>
            <w:hideMark/>
          </w:tcPr>
          <w:p w14:paraId="3EA8E76C" w14:textId="77777777" w:rsidR="00474DAD" w:rsidRPr="0048196F" w:rsidRDefault="00474DAD" w:rsidP="00474DAD">
            <w:pPr>
              <w:rPr>
                <w:i/>
                <w:iCs/>
                <w:lang w:val="en-US"/>
              </w:rPr>
            </w:pPr>
            <w:r w:rsidRPr="0048196F">
              <w:rPr>
                <w:i/>
                <w:iCs/>
                <w:lang w:val="en-US"/>
              </w:rPr>
              <w:t>Megatrend</w:t>
            </w:r>
          </w:p>
        </w:tc>
      </w:tr>
      <w:tr w:rsidR="00474DAD" w:rsidRPr="0048196F" w14:paraId="19AB9576" w14:textId="77777777" w:rsidTr="00612276">
        <w:trPr>
          <w:trHeight w:val="340"/>
        </w:trPr>
        <w:tc>
          <w:tcPr>
            <w:tcW w:w="1643" w:type="dxa"/>
            <w:noWrap/>
            <w:hideMark/>
          </w:tcPr>
          <w:p w14:paraId="00F7FBA4" w14:textId="77777777" w:rsidR="00474DAD" w:rsidRPr="0048196F" w:rsidRDefault="00474DAD" w:rsidP="00474DAD">
            <w:pPr>
              <w:rPr>
                <w:i/>
                <w:iCs/>
                <w:lang w:val="en-US"/>
              </w:rPr>
            </w:pPr>
          </w:p>
        </w:tc>
        <w:tc>
          <w:tcPr>
            <w:tcW w:w="3727" w:type="dxa"/>
            <w:hideMark/>
          </w:tcPr>
          <w:p w14:paraId="447D6FE9" w14:textId="77777777" w:rsidR="00474DAD" w:rsidRPr="0048196F" w:rsidRDefault="00474DAD">
            <w:pPr>
              <w:rPr>
                <w:i/>
                <w:iCs/>
                <w:lang w:val="en-US"/>
              </w:rPr>
            </w:pPr>
            <w:r w:rsidRPr="0048196F">
              <w:rPr>
                <w:i/>
                <w:iCs/>
                <w:lang w:val="en-US"/>
              </w:rPr>
              <w:t>Water scarcity</w:t>
            </w:r>
          </w:p>
        </w:tc>
        <w:tc>
          <w:tcPr>
            <w:tcW w:w="1300" w:type="dxa"/>
            <w:noWrap/>
            <w:hideMark/>
          </w:tcPr>
          <w:p w14:paraId="1B3B135E" w14:textId="77777777" w:rsidR="00474DAD" w:rsidRPr="0048196F" w:rsidRDefault="00474DAD">
            <w:pPr>
              <w:rPr>
                <w:i/>
                <w:iCs/>
                <w:lang w:val="en-US"/>
              </w:rPr>
            </w:pPr>
          </w:p>
        </w:tc>
        <w:tc>
          <w:tcPr>
            <w:tcW w:w="1692" w:type="dxa"/>
            <w:noWrap/>
            <w:hideMark/>
          </w:tcPr>
          <w:p w14:paraId="4462B44C" w14:textId="77777777" w:rsidR="00474DAD" w:rsidRPr="0048196F" w:rsidRDefault="00474DAD">
            <w:pPr>
              <w:rPr>
                <w:lang w:val="en-US"/>
              </w:rPr>
            </w:pPr>
          </w:p>
        </w:tc>
      </w:tr>
      <w:tr w:rsidR="00474DAD" w:rsidRPr="0048196F" w14:paraId="5B110F70" w14:textId="77777777" w:rsidTr="00612276">
        <w:trPr>
          <w:trHeight w:val="340"/>
        </w:trPr>
        <w:tc>
          <w:tcPr>
            <w:tcW w:w="1643" w:type="dxa"/>
            <w:noWrap/>
            <w:hideMark/>
          </w:tcPr>
          <w:p w14:paraId="66919F24" w14:textId="77777777" w:rsidR="00474DAD" w:rsidRPr="0048196F" w:rsidRDefault="00474DAD">
            <w:pPr>
              <w:rPr>
                <w:lang w:val="en-US"/>
              </w:rPr>
            </w:pPr>
          </w:p>
        </w:tc>
        <w:tc>
          <w:tcPr>
            <w:tcW w:w="3727" w:type="dxa"/>
            <w:hideMark/>
          </w:tcPr>
          <w:p w14:paraId="7B9308A8" w14:textId="77777777" w:rsidR="00474DAD" w:rsidRPr="0048196F" w:rsidRDefault="00474DAD">
            <w:pPr>
              <w:rPr>
                <w:i/>
                <w:iCs/>
                <w:lang w:val="en-US"/>
              </w:rPr>
            </w:pPr>
            <w:r w:rsidRPr="0048196F">
              <w:rPr>
                <w:i/>
                <w:iCs/>
                <w:lang w:val="en-US"/>
              </w:rPr>
              <w:t>GHG emissions</w:t>
            </w:r>
          </w:p>
        </w:tc>
        <w:tc>
          <w:tcPr>
            <w:tcW w:w="1300" w:type="dxa"/>
            <w:noWrap/>
            <w:hideMark/>
          </w:tcPr>
          <w:p w14:paraId="52C01A67" w14:textId="77777777" w:rsidR="00474DAD" w:rsidRPr="0048196F" w:rsidRDefault="00474DAD">
            <w:pPr>
              <w:rPr>
                <w:i/>
                <w:iCs/>
                <w:lang w:val="en-US"/>
              </w:rPr>
            </w:pPr>
          </w:p>
        </w:tc>
        <w:tc>
          <w:tcPr>
            <w:tcW w:w="1692" w:type="dxa"/>
            <w:noWrap/>
            <w:hideMark/>
          </w:tcPr>
          <w:p w14:paraId="2EC1C78C" w14:textId="77777777" w:rsidR="00474DAD" w:rsidRPr="0048196F" w:rsidRDefault="00474DAD">
            <w:pPr>
              <w:rPr>
                <w:lang w:val="en-US"/>
              </w:rPr>
            </w:pPr>
          </w:p>
        </w:tc>
      </w:tr>
      <w:tr w:rsidR="00474DAD" w:rsidRPr="0048196F" w14:paraId="5F790B05" w14:textId="77777777" w:rsidTr="00612276">
        <w:trPr>
          <w:trHeight w:val="340"/>
        </w:trPr>
        <w:tc>
          <w:tcPr>
            <w:tcW w:w="1643" w:type="dxa"/>
            <w:noWrap/>
            <w:hideMark/>
          </w:tcPr>
          <w:p w14:paraId="388A23C4" w14:textId="77777777" w:rsidR="00474DAD" w:rsidRPr="0048196F" w:rsidRDefault="00474DAD">
            <w:pPr>
              <w:rPr>
                <w:lang w:val="en-US"/>
              </w:rPr>
            </w:pPr>
          </w:p>
        </w:tc>
        <w:tc>
          <w:tcPr>
            <w:tcW w:w="3727" w:type="dxa"/>
            <w:hideMark/>
          </w:tcPr>
          <w:p w14:paraId="268AD525" w14:textId="77777777" w:rsidR="00474DAD" w:rsidRPr="0048196F" w:rsidRDefault="00474DAD">
            <w:pPr>
              <w:rPr>
                <w:lang w:val="en-US"/>
              </w:rPr>
            </w:pPr>
            <w:r w:rsidRPr="0048196F">
              <w:rPr>
                <w:lang w:val="en-US"/>
              </w:rPr>
              <w:t>Environmental degradation</w:t>
            </w:r>
          </w:p>
        </w:tc>
        <w:tc>
          <w:tcPr>
            <w:tcW w:w="1300" w:type="dxa"/>
            <w:noWrap/>
            <w:hideMark/>
          </w:tcPr>
          <w:p w14:paraId="371FB619" w14:textId="77777777" w:rsidR="00474DAD" w:rsidRPr="0048196F" w:rsidRDefault="00474DAD" w:rsidP="00474DAD">
            <w:pPr>
              <w:rPr>
                <w:lang w:val="en-US"/>
              </w:rPr>
            </w:pPr>
            <w:r w:rsidRPr="0048196F">
              <w:rPr>
                <w:lang w:val="en-US"/>
              </w:rPr>
              <w:t>21%</w:t>
            </w:r>
          </w:p>
        </w:tc>
        <w:tc>
          <w:tcPr>
            <w:tcW w:w="1692" w:type="dxa"/>
            <w:noWrap/>
            <w:hideMark/>
          </w:tcPr>
          <w:p w14:paraId="5699A5C3" w14:textId="77777777" w:rsidR="00474DAD" w:rsidRPr="0048196F" w:rsidRDefault="00474DAD" w:rsidP="00474DAD">
            <w:pPr>
              <w:rPr>
                <w:i/>
                <w:iCs/>
                <w:lang w:val="en-US"/>
              </w:rPr>
            </w:pPr>
            <w:r w:rsidRPr="0048196F">
              <w:rPr>
                <w:i/>
                <w:iCs/>
                <w:lang w:val="en-US"/>
              </w:rPr>
              <w:t>Megatrend</w:t>
            </w:r>
          </w:p>
        </w:tc>
      </w:tr>
      <w:tr w:rsidR="00474DAD" w:rsidRPr="0048196F" w14:paraId="048781AB" w14:textId="77777777" w:rsidTr="00612276">
        <w:trPr>
          <w:trHeight w:val="340"/>
        </w:trPr>
        <w:tc>
          <w:tcPr>
            <w:tcW w:w="1643" w:type="dxa"/>
            <w:noWrap/>
            <w:hideMark/>
          </w:tcPr>
          <w:p w14:paraId="41A8AF36" w14:textId="77777777" w:rsidR="00474DAD" w:rsidRPr="0048196F" w:rsidRDefault="00474DAD" w:rsidP="00474DAD">
            <w:pPr>
              <w:rPr>
                <w:i/>
                <w:iCs/>
                <w:lang w:val="en-US"/>
              </w:rPr>
            </w:pPr>
          </w:p>
        </w:tc>
        <w:tc>
          <w:tcPr>
            <w:tcW w:w="3727" w:type="dxa"/>
            <w:hideMark/>
          </w:tcPr>
          <w:p w14:paraId="7F566FC6" w14:textId="77777777" w:rsidR="00474DAD" w:rsidRPr="0048196F" w:rsidRDefault="00474DAD">
            <w:pPr>
              <w:rPr>
                <w:i/>
                <w:iCs/>
                <w:lang w:val="en-US"/>
              </w:rPr>
            </w:pPr>
            <w:r w:rsidRPr="0048196F">
              <w:rPr>
                <w:i/>
                <w:iCs/>
                <w:lang w:val="en-US"/>
              </w:rPr>
              <w:t>Eutrophication</w:t>
            </w:r>
          </w:p>
        </w:tc>
        <w:tc>
          <w:tcPr>
            <w:tcW w:w="1300" w:type="dxa"/>
            <w:noWrap/>
            <w:hideMark/>
          </w:tcPr>
          <w:p w14:paraId="320AF1DF" w14:textId="77777777" w:rsidR="00474DAD" w:rsidRPr="0048196F" w:rsidRDefault="00474DAD">
            <w:pPr>
              <w:rPr>
                <w:i/>
                <w:iCs/>
                <w:lang w:val="en-US"/>
              </w:rPr>
            </w:pPr>
          </w:p>
        </w:tc>
        <w:tc>
          <w:tcPr>
            <w:tcW w:w="1692" w:type="dxa"/>
            <w:noWrap/>
            <w:hideMark/>
          </w:tcPr>
          <w:p w14:paraId="68EDC410" w14:textId="77777777" w:rsidR="00474DAD" w:rsidRPr="0048196F" w:rsidRDefault="00474DAD">
            <w:pPr>
              <w:rPr>
                <w:lang w:val="en-US"/>
              </w:rPr>
            </w:pPr>
          </w:p>
        </w:tc>
      </w:tr>
      <w:tr w:rsidR="00474DAD" w:rsidRPr="0048196F" w14:paraId="6CE869FC" w14:textId="77777777" w:rsidTr="00612276">
        <w:trPr>
          <w:trHeight w:val="340"/>
        </w:trPr>
        <w:tc>
          <w:tcPr>
            <w:tcW w:w="1643" w:type="dxa"/>
            <w:noWrap/>
            <w:hideMark/>
          </w:tcPr>
          <w:p w14:paraId="5D862728" w14:textId="77777777" w:rsidR="00474DAD" w:rsidRPr="0048196F" w:rsidRDefault="00474DAD">
            <w:pPr>
              <w:rPr>
                <w:lang w:val="en-US"/>
              </w:rPr>
            </w:pPr>
          </w:p>
        </w:tc>
        <w:tc>
          <w:tcPr>
            <w:tcW w:w="3727" w:type="dxa"/>
            <w:hideMark/>
          </w:tcPr>
          <w:p w14:paraId="7E98FF8C" w14:textId="77777777" w:rsidR="00474DAD" w:rsidRPr="0048196F" w:rsidRDefault="00474DAD">
            <w:pPr>
              <w:rPr>
                <w:i/>
                <w:iCs/>
                <w:lang w:val="en-US"/>
              </w:rPr>
            </w:pPr>
            <w:r w:rsidRPr="0048196F">
              <w:rPr>
                <w:i/>
                <w:iCs/>
                <w:lang w:val="en-US"/>
              </w:rPr>
              <w:t>Bio Diversity loss</w:t>
            </w:r>
          </w:p>
        </w:tc>
        <w:tc>
          <w:tcPr>
            <w:tcW w:w="1300" w:type="dxa"/>
            <w:noWrap/>
            <w:hideMark/>
          </w:tcPr>
          <w:p w14:paraId="4E908BC7" w14:textId="77777777" w:rsidR="00474DAD" w:rsidRPr="0048196F" w:rsidRDefault="00474DAD">
            <w:pPr>
              <w:rPr>
                <w:i/>
                <w:iCs/>
                <w:lang w:val="en-US"/>
              </w:rPr>
            </w:pPr>
          </w:p>
        </w:tc>
        <w:tc>
          <w:tcPr>
            <w:tcW w:w="1692" w:type="dxa"/>
            <w:noWrap/>
            <w:hideMark/>
          </w:tcPr>
          <w:p w14:paraId="1A4F3D1E" w14:textId="77777777" w:rsidR="00474DAD" w:rsidRPr="0048196F" w:rsidRDefault="00474DAD">
            <w:pPr>
              <w:rPr>
                <w:lang w:val="en-US"/>
              </w:rPr>
            </w:pPr>
          </w:p>
        </w:tc>
      </w:tr>
      <w:tr w:rsidR="00474DAD" w:rsidRPr="0048196F" w14:paraId="780453D6" w14:textId="77777777" w:rsidTr="00612276">
        <w:trPr>
          <w:trHeight w:val="340"/>
        </w:trPr>
        <w:tc>
          <w:tcPr>
            <w:tcW w:w="1643" w:type="dxa"/>
            <w:noWrap/>
            <w:hideMark/>
          </w:tcPr>
          <w:p w14:paraId="2B36CA54" w14:textId="77777777" w:rsidR="00474DAD" w:rsidRPr="0048196F" w:rsidRDefault="00474DAD">
            <w:pPr>
              <w:rPr>
                <w:lang w:val="en-US"/>
              </w:rPr>
            </w:pPr>
            <w:r w:rsidRPr="0048196F">
              <w:rPr>
                <w:lang w:val="en-US"/>
              </w:rPr>
              <w:t>Legal</w:t>
            </w:r>
          </w:p>
        </w:tc>
        <w:tc>
          <w:tcPr>
            <w:tcW w:w="3727" w:type="dxa"/>
            <w:hideMark/>
          </w:tcPr>
          <w:p w14:paraId="6FFCD400" w14:textId="77777777" w:rsidR="00474DAD" w:rsidRPr="0048196F" w:rsidRDefault="00474DAD">
            <w:pPr>
              <w:rPr>
                <w:lang w:val="en-US"/>
              </w:rPr>
            </w:pPr>
            <w:r w:rsidRPr="0048196F">
              <w:rPr>
                <w:lang w:val="en-US"/>
              </w:rPr>
              <w:t>Tightening of Standards</w:t>
            </w:r>
          </w:p>
        </w:tc>
        <w:tc>
          <w:tcPr>
            <w:tcW w:w="1300" w:type="dxa"/>
            <w:noWrap/>
            <w:hideMark/>
          </w:tcPr>
          <w:p w14:paraId="515DFBE2" w14:textId="77777777" w:rsidR="00474DAD" w:rsidRPr="0048196F" w:rsidRDefault="00474DAD" w:rsidP="00474DAD">
            <w:pPr>
              <w:rPr>
                <w:lang w:val="en-US"/>
              </w:rPr>
            </w:pPr>
            <w:r w:rsidRPr="0048196F">
              <w:rPr>
                <w:lang w:val="en-US"/>
              </w:rPr>
              <w:t>28%</w:t>
            </w:r>
          </w:p>
        </w:tc>
        <w:tc>
          <w:tcPr>
            <w:tcW w:w="1692" w:type="dxa"/>
            <w:noWrap/>
            <w:hideMark/>
          </w:tcPr>
          <w:p w14:paraId="1D94FEEC" w14:textId="77777777" w:rsidR="00474DAD" w:rsidRPr="0048196F" w:rsidRDefault="00474DAD" w:rsidP="00474DAD">
            <w:pPr>
              <w:rPr>
                <w:i/>
                <w:iCs/>
                <w:lang w:val="en-US"/>
              </w:rPr>
            </w:pPr>
            <w:r w:rsidRPr="0048196F">
              <w:rPr>
                <w:i/>
                <w:iCs/>
                <w:lang w:val="en-US"/>
              </w:rPr>
              <w:t>Driver Of Change</w:t>
            </w:r>
          </w:p>
        </w:tc>
      </w:tr>
      <w:tr w:rsidR="00474DAD" w:rsidRPr="0048196F" w14:paraId="6F72FE69" w14:textId="77777777" w:rsidTr="00612276">
        <w:trPr>
          <w:trHeight w:val="340"/>
        </w:trPr>
        <w:tc>
          <w:tcPr>
            <w:tcW w:w="1643" w:type="dxa"/>
            <w:noWrap/>
            <w:hideMark/>
          </w:tcPr>
          <w:p w14:paraId="59112A1C" w14:textId="77777777" w:rsidR="00474DAD" w:rsidRPr="0048196F" w:rsidRDefault="00474DAD" w:rsidP="00474DAD">
            <w:pPr>
              <w:rPr>
                <w:i/>
                <w:iCs/>
                <w:lang w:val="en-US"/>
              </w:rPr>
            </w:pPr>
          </w:p>
        </w:tc>
        <w:tc>
          <w:tcPr>
            <w:tcW w:w="3727" w:type="dxa"/>
            <w:hideMark/>
          </w:tcPr>
          <w:p w14:paraId="02894745" w14:textId="77777777" w:rsidR="00474DAD" w:rsidRPr="0048196F" w:rsidRDefault="00474DAD">
            <w:pPr>
              <w:rPr>
                <w:i/>
                <w:iCs/>
                <w:lang w:val="en-US"/>
              </w:rPr>
            </w:pPr>
            <w:r w:rsidRPr="0048196F">
              <w:rPr>
                <w:i/>
                <w:iCs/>
                <w:lang w:val="en-US"/>
              </w:rPr>
              <w:t>Pesticide related regulations</w:t>
            </w:r>
          </w:p>
        </w:tc>
        <w:tc>
          <w:tcPr>
            <w:tcW w:w="1300" w:type="dxa"/>
            <w:noWrap/>
            <w:hideMark/>
          </w:tcPr>
          <w:p w14:paraId="677FE666" w14:textId="77777777" w:rsidR="00474DAD" w:rsidRPr="0048196F" w:rsidRDefault="00474DAD">
            <w:pPr>
              <w:rPr>
                <w:i/>
                <w:iCs/>
                <w:lang w:val="en-US"/>
              </w:rPr>
            </w:pPr>
          </w:p>
        </w:tc>
        <w:tc>
          <w:tcPr>
            <w:tcW w:w="1692" w:type="dxa"/>
            <w:noWrap/>
            <w:hideMark/>
          </w:tcPr>
          <w:p w14:paraId="30B6CA13" w14:textId="77777777" w:rsidR="00474DAD" w:rsidRPr="0048196F" w:rsidRDefault="00474DAD">
            <w:pPr>
              <w:rPr>
                <w:lang w:val="en-US"/>
              </w:rPr>
            </w:pPr>
          </w:p>
        </w:tc>
      </w:tr>
      <w:tr w:rsidR="00474DAD" w:rsidRPr="0048196F" w14:paraId="1E3BCEC9" w14:textId="77777777" w:rsidTr="00612276">
        <w:trPr>
          <w:trHeight w:val="340"/>
        </w:trPr>
        <w:tc>
          <w:tcPr>
            <w:tcW w:w="1643" w:type="dxa"/>
            <w:noWrap/>
            <w:hideMark/>
          </w:tcPr>
          <w:p w14:paraId="2996F53C" w14:textId="77777777" w:rsidR="00474DAD" w:rsidRPr="0048196F" w:rsidRDefault="00474DAD">
            <w:pPr>
              <w:rPr>
                <w:lang w:val="en-US"/>
              </w:rPr>
            </w:pPr>
          </w:p>
        </w:tc>
        <w:tc>
          <w:tcPr>
            <w:tcW w:w="3727" w:type="dxa"/>
            <w:hideMark/>
          </w:tcPr>
          <w:p w14:paraId="1F4AD8A3" w14:textId="77777777" w:rsidR="00474DAD" w:rsidRPr="0048196F" w:rsidRDefault="00474DAD">
            <w:pPr>
              <w:rPr>
                <w:i/>
                <w:iCs/>
                <w:lang w:val="en-US"/>
              </w:rPr>
            </w:pPr>
            <w:r w:rsidRPr="0048196F">
              <w:rPr>
                <w:i/>
                <w:iCs/>
                <w:lang w:val="en-US"/>
              </w:rPr>
              <w:t>Private standards</w:t>
            </w:r>
          </w:p>
        </w:tc>
        <w:tc>
          <w:tcPr>
            <w:tcW w:w="1300" w:type="dxa"/>
            <w:noWrap/>
            <w:hideMark/>
          </w:tcPr>
          <w:p w14:paraId="1565B6E4" w14:textId="77777777" w:rsidR="00474DAD" w:rsidRPr="0048196F" w:rsidRDefault="00474DAD">
            <w:pPr>
              <w:rPr>
                <w:i/>
                <w:iCs/>
                <w:lang w:val="en-US"/>
              </w:rPr>
            </w:pPr>
          </w:p>
        </w:tc>
        <w:tc>
          <w:tcPr>
            <w:tcW w:w="1692" w:type="dxa"/>
            <w:noWrap/>
            <w:hideMark/>
          </w:tcPr>
          <w:p w14:paraId="7A25FBDA" w14:textId="77777777" w:rsidR="00474DAD" w:rsidRPr="0048196F" w:rsidRDefault="00474DAD">
            <w:pPr>
              <w:rPr>
                <w:lang w:val="en-US"/>
              </w:rPr>
            </w:pPr>
          </w:p>
        </w:tc>
      </w:tr>
      <w:tr w:rsidR="00474DAD" w:rsidRPr="0048196F" w14:paraId="2D213EAA" w14:textId="77777777" w:rsidTr="00612276">
        <w:trPr>
          <w:trHeight w:val="340"/>
        </w:trPr>
        <w:tc>
          <w:tcPr>
            <w:tcW w:w="1643" w:type="dxa"/>
            <w:noWrap/>
            <w:hideMark/>
          </w:tcPr>
          <w:p w14:paraId="7778C0C5" w14:textId="77777777" w:rsidR="00474DAD" w:rsidRPr="0048196F" w:rsidRDefault="00474DAD">
            <w:pPr>
              <w:rPr>
                <w:lang w:val="en-US"/>
              </w:rPr>
            </w:pPr>
          </w:p>
        </w:tc>
        <w:tc>
          <w:tcPr>
            <w:tcW w:w="3727" w:type="dxa"/>
            <w:hideMark/>
          </w:tcPr>
          <w:p w14:paraId="6E8837E8" w14:textId="77777777" w:rsidR="00474DAD" w:rsidRPr="0048196F" w:rsidRDefault="00474DAD">
            <w:pPr>
              <w:rPr>
                <w:i/>
                <w:iCs/>
                <w:lang w:val="en-US"/>
              </w:rPr>
            </w:pPr>
            <w:r w:rsidRPr="0048196F">
              <w:rPr>
                <w:i/>
                <w:iCs/>
                <w:lang w:val="en-US"/>
              </w:rPr>
              <w:t>Public standards</w:t>
            </w:r>
          </w:p>
        </w:tc>
        <w:tc>
          <w:tcPr>
            <w:tcW w:w="1300" w:type="dxa"/>
            <w:noWrap/>
            <w:hideMark/>
          </w:tcPr>
          <w:p w14:paraId="7AD5A04F" w14:textId="77777777" w:rsidR="00474DAD" w:rsidRPr="0048196F" w:rsidRDefault="00474DAD">
            <w:pPr>
              <w:rPr>
                <w:i/>
                <w:iCs/>
                <w:lang w:val="en-US"/>
              </w:rPr>
            </w:pPr>
          </w:p>
        </w:tc>
        <w:tc>
          <w:tcPr>
            <w:tcW w:w="1692" w:type="dxa"/>
            <w:noWrap/>
            <w:hideMark/>
          </w:tcPr>
          <w:p w14:paraId="7073FF97" w14:textId="77777777" w:rsidR="00474DAD" w:rsidRPr="0048196F" w:rsidRDefault="00474DAD">
            <w:pPr>
              <w:rPr>
                <w:lang w:val="en-US"/>
              </w:rPr>
            </w:pPr>
          </w:p>
        </w:tc>
      </w:tr>
      <w:tr w:rsidR="00474DAD" w:rsidRPr="0048196F" w14:paraId="2ABFD4C8" w14:textId="77777777" w:rsidTr="00612276">
        <w:trPr>
          <w:trHeight w:val="340"/>
        </w:trPr>
        <w:tc>
          <w:tcPr>
            <w:tcW w:w="1643" w:type="dxa"/>
            <w:noWrap/>
            <w:hideMark/>
          </w:tcPr>
          <w:p w14:paraId="6F6DCE81" w14:textId="77777777" w:rsidR="00474DAD" w:rsidRPr="0048196F" w:rsidRDefault="00474DAD">
            <w:pPr>
              <w:rPr>
                <w:lang w:val="en-US"/>
              </w:rPr>
            </w:pPr>
          </w:p>
        </w:tc>
        <w:tc>
          <w:tcPr>
            <w:tcW w:w="3727" w:type="dxa"/>
            <w:hideMark/>
          </w:tcPr>
          <w:p w14:paraId="62982764" w14:textId="77777777" w:rsidR="00474DAD" w:rsidRPr="0048196F" w:rsidRDefault="00474DAD">
            <w:pPr>
              <w:rPr>
                <w:lang w:val="en-US"/>
              </w:rPr>
            </w:pPr>
            <w:r w:rsidRPr="0048196F">
              <w:rPr>
                <w:lang w:val="en-US"/>
              </w:rPr>
              <w:t>Regulatory issues</w:t>
            </w:r>
          </w:p>
        </w:tc>
        <w:tc>
          <w:tcPr>
            <w:tcW w:w="1300" w:type="dxa"/>
            <w:noWrap/>
            <w:hideMark/>
          </w:tcPr>
          <w:p w14:paraId="022C2357" w14:textId="77777777" w:rsidR="00474DAD" w:rsidRPr="0048196F" w:rsidRDefault="00474DAD" w:rsidP="00474DAD">
            <w:pPr>
              <w:rPr>
                <w:lang w:val="en-US"/>
              </w:rPr>
            </w:pPr>
            <w:r w:rsidRPr="0048196F">
              <w:rPr>
                <w:lang w:val="en-US"/>
              </w:rPr>
              <w:t>24%</w:t>
            </w:r>
          </w:p>
        </w:tc>
        <w:tc>
          <w:tcPr>
            <w:tcW w:w="1692" w:type="dxa"/>
            <w:noWrap/>
            <w:hideMark/>
          </w:tcPr>
          <w:p w14:paraId="72546551" w14:textId="77777777" w:rsidR="00474DAD" w:rsidRPr="0048196F" w:rsidRDefault="00474DAD" w:rsidP="00474DAD">
            <w:pPr>
              <w:rPr>
                <w:i/>
                <w:iCs/>
                <w:lang w:val="en-US"/>
              </w:rPr>
            </w:pPr>
            <w:r w:rsidRPr="0048196F">
              <w:rPr>
                <w:i/>
                <w:iCs/>
                <w:lang w:val="en-US"/>
              </w:rPr>
              <w:t>Driver Of Change</w:t>
            </w:r>
          </w:p>
        </w:tc>
      </w:tr>
      <w:tr w:rsidR="00474DAD" w:rsidRPr="0048196F" w14:paraId="3B36D627" w14:textId="77777777" w:rsidTr="00612276">
        <w:trPr>
          <w:trHeight w:val="340"/>
        </w:trPr>
        <w:tc>
          <w:tcPr>
            <w:tcW w:w="1643" w:type="dxa"/>
            <w:noWrap/>
            <w:hideMark/>
          </w:tcPr>
          <w:p w14:paraId="1C52CCE8" w14:textId="77777777" w:rsidR="00474DAD" w:rsidRPr="0048196F" w:rsidRDefault="00474DAD" w:rsidP="00474DAD">
            <w:pPr>
              <w:rPr>
                <w:i/>
                <w:iCs/>
                <w:lang w:val="en-US"/>
              </w:rPr>
            </w:pPr>
          </w:p>
        </w:tc>
        <w:tc>
          <w:tcPr>
            <w:tcW w:w="3727" w:type="dxa"/>
            <w:hideMark/>
          </w:tcPr>
          <w:p w14:paraId="2F8BA85D" w14:textId="77777777" w:rsidR="00474DAD" w:rsidRPr="0048196F" w:rsidRDefault="00474DAD">
            <w:pPr>
              <w:rPr>
                <w:i/>
                <w:iCs/>
                <w:lang w:val="en-US"/>
              </w:rPr>
            </w:pPr>
            <w:r w:rsidRPr="0048196F">
              <w:rPr>
                <w:i/>
                <w:iCs/>
                <w:lang w:val="en-US"/>
              </w:rPr>
              <w:t>Interoperability standards</w:t>
            </w:r>
          </w:p>
        </w:tc>
        <w:tc>
          <w:tcPr>
            <w:tcW w:w="1300" w:type="dxa"/>
            <w:noWrap/>
            <w:hideMark/>
          </w:tcPr>
          <w:p w14:paraId="1BC6C796" w14:textId="77777777" w:rsidR="00474DAD" w:rsidRPr="0048196F" w:rsidRDefault="00474DAD">
            <w:pPr>
              <w:rPr>
                <w:i/>
                <w:iCs/>
                <w:lang w:val="en-US"/>
              </w:rPr>
            </w:pPr>
          </w:p>
        </w:tc>
        <w:tc>
          <w:tcPr>
            <w:tcW w:w="1692" w:type="dxa"/>
            <w:noWrap/>
            <w:hideMark/>
          </w:tcPr>
          <w:p w14:paraId="33E38A21" w14:textId="77777777" w:rsidR="00474DAD" w:rsidRPr="0048196F" w:rsidRDefault="00474DAD">
            <w:pPr>
              <w:rPr>
                <w:lang w:val="en-US"/>
              </w:rPr>
            </w:pPr>
          </w:p>
        </w:tc>
      </w:tr>
      <w:tr w:rsidR="00474DAD" w:rsidRPr="0048196F" w14:paraId="21BB3BD6" w14:textId="77777777" w:rsidTr="00612276">
        <w:trPr>
          <w:trHeight w:val="340"/>
        </w:trPr>
        <w:tc>
          <w:tcPr>
            <w:tcW w:w="1643" w:type="dxa"/>
            <w:noWrap/>
            <w:hideMark/>
          </w:tcPr>
          <w:p w14:paraId="41C2588E" w14:textId="77777777" w:rsidR="00474DAD" w:rsidRPr="0048196F" w:rsidRDefault="00474DAD">
            <w:pPr>
              <w:rPr>
                <w:lang w:val="en-US"/>
              </w:rPr>
            </w:pPr>
          </w:p>
        </w:tc>
        <w:tc>
          <w:tcPr>
            <w:tcW w:w="3727" w:type="dxa"/>
            <w:hideMark/>
          </w:tcPr>
          <w:p w14:paraId="57CC16E0" w14:textId="77777777" w:rsidR="00474DAD" w:rsidRPr="0048196F" w:rsidRDefault="00474DAD">
            <w:pPr>
              <w:rPr>
                <w:i/>
                <w:iCs/>
                <w:lang w:val="en-US"/>
              </w:rPr>
            </w:pPr>
            <w:r w:rsidRPr="0048196F">
              <w:rPr>
                <w:i/>
                <w:iCs/>
                <w:lang w:val="en-US"/>
              </w:rPr>
              <w:t>Data Legislation</w:t>
            </w:r>
          </w:p>
        </w:tc>
        <w:tc>
          <w:tcPr>
            <w:tcW w:w="1300" w:type="dxa"/>
            <w:noWrap/>
            <w:hideMark/>
          </w:tcPr>
          <w:p w14:paraId="4B9680AB" w14:textId="77777777" w:rsidR="00474DAD" w:rsidRPr="0048196F" w:rsidRDefault="00474DAD">
            <w:pPr>
              <w:rPr>
                <w:i/>
                <w:iCs/>
                <w:lang w:val="en-US"/>
              </w:rPr>
            </w:pPr>
          </w:p>
        </w:tc>
        <w:tc>
          <w:tcPr>
            <w:tcW w:w="1692" w:type="dxa"/>
            <w:noWrap/>
            <w:hideMark/>
          </w:tcPr>
          <w:p w14:paraId="67D2EC2C" w14:textId="77777777" w:rsidR="00474DAD" w:rsidRPr="0048196F" w:rsidRDefault="00474DAD">
            <w:pPr>
              <w:rPr>
                <w:lang w:val="en-US"/>
              </w:rPr>
            </w:pPr>
          </w:p>
        </w:tc>
      </w:tr>
    </w:tbl>
    <w:p w14:paraId="29AB9FEF" w14:textId="38235ED4" w:rsidR="00474DAD" w:rsidRPr="0048196F" w:rsidRDefault="00474DAD" w:rsidP="00474DAD">
      <w:pPr>
        <w:rPr>
          <w:lang w:val="en-US"/>
        </w:rPr>
      </w:pPr>
    </w:p>
    <w:p w14:paraId="3FF9BE09" w14:textId="6AFC42FF" w:rsidR="00474DAD" w:rsidRPr="0048196F" w:rsidRDefault="00474DAD" w:rsidP="00745A20">
      <w:pPr>
        <w:rPr>
          <w:lang w:val="en-US"/>
        </w:rPr>
      </w:pPr>
    </w:p>
    <w:p w14:paraId="583814EF" w14:textId="2DC8D606" w:rsidR="00C51AF3" w:rsidRDefault="00C51AF3" w:rsidP="00C51AF3">
      <w:pPr>
        <w:pStyle w:val="Caption"/>
        <w:keepNext/>
      </w:pPr>
      <w:bookmarkStart w:id="104" w:name="_Toc14347502"/>
      <w:r>
        <w:t xml:space="preserve">Table </w:t>
      </w:r>
      <w:r w:rsidR="000D0D31">
        <w:fldChar w:fldCharType="begin"/>
      </w:r>
      <w:r w:rsidR="000D0D31">
        <w:instrText xml:space="preserve"> SEQ Table \* ARABIC </w:instrText>
      </w:r>
      <w:r w:rsidR="000D0D31">
        <w:fldChar w:fldCharType="separate"/>
      </w:r>
      <w:r w:rsidR="009F0429">
        <w:rPr>
          <w:noProof/>
        </w:rPr>
        <w:t>13</w:t>
      </w:r>
      <w:r w:rsidR="000D0D31">
        <w:fldChar w:fldCharType="end"/>
      </w:r>
      <w:r>
        <w:t>: Expert Survey</w:t>
      </w:r>
      <w:bookmarkEnd w:id="104"/>
    </w:p>
    <w:p w14:paraId="3363DF98" w14:textId="77777777" w:rsidR="004443B1" w:rsidRPr="0048196F" w:rsidRDefault="004443B1" w:rsidP="004443B1">
      <w:pPr>
        <w:rPr>
          <w:lang w:val="en-US"/>
        </w:rPr>
      </w:pPr>
      <w:r w:rsidRPr="0048196F">
        <w:rPr>
          <w:noProof/>
          <w:lang w:val="pt-PT" w:eastAsia="pt-PT"/>
        </w:rPr>
        <w:drawing>
          <wp:inline distT="0" distB="0" distL="0" distR="0" wp14:anchorId="5097C31E" wp14:editId="1CB3487B">
            <wp:extent cx="5759038" cy="7661564"/>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76617" cy="7684950"/>
                    </a:xfrm>
                    <a:prstGeom prst="rect">
                      <a:avLst/>
                    </a:prstGeom>
                  </pic:spPr>
                </pic:pic>
              </a:graphicData>
            </a:graphic>
          </wp:inline>
        </w:drawing>
      </w:r>
    </w:p>
    <w:p w14:paraId="19859048" w14:textId="77777777" w:rsidR="004443B1" w:rsidRPr="0048196F" w:rsidRDefault="004443B1" w:rsidP="004443B1">
      <w:pPr>
        <w:rPr>
          <w:lang w:val="en-US"/>
        </w:rPr>
      </w:pPr>
    </w:p>
    <w:p w14:paraId="33FCC744" w14:textId="77777777" w:rsidR="004443B1" w:rsidRPr="0048196F" w:rsidRDefault="004443B1" w:rsidP="00B24322">
      <w:pPr>
        <w:rPr>
          <w:lang w:val="en-US"/>
        </w:rPr>
      </w:pPr>
    </w:p>
    <w:p w14:paraId="24AC81DA" w14:textId="77777777" w:rsidR="00946B54" w:rsidRPr="0048196F" w:rsidRDefault="00946B54" w:rsidP="00B24322">
      <w:pPr>
        <w:rPr>
          <w:lang w:val="en-US"/>
        </w:rPr>
      </w:pPr>
    </w:p>
    <w:p w14:paraId="507578B2" w14:textId="45A435F5" w:rsidR="008C0512" w:rsidRDefault="008C0512" w:rsidP="008C0512">
      <w:pPr>
        <w:rPr>
          <w:lang w:val="en-US"/>
        </w:rPr>
      </w:pPr>
    </w:p>
    <w:p w14:paraId="2589A1A9" w14:textId="79DE4219" w:rsidR="004B68CD" w:rsidRPr="004B68CD" w:rsidRDefault="004B68CD" w:rsidP="004B68CD">
      <w:pPr>
        <w:pStyle w:val="Caption"/>
        <w:keepNext/>
        <w:rPr>
          <w:lang w:val="en-US"/>
        </w:rPr>
      </w:pPr>
      <w:bookmarkStart w:id="105" w:name="_Toc14347503"/>
      <w:r w:rsidRPr="004B68CD">
        <w:rPr>
          <w:lang w:val="en-US"/>
        </w:rPr>
        <w:t xml:space="preserve">Table </w:t>
      </w:r>
      <w:r w:rsidR="000D0D31">
        <w:rPr>
          <w:lang w:val="en-US"/>
        </w:rPr>
        <w:fldChar w:fldCharType="begin"/>
      </w:r>
      <w:r w:rsidR="000D0D31">
        <w:rPr>
          <w:lang w:val="en-US"/>
        </w:rPr>
        <w:instrText xml:space="preserve"> SEQ Table \* ARABIC </w:instrText>
      </w:r>
      <w:r w:rsidR="000D0D31">
        <w:rPr>
          <w:lang w:val="en-US"/>
        </w:rPr>
        <w:fldChar w:fldCharType="separate"/>
      </w:r>
      <w:r w:rsidR="009F0429">
        <w:rPr>
          <w:noProof/>
          <w:lang w:val="en-US"/>
        </w:rPr>
        <w:t>14</w:t>
      </w:r>
      <w:r w:rsidR="000D0D31">
        <w:rPr>
          <w:lang w:val="en-US"/>
        </w:rPr>
        <w:fldChar w:fldCharType="end"/>
      </w:r>
      <w:r w:rsidRPr="004B68CD">
        <w:rPr>
          <w:lang w:val="en-US"/>
        </w:rPr>
        <w:t>: Subset Literature megatrends and drivers of change</w:t>
      </w:r>
      <w:bookmarkEnd w:id="105"/>
    </w:p>
    <w:tbl>
      <w:tblPr>
        <w:tblStyle w:val="TableGrid"/>
        <w:tblW w:w="7825" w:type="dxa"/>
        <w:tblBorders>
          <w:left w:val="none" w:sz="0" w:space="0" w:color="auto"/>
          <w:right w:val="none" w:sz="0" w:space="0" w:color="auto"/>
        </w:tblBorders>
        <w:tblLook w:val="04A0" w:firstRow="1" w:lastRow="0" w:firstColumn="1" w:lastColumn="0" w:noHBand="0" w:noVBand="1"/>
      </w:tblPr>
      <w:tblGrid>
        <w:gridCol w:w="2299"/>
        <w:gridCol w:w="5526"/>
      </w:tblGrid>
      <w:tr w:rsidR="00BB01B4" w14:paraId="40ED1490" w14:textId="77777777" w:rsidTr="00C926D5">
        <w:trPr>
          <w:trHeight w:val="505"/>
          <w:tblHeader/>
        </w:trPr>
        <w:tc>
          <w:tcPr>
            <w:tcW w:w="2472" w:type="dxa"/>
            <w:tcMar>
              <w:left w:w="57" w:type="dxa"/>
              <w:right w:w="57" w:type="dxa"/>
            </w:tcMar>
          </w:tcPr>
          <w:p w14:paraId="2EB276E8" w14:textId="30CB90CB" w:rsidR="00BB01B4" w:rsidRPr="004B68CD" w:rsidRDefault="00BB01B4" w:rsidP="008C0512">
            <w:pPr>
              <w:rPr>
                <w:b/>
                <w:bCs/>
                <w:lang w:val="en-US"/>
              </w:rPr>
            </w:pPr>
            <w:r w:rsidRPr="004B68CD">
              <w:rPr>
                <w:b/>
                <w:bCs/>
                <w:lang w:val="en-US"/>
              </w:rPr>
              <w:t>Authors / Publisher</w:t>
            </w:r>
            <w:r w:rsidR="001768D9">
              <w:rPr>
                <w:b/>
                <w:bCs/>
                <w:lang w:val="en-US"/>
              </w:rPr>
              <w:t xml:space="preserve"> and year of publication</w:t>
            </w:r>
          </w:p>
          <w:p w14:paraId="6268B256" w14:textId="5D74D428" w:rsidR="004B68CD" w:rsidRPr="004B68CD" w:rsidRDefault="004B68CD" w:rsidP="004B68CD">
            <w:pPr>
              <w:rPr>
                <w:lang w:val="en-US"/>
              </w:rPr>
            </w:pPr>
            <w:r w:rsidRPr="004B68CD">
              <w:rPr>
                <w:lang w:val="en-US"/>
              </w:rPr>
              <w:t>*</w:t>
            </w:r>
            <w:r>
              <w:rPr>
                <w:lang w:val="en-US"/>
              </w:rPr>
              <w:t xml:space="preserve"> Used for benchmarking value chain</w:t>
            </w:r>
          </w:p>
        </w:tc>
        <w:tc>
          <w:tcPr>
            <w:tcW w:w="6358" w:type="dxa"/>
            <w:tcMar>
              <w:left w:w="57" w:type="dxa"/>
              <w:right w:w="57" w:type="dxa"/>
            </w:tcMar>
          </w:tcPr>
          <w:p w14:paraId="658E7D8F" w14:textId="5ECC39F9" w:rsidR="00BB01B4" w:rsidRPr="004B68CD" w:rsidRDefault="000D0D31" w:rsidP="008C0512">
            <w:pPr>
              <w:rPr>
                <w:b/>
                <w:bCs/>
                <w:lang w:val="en-US"/>
              </w:rPr>
            </w:pPr>
            <w:r>
              <w:rPr>
                <w:b/>
                <w:bCs/>
                <w:lang w:val="en-US"/>
              </w:rPr>
              <w:t>Title</w:t>
            </w:r>
            <w:r w:rsidR="00BB01B4" w:rsidRPr="004B68CD">
              <w:rPr>
                <w:b/>
                <w:bCs/>
                <w:lang w:val="en-US"/>
              </w:rPr>
              <w:t xml:space="preserve"> </w:t>
            </w:r>
          </w:p>
        </w:tc>
      </w:tr>
      <w:tr w:rsidR="00BB01B4" w14:paraId="50B657C8" w14:textId="77777777" w:rsidTr="00C926D5">
        <w:trPr>
          <w:trHeight w:val="577"/>
        </w:trPr>
        <w:tc>
          <w:tcPr>
            <w:tcW w:w="2472" w:type="dxa"/>
            <w:tcMar>
              <w:left w:w="57" w:type="dxa"/>
              <w:right w:w="57" w:type="dxa"/>
            </w:tcMar>
          </w:tcPr>
          <w:p w14:paraId="623AA3D7" w14:textId="57D0F35D" w:rsidR="00BB01B4" w:rsidRDefault="008619A7" w:rsidP="008C0512">
            <w:pPr>
              <w:rPr>
                <w:lang w:val="en-US"/>
              </w:rPr>
            </w:pPr>
            <w:r>
              <w:rPr>
                <w:lang w:val="en-US"/>
              </w:rPr>
              <w:fldChar w:fldCharType="begin" w:fldLock="1"/>
            </w:r>
            <w:r>
              <w:rPr>
                <w:lang w:val="en-US"/>
              </w:rPr>
              <w:instrText>ADDIN CSL_CITATION {"citationItems":[{"id":"ITEM-1","itemData":{"author":[{"dropping-particle":"","family":"AgFunder","given":"","non-dropping-particle":"","parse-names":false,"suffix":""}],"id":"ITEM-1","issued":{"date-parts":[["2017"]]},"title":"AgFunder Agrifood Tech Investing Report 2017","type":"article-journal"},"uris":["http://www.mendeley.com/documents/?uuid=2a5285ca-b030-4a47-914e-b37d0692602f"]}],"mendeley":{"formattedCitation":"(AgFunder, 2017)","plainTextFormattedCitation":"(AgFunder, 2017)"},"properties":{"noteIndex":0},"schema":"https://github.com/citation-style-language/schema/raw/master/csl-citation.json"}</w:instrText>
            </w:r>
            <w:r>
              <w:rPr>
                <w:lang w:val="en-US"/>
              </w:rPr>
              <w:fldChar w:fldCharType="separate"/>
            </w:r>
            <w:r w:rsidRPr="008619A7">
              <w:rPr>
                <w:noProof/>
                <w:lang w:val="en-US"/>
              </w:rPr>
              <w:t>(AgFunder, 2017)</w:t>
            </w:r>
            <w:r>
              <w:rPr>
                <w:lang w:val="en-US"/>
              </w:rPr>
              <w:fldChar w:fldCharType="end"/>
            </w:r>
          </w:p>
        </w:tc>
        <w:tc>
          <w:tcPr>
            <w:tcW w:w="6358" w:type="dxa"/>
            <w:tcMar>
              <w:left w:w="57" w:type="dxa"/>
              <w:right w:w="57" w:type="dxa"/>
            </w:tcMar>
          </w:tcPr>
          <w:p w14:paraId="7EAC4C8A" w14:textId="67048062" w:rsidR="00BB01B4" w:rsidRDefault="00BB01B4" w:rsidP="008C0512">
            <w:pPr>
              <w:rPr>
                <w:lang w:val="en-US"/>
              </w:rPr>
            </w:pPr>
            <w:r>
              <w:rPr>
                <w:lang w:val="en-US"/>
              </w:rPr>
              <w:t>Agrifood Tech investing Report</w:t>
            </w:r>
          </w:p>
        </w:tc>
      </w:tr>
      <w:tr w:rsidR="00BB01B4" w:rsidRPr="00AB4713" w14:paraId="64CD5DE6" w14:textId="77777777" w:rsidTr="00C926D5">
        <w:trPr>
          <w:trHeight w:val="644"/>
        </w:trPr>
        <w:tc>
          <w:tcPr>
            <w:tcW w:w="2472" w:type="dxa"/>
            <w:tcMar>
              <w:left w:w="57" w:type="dxa"/>
              <w:right w:w="57" w:type="dxa"/>
            </w:tcMar>
          </w:tcPr>
          <w:p w14:paraId="7E5281CC" w14:textId="0F76DD59" w:rsidR="00BB01B4" w:rsidRDefault="008619A7" w:rsidP="008C0512">
            <w:pPr>
              <w:rPr>
                <w:lang w:val="en-US"/>
              </w:rPr>
            </w:pPr>
            <w:r>
              <w:rPr>
                <w:lang w:val="en-US"/>
              </w:rPr>
              <w:fldChar w:fldCharType="begin" w:fldLock="1"/>
            </w:r>
            <w:r>
              <w:rPr>
                <w:lang w:val="en-US"/>
              </w:rPr>
              <w:instrText>ADDIN CSL_CITATION {"citationItems":[{"id":"ITEM-1","itemData":{"author":[{"dropping-particle":"","family":"Ainia","given":"","non-dropping-particle":"","parse-names":false,"suffix":""}],"id":"ITEM-1","issued":{"date-parts":[["0"]]},"page":"1-12","title":"Stakeholders and Activities in the Agri-Food Supply Chain","type":"article-journal"},"uris":["http://www.mendeley.com/documents/?uuid=3f10e636-d45d-4bf4-84d9-5b980cd95861"]}],"mendeley":{"formattedCitation":"(Ainia, n.d.)","plainTextFormattedCitation":"(Ainia, n.d.)","previouslyFormattedCitation":"(Ainia, n.d.)"},"properties":{"noteIndex":0},"schema":"https://github.com/citation-style-language/schema/raw/master/csl-citation.json"}</w:instrText>
            </w:r>
            <w:r>
              <w:rPr>
                <w:lang w:val="en-US"/>
              </w:rPr>
              <w:fldChar w:fldCharType="separate"/>
            </w:r>
            <w:r w:rsidRPr="008619A7">
              <w:rPr>
                <w:noProof/>
                <w:lang w:val="en-US"/>
              </w:rPr>
              <w:t>(Ainia, n.d.)</w:t>
            </w:r>
            <w:r>
              <w:rPr>
                <w:lang w:val="en-US"/>
              </w:rPr>
              <w:fldChar w:fldCharType="end"/>
            </w:r>
            <w:r>
              <w:rPr>
                <w:lang w:val="en-US"/>
              </w:rPr>
              <w:t>*</w:t>
            </w:r>
          </w:p>
        </w:tc>
        <w:tc>
          <w:tcPr>
            <w:tcW w:w="6358" w:type="dxa"/>
            <w:tcMar>
              <w:left w:w="57" w:type="dxa"/>
              <w:right w:w="57" w:type="dxa"/>
            </w:tcMar>
          </w:tcPr>
          <w:p w14:paraId="3E4A6FC3" w14:textId="1F120F19" w:rsidR="00BB01B4" w:rsidRDefault="00BB01B4" w:rsidP="008C0512">
            <w:pPr>
              <w:rPr>
                <w:lang w:val="en-US"/>
              </w:rPr>
            </w:pPr>
            <w:r>
              <w:rPr>
                <w:lang w:val="en-US"/>
              </w:rPr>
              <w:t>Stakeholders and activities in the Agri-Food Supply Chain</w:t>
            </w:r>
          </w:p>
        </w:tc>
      </w:tr>
      <w:tr w:rsidR="00BB01B4" w:rsidRPr="00AB4713" w14:paraId="7AFBAAE3" w14:textId="77777777" w:rsidTr="00C926D5">
        <w:trPr>
          <w:trHeight w:val="872"/>
        </w:trPr>
        <w:tc>
          <w:tcPr>
            <w:tcW w:w="2472" w:type="dxa"/>
            <w:tcMar>
              <w:left w:w="57" w:type="dxa"/>
              <w:right w:w="57" w:type="dxa"/>
            </w:tcMar>
          </w:tcPr>
          <w:p w14:paraId="35983345" w14:textId="41045ADF" w:rsidR="004B68CD" w:rsidRPr="004B68CD" w:rsidRDefault="00BB01B4" w:rsidP="004B68CD">
            <w:pPr>
              <w:rPr>
                <w:noProof/>
                <w:lang w:val="en-US"/>
              </w:rPr>
            </w:pPr>
            <w:r>
              <w:rPr>
                <w:lang w:val="en-US"/>
              </w:rPr>
              <w:fldChar w:fldCharType="begin" w:fldLock="1"/>
            </w:r>
            <w:r w:rsidR="001768D9">
              <w:rPr>
                <w:lang w:val="en-US"/>
              </w:rPr>
              <w:instrText>ADDIN CSL_CITATION {"citationItems":[{"id":"ITEM-1","itemData":{"DOI":"10.3390/su10124850","ISSN":"20711050","abstract":"Resource efficiency in the agri-food sector is a global urgent issue considering the urbanisation phenomena, the increased nutritional needs, and the emergence of diversified dietary norms. Despite the ongoing progress in digital technologies that could enable resource-efficient operations in the sector, their effectiveness—even in developed countries—remains debateable mainly due to the limited understanding that further impedes their adoption by farmers. Among others, ease of access, training, and engagement with digital technologies appears to be challenging for most stakeholders, especially during the production (farming) stage. Specifically, in developing countries, that often encounter major natural resources challenges, the diverse socio-cultural background of the farmers hinders the adoption of digital technologies to perform highly automated and efficient agricultural operations for ensuring sustainability output. In this regard, we explore publicly available data sources (i.e., institutional reports, databases) to identify key challenges in adopting digital technologies for efficient resource use from a systems-level perspective. Thereafter, we map the determinant factors using the System Dynamics methodology in order to identify areas of interventions to limit natural resources’ appropriation and support agri-food sustainability.","author":[{"dropping-particle":"","family":"Anastasiadis","given":"Foivos","non-dropping-particle":"","parse-names":false,"suffix":""},{"dropping-particle":"","family":"Tsolakis","given":"Naoum","non-dropping-particle":"","parse-names":false,"suffix":""},{"dropping-particle":"","family":"Srai","given":"Jagjit Singh","non-dropping-particle":"","parse-names":false,"suffix":""}],"container-title":"Sustainability (Switzerland)","id":"ITEM-1","issue":"12","issued":{"date-parts":[["2018"]]},"title":"Digital technologies towards resource efficiency in the agrifood sector: Key challenges in developing countries","type":"article","volume":"10"},"uris":["http://www.mendeley.com/documents/?uuid=d1e75509-2118-4242-99a4-9f7f06d04062"]}],"mendeley":{"formattedCitation":"(Anastasiadis et al., 2018)","manualFormatting":"Anastasiadis et al., (2018)","plainTextFormattedCitation":"(Anastasiadis et al., 2018)","previouslyFormattedCitation":"(Anastasiadis et al., 2018)"},"properties":{"noteIndex":0},"schema":"https://github.com/citation-style-language/schema/raw/master/csl-citation.json"}</w:instrText>
            </w:r>
            <w:r>
              <w:rPr>
                <w:lang w:val="en-US"/>
              </w:rPr>
              <w:fldChar w:fldCharType="separate"/>
            </w:r>
            <w:r w:rsidRPr="00BB01B4">
              <w:rPr>
                <w:noProof/>
                <w:lang w:val="en-US"/>
              </w:rPr>
              <w:t xml:space="preserve">Anastasiadis et al., </w:t>
            </w:r>
            <w:r w:rsidR="001768D9">
              <w:rPr>
                <w:noProof/>
                <w:lang w:val="en-US"/>
              </w:rPr>
              <w:t>(</w:t>
            </w:r>
            <w:r w:rsidRPr="00BB01B4">
              <w:rPr>
                <w:noProof/>
                <w:lang w:val="en-US"/>
              </w:rPr>
              <w:t>2018)</w:t>
            </w:r>
            <w:r>
              <w:rPr>
                <w:lang w:val="en-US"/>
              </w:rPr>
              <w:fldChar w:fldCharType="end"/>
            </w:r>
          </w:p>
        </w:tc>
        <w:tc>
          <w:tcPr>
            <w:tcW w:w="6358" w:type="dxa"/>
            <w:tcMar>
              <w:left w:w="57" w:type="dxa"/>
              <w:right w:w="57" w:type="dxa"/>
            </w:tcMar>
          </w:tcPr>
          <w:p w14:paraId="2AF3BB6E" w14:textId="20A903D5" w:rsidR="004B68CD" w:rsidRPr="004B68CD" w:rsidRDefault="00BB01B4" w:rsidP="004B68CD">
            <w:pPr>
              <w:rPr>
                <w:lang w:val="en-US"/>
              </w:rPr>
            </w:pPr>
            <w:r w:rsidRPr="00BB01B4">
              <w:rPr>
                <w:lang w:val="en-US"/>
              </w:rPr>
              <w:t>Digital technologies towards resource efficiency in the agrifood sector: Key challenges in developing countrie</w:t>
            </w:r>
            <w:r w:rsidR="004B68CD">
              <w:rPr>
                <w:lang w:val="en-US"/>
              </w:rPr>
              <w:t>s</w:t>
            </w:r>
          </w:p>
        </w:tc>
      </w:tr>
      <w:tr w:rsidR="00BB01B4" w:rsidRPr="00AB4713" w14:paraId="55AA2F0D" w14:textId="77777777" w:rsidTr="00C926D5">
        <w:trPr>
          <w:trHeight w:val="505"/>
        </w:trPr>
        <w:tc>
          <w:tcPr>
            <w:tcW w:w="2472" w:type="dxa"/>
            <w:tcMar>
              <w:left w:w="57" w:type="dxa"/>
              <w:right w:w="57" w:type="dxa"/>
            </w:tcMar>
          </w:tcPr>
          <w:p w14:paraId="23D7CCAA" w14:textId="13F72C05" w:rsidR="00BB01B4" w:rsidRDefault="008619A7" w:rsidP="008C0512">
            <w:pPr>
              <w:rPr>
                <w:lang w:val="en-US"/>
              </w:rPr>
            </w:pPr>
            <w:r>
              <w:rPr>
                <w:lang w:val="en-US"/>
              </w:rPr>
              <w:fldChar w:fldCharType="begin" w:fldLock="1"/>
            </w:r>
            <w:r>
              <w:rPr>
                <w:lang w:val="en-US"/>
              </w:rPr>
              <w:instrText>ADDIN CSL_CITATION {"citationItems":[{"id":"ITEM-1","itemData":{"ISBN":"0007070X (ISSN)","abstract":"Purpose – The purpose of this paper is twofold: first, to formulate an exhaustive list of the issues, gaps, and barriers at each level of the agri-food value chain in North Carolina (NC), and second, to identify the issues of greatest importance to its members. Design/methodology/approach – This research employed the Delphi technique in two stages of input. The first round of input was designed to create a comprehensive list of issues for each of nine “stages” of the agri-food value chain. In round two, the issues were prioritized. Findings – The top ten responses of each stage were aggregated into themes that represent the most critical issues identified by respondents: connectedness within the value chain, access to markets and marketing, affordability/availability of food and food distribution, farm profitability, societal awareness, and education about healthy, local food, and supporting institutions. Originality/value – The findings could be used by practitioners to inspire innovation in food-related products, programs, processes, organization, and marketing. The findings can help farmers, institutions, food distributors, policy makers, and other members of the agri-food value chain to make decisions about food distribution and access in NC and in other states facing similar issues and circumstances. The findings of this research also have further reaching implications, such as the connectivity of members along the agri-food value chain, the impact of a strong agri-food value chain on agritourism and the potential value of state marketing initiatives. © 2016, © Emerald Group Publishing Limited.","author":[{"dropping-particle":"","family":"Kline et al","given":"","non-dropping-particle":"","parse-names":false,"suffix":""}],"container-title":"British Food Journal","id":"ITEM-1","issue":"2","issued":{"date-parts":[["2016"]]},"page":"301-317","title":"Gaps and barriers along the North Carolina agri-food value chain","type":"article-journal","volume":"118"},"uris":["http://www.mendeley.com/documents/?uuid=e839334b-b161-4f40-84d6-71273fc52c26"]}],"mendeley":{"formattedCitation":"(Kline et al, 2016)","manualFormatting":"(Kline et al., 2016)","plainTextFormattedCitation":"(Kline et al, 2016)","previouslyFormattedCitation":"(Kline et al, 2016)"},"properties":{"noteIndex":0},"schema":"https://github.com/citation-style-language/schema/raw/master/csl-citation.json"}</w:instrText>
            </w:r>
            <w:r>
              <w:rPr>
                <w:lang w:val="en-US"/>
              </w:rPr>
              <w:fldChar w:fldCharType="separate"/>
            </w:r>
            <w:r w:rsidRPr="008619A7">
              <w:rPr>
                <w:noProof/>
                <w:lang w:val="en-US"/>
              </w:rPr>
              <w:t>(Kline et al</w:t>
            </w:r>
            <w:r>
              <w:rPr>
                <w:noProof/>
                <w:lang w:val="en-US"/>
              </w:rPr>
              <w:t>.</w:t>
            </w:r>
            <w:r w:rsidRPr="008619A7">
              <w:rPr>
                <w:noProof/>
                <w:lang w:val="en-US"/>
              </w:rPr>
              <w:t>, 2016)</w:t>
            </w:r>
            <w:r>
              <w:rPr>
                <w:lang w:val="en-US"/>
              </w:rPr>
              <w:fldChar w:fldCharType="end"/>
            </w:r>
          </w:p>
        </w:tc>
        <w:tc>
          <w:tcPr>
            <w:tcW w:w="6358" w:type="dxa"/>
            <w:tcMar>
              <w:left w:w="57" w:type="dxa"/>
              <w:right w:w="57" w:type="dxa"/>
            </w:tcMar>
          </w:tcPr>
          <w:p w14:paraId="28D35586" w14:textId="3A6F2C46" w:rsidR="00BB01B4" w:rsidRDefault="00BB01B4" w:rsidP="008C0512">
            <w:pPr>
              <w:rPr>
                <w:lang w:val="en-US"/>
              </w:rPr>
            </w:pPr>
            <w:r w:rsidRPr="00BB01B4">
              <w:rPr>
                <w:lang w:val="en-US"/>
              </w:rPr>
              <w:t>Gaps and barriers along the North Carolina agri-food value chain</w:t>
            </w:r>
          </w:p>
        </w:tc>
      </w:tr>
      <w:tr w:rsidR="00BB01B4" w:rsidRPr="00AB4713" w14:paraId="096FE84F" w14:textId="77777777" w:rsidTr="00C926D5">
        <w:trPr>
          <w:trHeight w:val="505"/>
        </w:trPr>
        <w:tc>
          <w:tcPr>
            <w:tcW w:w="2472" w:type="dxa"/>
            <w:tcMar>
              <w:left w:w="57" w:type="dxa"/>
              <w:right w:w="57" w:type="dxa"/>
            </w:tcMar>
          </w:tcPr>
          <w:p w14:paraId="7CDBEB06" w14:textId="0C74C40F" w:rsidR="00BB01B4" w:rsidRDefault="00BB01B4" w:rsidP="008C0512">
            <w:pPr>
              <w:rPr>
                <w:lang w:val="en-US"/>
              </w:rPr>
            </w:pPr>
            <w:r>
              <w:rPr>
                <w:lang w:val="en-US"/>
              </w:rPr>
              <w:fldChar w:fldCharType="begin" w:fldLock="1"/>
            </w:r>
            <w:r>
              <w:rPr>
                <w:lang w:val="en-US"/>
              </w:rPr>
              <w:instrText>ADDIN CSL_CITATION {"citationItems":[{"id":"ITEM-1","itemData":{"DOI":"10.3390/su11010222","ISSN":"20711050","abstract":"The availability, access, utilization and stability of food supply over time are the four pillars of food security which support nutrition outcomes. Addressing the issues raised globally around these pillars remains a challenge. The Food and Agriculture Organization of the United Nations (FAO) 2017 report “The future of food and agriculture: trends and challenges” outlined the challenges which will have to be addressed in order for sustainable agricultural services to cost-effectively meet the growing food demand of the world population. In this study, we systematically analyzed the future challenges of the agriculture and food systems by focusing on (1) their root causes and trends; and (2) the interlinkages among the solutions proposed to address the challenges using social network analysis tools. It found that, if trends leading to extreme poverty are reversed, several other challenges will also be partially addressed and that climate change has the highest impact on the network of trends. Improving food security would have positive impacts on food access and utilization. The clear outline of the qualitative relationships among challenges presented and insights will help their prioritization by decision makers. However, additional in-depth quantitative analysis is necessary before measures identified to tackle the challenges could be effectively implemented.","author":[{"dropping-particle":"","family":"Calicioglu","given":"Ozgul","non-dropping-particle":"","parse-names":false,"suffix":""},{"dropping-particle":"","family":"Flammini","given":"Alessandro","non-dropping-particle":"","parse-names":false,"suffix":""},{"dropping-particle":"","family":"Bracco","given":"Stefania","non-dropping-particle":"","parse-names":false,"suffix":""},{"dropping-particle":"","family":"Bellù","given":"Lorenzo","non-dropping-particle":"","parse-names":false,"suffix":""},{"dropping-particle":"","family":"Sims","given":"Ralph","non-dropping-particle":"","parse-names":false,"suffix":""}],"container-title":"Sustainability (Switzerland)","id":"ITEM-1","issue":"1","issued":{"date-parts":[["2019"]]},"title":"The future challenges of food and agriculture: An integrated analysis of trends and solutions","type":"article-journal","volume":"11"},"uris":["http://www.mendeley.com/documents/?uuid=d7569c14-0b37-41af-9224-8f7807ec37c3"]}],"mendeley":{"formattedCitation":"(Calicioglu et al., 2019)","plainTextFormattedCitation":"(Calicioglu et al., 2019)","previouslyFormattedCitation":"(Calicioglu et al., 2019)"},"properties":{"noteIndex":0},"schema":"https://github.com/citation-style-language/schema/raw/master/csl-citation.json"}</w:instrText>
            </w:r>
            <w:r>
              <w:rPr>
                <w:lang w:val="en-US"/>
              </w:rPr>
              <w:fldChar w:fldCharType="separate"/>
            </w:r>
            <w:r w:rsidR="008619A7" w:rsidRPr="008619A7">
              <w:rPr>
                <w:noProof/>
                <w:lang w:val="en-US"/>
              </w:rPr>
              <w:t>(Calicioglu et al., 2019)</w:t>
            </w:r>
            <w:r>
              <w:rPr>
                <w:lang w:val="en-US"/>
              </w:rPr>
              <w:fldChar w:fldCharType="end"/>
            </w:r>
          </w:p>
        </w:tc>
        <w:tc>
          <w:tcPr>
            <w:tcW w:w="6358" w:type="dxa"/>
            <w:tcMar>
              <w:left w:w="57" w:type="dxa"/>
              <w:right w:w="57" w:type="dxa"/>
            </w:tcMar>
          </w:tcPr>
          <w:p w14:paraId="1BD43533" w14:textId="4DA12E00" w:rsidR="00BB01B4" w:rsidRDefault="00BB01B4" w:rsidP="008C0512">
            <w:pPr>
              <w:rPr>
                <w:lang w:val="en-US"/>
              </w:rPr>
            </w:pPr>
            <w:r w:rsidRPr="00BB01B4">
              <w:rPr>
                <w:lang w:val="en-US"/>
              </w:rPr>
              <w:t>The future challenges of food and agriculture: An integrated analysis of trends and solutions</w:t>
            </w:r>
          </w:p>
        </w:tc>
      </w:tr>
      <w:tr w:rsidR="00BB01B4" w:rsidRPr="00AB4713" w14:paraId="6EBB905B" w14:textId="77777777" w:rsidTr="00C926D5">
        <w:trPr>
          <w:trHeight w:val="470"/>
        </w:trPr>
        <w:tc>
          <w:tcPr>
            <w:tcW w:w="2472" w:type="dxa"/>
            <w:tcMar>
              <w:left w:w="57" w:type="dxa"/>
              <w:right w:w="57" w:type="dxa"/>
            </w:tcMar>
          </w:tcPr>
          <w:p w14:paraId="252FE49C" w14:textId="49C7C5B0" w:rsidR="00BB01B4" w:rsidRDefault="00BB01B4" w:rsidP="008C0512">
            <w:pPr>
              <w:rPr>
                <w:lang w:val="en-US"/>
              </w:rPr>
            </w:pPr>
            <w:r>
              <w:rPr>
                <w:lang w:val="en-US"/>
              </w:rPr>
              <w:fldChar w:fldCharType="begin" w:fldLock="1"/>
            </w:r>
            <w:r>
              <w:rPr>
                <w:lang w:val="en-US"/>
              </w:rPr>
              <w:instrText>ADDIN CSL_CITATION {"citationItems":[{"id":"ITEM-1","itemData":{"DOI":"10.22434/ifamr2017.0051","abstract":"Global agricultural markets reflect the increasing complexity of modern consumer demand for food safety and quality. This demand has triggered changes throughout the food industry, and led to greater opportunities for product differentiation and the potential to add value to raw commodities. Greater differentiation and value adding over time has in turn dramatically changed the price spread or marketing bill between the farm value of products and the retail value. Thus a significantly greater percentage of the final price paid by consumers is now garnered down chain rather than up chain over the last 20 years. This apparent shifting of value creation or addition, as measured by the marketing margin, has invigorated empirical questions as to where, and how much value, is created along the agri-food value chain. First we define value creation/adding, and then we estimate the economic value added for 454 firms. We validate our findings by creating and employing three additional value creation measures - the modified economic value added, the creation or destruction of value, and the persistence of value creation. Finally we estimate value creation at each node of the value chain, measure the relative differences among firms and nodes, and estimate a model measuring the drivers of value adding.","author":[{"dropping-particle":"","family":"Cucagna","given":"Maria Emilia","non-dropping-particle":"","parse-names":false,"suffix":""},{"dropping-particle":"","family":"Goldsmith","given":"Peter D.","non-dropping-particle":"","parse-names":false,"suffix":""}],"container-title":"International Food and Agribusiness Management Review","id":"ITEM-1","issue":"3","issued":{"date-parts":[["2018"]]},"page":"293-316","title":"Value adding in the agri-food value chain","type":"article-journal","volume":"21"},"uris":["http://www.mendeley.com/documents/?uuid=dbb00ee0-a16f-4809-9e45-13d51011bcc5"]}],"mendeley":{"formattedCitation":"(Cucagna &amp; Goldsmith, 2018)","plainTextFormattedCitation":"(Cucagna &amp; Goldsmith, 2018)","previouslyFormattedCitation":"(Cucagna &amp; Goldsmith, 2018)"},"properties":{"noteIndex":0},"schema":"https://github.com/citation-style-language/schema/raw/master/csl-citation.json"}</w:instrText>
            </w:r>
            <w:r>
              <w:rPr>
                <w:lang w:val="en-US"/>
              </w:rPr>
              <w:fldChar w:fldCharType="separate"/>
            </w:r>
            <w:r w:rsidRPr="00BB01B4">
              <w:rPr>
                <w:noProof/>
                <w:lang w:val="en-US"/>
              </w:rPr>
              <w:t>(Cucagna &amp; Goldsmith, 2018)</w:t>
            </w:r>
            <w:r>
              <w:rPr>
                <w:lang w:val="en-US"/>
              </w:rPr>
              <w:fldChar w:fldCharType="end"/>
            </w:r>
            <w:r w:rsidR="004B68CD">
              <w:rPr>
                <w:lang w:val="en-US"/>
              </w:rPr>
              <w:t>*</w:t>
            </w:r>
          </w:p>
        </w:tc>
        <w:tc>
          <w:tcPr>
            <w:tcW w:w="6358" w:type="dxa"/>
            <w:tcMar>
              <w:left w:w="57" w:type="dxa"/>
              <w:right w:w="57" w:type="dxa"/>
            </w:tcMar>
          </w:tcPr>
          <w:p w14:paraId="3961FA35" w14:textId="74DB5E11" w:rsidR="00BB01B4" w:rsidRDefault="00BB01B4" w:rsidP="008C0512">
            <w:pPr>
              <w:rPr>
                <w:lang w:val="en-US"/>
              </w:rPr>
            </w:pPr>
            <w:r w:rsidRPr="00BB01B4">
              <w:rPr>
                <w:lang w:val="en-US"/>
              </w:rPr>
              <w:t>Value adding in the agri-food value chain</w:t>
            </w:r>
          </w:p>
        </w:tc>
      </w:tr>
      <w:tr w:rsidR="00BB01B4" w:rsidRPr="00AB4713" w14:paraId="1812D465" w14:textId="77777777" w:rsidTr="00C926D5">
        <w:trPr>
          <w:trHeight w:val="525"/>
        </w:trPr>
        <w:tc>
          <w:tcPr>
            <w:tcW w:w="2472" w:type="dxa"/>
            <w:tcMar>
              <w:left w:w="57" w:type="dxa"/>
              <w:right w:w="57" w:type="dxa"/>
            </w:tcMar>
          </w:tcPr>
          <w:p w14:paraId="587D5794" w14:textId="5FE0627E" w:rsidR="00BB01B4" w:rsidRDefault="00BB01B4" w:rsidP="00BB01B4">
            <w:pPr>
              <w:tabs>
                <w:tab w:val="left" w:pos="938"/>
              </w:tabs>
              <w:rPr>
                <w:lang w:val="en-US"/>
              </w:rPr>
            </w:pPr>
            <w:r>
              <w:rPr>
                <w:lang w:val="en-US"/>
              </w:rPr>
              <w:fldChar w:fldCharType="begin" w:fldLock="1"/>
            </w:r>
            <w:r>
              <w:rPr>
                <w:lang w:val="en-US"/>
              </w:rPr>
              <w:instrText>ADDIN CSL_CITATION {"citationItems":[{"id":"ITEM-1","itemData":{"DOI":"10.1016/j.inpa.2018.06.006","ISSN":"22143173","abstract":"Food sustainability transitions refer to transformation processes necessary to move towards sustainable food systems. Digitization is one of the most important ongoing transformation processes in global agriculture and food chains. The review paper explores the contribution of information and communication technologies (ICTs) to transition towards sustainability along the food chain (production, processing, distribution, consumption). A particular attention is devoted to precision agriculture as a food production model that integrates many ICTs. ICTs can contribute to agro-food sustainability transition by increasing resource productivity, reducing inefficiencies, decreasing management costs, and improving food chain coordination. The paper also explores some drawbacks of ICTs as well as the factors limiting their uptake in agriculture.","author":[{"dropping-particle":"","family":"Bilali","given":"Hamid","non-dropping-particle":"El","parse-names":false,"suffix":""},{"dropping-particle":"","family":"Allahyari","given":"Mohammad Sadegh","non-dropping-particle":"","parse-names":false,"suffix":""}],"container-title":"Information Processing in Agriculture","id":"ITEM-1","issue":"4","issued":{"date-parts":[["2018"]]},"page":"456-464","publisher":"China Agricultural University","title":"Transition towards sustainability in agriculture and food systems: Role of information and communication technologies","type":"article-journal","volume":"5"},"uris":["http://www.mendeley.com/documents/?uuid=395a4ef8-b39d-4f97-b2c1-ad9317e15305"]}],"mendeley":{"formattedCitation":"(El Bilali &amp; Allahyari, 2018)","plainTextFormattedCitation":"(El Bilali &amp; Allahyari, 2018)","previouslyFormattedCitation":"(El Bilali &amp; Allahyari, 2018)"},"properties":{"noteIndex":0},"schema":"https://github.com/citation-style-language/schema/raw/master/csl-citation.json"}</w:instrText>
            </w:r>
            <w:r>
              <w:rPr>
                <w:lang w:val="en-US"/>
              </w:rPr>
              <w:fldChar w:fldCharType="separate"/>
            </w:r>
            <w:r w:rsidRPr="00BB01B4">
              <w:rPr>
                <w:noProof/>
                <w:lang w:val="en-US"/>
              </w:rPr>
              <w:t>(El Bilali &amp; Allahyari, 2018)</w:t>
            </w:r>
            <w:r>
              <w:rPr>
                <w:lang w:val="en-US"/>
              </w:rPr>
              <w:fldChar w:fldCharType="end"/>
            </w:r>
          </w:p>
        </w:tc>
        <w:tc>
          <w:tcPr>
            <w:tcW w:w="6358" w:type="dxa"/>
            <w:tcMar>
              <w:left w:w="57" w:type="dxa"/>
              <w:right w:w="57" w:type="dxa"/>
            </w:tcMar>
          </w:tcPr>
          <w:p w14:paraId="5B95ACCB" w14:textId="1A4AC7DC" w:rsidR="00BB01B4" w:rsidRPr="00BB01B4" w:rsidRDefault="00BB01B4" w:rsidP="008C0512">
            <w:pPr>
              <w:rPr>
                <w:lang w:val="en-US"/>
              </w:rPr>
            </w:pPr>
            <w:r w:rsidRPr="00BB01B4">
              <w:rPr>
                <w:lang w:val="en-US"/>
              </w:rPr>
              <w:t>Transition towards sustainability in agriculture and food systems: Role of information and communication technologies</w:t>
            </w:r>
          </w:p>
        </w:tc>
      </w:tr>
      <w:tr w:rsidR="00BB01B4" w:rsidRPr="00AB4713" w14:paraId="3F686304" w14:textId="77777777" w:rsidTr="00C926D5">
        <w:trPr>
          <w:trHeight w:val="285"/>
        </w:trPr>
        <w:tc>
          <w:tcPr>
            <w:tcW w:w="2472" w:type="dxa"/>
            <w:tcMar>
              <w:left w:w="57" w:type="dxa"/>
              <w:right w:w="57" w:type="dxa"/>
            </w:tcMar>
          </w:tcPr>
          <w:p w14:paraId="0B3836AB" w14:textId="28C2903A" w:rsidR="00BB01B4" w:rsidRDefault="008619A7" w:rsidP="00E503ED">
            <w:pPr>
              <w:rPr>
                <w:lang w:val="en-US"/>
              </w:rPr>
            </w:pPr>
            <w:r>
              <w:rPr>
                <w:lang w:val="en-US"/>
              </w:rPr>
              <w:fldChar w:fldCharType="begin" w:fldLock="1"/>
            </w:r>
            <w:r>
              <w:rPr>
                <w:lang w:val="en-US"/>
              </w:rPr>
              <w:instrText>ADDIN CSL_CITATION {"citationItems":[{"id":"ITEM-1","itemData":{"author":[{"dropping-particle":"","family":"Eurchoices","given":"","non-dropping-particle":"","parse-names":false,"suffix":""}],"id":"ITEM-1","issued":{"date-parts":[["2012"]]},"title":"ICT as a driver for change in agri-food chains","type":"article-journal"},"uris":["http://www.mendeley.com/documents/?uuid=b36db18d-a9ee-4b6c-81a1-e43b172762af"]}],"mendeley":{"formattedCitation":"(Eurchoices, 2012)","plainTextFormattedCitation":"(Eurchoices, 2012)","previouslyFormattedCitation":"(Eurchoices, 2012)"},"properties":{"noteIndex":0},"schema":"https://github.com/citation-style-language/schema/raw/master/csl-citation.json"}</w:instrText>
            </w:r>
            <w:r>
              <w:rPr>
                <w:lang w:val="en-US"/>
              </w:rPr>
              <w:fldChar w:fldCharType="separate"/>
            </w:r>
            <w:r w:rsidRPr="008619A7">
              <w:rPr>
                <w:noProof/>
                <w:lang w:val="en-US"/>
              </w:rPr>
              <w:t>(Eurchoices, 2012)</w:t>
            </w:r>
            <w:r>
              <w:rPr>
                <w:lang w:val="en-US"/>
              </w:rPr>
              <w:fldChar w:fldCharType="end"/>
            </w:r>
            <w:r>
              <w:rPr>
                <w:lang w:val="en-US"/>
              </w:rPr>
              <w:t>*</w:t>
            </w:r>
          </w:p>
        </w:tc>
        <w:tc>
          <w:tcPr>
            <w:tcW w:w="6358" w:type="dxa"/>
            <w:tcMar>
              <w:left w:w="57" w:type="dxa"/>
              <w:right w:w="57" w:type="dxa"/>
            </w:tcMar>
          </w:tcPr>
          <w:p w14:paraId="0695E46A" w14:textId="0A62C3F1" w:rsidR="00BB01B4" w:rsidRPr="00BB01B4" w:rsidRDefault="00BB01B4" w:rsidP="00E503ED">
            <w:pPr>
              <w:rPr>
                <w:lang w:val="en-US"/>
              </w:rPr>
            </w:pPr>
            <w:r w:rsidRPr="00BB01B4">
              <w:rPr>
                <w:lang w:val="en-US"/>
              </w:rPr>
              <w:t>ICT as a driver for change in agri-food chains</w:t>
            </w:r>
          </w:p>
        </w:tc>
      </w:tr>
      <w:tr w:rsidR="00BB01B4" w:rsidRPr="00AB4713" w14:paraId="1DFF0AAB" w14:textId="77777777" w:rsidTr="00C926D5">
        <w:trPr>
          <w:trHeight w:val="525"/>
        </w:trPr>
        <w:tc>
          <w:tcPr>
            <w:tcW w:w="2472" w:type="dxa"/>
            <w:tcMar>
              <w:left w:w="57" w:type="dxa"/>
              <w:right w:w="57" w:type="dxa"/>
            </w:tcMar>
          </w:tcPr>
          <w:p w14:paraId="22AB6640" w14:textId="444E57B6" w:rsidR="00BB01B4" w:rsidRDefault="008619A7" w:rsidP="00E503ED">
            <w:pPr>
              <w:rPr>
                <w:lang w:val="en-US"/>
              </w:rPr>
            </w:pPr>
            <w:r>
              <w:rPr>
                <w:lang w:val="en-US"/>
              </w:rPr>
              <w:fldChar w:fldCharType="begin" w:fldLock="1"/>
            </w:r>
            <w:r>
              <w:rPr>
                <w:lang w:val="en-US"/>
              </w:rPr>
              <w:instrText>ADDIN CSL_CITATION {"citationItems":[{"id":"ITEM-1","itemData":{"author":[{"dropping-particle":"","family":"European Network for Rural Development","given":"","non-dropping-particle":"","parse-names":false,"suffix":""}],"id":"ITEM-1","issued":{"date-parts":[["2016"]]},"title":"Smart agri-food supply chains","type":"article-journal"},"uris":["http://www.mendeley.com/documents/?uuid=2d2e20b4-9dc7-4e9e-901b-3e07ae267d93"]}],"mendeley":{"formattedCitation":"(European Network for Rural Development, 2016)","plainTextFormattedCitation":"(European Network for Rural Development, 2016)","previouslyFormattedCitation":"(European Network for Rural Development, 2016)"},"properties":{"noteIndex":0},"schema":"https://github.com/citation-style-language/schema/raw/master/csl-citation.json"}</w:instrText>
            </w:r>
            <w:r>
              <w:rPr>
                <w:lang w:val="en-US"/>
              </w:rPr>
              <w:fldChar w:fldCharType="separate"/>
            </w:r>
            <w:r w:rsidRPr="008619A7">
              <w:rPr>
                <w:noProof/>
                <w:lang w:val="en-US"/>
              </w:rPr>
              <w:t>(European Network for Rural Development, 2016)</w:t>
            </w:r>
            <w:r>
              <w:rPr>
                <w:lang w:val="en-US"/>
              </w:rPr>
              <w:fldChar w:fldCharType="end"/>
            </w:r>
          </w:p>
        </w:tc>
        <w:tc>
          <w:tcPr>
            <w:tcW w:w="6358" w:type="dxa"/>
            <w:tcMar>
              <w:left w:w="57" w:type="dxa"/>
              <w:right w:w="57" w:type="dxa"/>
            </w:tcMar>
          </w:tcPr>
          <w:p w14:paraId="247E57E7" w14:textId="46F9DEF9" w:rsidR="00BB01B4" w:rsidRPr="00BB01B4" w:rsidRDefault="00BB01B4" w:rsidP="00E503ED">
            <w:pPr>
              <w:rPr>
                <w:lang w:val="en-US"/>
              </w:rPr>
            </w:pPr>
            <w:r>
              <w:rPr>
                <w:lang w:val="en-US"/>
              </w:rPr>
              <w:t>Smart agri-food supply chains</w:t>
            </w:r>
          </w:p>
        </w:tc>
      </w:tr>
      <w:tr w:rsidR="00BB01B4" w:rsidRPr="00AB4713" w14:paraId="5C84537D" w14:textId="77777777" w:rsidTr="00C926D5">
        <w:trPr>
          <w:trHeight w:val="525"/>
        </w:trPr>
        <w:tc>
          <w:tcPr>
            <w:tcW w:w="2472" w:type="dxa"/>
            <w:tcMar>
              <w:left w:w="57" w:type="dxa"/>
              <w:right w:w="57" w:type="dxa"/>
            </w:tcMar>
          </w:tcPr>
          <w:p w14:paraId="5C48FC1D" w14:textId="4D8562A2" w:rsidR="00BB01B4" w:rsidRDefault="008619A7" w:rsidP="00E503ED">
            <w:pPr>
              <w:rPr>
                <w:lang w:val="en-US"/>
              </w:rPr>
            </w:pPr>
            <w:r>
              <w:rPr>
                <w:lang w:val="en-US"/>
              </w:rPr>
              <w:fldChar w:fldCharType="begin" w:fldLock="1"/>
            </w:r>
            <w:r>
              <w:rPr>
                <w:lang w:val="en-US"/>
              </w:rPr>
              <w:instrText>ADDIN CSL_CITATION {"citationItems":[{"id":"ITEM-1","itemData":{"DOI":"10.4161/chan.4.6.12871","ISBN":"9789251095515","ISSN":"1933-6950","PMID":"11417047","abstract":"TRENDS A number of global trends are influencing food security, poverty and the overall sustainability of food and agricultural systems. Economic growth and population dynamics are driving the structural change of economies. Climate change affects disproportionately food-insecure regions, jeopardizing crop and livestock production, fish stocks and fisheries. Critical parts of food systems are becoming more capital-intensive, vertically integrated and concentrated in fewer hands.","author":[{"dropping-particle":"","family":"FAO","given":"","non-dropping-particle":"","parse-names":false,"suffix":""}],"container-title":"Food and Agriculture Organization of the United Nations","id":"ITEM-1","issued":{"date-parts":[["2017"]]},"page":"180","title":"The future of food and agriculture: Trends and challenges","type":"article-journal"},"uris":["http://www.mendeley.com/documents/?uuid=43d7828f-7e91-4fae-b6aa-8a151ce13651"]}],"mendeley":{"formattedCitation":"(FAO, 2017)","plainTextFormattedCitation":"(FAO, 2017)","previouslyFormattedCitation":"(FAO, 2017)"},"properties":{"noteIndex":0},"schema":"https://github.com/citation-style-language/schema/raw/master/csl-citation.json"}</w:instrText>
            </w:r>
            <w:r>
              <w:rPr>
                <w:lang w:val="en-US"/>
              </w:rPr>
              <w:fldChar w:fldCharType="separate"/>
            </w:r>
            <w:r w:rsidRPr="008619A7">
              <w:rPr>
                <w:noProof/>
                <w:lang w:val="en-US"/>
              </w:rPr>
              <w:t>(FAO, 2017)</w:t>
            </w:r>
            <w:r>
              <w:rPr>
                <w:lang w:val="en-US"/>
              </w:rPr>
              <w:fldChar w:fldCharType="end"/>
            </w:r>
          </w:p>
        </w:tc>
        <w:tc>
          <w:tcPr>
            <w:tcW w:w="6358" w:type="dxa"/>
            <w:tcMar>
              <w:left w:w="57" w:type="dxa"/>
              <w:right w:w="57" w:type="dxa"/>
            </w:tcMar>
          </w:tcPr>
          <w:p w14:paraId="76FCD500" w14:textId="48BECB1F" w:rsidR="00BB01B4" w:rsidRPr="00BB01B4" w:rsidRDefault="00BB01B4" w:rsidP="00E503ED">
            <w:pPr>
              <w:rPr>
                <w:lang w:val="en-US"/>
              </w:rPr>
            </w:pPr>
            <w:r w:rsidRPr="00BB01B4">
              <w:rPr>
                <w:lang w:val="en-US"/>
              </w:rPr>
              <w:t>The future of food and agriculture: Trends and challenges</w:t>
            </w:r>
          </w:p>
        </w:tc>
      </w:tr>
      <w:tr w:rsidR="00BB01B4" w:rsidRPr="00BB01B4" w14:paraId="43026C82" w14:textId="77777777" w:rsidTr="00C926D5">
        <w:trPr>
          <w:trHeight w:val="525"/>
        </w:trPr>
        <w:tc>
          <w:tcPr>
            <w:tcW w:w="2472" w:type="dxa"/>
            <w:tcMar>
              <w:left w:w="57" w:type="dxa"/>
              <w:right w:w="57" w:type="dxa"/>
            </w:tcMar>
          </w:tcPr>
          <w:p w14:paraId="5B83D13A" w14:textId="37B82994" w:rsidR="00BB01B4" w:rsidRDefault="008619A7" w:rsidP="00E503ED">
            <w:pPr>
              <w:rPr>
                <w:lang w:val="en-US"/>
              </w:rPr>
            </w:pPr>
            <w:r>
              <w:rPr>
                <w:lang w:val="en-US"/>
              </w:rPr>
              <w:fldChar w:fldCharType="begin" w:fldLock="1"/>
            </w:r>
            <w:r>
              <w:rPr>
                <w:lang w:val="en-US"/>
              </w:rPr>
              <w:instrText>ADDIN CSL_CITATION {"citationItems":[{"id":"ITEM-1","itemData":{"author":[{"dropping-particle":"","family":"GHK","given":"","non-dropping-particle":"","parse-names":false,"suffix":""}],"id":"ITEM-1","issued":{"date-parts":[["0"]]},"page":"1-18","title":"the Agri-Food Chain","type":"article-journal"},"uris":["http://www.mendeley.com/documents/?uuid=1fb0356c-1e9b-4bcf-b08d-840d397ab7f1"]}],"mendeley":{"formattedCitation":"(GHK, n.d.)","plainTextFormattedCitation":"(GHK, n.d.)","previouslyFormattedCitation":"(GHK, n.d.)"},"properties":{"noteIndex":0},"schema":"https://github.com/citation-style-language/schema/raw/master/csl-citation.json"}</w:instrText>
            </w:r>
            <w:r>
              <w:rPr>
                <w:lang w:val="en-US"/>
              </w:rPr>
              <w:fldChar w:fldCharType="separate"/>
            </w:r>
            <w:r w:rsidRPr="008619A7">
              <w:rPr>
                <w:noProof/>
                <w:lang w:val="en-US"/>
              </w:rPr>
              <w:t>(GHK, n.d.)</w:t>
            </w:r>
            <w:r>
              <w:rPr>
                <w:lang w:val="en-US"/>
              </w:rPr>
              <w:fldChar w:fldCharType="end"/>
            </w:r>
            <w:r>
              <w:rPr>
                <w:lang w:val="en-US"/>
              </w:rPr>
              <w:t>*</w:t>
            </w:r>
          </w:p>
        </w:tc>
        <w:tc>
          <w:tcPr>
            <w:tcW w:w="6358" w:type="dxa"/>
            <w:tcMar>
              <w:left w:w="57" w:type="dxa"/>
              <w:right w:w="57" w:type="dxa"/>
            </w:tcMar>
          </w:tcPr>
          <w:p w14:paraId="6AFE90B5" w14:textId="45199317" w:rsidR="00BB01B4" w:rsidRPr="00BB01B4" w:rsidRDefault="00BB01B4" w:rsidP="00E503ED">
            <w:pPr>
              <w:rPr>
                <w:lang w:val="en-US"/>
              </w:rPr>
            </w:pPr>
            <w:r>
              <w:rPr>
                <w:lang w:val="en-US"/>
              </w:rPr>
              <w:t>The Agri-Food Chain</w:t>
            </w:r>
          </w:p>
        </w:tc>
      </w:tr>
      <w:tr w:rsidR="00BB01B4" w:rsidRPr="00AB4713" w14:paraId="262FD3F3" w14:textId="77777777" w:rsidTr="00C926D5">
        <w:trPr>
          <w:trHeight w:val="525"/>
        </w:trPr>
        <w:tc>
          <w:tcPr>
            <w:tcW w:w="2472" w:type="dxa"/>
            <w:tcMar>
              <w:left w:w="57" w:type="dxa"/>
              <w:right w:w="57" w:type="dxa"/>
            </w:tcMar>
          </w:tcPr>
          <w:p w14:paraId="4F09A1B3" w14:textId="1187F69A" w:rsidR="00BB01B4" w:rsidRDefault="00BB01B4" w:rsidP="00E503ED">
            <w:pPr>
              <w:rPr>
                <w:lang w:val="en-US"/>
              </w:rPr>
            </w:pPr>
            <w:r>
              <w:rPr>
                <w:lang w:val="en-US"/>
              </w:rPr>
              <w:fldChar w:fldCharType="begin" w:fldLock="1"/>
            </w:r>
            <w:r>
              <w:rPr>
                <w:lang w:val="en-US"/>
              </w:rPr>
              <w:instrText>ADDIN CSL_CITATION {"citationItems":[{"id":"ITEM-1","itemData":{"ISSN":"16821130","abstract":"Agrifood sector is one of the most important economic and political areas within the European Union, with key implications for sustainability such as the fulfillment of human needs, the support of employment and economic growth, and its impact on the natural environment. Growing environmental, social and ethical concerns and increased awareness of the impacts of the agrifood sector have led to increased pressure by all involved supply chain stakeholders, while at the same time the European Union has undertaken a number of relevant regulatory interventions. This paper aims to present a methodological framework for the design of green supply chains for the agrifood sector. The framework aims towards the optimization of the agrifood supply chain design, planning and operations through the implementation of appropriate green supply chain management and logistics principles. More specifically, focus is put on the minimization of the environmental burden and the maximization of supply chain sustainability of the agrifood supply chain. The application of such a framework could result into substantial reduction of CO2 emissions both by the additional production of other biofuels from waste, as well as the introduction of a novel intelligent logistics network, in order to reduce the harvest and transportation energy input. Moreover, the expansion of the biomass feedstock available for biofuel production can provide adequate support towards avoidance of food/fuel competition for land use.","author":[{"dropping-particle":"","family":"Iakovou","given":"E.","non-dropping-particle":"","parse-names":false,"suffix":""},{"dropping-particle":"","family":"Vlachos","given":"D.","non-dropping-particle":"","parse-names":false,"suffix":""},{"dropping-particle":"","family":"Achillas","given":"Ch","non-dropping-particle":"","parse-names":false,"suffix":""},{"dropping-particle":"","family":"Anastasiadis","given":"F.","non-dropping-particle":"","parse-names":false,"suffix":""}],"container-title":"Agricultural Engineering International: CIGR Journal","id":"ITEM-1","issue":"SPEC. ISSUE","issued":{"date-parts":[["2014"]]},"page":"1-10","title":"Design of sustainable supply chains for the agrifood sector: A holistic research framework","type":"article-journal"},"uris":["http://www.mendeley.com/documents/?uuid=394cd23a-53c6-46b5-88d9-2430b1f8e95e"]}],"mendeley":{"formattedCitation":"(Iakovou et al., 2014)","plainTextFormattedCitation":"(Iakovou et al., 2014)","previouslyFormattedCitation":"(Iakovou et al., 2014)"},"properties":{"noteIndex":0},"schema":"https://github.com/citation-style-language/schema/raw/master/csl-citation.json"}</w:instrText>
            </w:r>
            <w:r>
              <w:rPr>
                <w:lang w:val="en-US"/>
              </w:rPr>
              <w:fldChar w:fldCharType="separate"/>
            </w:r>
            <w:r w:rsidRPr="00BB01B4">
              <w:rPr>
                <w:noProof/>
                <w:lang w:val="en-US"/>
              </w:rPr>
              <w:t>(Iakovou et al., 2014)</w:t>
            </w:r>
            <w:r>
              <w:rPr>
                <w:lang w:val="en-US"/>
              </w:rPr>
              <w:fldChar w:fldCharType="end"/>
            </w:r>
          </w:p>
        </w:tc>
        <w:tc>
          <w:tcPr>
            <w:tcW w:w="6358" w:type="dxa"/>
            <w:tcMar>
              <w:left w:w="57" w:type="dxa"/>
              <w:right w:w="57" w:type="dxa"/>
            </w:tcMar>
          </w:tcPr>
          <w:p w14:paraId="3F8D2E23" w14:textId="3282459E" w:rsidR="00BB01B4" w:rsidRPr="00BB01B4" w:rsidRDefault="00BB01B4" w:rsidP="00E503ED">
            <w:pPr>
              <w:rPr>
                <w:lang w:val="en-US"/>
              </w:rPr>
            </w:pPr>
            <w:r w:rsidRPr="00BB01B4">
              <w:rPr>
                <w:lang w:val="en-US"/>
              </w:rPr>
              <w:t>Design of sustainable supply chains for the agrifood sector: A holistic research framework</w:t>
            </w:r>
          </w:p>
        </w:tc>
      </w:tr>
      <w:tr w:rsidR="00BB01B4" w:rsidRPr="00AB4713" w14:paraId="42FBC2F9" w14:textId="77777777" w:rsidTr="00C926D5">
        <w:trPr>
          <w:trHeight w:val="525"/>
        </w:trPr>
        <w:tc>
          <w:tcPr>
            <w:tcW w:w="2472" w:type="dxa"/>
            <w:tcMar>
              <w:left w:w="57" w:type="dxa"/>
              <w:right w:w="57" w:type="dxa"/>
            </w:tcMar>
          </w:tcPr>
          <w:p w14:paraId="13E2E5F3" w14:textId="52CBF185" w:rsidR="00BB01B4" w:rsidRDefault="008619A7" w:rsidP="00E503ED">
            <w:pPr>
              <w:rPr>
                <w:lang w:val="en-US"/>
              </w:rPr>
            </w:pPr>
            <w:r>
              <w:rPr>
                <w:lang w:val="en-US"/>
              </w:rPr>
              <w:fldChar w:fldCharType="begin" w:fldLock="1"/>
            </w:r>
            <w:r>
              <w:rPr>
                <w:lang w:val="en-US"/>
              </w:rPr>
              <w:instrText>ADDIN CSL_CITATION {"citationItems":[{"id":"ITEM-1","itemData":{"abstract":"Food and agribusiness have a massive economic, social, and environmental footprint—the $5 trillion industry represents 10 percent of global consumer spending, 40 percent of employment, and 30 percent of greenhouse-gas emissions. Although sizable productivity improvements over the past 50 years have enabled an abundant food supply in many parts of the world, feeding the global population has reemerged as a critical issue. If current trends continue, by 2050, caloric demand will increase by 70 percent, and crop demand for human consumption and animal feed will increase by at least 100 percent. At the same time, more resource constraints will emerge: for example, 40 percent of water demand in 2030 is unlikely to be met. Already, more than 20 percent of arable land is degraded.1 Moreover, food and energy production are competing, as corn and sugar are increasingly important for both. Such resource scarcity could lead to political unrest on a large scale if left unaddressed. Agricultural technologies that raise productivity even in difficult conditions and the addition of land for cultivation in Africa, Eastern Europe, and South America may ease the burden, but meeting the entire demand will require disruption of the current trend.","author":[{"dropping-particle":"","family":"Goedde","given":"Lutz","non-dropping-particle":"","parse-names":false,"suffix":""},{"dropping-particle":"","family":"Horil","given":"Maya","non-dropping-particle":"","parse-names":false,"suffix":""},{"dropping-particle":"","family":"Sanghvi","given":"Sunil","non-dropping-particle":"","parse-names":false,"suffix":""}],"container-title":"McKinsey &amp; Company","id":"ITEM-1","issued":{"date-parts":[["2015"]]},"page":"1-12","title":"Pursuing the global opportunity in food and agribusiness","type":"article-journal"},"uris":["http://www.mendeley.com/documents/?uuid=6fa220a7-9c8a-4e90-9d0a-1ca677ae25fe"]}],"mendeley":{"formattedCitation":"(Goedde et al., 2015)","plainTextFormattedCitation":"(Goedde et al., 2015)","previouslyFormattedCitation":"(Goedde et al., 2015)"},"properties":{"noteIndex":0},"schema":"https://github.com/citation-style-language/schema/raw/master/csl-citation.json"}</w:instrText>
            </w:r>
            <w:r>
              <w:rPr>
                <w:lang w:val="en-US"/>
              </w:rPr>
              <w:fldChar w:fldCharType="separate"/>
            </w:r>
            <w:r w:rsidRPr="008619A7">
              <w:rPr>
                <w:noProof/>
                <w:lang w:val="en-US"/>
              </w:rPr>
              <w:t>(Goedde et al., 2015)</w:t>
            </w:r>
            <w:r>
              <w:rPr>
                <w:lang w:val="en-US"/>
              </w:rPr>
              <w:fldChar w:fldCharType="end"/>
            </w:r>
          </w:p>
        </w:tc>
        <w:tc>
          <w:tcPr>
            <w:tcW w:w="6358" w:type="dxa"/>
            <w:tcMar>
              <w:left w:w="57" w:type="dxa"/>
              <w:right w:w="57" w:type="dxa"/>
            </w:tcMar>
          </w:tcPr>
          <w:p w14:paraId="029C587F" w14:textId="2FDA8C7C" w:rsidR="00BB01B4" w:rsidRPr="00BB01B4" w:rsidRDefault="00BB01B4" w:rsidP="00E503ED">
            <w:pPr>
              <w:rPr>
                <w:lang w:val="en-US"/>
              </w:rPr>
            </w:pPr>
            <w:r w:rsidRPr="00BB01B4">
              <w:rPr>
                <w:lang w:val="en-US"/>
              </w:rPr>
              <w:t>Pursuing the global opportunity in food and agribusiness</w:t>
            </w:r>
          </w:p>
        </w:tc>
      </w:tr>
      <w:tr w:rsidR="00BB01B4" w:rsidRPr="00BB01B4" w14:paraId="4D49A353" w14:textId="77777777" w:rsidTr="00C926D5">
        <w:trPr>
          <w:trHeight w:val="525"/>
        </w:trPr>
        <w:tc>
          <w:tcPr>
            <w:tcW w:w="2472" w:type="dxa"/>
            <w:tcMar>
              <w:left w:w="57" w:type="dxa"/>
              <w:right w:w="57" w:type="dxa"/>
            </w:tcMar>
          </w:tcPr>
          <w:p w14:paraId="1636B0D8" w14:textId="25A06B79" w:rsidR="00BB01B4" w:rsidRDefault="008619A7" w:rsidP="00E503ED">
            <w:pPr>
              <w:rPr>
                <w:lang w:val="en-US"/>
              </w:rPr>
            </w:pPr>
            <w:r>
              <w:rPr>
                <w:lang w:val="en-US"/>
              </w:rPr>
              <w:fldChar w:fldCharType="begin" w:fldLock="1"/>
            </w:r>
            <w:r>
              <w:rPr>
                <w:lang w:val="en-US"/>
              </w:rPr>
              <w:instrText>ADDIN CSL_CITATION {"citationItems":[{"id":"ITEM-1","itemData":{"author":[{"dropping-particle":"","family":"McKinsey","given":"","non-dropping-particle":"","parse-names":false,"suffix":""}],"id":"ITEM-1","issued":{"date-parts":[["2015"]]},"title":"Successful agricultural transformations","type":"article"},"uris":["http://www.mendeley.com/documents/?uuid=f22ef808-bde7-45fc-92d7-3ecd5d53fc11"]}],"mendeley":{"formattedCitation":"(McKinsey, 2015)","plainTextFormattedCitation":"(McKinsey, 2015)","previouslyFormattedCitation":"(McKinsey, 2015)"},"properties":{"noteIndex":0},"schema":"https://github.com/citation-style-language/schema/raw/master/csl-citation.json"}</w:instrText>
            </w:r>
            <w:r>
              <w:rPr>
                <w:lang w:val="en-US"/>
              </w:rPr>
              <w:fldChar w:fldCharType="separate"/>
            </w:r>
            <w:r w:rsidRPr="008619A7">
              <w:rPr>
                <w:noProof/>
                <w:lang w:val="en-US"/>
              </w:rPr>
              <w:t>(McKinsey, 2015)</w:t>
            </w:r>
            <w:r>
              <w:rPr>
                <w:lang w:val="en-US"/>
              </w:rPr>
              <w:fldChar w:fldCharType="end"/>
            </w:r>
          </w:p>
        </w:tc>
        <w:tc>
          <w:tcPr>
            <w:tcW w:w="6358" w:type="dxa"/>
            <w:tcMar>
              <w:left w:w="57" w:type="dxa"/>
              <w:right w:w="57" w:type="dxa"/>
            </w:tcMar>
          </w:tcPr>
          <w:p w14:paraId="4B2B0AC9" w14:textId="36569DA6" w:rsidR="00BB01B4" w:rsidRPr="00BB01B4" w:rsidRDefault="00BB01B4" w:rsidP="00E503ED">
            <w:pPr>
              <w:rPr>
                <w:lang w:val="en-US"/>
              </w:rPr>
            </w:pPr>
            <w:r>
              <w:rPr>
                <w:lang w:val="en-US"/>
              </w:rPr>
              <w:t>Successful agricultural transformations</w:t>
            </w:r>
          </w:p>
        </w:tc>
      </w:tr>
      <w:tr w:rsidR="00BB01B4" w:rsidRPr="00AB4713" w14:paraId="419C88CF" w14:textId="77777777" w:rsidTr="00C926D5">
        <w:trPr>
          <w:trHeight w:val="525"/>
        </w:trPr>
        <w:tc>
          <w:tcPr>
            <w:tcW w:w="2472" w:type="dxa"/>
            <w:tcMar>
              <w:left w:w="57" w:type="dxa"/>
              <w:right w:w="57" w:type="dxa"/>
            </w:tcMar>
          </w:tcPr>
          <w:p w14:paraId="1D0B8CFB" w14:textId="0A7FEE93" w:rsidR="00BB01B4" w:rsidRDefault="00BB01B4" w:rsidP="00E503ED">
            <w:pPr>
              <w:rPr>
                <w:lang w:val="en-US"/>
              </w:rPr>
            </w:pPr>
            <w:r>
              <w:rPr>
                <w:lang w:val="en-US"/>
              </w:rPr>
              <w:fldChar w:fldCharType="begin" w:fldLock="1"/>
            </w:r>
            <w:r w:rsidR="004B68CD">
              <w:rPr>
                <w:lang w:val="en-US"/>
              </w:rPr>
              <w:instrText>ADDIN CSL_CITATION {"citationItems":[{"id":"ITEM-1","itemData":{"DOI":"10.1016/j.compind.2019.02.002","ISSN":"01663615","abstract":"Currently, the agri-food sector takes advantage of modern machinery, tools and emerging information and communication technologies (ICTs) that consider the Internet of Things (IoT) capabilities. These implementations have given way to a new era of agri-food production called ‘Agri-Food 4.0’ where automation, connectivity, digitalisation, the use of renewable energies and the efficient use of resources are predominant in this sector. In this article, the ‘sensing, smart and sustainable (S 3 )’ concept is applied to develop new technologies that can respond to current challenges of agri-food industries. Therefore, this work focuses on describing how S 3 technologies for the agri-food sector can be developed using a systematic process for new product development (NPD). The main objective of this work is to fill the gap vis-à-vis the current lack of design roadmaps that permit the development of this new generation of products in the context of agri-food 4.0. Finally, this work presents case studies of S 3 technologies applied to the agri-food sector: an intelligent greenhouse, a sun tracker trajectory, an hexapod robot for field monitoring and an agricultural drone.","author":[{"dropping-particle":"","family":"Miranda","given":"Jhonattan","non-dropping-particle":"","parse-names":false,"suffix":""},{"dropping-particle":"","family":"Ponce","given":"Pedro","non-dropping-particle":"","parse-names":false,"suffix":""},{"dropping-particle":"","family":"Molina","given":"Arturo","non-dropping-particle":"","parse-names":false,"suffix":""},{"dropping-particle":"","family":"Wright","given":"Paul","non-dropping-particle":"","parse-names":false,"suffix":""}],"container-title":"Computers in Industry","id":"ITEM-1","issued":{"date-parts":[["2019"]]},"page":"21-36","publisher":"Elsevier B.V.","title":"Sensing, smart and sustainable technologies for Agri-Food 4.0","type":"article-journal","volume":"108"},"uris":["http://www.mendeley.com/documents/?uuid=e1012b4e-0da6-45c2-a682-c05180dbe070"]}],"mendeley":{"formattedCitation":"(Miranda et al., 2019)","plainTextFormattedCitation":"(Miranda et al., 2019)","previouslyFormattedCitation":"(Miranda et al., 2019)"},"properties":{"noteIndex":0},"schema":"https://github.com/citation-style-language/schema/raw/master/csl-citation.json"}</w:instrText>
            </w:r>
            <w:r>
              <w:rPr>
                <w:lang w:val="en-US"/>
              </w:rPr>
              <w:fldChar w:fldCharType="separate"/>
            </w:r>
            <w:r w:rsidRPr="00BB01B4">
              <w:rPr>
                <w:noProof/>
                <w:lang w:val="en-US"/>
              </w:rPr>
              <w:t>(Miranda et al., 2019)</w:t>
            </w:r>
            <w:r>
              <w:rPr>
                <w:lang w:val="en-US"/>
              </w:rPr>
              <w:fldChar w:fldCharType="end"/>
            </w:r>
          </w:p>
        </w:tc>
        <w:tc>
          <w:tcPr>
            <w:tcW w:w="6358" w:type="dxa"/>
            <w:tcMar>
              <w:left w:w="57" w:type="dxa"/>
              <w:right w:w="57" w:type="dxa"/>
            </w:tcMar>
          </w:tcPr>
          <w:p w14:paraId="5F2C4D40" w14:textId="1E8C69C2" w:rsidR="00BB01B4" w:rsidRPr="00BB01B4" w:rsidRDefault="00BB01B4" w:rsidP="00E503ED">
            <w:pPr>
              <w:rPr>
                <w:lang w:val="en-US"/>
              </w:rPr>
            </w:pPr>
            <w:r w:rsidRPr="00BB01B4">
              <w:rPr>
                <w:lang w:val="en-US"/>
              </w:rPr>
              <w:t>Sensing, smart and sustainable technologies for Agri-Food 4.0</w:t>
            </w:r>
          </w:p>
        </w:tc>
      </w:tr>
      <w:tr w:rsidR="00BB01B4" w:rsidRPr="00AB4713" w14:paraId="3B7AD3D2" w14:textId="77777777" w:rsidTr="00C926D5">
        <w:trPr>
          <w:trHeight w:val="525"/>
        </w:trPr>
        <w:tc>
          <w:tcPr>
            <w:tcW w:w="2472" w:type="dxa"/>
            <w:tcMar>
              <w:left w:w="57" w:type="dxa"/>
              <w:right w:w="57" w:type="dxa"/>
            </w:tcMar>
          </w:tcPr>
          <w:p w14:paraId="33AF19C4" w14:textId="5BC75ADB" w:rsidR="008619A7" w:rsidRDefault="008619A7" w:rsidP="00E503ED">
            <w:pPr>
              <w:rPr>
                <w:lang w:val="en-US"/>
              </w:rPr>
            </w:pPr>
            <w:r>
              <w:rPr>
                <w:lang w:val="en-US"/>
              </w:rPr>
              <w:fldChar w:fldCharType="begin" w:fldLock="1"/>
            </w:r>
            <w:r>
              <w:rPr>
                <w:lang w:val="en-US"/>
              </w:rPr>
              <w:instrText>ADDIN CSL_CITATION {"citationItems":[{"id":"ITEM-1","itemData":{"abstract":"JT03431357 This document, as well as any data and map included herein, are without prejudice to the status of or sovereignty over any territory, to the delimitation of international frontiers and boundaries and to the name of any territory, city or area.","author":[{"dropping-particle":"","family":"OECD","given":"","non-dropping-particle":"","parse-names":false,"suffix":""}],"container-title":"Tad/Ca/Gf(2018)1","id":"ITEM-1","issued":{"date-parts":[["2018"]]},"page":"1-13","title":"Global Forum on Agriculture: How Digital Technologies are Impacting the Way we Grow and Distribute Food","type":"article-journal"},"uris":["http://www.mendeley.com/documents/?uuid=c68be520-f026-40f0-9e2a-1cacc895691f"]}],"mendeley":{"formattedCitation":"(OECD, 2018)","plainTextFormattedCitation":"(OECD, 2018)","previouslyFormattedCitation":"(OECD, 2018)"},"properties":{"noteIndex":0},"schema":"https://github.com/citation-style-language/schema/raw/master/csl-citation.json"}</w:instrText>
            </w:r>
            <w:r>
              <w:rPr>
                <w:lang w:val="en-US"/>
              </w:rPr>
              <w:fldChar w:fldCharType="separate"/>
            </w:r>
            <w:r w:rsidRPr="008619A7">
              <w:rPr>
                <w:noProof/>
                <w:lang w:val="en-US"/>
              </w:rPr>
              <w:t>(OECD, 2018)</w:t>
            </w:r>
            <w:r>
              <w:rPr>
                <w:lang w:val="en-US"/>
              </w:rPr>
              <w:fldChar w:fldCharType="end"/>
            </w:r>
          </w:p>
        </w:tc>
        <w:tc>
          <w:tcPr>
            <w:tcW w:w="6358" w:type="dxa"/>
            <w:tcMar>
              <w:left w:w="57" w:type="dxa"/>
              <w:right w:w="57" w:type="dxa"/>
            </w:tcMar>
          </w:tcPr>
          <w:p w14:paraId="5F7C37F0" w14:textId="02A5ACC1" w:rsidR="00BB01B4" w:rsidRPr="00BB01B4" w:rsidRDefault="00BB01B4" w:rsidP="00BB01B4">
            <w:pPr>
              <w:tabs>
                <w:tab w:val="left" w:pos="960"/>
              </w:tabs>
              <w:rPr>
                <w:lang w:val="en-US"/>
              </w:rPr>
            </w:pPr>
            <w:r w:rsidRPr="00BB01B4">
              <w:rPr>
                <w:lang w:val="en-US"/>
              </w:rPr>
              <w:t>Global Forum on Agriculture: How Digital Technologies are Impacting the Way we Grow and Distribute Food</w:t>
            </w:r>
          </w:p>
        </w:tc>
      </w:tr>
      <w:tr w:rsidR="00BB01B4" w:rsidRPr="00AB4713" w14:paraId="77AA09EB" w14:textId="77777777" w:rsidTr="00C926D5">
        <w:trPr>
          <w:trHeight w:val="525"/>
        </w:trPr>
        <w:tc>
          <w:tcPr>
            <w:tcW w:w="2472" w:type="dxa"/>
            <w:tcMar>
              <w:left w:w="57" w:type="dxa"/>
              <w:right w:w="57" w:type="dxa"/>
            </w:tcMar>
          </w:tcPr>
          <w:p w14:paraId="7ABBD733" w14:textId="75572317" w:rsidR="00BB01B4" w:rsidRDefault="008619A7" w:rsidP="00E503ED">
            <w:pPr>
              <w:rPr>
                <w:lang w:val="en-US"/>
              </w:rPr>
            </w:pPr>
            <w:r>
              <w:rPr>
                <w:lang w:val="en-US"/>
              </w:rPr>
              <w:fldChar w:fldCharType="begin" w:fldLock="1"/>
            </w:r>
            <w:r>
              <w:rPr>
                <w:lang w:val="en-US"/>
              </w:rPr>
              <w:instrText>ADDIN CSL_CITATION {"citationItems":[{"id":"ITEM-1","itemData":{"author":[{"dropping-particle":"","family":"PWC","given":"","non-dropping-particle":"","parse-names":false,"suffix":""}],"id":"ITEM-1","issue":"January","issued":{"date-parts":[["2015"]]},"title":"Megatrends impacting the industry A brief look at business issues","type":"article-journal"},"uris":["http://www.mendeley.com/documents/?uuid=747a100d-2b04-411c-ad45-0db361c73199"]}],"mendeley":{"formattedCitation":"(PWC, 2015)","plainTextFormattedCitation":"(PWC, 2015)","previouslyFormattedCitation":"(PWC, 2015)"},"properties":{"noteIndex":0},"schema":"https://github.com/citation-style-language/schema/raw/master/csl-citation.json"}</w:instrText>
            </w:r>
            <w:r>
              <w:rPr>
                <w:lang w:val="en-US"/>
              </w:rPr>
              <w:fldChar w:fldCharType="separate"/>
            </w:r>
            <w:r w:rsidRPr="008619A7">
              <w:rPr>
                <w:noProof/>
                <w:lang w:val="en-US"/>
              </w:rPr>
              <w:t>(PWC, 2015)</w:t>
            </w:r>
            <w:r>
              <w:rPr>
                <w:lang w:val="en-US"/>
              </w:rPr>
              <w:fldChar w:fldCharType="end"/>
            </w:r>
          </w:p>
        </w:tc>
        <w:tc>
          <w:tcPr>
            <w:tcW w:w="6358" w:type="dxa"/>
            <w:tcMar>
              <w:left w:w="57" w:type="dxa"/>
              <w:right w:w="57" w:type="dxa"/>
            </w:tcMar>
          </w:tcPr>
          <w:p w14:paraId="133BC966" w14:textId="0CF43693" w:rsidR="00BB01B4" w:rsidRPr="00BB01B4" w:rsidRDefault="004B68CD" w:rsidP="00E503ED">
            <w:pPr>
              <w:rPr>
                <w:lang w:val="en-US"/>
              </w:rPr>
            </w:pPr>
            <w:r w:rsidRPr="004B68CD">
              <w:rPr>
                <w:lang w:val="en-US"/>
              </w:rPr>
              <w:t>Megatrends impacting the industry A brief look at business issues</w:t>
            </w:r>
          </w:p>
        </w:tc>
      </w:tr>
      <w:tr w:rsidR="00BB01B4" w:rsidRPr="00AB4713" w14:paraId="123259B6" w14:textId="77777777" w:rsidTr="00C926D5">
        <w:trPr>
          <w:trHeight w:val="525"/>
        </w:trPr>
        <w:tc>
          <w:tcPr>
            <w:tcW w:w="2472" w:type="dxa"/>
            <w:tcMar>
              <w:left w:w="57" w:type="dxa"/>
              <w:right w:w="57" w:type="dxa"/>
            </w:tcMar>
          </w:tcPr>
          <w:p w14:paraId="514B8198" w14:textId="0ABA5A4D" w:rsidR="00BB01B4" w:rsidRDefault="004B68CD" w:rsidP="00E503ED">
            <w:pPr>
              <w:rPr>
                <w:lang w:val="en-US"/>
              </w:rPr>
            </w:pPr>
            <w:r>
              <w:rPr>
                <w:lang w:val="en-US"/>
              </w:rPr>
              <w:fldChar w:fldCharType="begin" w:fldLock="1"/>
            </w:r>
            <w:r>
              <w:rPr>
                <w:lang w:val="en-US"/>
              </w:rPr>
              <w:instrText>ADDIN CSL_CITATION {"citationItems":[{"id":"ITEM-1","itemData":{"DOI":"10.1111/soru.12233","ISSN":"14679523","abstract":"&lt;section class=\"article-section article-section__abstract\" lang=\"en\" data-lang=\"en\" id=\"section-1-en\"&gt;\n   &lt;h3 class=\"article</w:instrText>
            </w:r>
            <w:r>
              <w:rPr>
                <w:rFonts w:hint="eastAsia"/>
                <w:lang w:val="en-US"/>
              </w:rPr>
              <w:instrText>-section__header main main\"&gt;Abstract&lt;/h3&gt;\n   &lt;div class=\"article-section__content en main\"&gt;\n      \n      &lt;p&gt;Digital technologies are being developed and adopted across the agri</w:instrText>
            </w:r>
            <w:r>
              <w:rPr>
                <w:rFonts w:hint="eastAsia"/>
                <w:lang w:val="en-US"/>
              </w:rPr>
              <w:instrText>‐</w:instrText>
            </w:r>
            <w:r>
              <w:rPr>
                <w:rFonts w:hint="eastAsia"/>
                <w:lang w:val="en-US"/>
              </w:rPr>
              <w:instrText>food system, from farm to fork. Within decision</w:instrText>
            </w:r>
            <w:r>
              <w:rPr>
                <w:rFonts w:hint="eastAsia"/>
                <w:lang w:val="en-US"/>
              </w:rPr>
              <w:instrText>‐</w:instrText>
            </w:r>
            <w:r>
              <w:rPr>
                <w:rFonts w:hint="eastAsia"/>
                <w:lang w:val="en-US"/>
              </w:rPr>
              <w:instrText xml:space="preserve">making spaces, however, </w:instrText>
            </w:r>
            <w:r>
              <w:rPr>
                <w:lang w:val="en-US"/>
              </w:rPr>
              <w:instrText xml:space="preserve">little attention is being paid to political factors arising from such technological developments. This review draws from critical social sciences to examine emerging technologies and big data systems in agriculture and assesses some key issues arising in </w:instrText>
            </w:r>
            <w:r>
              <w:rPr>
                <w:rFonts w:hint="eastAsia"/>
                <w:lang w:val="en-US"/>
              </w:rPr>
              <w:instrText>the field. We begin with an introduction and review of the so</w:instrText>
            </w:r>
            <w:r>
              <w:rPr>
                <w:rFonts w:hint="eastAsia"/>
                <w:lang w:val="en-US"/>
              </w:rPr>
              <w:instrText>‐</w:instrText>
            </w:r>
            <w:r>
              <w:rPr>
                <w:rFonts w:hint="eastAsia"/>
                <w:lang w:val="en-US"/>
              </w:rPr>
              <w:instrText xml:space="preserve">called </w:instrText>
            </w:r>
            <w:r>
              <w:rPr>
                <w:rFonts w:hint="eastAsia"/>
                <w:lang w:val="en-US"/>
              </w:rPr>
              <w:instrText>‘</w:instrText>
            </w:r>
            <w:r>
              <w:rPr>
                <w:rFonts w:hint="eastAsia"/>
                <w:lang w:val="en-US"/>
              </w:rPr>
              <w:instrText>digital revolution</w:instrText>
            </w:r>
            <w:r>
              <w:rPr>
                <w:rFonts w:hint="eastAsia"/>
                <w:lang w:val="en-US"/>
              </w:rPr>
              <w:instrText>’</w:instrText>
            </w:r>
            <w:r>
              <w:rPr>
                <w:rFonts w:hint="eastAsia"/>
                <w:lang w:val="en-US"/>
              </w:rPr>
              <w:instrText xml:space="preserve"> and then briefly outline how political economy is effective for understanding major challenges for governing technologies and data systems in agriculture. These chal</w:instrText>
            </w:r>
            <w:r>
              <w:rPr>
                <w:lang w:val="en-US"/>
              </w:rPr>
              <w:instrText>lenges include: 1) data ownership and control, 2) the production of technologies and data development, and 3) data security. We then use literature and examples to consider the extent to which the political and economic landscape can be shifted to support</w:instrText>
            </w:r>
            <w:r>
              <w:rPr>
                <w:rFonts w:hint="eastAsia"/>
                <w:lang w:val="en-US"/>
              </w:rPr>
              <w:instrText xml:space="preserve"> greater equity in agriculture, while reflecting on structural challenges and limits. In doing so, we emphasise that while there are significant systemic tensions between digital ag</w:instrText>
            </w:r>
            <w:r>
              <w:rPr>
                <w:rFonts w:hint="eastAsia"/>
                <w:lang w:val="en-US"/>
              </w:rPr>
              <w:instrText>‐</w:instrText>
            </w:r>
            <w:r>
              <w:rPr>
                <w:rFonts w:hint="eastAsia"/>
                <w:lang w:val="en-US"/>
              </w:rPr>
              <w:instrText>tech development and agroecological approaches, we do not see them as mutually exclusive per se. This paper intends to provide decision</w:instrText>
            </w:r>
            <w:r>
              <w:rPr>
                <w:rFonts w:hint="eastAsia"/>
                <w:lang w:val="en-US"/>
              </w:rPr>
              <w:instrText>‐</w:instrText>
            </w:r>
            <w:r>
              <w:rPr>
                <w:rFonts w:hint="eastAsia"/>
                <w:lang w:val="en-US"/>
              </w:rPr>
              <w:instrText>makers, practitioners and scholars from a wide range of disciplines with a timely assessment of agri</w:instrText>
            </w:r>
            <w:r>
              <w:rPr>
                <w:rFonts w:hint="eastAsia"/>
                <w:lang w:val="en-US"/>
              </w:rPr>
              <w:instrText>‐</w:instrText>
            </w:r>
            <w:r>
              <w:rPr>
                <w:rFonts w:hint="eastAsia"/>
                <w:lang w:val="en-US"/>
              </w:rPr>
              <w:instrText>food digitalisation that attends to political economic factors. In doing so, this paper contributes to policy and decision</w:instrText>
            </w:r>
            <w:r>
              <w:rPr>
                <w:rFonts w:hint="eastAsia"/>
                <w:lang w:val="en-US"/>
              </w:rPr>
              <w:instrText>‐</w:instrText>
            </w:r>
            <w:r>
              <w:rPr>
                <w:rFonts w:hint="eastAsia"/>
                <w:lang w:val="en-US"/>
              </w:rPr>
              <w:instrText>making discussions, which, from our perspective, continue to be rather technocentric in nature while paying little attention to how digital technologies can support agroecological systems specifically.&lt;/p&gt;\n      &lt;p&gt;This ar</w:instrText>
            </w:r>
            <w:r>
              <w:rPr>
                <w:lang w:val="en-US"/>
              </w:rPr>
              <w:instrText>ticle is protected by copyright. All rights reserved.&lt;/p&gt;","author":[{"dropping-particle":"","family":"Rotz","given":"Sarah","non-dropping-particle":"","parse-names":false,"suffix":""},{"dropping-particle":"","family":"Duncan","given":"Emily","non-dropping-particle":"","parse-names":false,"suffix":""},{"dropping-particle":"","family":"Small","given":"Matthew","non-dropping-particle":"","parse-names":false,"suffix":""},{"dropping-particle":"","family":"Botschner","given":"Janos","non-dropping-particle":"","parse-names":false,"suffix":""},{"dropping-particle":"","family":"Dara","given":"Rozita","non-dropping-particle":"","parse-names":false,"suffix":""},{"dropping-particle":"","family":"Mosby","given":"Ian","non-dropping-particle":"","parse-names":false,"suffix":""},{"dropping-particle":"","family":"Reed","given":"Mark","non-dropping-particle":"","parse-names":false,"suffix":""},{"dropping-particle":"","family":"Fraser","given":"Evan D.G.","non-dropping-particle":"","parse-names":false,"suffix":""}],"container-title":"Sociologia Ruralis","id":"ITEM-1","issue":"2","issued":{"date-parts":[["2019"]]},"page":"203-229","title":"The Politics of Digital Agricultural Technologies: A Preliminary Review","type":"article-journal","volume":"59"},"uris":["http://www.mendeley.com/documents/?uuid=2a48291f-a221-431b-a4d3-6410a642aa9b"]}],"mendeley":{"formattedCitation":"(Rotz et al., 2019)","plainTextFormattedCitation":"(Rotz et al., 2019)","previouslyFormattedCitation":"(Rotz et al., 2019)"},"properties":{"noteIndex":0},"schema":"https://github.com/citation-style-language/schema/raw/master/csl-citation.json"}</w:instrText>
            </w:r>
            <w:r>
              <w:rPr>
                <w:lang w:val="en-US"/>
              </w:rPr>
              <w:fldChar w:fldCharType="separate"/>
            </w:r>
            <w:r w:rsidRPr="004B68CD">
              <w:rPr>
                <w:noProof/>
                <w:lang w:val="en-US"/>
              </w:rPr>
              <w:t>(Rotz et al., 2019)</w:t>
            </w:r>
            <w:r>
              <w:rPr>
                <w:lang w:val="en-US"/>
              </w:rPr>
              <w:fldChar w:fldCharType="end"/>
            </w:r>
          </w:p>
        </w:tc>
        <w:tc>
          <w:tcPr>
            <w:tcW w:w="6358" w:type="dxa"/>
            <w:tcMar>
              <w:left w:w="57" w:type="dxa"/>
              <w:right w:w="57" w:type="dxa"/>
            </w:tcMar>
          </w:tcPr>
          <w:p w14:paraId="58B77C8F" w14:textId="19F021A1" w:rsidR="00BB01B4" w:rsidRPr="00BB01B4" w:rsidRDefault="004B68CD" w:rsidP="00E503ED">
            <w:pPr>
              <w:rPr>
                <w:lang w:val="en-US"/>
              </w:rPr>
            </w:pPr>
            <w:r w:rsidRPr="00DA0DB9">
              <w:rPr>
                <w:lang w:val="en-US"/>
              </w:rPr>
              <w:t>Megatrends impacting the industry A brief look at business issues</w:t>
            </w:r>
          </w:p>
        </w:tc>
      </w:tr>
      <w:tr w:rsidR="00BB01B4" w:rsidRPr="00634236" w14:paraId="0EA96E91" w14:textId="77777777" w:rsidTr="00C926D5">
        <w:trPr>
          <w:trHeight w:val="525"/>
        </w:trPr>
        <w:tc>
          <w:tcPr>
            <w:tcW w:w="2472" w:type="dxa"/>
            <w:tcMar>
              <w:left w:w="57" w:type="dxa"/>
              <w:right w:w="57" w:type="dxa"/>
            </w:tcMar>
          </w:tcPr>
          <w:p w14:paraId="30A853D7" w14:textId="359C5724" w:rsidR="00BB01B4" w:rsidRDefault="004B68CD" w:rsidP="00E503ED">
            <w:pPr>
              <w:rPr>
                <w:lang w:val="en-US"/>
              </w:rPr>
            </w:pPr>
            <w:r>
              <w:rPr>
                <w:lang w:val="en-US"/>
              </w:rPr>
              <w:fldChar w:fldCharType="begin" w:fldLock="1"/>
            </w:r>
            <w:r>
              <w:rPr>
                <w:lang w:val="en-US"/>
              </w:rPr>
              <w:instrText>ADDIN CSL_CITATION {"citationItems":[{"id":"ITEM-1","itemData":{"abstract":"Technology Transforming Irish Agri-Food and Bioeconomy","author":[{"dropping-particle":"","family":"TEAGASC","given":"","non-dropping-particle":"","parse-names":false,"suffix":""}],"id":"ITEM-1","issue":"March","issued":{"date-parts":[["2016"]]},"page":"80","title":"TEAGASC Technology Foresight 2035","type":"article-journal"},"uris":["http://www.mendeley.com/documents/?uuid=fe3a1152-2571-40d1-ae63-02479794e628"]}],"mendeley":{"formattedCitation":"(TEAGASC, 2016)","plainTextFormattedCitation":"(TEAGASC, 2016)","previouslyFormattedCitation":"(TEAGASC, 2016)"},"properties":{"noteIndex":0},"schema":"https://github.com/citation-style-language/schema/raw/master/csl-citation.json"}</w:instrText>
            </w:r>
            <w:r>
              <w:rPr>
                <w:lang w:val="en-US"/>
              </w:rPr>
              <w:fldChar w:fldCharType="separate"/>
            </w:r>
            <w:r w:rsidRPr="004B68CD">
              <w:rPr>
                <w:noProof/>
                <w:lang w:val="en-US"/>
              </w:rPr>
              <w:t>(TEAGASC, 2016)</w:t>
            </w:r>
            <w:r>
              <w:rPr>
                <w:lang w:val="en-US"/>
              </w:rPr>
              <w:fldChar w:fldCharType="end"/>
            </w:r>
            <w:r>
              <w:rPr>
                <w:lang w:val="en-US"/>
              </w:rPr>
              <w:t>*</w:t>
            </w:r>
          </w:p>
        </w:tc>
        <w:tc>
          <w:tcPr>
            <w:tcW w:w="6358" w:type="dxa"/>
            <w:tcMar>
              <w:left w:w="57" w:type="dxa"/>
              <w:right w:w="57" w:type="dxa"/>
            </w:tcMar>
          </w:tcPr>
          <w:p w14:paraId="44A525D6" w14:textId="4D14B1E9" w:rsidR="00BB01B4" w:rsidRPr="00BB01B4" w:rsidRDefault="004B68CD" w:rsidP="00E503ED">
            <w:pPr>
              <w:rPr>
                <w:lang w:val="en-US"/>
              </w:rPr>
            </w:pPr>
            <w:r w:rsidRPr="00DA0DB9">
              <w:rPr>
                <w:lang w:val="en-US"/>
              </w:rPr>
              <w:t>TEAGASC Technology Foresight 2035</w:t>
            </w:r>
          </w:p>
        </w:tc>
      </w:tr>
      <w:tr w:rsidR="004B68CD" w:rsidRPr="00AB4713" w14:paraId="647D76D2" w14:textId="77777777" w:rsidTr="00C926D5">
        <w:trPr>
          <w:trHeight w:val="525"/>
        </w:trPr>
        <w:tc>
          <w:tcPr>
            <w:tcW w:w="2472" w:type="dxa"/>
            <w:tcMar>
              <w:left w:w="57" w:type="dxa"/>
              <w:right w:w="57" w:type="dxa"/>
            </w:tcMar>
          </w:tcPr>
          <w:p w14:paraId="50BFC40F" w14:textId="0B1665D8" w:rsidR="004B68CD" w:rsidRDefault="004B68CD" w:rsidP="00E503ED">
            <w:pPr>
              <w:rPr>
                <w:lang w:val="en-US"/>
              </w:rPr>
            </w:pPr>
            <w:r>
              <w:rPr>
                <w:lang w:val="en-US"/>
              </w:rPr>
              <w:fldChar w:fldCharType="begin" w:fldLock="1"/>
            </w:r>
            <w:r w:rsidR="008619A7">
              <w:rPr>
                <w:lang w:val="en-US"/>
              </w:rPr>
              <w:instrText>ADDIN CSL_CITATION {"citationItems":[{"id":"ITEM-1","itemData":{"abstract":"Distributed ledger technologies (DLTs) and smart contracts provide a unique opportunity to bring greater efficiency, transparency and traceability to the exchange of value and information in the agriculture sector. This paper aims to facilitate a better understanding of the opportunities, benefits and applications of DLTs in agri-foods. It also identifies technical limits and possible institutional barriers to their adoption. By utilising digital records, cryptography and the disintermediation of transaction processing and data storage, DLTs can improve both agricultural supply chains and rural development interventions in a number of ways. First, the ability of the technology to trace a product’s provenance, carry detailed attributes for the product in each transaction and ensure its authenticity brings vast improvements in traceability with positive impact on food safety, quality and sustainability. Second, the disintermediation of transactions in agricultural supply chains and the use of smart contracts enable frictionless and real-time payments for agricultural financial services, which can reduce transaction costs, decrease risk for buyers and sellers and increase cash flow and working capital for farmers and sellers which is usually tied up in complex and paper-heavy settlement processes. More efficient supply chains and agricultural financial services lead to greater financial inclusion and stronger business development. Third, DLTs allow users to build digital identities with their recorded digital and physical assets. The vast amount of data generated from transactions in agricultural supply chains provides more accurate market information and data for supply chain actors and the public sector, which can be used to inform production and marketing decisions, prove a farmer’s track record to access credit and strengthen the enabling environment with better informed policies. Physical assets registered on the distributed ledger, such as land titles, can be used as collateral to access financing. DLTs are a secure, fast and immutable method to register land titles, providing greater legal clarity to land tenure systems. In addition, DLTs also have the potential to improve the implementation and monitoring of international agreements related to agriculture, such as World Trade Organization agreements and provisions relevant for agriculture, as well as the Paris Agreement on Climate Change. DLTs can bring greater transparency and accountability to co…","author":[{"dropping-particle":"","family":"Tripoli","given":"Mischa","non-dropping-particle":"","parse-names":false,"suffix":""},{"dropping-particle":"","family":"Schmidhuber","given":"Josef","non-dropping-particle":"","parse-names":false,"suffix":""}],"container-title":"Food and Agriculture Organization of the United Nations","id":"ITEM-1","issue":"August","issued":{"date-parts":[["2018"]]},"title":"Emerging Opportunities for the Application of Blockchain in the Agri-food Industry Agriculture","type":"article-journal"},"uris":["http://www.mendeley.com/documents/?uuid=c9c1558b-8043-40d9-99b1-82c77df6254a"]}],"mendeley":{"formattedCitation":"(Tripoli &amp; Schmidhuber, 2018)","plainTextFormattedCitation":"(Tripoli &amp; Schmidhuber, 2018)","previouslyFormattedCitation":"(Tripoli &amp; Schmidhuber, 2018)"},"properties":{"noteIndex":0},"schema":"https://github.com/citation-style-language/schema/raw/master/csl-citation.json"}</w:instrText>
            </w:r>
            <w:r>
              <w:rPr>
                <w:lang w:val="en-US"/>
              </w:rPr>
              <w:fldChar w:fldCharType="separate"/>
            </w:r>
            <w:r w:rsidRPr="004B68CD">
              <w:rPr>
                <w:noProof/>
                <w:lang w:val="en-US"/>
              </w:rPr>
              <w:t>(Tripoli &amp; Schmidhuber, 2018)</w:t>
            </w:r>
            <w:r>
              <w:rPr>
                <w:lang w:val="en-US"/>
              </w:rPr>
              <w:fldChar w:fldCharType="end"/>
            </w:r>
            <w:r>
              <w:rPr>
                <w:lang w:val="en-US"/>
              </w:rPr>
              <w:t>*</w:t>
            </w:r>
          </w:p>
        </w:tc>
        <w:tc>
          <w:tcPr>
            <w:tcW w:w="6358" w:type="dxa"/>
            <w:tcMar>
              <w:left w:w="57" w:type="dxa"/>
              <w:right w:w="57" w:type="dxa"/>
            </w:tcMar>
          </w:tcPr>
          <w:p w14:paraId="67D15381" w14:textId="5512856C" w:rsidR="004B68CD" w:rsidRPr="00BB01B4" w:rsidRDefault="004B68CD" w:rsidP="00E503ED">
            <w:pPr>
              <w:rPr>
                <w:lang w:val="en-US"/>
              </w:rPr>
            </w:pPr>
            <w:r w:rsidRPr="004B68CD">
              <w:rPr>
                <w:lang w:val="en-US"/>
              </w:rPr>
              <w:t>Emerging Opportunities for the Application of Blockchain in the Agri-food Industry Agriculture</w:t>
            </w:r>
          </w:p>
        </w:tc>
      </w:tr>
      <w:tr w:rsidR="004B68CD" w:rsidRPr="00AB4713" w14:paraId="47816F34" w14:textId="77777777" w:rsidTr="00C926D5">
        <w:trPr>
          <w:trHeight w:val="525"/>
        </w:trPr>
        <w:tc>
          <w:tcPr>
            <w:tcW w:w="2472" w:type="dxa"/>
            <w:tcMar>
              <w:left w:w="57" w:type="dxa"/>
              <w:right w:w="57" w:type="dxa"/>
            </w:tcMar>
          </w:tcPr>
          <w:p w14:paraId="0939760B" w14:textId="2DE39E2A" w:rsidR="004B68CD" w:rsidRDefault="008619A7" w:rsidP="004B68CD">
            <w:pPr>
              <w:rPr>
                <w:lang w:val="en-US"/>
              </w:rPr>
            </w:pPr>
            <w:r>
              <w:rPr>
                <w:lang w:val="en-US"/>
              </w:rPr>
              <w:fldChar w:fldCharType="begin" w:fldLock="1"/>
            </w:r>
            <w:r>
              <w:rPr>
                <w:lang w:val="en-US"/>
              </w:rPr>
              <w:instrText>ADDIN CSL_CITATION {"citationItems":[{"id":"ITEM-1","itemData":{"DOI":"10.4337/9781785361890.00011","abstract":"http://en.scientificcommons.org/38819908","author":[{"dropping-particle":"","family":"UNIDO","given":"","non-dropping-particle":"","parse-names":false,"suffix":""}],"container-title":"International Trade and Food Security","id":"ITEM-1","issued":{"date-parts":[["2016"]]},"number-of-pages":"27-48","title":"Global value chains in the food sector","type":"report"},"uris":["http://www.mendeley.com/documents/?uuid=7f2e7a94-a3ec-4f80-bf52-4b9bf4471d04"]}],"mendeley":{"formattedCitation":"(UNIDO, 2016)","plainTextFormattedCitation":"(UNIDO, 2016)","previouslyFormattedCitation":"(UNIDO, 2016)"},"properties":{"noteIndex":0},"schema":"https://github.com/citation-style-language/schema/raw/master/csl-citation.json"}</w:instrText>
            </w:r>
            <w:r>
              <w:rPr>
                <w:lang w:val="en-US"/>
              </w:rPr>
              <w:fldChar w:fldCharType="separate"/>
            </w:r>
            <w:r w:rsidRPr="008619A7">
              <w:rPr>
                <w:noProof/>
                <w:lang w:val="en-US"/>
              </w:rPr>
              <w:t>(UNIDO, 2016)</w:t>
            </w:r>
            <w:r>
              <w:rPr>
                <w:lang w:val="en-US"/>
              </w:rPr>
              <w:fldChar w:fldCharType="end"/>
            </w:r>
            <w:r>
              <w:rPr>
                <w:lang w:val="en-US"/>
              </w:rPr>
              <w:t>*</w:t>
            </w:r>
          </w:p>
        </w:tc>
        <w:tc>
          <w:tcPr>
            <w:tcW w:w="6358" w:type="dxa"/>
            <w:tcMar>
              <w:left w:w="57" w:type="dxa"/>
              <w:right w:w="57" w:type="dxa"/>
            </w:tcMar>
          </w:tcPr>
          <w:p w14:paraId="7C7249AD" w14:textId="77EF2F80" w:rsidR="004B68CD" w:rsidRPr="00BB01B4" w:rsidRDefault="004B68CD" w:rsidP="00E503ED">
            <w:pPr>
              <w:rPr>
                <w:lang w:val="en-US"/>
              </w:rPr>
            </w:pPr>
            <w:r w:rsidRPr="004B68CD">
              <w:rPr>
                <w:lang w:val="en-US"/>
              </w:rPr>
              <w:t>Global value chains in the food sector</w:t>
            </w:r>
          </w:p>
        </w:tc>
      </w:tr>
      <w:tr w:rsidR="004B68CD" w:rsidRPr="00AB4713" w14:paraId="6A78200A" w14:textId="77777777" w:rsidTr="00C926D5">
        <w:trPr>
          <w:trHeight w:val="525"/>
        </w:trPr>
        <w:tc>
          <w:tcPr>
            <w:tcW w:w="2472" w:type="dxa"/>
            <w:tcMar>
              <w:left w:w="57" w:type="dxa"/>
              <w:right w:w="57" w:type="dxa"/>
            </w:tcMar>
          </w:tcPr>
          <w:p w14:paraId="4B93F362" w14:textId="40ECCCE4" w:rsidR="004B68CD" w:rsidRDefault="008619A7" w:rsidP="00E503ED">
            <w:pPr>
              <w:rPr>
                <w:lang w:val="en-US"/>
              </w:rPr>
            </w:pPr>
            <w:r>
              <w:rPr>
                <w:lang w:val="en-US"/>
              </w:rPr>
              <w:fldChar w:fldCharType="begin" w:fldLock="1"/>
            </w:r>
            <w:r>
              <w:rPr>
                <w:lang w:val="en-US"/>
              </w:rPr>
              <w:instrText>ADDIN CSL_CITATION {"citationItems":[{"id":"ITEM-1","itemData":{"author":[{"dropping-particle":"","family":"World Economic Forum","given":"","non-dropping-particle":"","parse-names":false,"suffix":""}],"id":"ITEM-1","issue":"January","issued":{"date-parts":[["2016"]]},"title":"Building Partnerships for Sustainable Agriculture and Food Security: A Guide to Country-Led Action Contents Preface","type":"article-journal"},"uris":["http://www.mendeley.com/documents/?uuid=75747759-986e-41c3-bc84-1bb6f0ce28e0"]}],"mendeley":{"formattedCitation":"(World Economic Forum, 2016)","plainTextFormattedCitation":"(World Economic Forum, 2016)","previouslyFormattedCitation":"(World Economic Forum, 2016)"},"properties":{"noteIndex":0},"schema":"https://github.com/citation-style-language/schema/raw/master/csl-citation.json"}</w:instrText>
            </w:r>
            <w:r>
              <w:rPr>
                <w:lang w:val="en-US"/>
              </w:rPr>
              <w:fldChar w:fldCharType="separate"/>
            </w:r>
            <w:r w:rsidRPr="008619A7">
              <w:rPr>
                <w:noProof/>
                <w:lang w:val="en-US"/>
              </w:rPr>
              <w:t>(World Economic Forum, 2016)</w:t>
            </w:r>
            <w:r>
              <w:rPr>
                <w:lang w:val="en-US"/>
              </w:rPr>
              <w:fldChar w:fldCharType="end"/>
            </w:r>
          </w:p>
        </w:tc>
        <w:tc>
          <w:tcPr>
            <w:tcW w:w="6358" w:type="dxa"/>
            <w:tcMar>
              <w:left w:w="57" w:type="dxa"/>
              <w:right w:w="57" w:type="dxa"/>
            </w:tcMar>
          </w:tcPr>
          <w:p w14:paraId="05ECDA1C" w14:textId="394B6421" w:rsidR="004B68CD" w:rsidRPr="00BB01B4" w:rsidRDefault="004B68CD" w:rsidP="00E503ED">
            <w:pPr>
              <w:rPr>
                <w:lang w:val="en-US"/>
              </w:rPr>
            </w:pPr>
            <w:r w:rsidRPr="004B68CD">
              <w:rPr>
                <w:lang w:val="en-US"/>
              </w:rPr>
              <w:t>Building Partnerships for Sustainable Agriculture and Food Security: A Guide to Country-Led Action Contents Preface</w:t>
            </w:r>
          </w:p>
        </w:tc>
      </w:tr>
      <w:tr w:rsidR="004B68CD" w:rsidRPr="00AB4713" w14:paraId="7434788D" w14:textId="77777777" w:rsidTr="00C926D5">
        <w:trPr>
          <w:trHeight w:val="525"/>
        </w:trPr>
        <w:tc>
          <w:tcPr>
            <w:tcW w:w="2472" w:type="dxa"/>
            <w:tcMar>
              <w:left w:w="57" w:type="dxa"/>
              <w:right w:w="57" w:type="dxa"/>
            </w:tcMar>
          </w:tcPr>
          <w:p w14:paraId="1D71FE7F" w14:textId="16EA8110" w:rsidR="004B68CD" w:rsidRDefault="008619A7" w:rsidP="00E503ED">
            <w:pPr>
              <w:rPr>
                <w:lang w:val="en-US"/>
              </w:rPr>
            </w:pPr>
            <w:r>
              <w:rPr>
                <w:lang w:val="en-US"/>
              </w:rPr>
              <w:fldChar w:fldCharType="begin" w:fldLock="1"/>
            </w:r>
            <w:r>
              <w:rPr>
                <w:lang w:val="en-US"/>
              </w:rPr>
              <w:instrText>ADDIN CSL_CITATION {"citationItems":[{"id":"ITEM-1","itemData":{"DOI":"10.1017/S1474745608004035","ISBN":"9789295044531","ISSN":"1474-7456","PMID":"20166286","abstract":"The WTO and preferential trade agreements: From co-existence to coherence","author":[{"dropping-particle":"","family":"World Economic Forum","given":"","non-dropping-particle":"","parse-names":false,"suffix":""}],"container-title":"World Trade Review","id":"ITEM-1","issue":"04","issued":{"date-parts":[["2017"]]},"page":"710-712","title":"Shaping the Future of Global Food Systems: A Scenarios Analysis","type":"article-journal","volume":"7"},"uris":["http://www.mendeley.com/documents/?uuid=65964991-9bf0-413a-94f4-53007aa30e17"]}],"mendeley":{"formattedCitation":"(World Economic Forum, 2017)","plainTextFormattedCitation":"(World Economic Forum, 2017)","previouslyFormattedCitation":"(World Economic Forum, 2017)"},"properties":{"noteIndex":0},"schema":"https://github.com/citation-style-language/schema/raw/master/csl-citation.json"}</w:instrText>
            </w:r>
            <w:r>
              <w:rPr>
                <w:lang w:val="en-US"/>
              </w:rPr>
              <w:fldChar w:fldCharType="separate"/>
            </w:r>
            <w:r w:rsidRPr="008619A7">
              <w:rPr>
                <w:noProof/>
                <w:lang w:val="en-US"/>
              </w:rPr>
              <w:t>(World Economic Forum, 2017)</w:t>
            </w:r>
            <w:r>
              <w:rPr>
                <w:lang w:val="en-US"/>
              </w:rPr>
              <w:fldChar w:fldCharType="end"/>
            </w:r>
          </w:p>
        </w:tc>
        <w:tc>
          <w:tcPr>
            <w:tcW w:w="6358" w:type="dxa"/>
            <w:tcMar>
              <w:left w:w="57" w:type="dxa"/>
              <w:right w:w="57" w:type="dxa"/>
            </w:tcMar>
          </w:tcPr>
          <w:p w14:paraId="393CFFF7" w14:textId="40A217D4" w:rsidR="004B68CD" w:rsidRPr="00BB01B4" w:rsidRDefault="004B68CD" w:rsidP="00E503ED">
            <w:pPr>
              <w:rPr>
                <w:lang w:val="en-US"/>
              </w:rPr>
            </w:pPr>
            <w:r w:rsidRPr="004B68CD">
              <w:rPr>
                <w:lang w:val="en-US"/>
              </w:rPr>
              <w:t>Shaping the Future of Global Food Systems: A Scenarios Analysis</w:t>
            </w:r>
          </w:p>
        </w:tc>
      </w:tr>
    </w:tbl>
    <w:p w14:paraId="2041363B" w14:textId="77777777" w:rsidR="000D0D31" w:rsidRDefault="000D0D31" w:rsidP="000D0D31">
      <w:pPr>
        <w:pStyle w:val="Caption"/>
        <w:keepNext/>
        <w:rPr>
          <w:lang w:val="en-US"/>
        </w:rPr>
      </w:pPr>
    </w:p>
    <w:p w14:paraId="7DC9BB21" w14:textId="0983AA14" w:rsidR="000D0D31" w:rsidRPr="000D0D31" w:rsidRDefault="000D0D31" w:rsidP="000D0D31">
      <w:pPr>
        <w:pStyle w:val="Caption"/>
        <w:keepNext/>
        <w:rPr>
          <w:lang w:val="en-US"/>
        </w:rPr>
      </w:pPr>
      <w:bookmarkStart w:id="106" w:name="_Toc14347504"/>
      <w:r w:rsidRPr="000D0D31">
        <w:rPr>
          <w:lang w:val="en-US"/>
        </w:rPr>
        <w:t xml:space="preserve">Table </w:t>
      </w:r>
      <w:r>
        <w:fldChar w:fldCharType="begin"/>
      </w:r>
      <w:r w:rsidRPr="000D0D31">
        <w:rPr>
          <w:lang w:val="en-US"/>
        </w:rPr>
        <w:instrText xml:space="preserve"> SEQ Table \* ARABIC </w:instrText>
      </w:r>
      <w:r>
        <w:fldChar w:fldCharType="separate"/>
      </w:r>
      <w:r w:rsidR="009F0429">
        <w:rPr>
          <w:noProof/>
          <w:lang w:val="en-US"/>
        </w:rPr>
        <w:t>15</w:t>
      </w:r>
      <w:r>
        <w:fldChar w:fldCharType="end"/>
      </w:r>
      <w:r>
        <w:rPr>
          <w:lang w:val="en-US"/>
        </w:rPr>
        <w:t xml:space="preserve">: </w:t>
      </w:r>
      <w:r w:rsidRPr="00E171A9">
        <w:rPr>
          <w:lang w:val="en-US"/>
        </w:rPr>
        <w:t>Call for challenges and original descriptions</w:t>
      </w:r>
      <w:bookmarkEnd w:id="106"/>
    </w:p>
    <w:tbl>
      <w:tblPr>
        <w:tblStyle w:val="TableGrid"/>
        <w:tblW w:w="7938" w:type="dxa"/>
        <w:tblBorders>
          <w:left w:val="none" w:sz="0" w:space="0" w:color="auto"/>
          <w:right w:val="none" w:sz="0" w:space="0" w:color="auto"/>
        </w:tblBorders>
        <w:tblLayout w:type="fixed"/>
        <w:tblCellMar>
          <w:top w:w="28" w:type="dxa"/>
          <w:left w:w="85" w:type="dxa"/>
          <w:bottom w:w="28" w:type="dxa"/>
          <w:right w:w="85" w:type="dxa"/>
        </w:tblCellMar>
        <w:tblLook w:val="04A0" w:firstRow="1" w:lastRow="0" w:firstColumn="1" w:lastColumn="0" w:noHBand="0" w:noVBand="1"/>
      </w:tblPr>
      <w:tblGrid>
        <w:gridCol w:w="2183"/>
        <w:gridCol w:w="5755"/>
      </w:tblGrid>
      <w:tr w:rsidR="000D0D31" w:rsidRPr="00CC1C1C" w14:paraId="71C07E1A" w14:textId="77777777" w:rsidTr="00C926D5">
        <w:trPr>
          <w:trHeight w:val="417"/>
          <w:tblHeader/>
        </w:trPr>
        <w:tc>
          <w:tcPr>
            <w:tcW w:w="2183" w:type="dxa"/>
          </w:tcPr>
          <w:p w14:paraId="0D569C7E" w14:textId="5CB4FE01" w:rsidR="000D0D31" w:rsidRPr="000D0D31" w:rsidRDefault="000D0D31" w:rsidP="00C926D5">
            <w:pPr>
              <w:contextualSpacing/>
              <w:jc w:val="both"/>
              <w:rPr>
                <w:b/>
                <w:lang w:val="en-US"/>
              </w:rPr>
            </w:pPr>
            <w:r w:rsidRPr="000D0D31">
              <w:rPr>
                <w:b/>
                <w:lang w:val="en-US"/>
              </w:rPr>
              <w:t>Challenge</w:t>
            </w:r>
          </w:p>
        </w:tc>
        <w:tc>
          <w:tcPr>
            <w:tcW w:w="5755" w:type="dxa"/>
          </w:tcPr>
          <w:p w14:paraId="4EBE333D" w14:textId="0358020B" w:rsidR="000D0D31" w:rsidRPr="000D0D31" w:rsidRDefault="000D0D31" w:rsidP="00C926D5">
            <w:pPr>
              <w:ind w:left="360"/>
              <w:contextualSpacing/>
              <w:jc w:val="both"/>
              <w:rPr>
                <w:b/>
                <w:lang w:val="en-US"/>
              </w:rPr>
            </w:pPr>
            <w:r w:rsidRPr="000D0D31">
              <w:rPr>
                <w:b/>
                <w:lang w:val="en-US"/>
              </w:rPr>
              <w:t>Description</w:t>
            </w:r>
          </w:p>
        </w:tc>
      </w:tr>
      <w:tr w:rsidR="00946B54" w:rsidRPr="00AB4713" w14:paraId="27A3990F" w14:textId="77777777" w:rsidTr="00C926D5">
        <w:trPr>
          <w:trHeight w:val="1091"/>
        </w:trPr>
        <w:tc>
          <w:tcPr>
            <w:tcW w:w="2183" w:type="dxa"/>
          </w:tcPr>
          <w:p w14:paraId="08E622CB" w14:textId="77777777" w:rsidR="00946B54" w:rsidRPr="0048196F" w:rsidRDefault="00946B54" w:rsidP="00C926D5">
            <w:pPr>
              <w:numPr>
                <w:ilvl w:val="0"/>
                <w:numId w:val="11"/>
              </w:numPr>
              <w:spacing w:line="360" w:lineRule="auto"/>
              <w:contextualSpacing/>
              <w:jc w:val="both"/>
              <w:rPr>
                <w:bCs/>
                <w:lang w:val="en-US"/>
              </w:rPr>
            </w:pPr>
            <w:r w:rsidRPr="0048196F">
              <w:rPr>
                <w:bCs/>
                <w:lang w:val="en-US"/>
              </w:rPr>
              <w:t>Irrigation Management of orphan crops</w:t>
            </w:r>
          </w:p>
        </w:tc>
        <w:tc>
          <w:tcPr>
            <w:tcW w:w="5755" w:type="dxa"/>
          </w:tcPr>
          <w:p w14:paraId="20278846" w14:textId="7516D900" w:rsidR="00946B54" w:rsidRPr="0048196F" w:rsidRDefault="00946B54" w:rsidP="00C926D5">
            <w:pPr>
              <w:spacing w:line="360" w:lineRule="auto"/>
              <w:contextualSpacing/>
              <w:jc w:val="both"/>
              <w:rPr>
                <w:bCs/>
                <w:lang w:val="en-US"/>
              </w:rPr>
            </w:pPr>
            <w:r w:rsidRPr="0048196F">
              <w:rPr>
                <w:bCs/>
                <w:lang w:val="en-US"/>
              </w:rPr>
              <w:t>The challenge is to develop methods and tools for the irrigation management of different crops such as sunflower, haricot, asparagus, chickpeas, etc.</w:t>
            </w:r>
          </w:p>
        </w:tc>
      </w:tr>
      <w:tr w:rsidR="00946B54" w:rsidRPr="00AB4713" w14:paraId="2DAB2AD8" w14:textId="77777777" w:rsidTr="00C926D5">
        <w:trPr>
          <w:trHeight w:val="814"/>
        </w:trPr>
        <w:tc>
          <w:tcPr>
            <w:tcW w:w="2183" w:type="dxa"/>
          </w:tcPr>
          <w:p w14:paraId="4A338DB2" w14:textId="77777777" w:rsidR="00946B54" w:rsidRPr="0048196F" w:rsidRDefault="00946B54" w:rsidP="00C926D5">
            <w:pPr>
              <w:numPr>
                <w:ilvl w:val="0"/>
                <w:numId w:val="11"/>
              </w:numPr>
              <w:spacing w:line="360" w:lineRule="auto"/>
              <w:contextualSpacing/>
              <w:jc w:val="both"/>
              <w:rPr>
                <w:bCs/>
                <w:lang w:val="en-US"/>
              </w:rPr>
            </w:pPr>
            <w:r w:rsidRPr="0048196F">
              <w:rPr>
                <w:bCs/>
                <w:lang w:val="en-US"/>
              </w:rPr>
              <w:t>How much grain do I have?</w:t>
            </w:r>
          </w:p>
        </w:tc>
        <w:tc>
          <w:tcPr>
            <w:tcW w:w="5755" w:type="dxa"/>
          </w:tcPr>
          <w:p w14:paraId="59A51889" w14:textId="3178746A" w:rsidR="00946B54" w:rsidRPr="0048196F" w:rsidRDefault="00946B54" w:rsidP="00C926D5">
            <w:pPr>
              <w:spacing w:line="360" w:lineRule="auto"/>
              <w:contextualSpacing/>
              <w:jc w:val="both"/>
              <w:rPr>
                <w:bCs/>
                <w:lang w:val="en-US"/>
              </w:rPr>
            </w:pPr>
            <w:r w:rsidRPr="0048196F">
              <w:rPr>
                <w:bCs/>
                <w:lang w:val="en-US"/>
              </w:rPr>
              <w:t>The challenge is to know at any time all the existing grain in stock in our storage equipment on the whole operating area.</w:t>
            </w:r>
          </w:p>
        </w:tc>
      </w:tr>
      <w:tr w:rsidR="00946B54" w:rsidRPr="00AB4713" w14:paraId="48AAAA48" w14:textId="77777777" w:rsidTr="00C926D5">
        <w:trPr>
          <w:trHeight w:val="553"/>
        </w:trPr>
        <w:tc>
          <w:tcPr>
            <w:tcW w:w="2183" w:type="dxa"/>
          </w:tcPr>
          <w:p w14:paraId="1A97699A" w14:textId="77777777" w:rsidR="00946B54" w:rsidRPr="0048196F" w:rsidRDefault="00946B54" w:rsidP="00C926D5">
            <w:pPr>
              <w:numPr>
                <w:ilvl w:val="0"/>
                <w:numId w:val="11"/>
              </w:numPr>
              <w:spacing w:line="360" w:lineRule="auto"/>
              <w:contextualSpacing/>
              <w:jc w:val="both"/>
              <w:rPr>
                <w:bCs/>
                <w:lang w:val="en-US"/>
              </w:rPr>
            </w:pPr>
            <w:r w:rsidRPr="0048196F">
              <w:rPr>
                <w:bCs/>
                <w:lang w:val="en-US"/>
              </w:rPr>
              <w:t>Calculation of production costs</w:t>
            </w:r>
          </w:p>
        </w:tc>
        <w:tc>
          <w:tcPr>
            <w:tcW w:w="5755" w:type="dxa"/>
          </w:tcPr>
          <w:p w14:paraId="3DBAF736" w14:textId="77777777" w:rsidR="00946B54" w:rsidRPr="0048196F" w:rsidRDefault="00946B54" w:rsidP="00C926D5">
            <w:pPr>
              <w:spacing w:line="360" w:lineRule="auto"/>
              <w:contextualSpacing/>
              <w:jc w:val="both"/>
              <w:rPr>
                <w:bCs/>
                <w:lang w:val="en-US"/>
              </w:rPr>
            </w:pPr>
            <w:r w:rsidRPr="0048196F">
              <w:rPr>
                <w:lang w:val="en-US"/>
              </w:rPr>
              <w:t>The challenge is to automatically and easily determine all production costs and thus find the marketing threshold for the crop harvested.</w:t>
            </w:r>
          </w:p>
        </w:tc>
      </w:tr>
      <w:tr w:rsidR="00946B54" w:rsidRPr="00AB4713" w14:paraId="5907EC01" w14:textId="77777777" w:rsidTr="00C926D5">
        <w:trPr>
          <w:trHeight w:val="814"/>
        </w:trPr>
        <w:tc>
          <w:tcPr>
            <w:tcW w:w="2183" w:type="dxa"/>
          </w:tcPr>
          <w:p w14:paraId="565379ED" w14:textId="77777777" w:rsidR="00946B54" w:rsidRPr="0048196F" w:rsidRDefault="00946B54" w:rsidP="00C926D5">
            <w:pPr>
              <w:numPr>
                <w:ilvl w:val="0"/>
                <w:numId w:val="11"/>
              </w:numPr>
              <w:spacing w:line="360" w:lineRule="auto"/>
              <w:contextualSpacing/>
              <w:jc w:val="both"/>
              <w:rPr>
                <w:bCs/>
                <w:lang w:val="en-US"/>
              </w:rPr>
            </w:pPr>
            <w:r w:rsidRPr="0048196F">
              <w:rPr>
                <w:bCs/>
                <w:lang w:val="en-US"/>
              </w:rPr>
              <w:t>Come and pluck to avoid being plucked</w:t>
            </w:r>
          </w:p>
        </w:tc>
        <w:tc>
          <w:tcPr>
            <w:tcW w:w="5755" w:type="dxa"/>
          </w:tcPr>
          <w:p w14:paraId="5B7956E8" w14:textId="77777777" w:rsidR="00946B54" w:rsidRPr="0048196F" w:rsidRDefault="00946B54" w:rsidP="00C926D5">
            <w:pPr>
              <w:spacing w:line="360" w:lineRule="auto"/>
              <w:contextualSpacing/>
              <w:jc w:val="both"/>
              <w:rPr>
                <w:bCs/>
                <w:lang w:val="en-US"/>
              </w:rPr>
            </w:pPr>
            <w:r w:rsidRPr="0048196F">
              <w:rPr>
                <w:bCs/>
                <w:lang w:val="en-US"/>
              </w:rPr>
              <w:t>The challenge is to develop an automated or robotized solution for the plucking step of ducks in slaughterhouses</w:t>
            </w:r>
          </w:p>
        </w:tc>
      </w:tr>
      <w:tr w:rsidR="00946B54" w:rsidRPr="00AB4713" w14:paraId="540C2B31" w14:textId="77777777" w:rsidTr="00C926D5">
        <w:trPr>
          <w:trHeight w:val="1907"/>
        </w:trPr>
        <w:tc>
          <w:tcPr>
            <w:tcW w:w="2183" w:type="dxa"/>
          </w:tcPr>
          <w:p w14:paraId="1FF5C785" w14:textId="77777777" w:rsidR="00946B54" w:rsidRPr="0048196F" w:rsidRDefault="00946B54" w:rsidP="00C926D5">
            <w:pPr>
              <w:numPr>
                <w:ilvl w:val="0"/>
                <w:numId w:val="11"/>
              </w:numPr>
              <w:spacing w:line="360" w:lineRule="auto"/>
              <w:contextualSpacing/>
              <w:jc w:val="both"/>
              <w:rPr>
                <w:bCs/>
                <w:lang w:val="en-US"/>
              </w:rPr>
            </w:pPr>
            <w:r w:rsidRPr="0048196F">
              <w:rPr>
                <w:bCs/>
                <w:lang w:val="en-US"/>
              </w:rPr>
              <w:t>Automatic image analysis to count mites &amp; whiteflies on plant leaves</w:t>
            </w:r>
          </w:p>
        </w:tc>
        <w:tc>
          <w:tcPr>
            <w:tcW w:w="5755" w:type="dxa"/>
          </w:tcPr>
          <w:p w14:paraId="32F3F509" w14:textId="77777777" w:rsidR="00946B54" w:rsidRPr="0048196F" w:rsidRDefault="00946B54" w:rsidP="00C926D5">
            <w:pPr>
              <w:spacing w:line="360" w:lineRule="auto"/>
              <w:contextualSpacing/>
              <w:jc w:val="both"/>
              <w:rPr>
                <w:bCs/>
                <w:lang w:val="en-US"/>
              </w:rPr>
            </w:pPr>
            <w:r w:rsidRPr="0048196F">
              <w:rPr>
                <w:lang w:val="en-US"/>
              </w:rPr>
              <w:t>The traditional method to evaluate insecticide efficacy consist in counting number of eggs, larva and adult insects on crop leaves before &amp; after insecticide application at regular interval. A typical experiment requires counting thousands of leaves under a binocular lense at each evaluation date.  The challenge is to automatize this tedious work using automatic pest recognition &amp; counting on leaf pictures, despite very small pest dimensions and variable leaf shapes, with a high accuracy</w:t>
            </w:r>
          </w:p>
        </w:tc>
      </w:tr>
      <w:tr w:rsidR="00946B54" w:rsidRPr="00AB4713" w14:paraId="3DBAD82B" w14:textId="77777777" w:rsidTr="00C926D5">
        <w:trPr>
          <w:trHeight w:val="1922"/>
        </w:trPr>
        <w:tc>
          <w:tcPr>
            <w:tcW w:w="2183" w:type="dxa"/>
          </w:tcPr>
          <w:p w14:paraId="71E1D73B" w14:textId="77777777" w:rsidR="00946B54" w:rsidRPr="0048196F" w:rsidRDefault="00946B54" w:rsidP="00C926D5">
            <w:pPr>
              <w:numPr>
                <w:ilvl w:val="0"/>
                <w:numId w:val="11"/>
              </w:numPr>
              <w:spacing w:line="360" w:lineRule="auto"/>
              <w:contextualSpacing/>
              <w:jc w:val="both"/>
              <w:rPr>
                <w:bCs/>
                <w:lang w:val="en-US"/>
              </w:rPr>
            </w:pPr>
            <w:r w:rsidRPr="0048196F">
              <w:rPr>
                <w:bCs/>
                <w:lang w:val="en-US"/>
              </w:rPr>
              <w:t>Small plot sprayer with remote control</w:t>
            </w:r>
          </w:p>
        </w:tc>
        <w:tc>
          <w:tcPr>
            <w:tcW w:w="5755" w:type="dxa"/>
          </w:tcPr>
          <w:p w14:paraId="000AE9E0" w14:textId="77777777" w:rsidR="00946B54" w:rsidRPr="0048196F" w:rsidRDefault="00946B54" w:rsidP="00C926D5">
            <w:pPr>
              <w:spacing w:line="360" w:lineRule="auto"/>
              <w:contextualSpacing/>
              <w:jc w:val="both"/>
              <w:rPr>
                <w:bCs/>
                <w:lang w:val="en-US"/>
              </w:rPr>
            </w:pPr>
            <w:r w:rsidRPr="0048196F">
              <w:rPr>
                <w:lang w:val="en-US"/>
              </w:rPr>
              <w:t>Our routine work consist in spraying small plot field experiments (10 to 30m²) with pesticides and biologicals to evaluate their efficacy and safety. Our operators typically use a backpack sprayer with a lateral (or vertical) boom to spray the whole plot width (crop height) The challenge is to put this sprayer on wheels with a remote control : our operator stands at the edge of the field to control spraying and he is protected from direct exposure</w:t>
            </w:r>
          </w:p>
        </w:tc>
      </w:tr>
      <w:tr w:rsidR="00946B54" w:rsidRPr="00AB4713" w14:paraId="7FE55577" w14:textId="77777777" w:rsidTr="00C926D5">
        <w:trPr>
          <w:trHeight w:val="1646"/>
        </w:trPr>
        <w:tc>
          <w:tcPr>
            <w:tcW w:w="2183" w:type="dxa"/>
          </w:tcPr>
          <w:p w14:paraId="4403C064" w14:textId="25D4BD1C" w:rsidR="00946B54" w:rsidRPr="0048196F" w:rsidRDefault="00C926D5" w:rsidP="00C926D5">
            <w:pPr>
              <w:numPr>
                <w:ilvl w:val="0"/>
                <w:numId w:val="11"/>
              </w:numPr>
              <w:spacing w:line="360" w:lineRule="auto"/>
              <w:contextualSpacing/>
              <w:jc w:val="both"/>
              <w:rPr>
                <w:bCs/>
                <w:lang w:val="en-US"/>
              </w:rPr>
            </w:pPr>
            <w:r w:rsidRPr="0048196F">
              <w:rPr>
                <w:bCs/>
                <w:lang w:val="en-US"/>
              </w:rPr>
              <w:t>Organization</w:t>
            </w:r>
            <w:r w:rsidR="00946B54" w:rsidRPr="0048196F">
              <w:rPr>
                <w:bCs/>
                <w:lang w:val="en-US"/>
              </w:rPr>
              <w:t xml:space="preserve"> of working time during calving period: remote monitoring of calving periods</w:t>
            </w:r>
          </w:p>
        </w:tc>
        <w:tc>
          <w:tcPr>
            <w:tcW w:w="5755" w:type="dxa"/>
          </w:tcPr>
          <w:p w14:paraId="5EF88A7A" w14:textId="77777777" w:rsidR="00946B54" w:rsidRPr="0048196F" w:rsidRDefault="00946B54" w:rsidP="00C926D5">
            <w:pPr>
              <w:spacing w:line="360" w:lineRule="auto"/>
              <w:contextualSpacing/>
              <w:jc w:val="both"/>
              <w:rPr>
                <w:bCs/>
                <w:lang w:val="en-US"/>
              </w:rPr>
            </w:pPr>
            <w:r w:rsidRPr="0048196F">
              <w:rPr>
                <w:lang w:val="en-US"/>
              </w:rPr>
              <w:t>The farrowing monitoring devices available to date do not allow tracking on a large number of animals. As herd size continues to grow, a more global view of events in the building herd is a way to improve the overall performance of livestock farms. Is it possible to use a coupled night vision camera and an alert system via a smartphone?</w:t>
            </w:r>
          </w:p>
        </w:tc>
      </w:tr>
      <w:tr w:rsidR="00C926D5" w:rsidRPr="00AB4713" w14:paraId="0691D71D" w14:textId="77777777" w:rsidTr="00C926D5">
        <w:trPr>
          <w:trHeight w:val="814"/>
        </w:trPr>
        <w:tc>
          <w:tcPr>
            <w:tcW w:w="2183" w:type="dxa"/>
          </w:tcPr>
          <w:p w14:paraId="1C0CACB2" w14:textId="77777777" w:rsidR="00C926D5" w:rsidRPr="0048196F" w:rsidRDefault="00C926D5" w:rsidP="00C926D5">
            <w:pPr>
              <w:numPr>
                <w:ilvl w:val="0"/>
                <w:numId w:val="11"/>
              </w:numPr>
              <w:spacing w:line="360" w:lineRule="auto"/>
              <w:contextualSpacing/>
              <w:jc w:val="both"/>
              <w:rPr>
                <w:bCs/>
                <w:lang w:val="en-US"/>
              </w:rPr>
            </w:pPr>
            <w:r w:rsidRPr="0048196F">
              <w:rPr>
                <w:bCs/>
                <w:lang w:val="en-US"/>
              </w:rPr>
              <w:t>Technologies for real-time forest management</w:t>
            </w:r>
          </w:p>
        </w:tc>
        <w:tc>
          <w:tcPr>
            <w:tcW w:w="5755" w:type="dxa"/>
          </w:tcPr>
          <w:p w14:paraId="2D49E2E3" w14:textId="3FAB2F53" w:rsidR="00C926D5" w:rsidRPr="0048196F" w:rsidRDefault="00C926D5" w:rsidP="00C926D5">
            <w:pPr>
              <w:spacing w:line="360" w:lineRule="auto"/>
              <w:contextualSpacing/>
              <w:jc w:val="both"/>
              <w:rPr>
                <w:bCs/>
                <w:lang w:val="en-US"/>
              </w:rPr>
            </w:pPr>
            <w:r w:rsidRPr="0048196F">
              <w:rPr>
                <w:lang w:val="en-US"/>
              </w:rPr>
              <w:t>This challenge aims at bringing the upstream part of the forest value chain to fully leverage the benefits of Industry 4.0. To achieve this challenge, new technologies based on the Artificial Intelligence concept to monitor, analyse and support decision making are needed along the supply chain.</w:t>
            </w:r>
          </w:p>
        </w:tc>
      </w:tr>
      <w:tr w:rsidR="00C926D5" w:rsidRPr="00AB4713" w14:paraId="1C3F3B4D" w14:textId="77777777" w:rsidTr="00C926D5">
        <w:trPr>
          <w:trHeight w:val="814"/>
        </w:trPr>
        <w:tc>
          <w:tcPr>
            <w:tcW w:w="2183" w:type="dxa"/>
          </w:tcPr>
          <w:p w14:paraId="23F6334D" w14:textId="77777777" w:rsidR="00C926D5" w:rsidRPr="0048196F" w:rsidRDefault="00C926D5" w:rsidP="00C926D5">
            <w:pPr>
              <w:numPr>
                <w:ilvl w:val="0"/>
                <w:numId w:val="11"/>
              </w:numPr>
              <w:spacing w:line="360" w:lineRule="auto"/>
              <w:contextualSpacing/>
              <w:jc w:val="both"/>
              <w:rPr>
                <w:bCs/>
                <w:lang w:val="en-US"/>
              </w:rPr>
            </w:pPr>
            <w:r w:rsidRPr="0048196F">
              <w:rPr>
                <w:bCs/>
                <w:lang w:val="en-US"/>
              </w:rPr>
              <w:t>Indirect measuring systems of seed quality</w:t>
            </w:r>
          </w:p>
        </w:tc>
        <w:tc>
          <w:tcPr>
            <w:tcW w:w="5755" w:type="dxa"/>
          </w:tcPr>
          <w:p w14:paraId="371ADA8E" w14:textId="77777777" w:rsidR="00C926D5" w:rsidRPr="0048196F" w:rsidRDefault="00C926D5" w:rsidP="00C926D5">
            <w:pPr>
              <w:spacing w:line="360" w:lineRule="auto"/>
              <w:contextualSpacing/>
              <w:jc w:val="both"/>
              <w:rPr>
                <w:bCs/>
                <w:lang w:val="en-US"/>
              </w:rPr>
            </w:pPr>
            <w:r w:rsidRPr="0048196F">
              <w:rPr>
                <w:lang w:val="en-US"/>
              </w:rPr>
              <w:t>The challenge is to find a synthetic and easy-to-use method to determine the right seed harvesting time and its quality, especially related to its germinative power.</w:t>
            </w:r>
          </w:p>
        </w:tc>
      </w:tr>
      <w:tr w:rsidR="00C926D5" w:rsidRPr="00AB4713" w14:paraId="15712371" w14:textId="77777777" w:rsidTr="00C926D5">
        <w:trPr>
          <w:trHeight w:val="1369"/>
        </w:trPr>
        <w:tc>
          <w:tcPr>
            <w:tcW w:w="2183" w:type="dxa"/>
          </w:tcPr>
          <w:p w14:paraId="40D2B7EA" w14:textId="77777777" w:rsidR="00C926D5" w:rsidRPr="0048196F" w:rsidRDefault="00C926D5" w:rsidP="00C926D5">
            <w:pPr>
              <w:numPr>
                <w:ilvl w:val="0"/>
                <w:numId w:val="11"/>
              </w:numPr>
              <w:spacing w:line="360" w:lineRule="auto"/>
              <w:contextualSpacing/>
              <w:jc w:val="both"/>
              <w:rPr>
                <w:bCs/>
                <w:lang w:val="en-US"/>
              </w:rPr>
            </w:pPr>
            <w:r w:rsidRPr="0048196F">
              <w:rPr>
                <w:bCs/>
                <w:lang w:val="en-US"/>
              </w:rPr>
              <w:t>Precision weeds control in organic horticulture</w:t>
            </w:r>
          </w:p>
        </w:tc>
        <w:tc>
          <w:tcPr>
            <w:tcW w:w="5755" w:type="dxa"/>
          </w:tcPr>
          <w:p w14:paraId="6EE655A9" w14:textId="77777777" w:rsidR="00C926D5" w:rsidRPr="0048196F" w:rsidRDefault="00C926D5" w:rsidP="00C926D5">
            <w:pPr>
              <w:spacing w:line="360" w:lineRule="auto"/>
              <w:contextualSpacing/>
              <w:jc w:val="both"/>
              <w:rPr>
                <w:bCs/>
                <w:lang w:val="en-US"/>
              </w:rPr>
            </w:pPr>
            <w:r w:rsidRPr="0048196F">
              <w:rPr>
                <w:lang w:val="en-US"/>
              </w:rPr>
              <w:t>To develop weed control systems for horticultural crops or other field crops grown according to biological methods. In particular, the system must also be effective in case of high-density horticultural crops or with a physiology development that may make hard the precision control.</w:t>
            </w:r>
          </w:p>
        </w:tc>
      </w:tr>
      <w:tr w:rsidR="00C926D5" w:rsidRPr="00AB4713" w14:paraId="21DEDFF0" w14:textId="77777777" w:rsidTr="00C926D5">
        <w:trPr>
          <w:trHeight w:val="1091"/>
        </w:trPr>
        <w:tc>
          <w:tcPr>
            <w:tcW w:w="2183" w:type="dxa"/>
          </w:tcPr>
          <w:p w14:paraId="30696105" w14:textId="77777777" w:rsidR="00C926D5" w:rsidRPr="0048196F" w:rsidRDefault="00C926D5" w:rsidP="00C926D5">
            <w:pPr>
              <w:numPr>
                <w:ilvl w:val="0"/>
                <w:numId w:val="11"/>
              </w:numPr>
              <w:spacing w:line="360" w:lineRule="auto"/>
              <w:contextualSpacing/>
              <w:jc w:val="both"/>
              <w:rPr>
                <w:bCs/>
                <w:lang w:val="en-US"/>
              </w:rPr>
            </w:pPr>
            <w:r w:rsidRPr="0048196F">
              <w:rPr>
                <w:bCs/>
                <w:lang w:val="en-US"/>
              </w:rPr>
              <w:t>Intelligent–Precision Agriculture Crop Management</w:t>
            </w:r>
          </w:p>
        </w:tc>
        <w:tc>
          <w:tcPr>
            <w:tcW w:w="5755" w:type="dxa"/>
          </w:tcPr>
          <w:p w14:paraId="55BBD4C8" w14:textId="50F02A26" w:rsidR="00C926D5" w:rsidRPr="0048196F" w:rsidRDefault="00C926D5" w:rsidP="00C926D5">
            <w:pPr>
              <w:spacing w:line="360" w:lineRule="auto"/>
              <w:contextualSpacing/>
              <w:jc w:val="both"/>
              <w:rPr>
                <w:bCs/>
                <w:lang w:val="en-US"/>
              </w:rPr>
            </w:pPr>
            <w:r w:rsidRPr="0048196F">
              <w:rPr>
                <w:lang w:val="en-US"/>
              </w:rPr>
              <w:t>The agricultural sector has a very important impact in terms of GHG emissions (Greenhouse Gases). Agricultural production accounts for 10% of global GHG emissions. On the other side, it is a victim of Climate Change as it reduces resilience of production systems and contributes to the degradation of natural resources.</w:t>
            </w:r>
          </w:p>
        </w:tc>
      </w:tr>
      <w:tr w:rsidR="00C926D5" w:rsidRPr="00AB4713" w14:paraId="75571DB4" w14:textId="77777777" w:rsidTr="00C926D5">
        <w:trPr>
          <w:trHeight w:val="831"/>
        </w:trPr>
        <w:tc>
          <w:tcPr>
            <w:tcW w:w="2183" w:type="dxa"/>
          </w:tcPr>
          <w:p w14:paraId="7E41C783" w14:textId="77777777" w:rsidR="00C926D5" w:rsidRPr="0048196F" w:rsidRDefault="00C926D5" w:rsidP="00C926D5">
            <w:pPr>
              <w:numPr>
                <w:ilvl w:val="0"/>
                <w:numId w:val="11"/>
              </w:numPr>
              <w:spacing w:line="360" w:lineRule="auto"/>
              <w:contextualSpacing/>
              <w:jc w:val="both"/>
              <w:rPr>
                <w:bCs/>
                <w:lang w:val="en-US"/>
              </w:rPr>
            </w:pPr>
            <w:r w:rsidRPr="0048196F">
              <w:rPr>
                <w:bCs/>
                <w:lang w:val="en-US"/>
              </w:rPr>
              <w:t>Precision technologies in fruit production</w:t>
            </w:r>
          </w:p>
        </w:tc>
        <w:tc>
          <w:tcPr>
            <w:tcW w:w="5755" w:type="dxa"/>
          </w:tcPr>
          <w:p w14:paraId="3C8FD7D0" w14:textId="715BCCA9" w:rsidR="00C926D5" w:rsidRPr="0048196F" w:rsidRDefault="00C926D5" w:rsidP="00C926D5">
            <w:pPr>
              <w:spacing w:line="360" w:lineRule="auto"/>
              <w:contextualSpacing/>
              <w:jc w:val="both"/>
              <w:rPr>
                <w:bCs/>
                <w:lang w:val="en-US"/>
              </w:rPr>
            </w:pPr>
            <w:r w:rsidRPr="0048196F">
              <w:rPr>
                <w:lang w:val="en-US"/>
              </w:rPr>
              <w:t>Introduction of new precision technologies in fruit growing.  It is essential to quantify all process in fruit growth, and for this, we can and should use all new precision technologies.</w:t>
            </w:r>
          </w:p>
        </w:tc>
      </w:tr>
      <w:tr w:rsidR="00C926D5" w:rsidRPr="00AB4713" w14:paraId="4460CE0E" w14:textId="77777777" w:rsidTr="00C926D5">
        <w:trPr>
          <w:trHeight w:val="1075"/>
        </w:trPr>
        <w:tc>
          <w:tcPr>
            <w:tcW w:w="2183" w:type="dxa"/>
          </w:tcPr>
          <w:p w14:paraId="2A1B65BF" w14:textId="77777777" w:rsidR="00C926D5" w:rsidRPr="0048196F" w:rsidRDefault="00C926D5" w:rsidP="00C926D5">
            <w:pPr>
              <w:numPr>
                <w:ilvl w:val="0"/>
                <w:numId w:val="11"/>
              </w:numPr>
              <w:spacing w:line="360" w:lineRule="auto"/>
              <w:contextualSpacing/>
              <w:jc w:val="both"/>
              <w:rPr>
                <w:bCs/>
                <w:lang w:val="en-US"/>
              </w:rPr>
            </w:pPr>
            <w:r w:rsidRPr="0048196F">
              <w:rPr>
                <w:bCs/>
                <w:lang w:val="en-US"/>
              </w:rPr>
              <w:t>Weather prediction and decision support tool for urban risks</w:t>
            </w:r>
          </w:p>
        </w:tc>
        <w:tc>
          <w:tcPr>
            <w:tcW w:w="5755" w:type="dxa"/>
          </w:tcPr>
          <w:p w14:paraId="781B24D4" w14:textId="77777777" w:rsidR="00C926D5" w:rsidRPr="0048196F" w:rsidRDefault="00C926D5" w:rsidP="00C926D5">
            <w:pPr>
              <w:spacing w:line="360" w:lineRule="auto"/>
              <w:contextualSpacing/>
              <w:jc w:val="both"/>
              <w:rPr>
                <w:bCs/>
                <w:lang w:val="en-US"/>
              </w:rPr>
            </w:pPr>
            <w:r w:rsidRPr="0048196F">
              <w:rPr>
                <w:lang w:val="en-US"/>
              </w:rPr>
              <w:t>The challenge is to have medium and long range climate forecast, through automated algorithm formulas, that allows the city council authorities to effectively make decisions, allocate resources, improve operational effectiveness and prevent natural disasters weather related events, planning and helping reduce ecological footstep and environmental hazards such as wildfires and deforestation</w:t>
            </w:r>
          </w:p>
        </w:tc>
      </w:tr>
      <w:tr w:rsidR="00C926D5" w:rsidRPr="00AB4713" w14:paraId="700F5F43" w14:textId="77777777" w:rsidTr="00C926D5">
        <w:trPr>
          <w:trHeight w:val="1646"/>
        </w:trPr>
        <w:tc>
          <w:tcPr>
            <w:tcW w:w="2183" w:type="dxa"/>
          </w:tcPr>
          <w:p w14:paraId="50CDBE6F" w14:textId="77777777" w:rsidR="00C926D5" w:rsidRPr="0048196F" w:rsidRDefault="00C926D5" w:rsidP="00C926D5">
            <w:pPr>
              <w:numPr>
                <w:ilvl w:val="0"/>
                <w:numId w:val="11"/>
              </w:numPr>
              <w:spacing w:line="360" w:lineRule="auto"/>
              <w:contextualSpacing/>
              <w:jc w:val="both"/>
              <w:rPr>
                <w:bCs/>
                <w:lang w:val="en-US"/>
              </w:rPr>
            </w:pPr>
            <w:r w:rsidRPr="0048196F">
              <w:rPr>
                <w:bCs/>
                <w:lang w:val="en-US"/>
              </w:rPr>
              <w:t>Innovative technologies for biomass mobilization and logistics</w:t>
            </w:r>
          </w:p>
        </w:tc>
        <w:tc>
          <w:tcPr>
            <w:tcW w:w="5755" w:type="dxa"/>
          </w:tcPr>
          <w:p w14:paraId="000F8FE1" w14:textId="77777777" w:rsidR="00C926D5" w:rsidRPr="0048196F" w:rsidRDefault="00C926D5" w:rsidP="00C926D5">
            <w:pPr>
              <w:spacing w:line="360" w:lineRule="auto"/>
              <w:contextualSpacing/>
              <w:jc w:val="both"/>
              <w:rPr>
                <w:bCs/>
                <w:lang w:val="en-US"/>
              </w:rPr>
            </w:pPr>
            <w:r w:rsidRPr="0048196F">
              <w:rPr>
                <w:lang w:val="en-US"/>
              </w:rPr>
              <w:t>The upstream operations related with biomass collection, storing and transportation have a key impact on the costs of supplying the raw materials to be biomass centrals and bio refineries and thus impact on the sustainability of the value chain. There is a need to improve the cost-efficiency of biomass mobilisation and logistics processes, enabling the implementation of the cascade use concept.</w:t>
            </w:r>
          </w:p>
        </w:tc>
      </w:tr>
      <w:tr w:rsidR="00C926D5" w:rsidRPr="00AB4713" w14:paraId="73A755B7" w14:textId="77777777" w:rsidTr="00C926D5">
        <w:trPr>
          <w:trHeight w:val="1922"/>
        </w:trPr>
        <w:tc>
          <w:tcPr>
            <w:tcW w:w="2183" w:type="dxa"/>
          </w:tcPr>
          <w:p w14:paraId="18C673D9" w14:textId="77777777" w:rsidR="00C926D5" w:rsidRPr="0048196F" w:rsidRDefault="00C926D5" w:rsidP="00C926D5">
            <w:pPr>
              <w:numPr>
                <w:ilvl w:val="0"/>
                <w:numId w:val="11"/>
              </w:numPr>
              <w:spacing w:line="360" w:lineRule="auto"/>
              <w:contextualSpacing/>
              <w:jc w:val="both"/>
              <w:rPr>
                <w:bCs/>
                <w:lang w:val="en-US"/>
              </w:rPr>
            </w:pPr>
            <w:r w:rsidRPr="0048196F">
              <w:rPr>
                <w:bCs/>
                <w:lang w:val="en-US"/>
              </w:rPr>
              <w:t>Innovative technology for forest management: pushing forward the forest 4.0 concept in Europe</w:t>
            </w:r>
          </w:p>
        </w:tc>
        <w:tc>
          <w:tcPr>
            <w:tcW w:w="5755" w:type="dxa"/>
          </w:tcPr>
          <w:p w14:paraId="1056F951" w14:textId="77777777" w:rsidR="00C926D5" w:rsidRPr="0048196F" w:rsidRDefault="00C926D5" w:rsidP="00C926D5">
            <w:pPr>
              <w:spacing w:line="360" w:lineRule="auto"/>
              <w:contextualSpacing/>
              <w:jc w:val="both"/>
              <w:rPr>
                <w:bCs/>
                <w:lang w:val="en-US"/>
              </w:rPr>
            </w:pPr>
            <w:r w:rsidRPr="0048196F">
              <w:rPr>
                <w:lang w:val="en-US"/>
              </w:rPr>
              <w:t>How can we get information about forests standing stocks (e.g. volume), sanitary status (e.g. presence of pests and diseases), and progress of forest operations (e.g. equipment productivity) in a cheaper way and with the level of detail needed for conducting forest management?</w:t>
            </w:r>
          </w:p>
        </w:tc>
      </w:tr>
      <w:tr w:rsidR="00C926D5" w:rsidRPr="00AB4713" w14:paraId="5F33199E" w14:textId="77777777" w:rsidTr="00C926D5">
        <w:trPr>
          <w:trHeight w:val="1646"/>
        </w:trPr>
        <w:tc>
          <w:tcPr>
            <w:tcW w:w="2183" w:type="dxa"/>
          </w:tcPr>
          <w:p w14:paraId="75903DA5" w14:textId="77777777" w:rsidR="00C926D5" w:rsidRPr="0048196F" w:rsidRDefault="00C926D5" w:rsidP="00C926D5">
            <w:pPr>
              <w:numPr>
                <w:ilvl w:val="0"/>
                <w:numId w:val="11"/>
              </w:numPr>
              <w:spacing w:line="360" w:lineRule="auto"/>
              <w:contextualSpacing/>
              <w:jc w:val="both"/>
              <w:rPr>
                <w:bCs/>
                <w:lang w:val="en-US"/>
              </w:rPr>
            </w:pPr>
            <w:r w:rsidRPr="0048196F">
              <w:rPr>
                <w:bCs/>
                <w:lang w:val="en-US"/>
              </w:rPr>
              <w:t>WineSense - A platform to control wine fermentation and stabilization</w:t>
            </w:r>
          </w:p>
        </w:tc>
        <w:tc>
          <w:tcPr>
            <w:tcW w:w="5755" w:type="dxa"/>
          </w:tcPr>
          <w:p w14:paraId="3999DFFF" w14:textId="77777777" w:rsidR="00C926D5" w:rsidRPr="0048196F" w:rsidRDefault="00C926D5" w:rsidP="00C926D5">
            <w:pPr>
              <w:spacing w:line="360" w:lineRule="auto"/>
              <w:contextualSpacing/>
              <w:jc w:val="both"/>
              <w:rPr>
                <w:bCs/>
                <w:lang w:val="en-US"/>
              </w:rPr>
            </w:pPr>
            <w:r w:rsidRPr="0048196F">
              <w:rPr>
                <w:lang w:val="en-US"/>
              </w:rPr>
              <w:t>The aim is to monitor the whole process of wine production from the time the grapes arrive to the cellar until the wine is ready to be bottled. To control wine fermentation a set of parameters need to be measured (Temperature, pH, density, total and volatile acidity, sulphur (S02 content)). The intention is to create a sensor-based platform that monitors the entire process in the cellar.</w:t>
            </w:r>
          </w:p>
        </w:tc>
      </w:tr>
      <w:tr w:rsidR="00C926D5" w:rsidRPr="00AB4713" w14:paraId="6D639D9B" w14:textId="77777777" w:rsidTr="00C926D5">
        <w:trPr>
          <w:trHeight w:val="1907"/>
        </w:trPr>
        <w:tc>
          <w:tcPr>
            <w:tcW w:w="2183" w:type="dxa"/>
          </w:tcPr>
          <w:p w14:paraId="466AB663" w14:textId="77777777" w:rsidR="00C926D5" w:rsidRPr="0048196F" w:rsidRDefault="00C926D5" w:rsidP="00C926D5">
            <w:pPr>
              <w:numPr>
                <w:ilvl w:val="0"/>
                <w:numId w:val="11"/>
              </w:numPr>
              <w:spacing w:line="360" w:lineRule="auto"/>
              <w:contextualSpacing/>
              <w:jc w:val="both"/>
              <w:rPr>
                <w:bCs/>
                <w:lang w:val="en-US"/>
              </w:rPr>
            </w:pPr>
            <w:r w:rsidRPr="0048196F">
              <w:rPr>
                <w:bCs/>
                <w:lang w:val="en-US"/>
              </w:rPr>
              <w:t>Adapted Machinery to work under steep slope vineyards</w:t>
            </w:r>
          </w:p>
        </w:tc>
        <w:tc>
          <w:tcPr>
            <w:tcW w:w="5755" w:type="dxa"/>
          </w:tcPr>
          <w:p w14:paraId="06E3D4B3" w14:textId="77777777" w:rsidR="00C926D5" w:rsidRPr="0048196F" w:rsidRDefault="00C926D5" w:rsidP="00C926D5">
            <w:pPr>
              <w:spacing w:line="360" w:lineRule="auto"/>
              <w:contextualSpacing/>
              <w:jc w:val="both"/>
              <w:rPr>
                <w:bCs/>
                <w:lang w:val="en-US"/>
              </w:rPr>
            </w:pPr>
            <w:r w:rsidRPr="0048196F">
              <w:rPr>
                <w:lang w:val="en-US"/>
              </w:rPr>
              <w:t>Several tasks related either with vineyard as soil management to conduct in steep slope vineyards are areal challenge, due the lack of existence of machinery and tools able to work under this context. These machinery/tools needs be able to work in more than 40 degree of slope, be robust to work under more than 35º degrees temperature, and be able to work with tractors with less than 75 horse power and in confined spaces (less than 1.2. meters width).</w:t>
            </w:r>
          </w:p>
        </w:tc>
      </w:tr>
      <w:tr w:rsidR="00C926D5" w:rsidRPr="00AB4713" w14:paraId="3AAD7BB2" w14:textId="77777777" w:rsidTr="00C926D5">
        <w:trPr>
          <w:trHeight w:val="1922"/>
        </w:trPr>
        <w:tc>
          <w:tcPr>
            <w:tcW w:w="2183" w:type="dxa"/>
          </w:tcPr>
          <w:p w14:paraId="21A2478F" w14:textId="77777777" w:rsidR="00C926D5" w:rsidRPr="0048196F" w:rsidRDefault="00C926D5" w:rsidP="00C926D5">
            <w:pPr>
              <w:pStyle w:val="ListParagraph"/>
              <w:numPr>
                <w:ilvl w:val="0"/>
                <w:numId w:val="11"/>
              </w:numPr>
              <w:spacing w:line="360" w:lineRule="auto"/>
              <w:jc w:val="both"/>
              <w:rPr>
                <w:bCs/>
                <w:lang w:val="en-US"/>
              </w:rPr>
            </w:pPr>
            <w:r w:rsidRPr="0048196F">
              <w:rPr>
                <w:bCs/>
                <w:lang w:val="en-US"/>
              </w:rPr>
              <w:t>Precision Viticulture - From vineyard data to a solution for wine production optimization</w:t>
            </w:r>
          </w:p>
        </w:tc>
        <w:tc>
          <w:tcPr>
            <w:tcW w:w="5755" w:type="dxa"/>
          </w:tcPr>
          <w:p w14:paraId="69A0035A" w14:textId="77777777" w:rsidR="00C926D5" w:rsidRPr="0048196F" w:rsidRDefault="00C926D5" w:rsidP="00C926D5">
            <w:pPr>
              <w:spacing w:line="360" w:lineRule="auto"/>
              <w:contextualSpacing/>
              <w:jc w:val="both"/>
              <w:rPr>
                <w:bCs/>
                <w:lang w:val="en-US"/>
              </w:rPr>
            </w:pPr>
            <w:r w:rsidRPr="0048196F">
              <w:rPr>
                <w:lang w:val="en-US"/>
              </w:rPr>
              <w:t>The main objective of this challenge is to experiment an integrated solution for wine production optimization, improving the efficiency of its farming processes and the wine’s quality. A platform innovating the precision viticulture by creating added value on top of smart agriculture best-practices, which nowadays focus mostly on monitoring processes, improving efficiency and quality of wine production through sensors-based data and advanced analytics.</w:t>
            </w:r>
          </w:p>
        </w:tc>
      </w:tr>
    </w:tbl>
    <w:p w14:paraId="4B34A0CD" w14:textId="77777777" w:rsidR="00C926D5" w:rsidRDefault="00C926D5" w:rsidP="00C926D5">
      <w:pPr>
        <w:pStyle w:val="Caption"/>
        <w:keepNext/>
        <w:rPr>
          <w:lang w:val="en-US"/>
        </w:rPr>
      </w:pPr>
    </w:p>
    <w:p w14:paraId="38DC4F4B" w14:textId="77777777" w:rsidR="00C926D5" w:rsidRDefault="00C926D5" w:rsidP="00C926D5">
      <w:pPr>
        <w:pStyle w:val="Caption"/>
        <w:keepNext/>
        <w:rPr>
          <w:lang w:val="en-US"/>
        </w:rPr>
      </w:pPr>
    </w:p>
    <w:p w14:paraId="435F15F7" w14:textId="77777777" w:rsidR="00C926D5" w:rsidRDefault="00C926D5" w:rsidP="00C926D5">
      <w:pPr>
        <w:pStyle w:val="Caption"/>
        <w:keepNext/>
        <w:rPr>
          <w:lang w:val="en-US"/>
        </w:rPr>
      </w:pPr>
    </w:p>
    <w:p w14:paraId="459EC09C" w14:textId="76DACFB4" w:rsidR="004443B1" w:rsidRPr="0048196F" w:rsidRDefault="00C926D5" w:rsidP="00C926D5">
      <w:pPr>
        <w:pStyle w:val="Caption"/>
        <w:keepNext/>
        <w:rPr>
          <w:lang w:val="en-US"/>
        </w:rPr>
      </w:pPr>
      <w:bookmarkStart w:id="107" w:name="_Toc14347505"/>
      <w:r w:rsidRPr="00F2367F">
        <w:rPr>
          <w:lang w:val="en-US"/>
        </w:rPr>
        <w:t xml:space="preserve">Table </w:t>
      </w:r>
      <w:r>
        <w:rPr>
          <w:lang w:val="en-US"/>
        </w:rPr>
        <w:fldChar w:fldCharType="begin"/>
      </w:r>
      <w:r>
        <w:rPr>
          <w:lang w:val="en-US"/>
        </w:rPr>
        <w:instrText xml:space="preserve"> SEQ Table \* ARABIC </w:instrText>
      </w:r>
      <w:r>
        <w:rPr>
          <w:lang w:val="en-US"/>
        </w:rPr>
        <w:fldChar w:fldCharType="separate"/>
      </w:r>
      <w:r>
        <w:rPr>
          <w:noProof/>
          <w:lang w:val="en-US"/>
        </w:rPr>
        <w:t>16</w:t>
      </w:r>
      <w:r>
        <w:rPr>
          <w:lang w:val="en-US"/>
        </w:rPr>
        <w:fldChar w:fldCharType="end"/>
      </w:r>
      <w:r w:rsidRPr="00F2367F">
        <w:rPr>
          <w:lang w:val="en-US"/>
        </w:rPr>
        <w:t>: Benchmarking the agrifood value chain</w:t>
      </w:r>
      <w:bookmarkEnd w:id="107"/>
    </w:p>
    <w:tbl>
      <w:tblPr>
        <w:tblStyle w:val="TableGrid"/>
        <w:tblW w:w="0" w:type="auto"/>
        <w:tblLayout w:type="fixed"/>
        <w:tblLook w:val="04A0" w:firstRow="1" w:lastRow="0" w:firstColumn="1" w:lastColumn="0" w:noHBand="0" w:noVBand="1"/>
      </w:tblPr>
      <w:tblGrid>
        <w:gridCol w:w="1413"/>
        <w:gridCol w:w="5645"/>
        <w:gridCol w:w="1414"/>
      </w:tblGrid>
      <w:tr w:rsidR="00C926D5" w:rsidRPr="000D0D31" w14:paraId="02B3E4B1" w14:textId="77777777" w:rsidTr="00C926D5">
        <w:trPr>
          <w:trHeight w:val="1040"/>
          <w:tblHeader/>
        </w:trPr>
        <w:tc>
          <w:tcPr>
            <w:tcW w:w="1413" w:type="dxa"/>
            <w:hideMark/>
          </w:tcPr>
          <w:p w14:paraId="31246547" w14:textId="77777777" w:rsidR="00C926D5" w:rsidRPr="000D0D31" w:rsidRDefault="00C926D5" w:rsidP="00C926D5">
            <w:pPr>
              <w:rPr>
                <w:b/>
                <w:bCs/>
                <w:lang w:val="en-US"/>
              </w:rPr>
            </w:pPr>
            <w:r>
              <w:rPr>
                <w:rFonts w:eastAsia="Times New Roman"/>
                <w:b/>
                <w:bCs/>
                <w:lang w:val="en-US"/>
              </w:rPr>
              <w:t>Final Value Chain</w:t>
            </w:r>
          </w:p>
        </w:tc>
        <w:tc>
          <w:tcPr>
            <w:tcW w:w="5645" w:type="dxa"/>
            <w:hideMark/>
          </w:tcPr>
          <w:p w14:paraId="5C4E233E" w14:textId="77777777" w:rsidR="00C926D5" w:rsidRPr="000D0D31" w:rsidRDefault="00C926D5" w:rsidP="00C926D5">
            <w:pPr>
              <w:rPr>
                <w:b/>
                <w:bCs/>
                <w:lang w:val="en-US"/>
              </w:rPr>
            </w:pPr>
            <w:r>
              <w:rPr>
                <w:b/>
                <w:bCs/>
                <w:lang w:val="en-US"/>
              </w:rPr>
              <w:t>Benchmark</w:t>
            </w:r>
          </w:p>
        </w:tc>
        <w:tc>
          <w:tcPr>
            <w:tcW w:w="1414" w:type="dxa"/>
            <w:hideMark/>
          </w:tcPr>
          <w:p w14:paraId="3CAAE22E" w14:textId="77777777" w:rsidR="00C926D5" w:rsidRPr="000D0D31" w:rsidRDefault="00C926D5" w:rsidP="00C926D5">
            <w:pPr>
              <w:rPr>
                <w:b/>
                <w:bCs/>
                <w:lang w:val="en-US"/>
              </w:rPr>
            </w:pPr>
            <w:r w:rsidRPr="000D0D31">
              <w:rPr>
                <w:b/>
                <w:bCs/>
                <w:lang w:val="en-US"/>
              </w:rPr>
              <w:t xml:space="preserve">N. </w:t>
            </w:r>
          </w:p>
        </w:tc>
      </w:tr>
      <w:tr w:rsidR="00C926D5" w:rsidRPr="0048196F" w14:paraId="13607635" w14:textId="77777777" w:rsidTr="00C926D5">
        <w:trPr>
          <w:gridBefore w:val="1"/>
          <w:wBefore w:w="1413" w:type="dxa"/>
          <w:trHeight w:val="340"/>
        </w:trPr>
        <w:tc>
          <w:tcPr>
            <w:tcW w:w="5645" w:type="dxa"/>
            <w:noWrap/>
            <w:hideMark/>
          </w:tcPr>
          <w:p w14:paraId="4A5915F2" w14:textId="77777777" w:rsidR="00C926D5" w:rsidRPr="0048196F" w:rsidRDefault="00C926D5" w:rsidP="00C926D5">
            <w:pPr>
              <w:rPr>
                <w:lang w:val="en-US"/>
              </w:rPr>
            </w:pPr>
            <w:r w:rsidRPr="0048196F">
              <w:rPr>
                <w:rFonts w:eastAsia="Times New Roman"/>
                <w:lang w:val="en-US"/>
              </w:rPr>
              <w:t>Training, research and advisory, machinery, veterinary, fertilizer, breeding and other service providers</w:t>
            </w:r>
          </w:p>
        </w:tc>
        <w:tc>
          <w:tcPr>
            <w:tcW w:w="1414" w:type="dxa"/>
            <w:noWrap/>
            <w:hideMark/>
          </w:tcPr>
          <w:p w14:paraId="56ABAEDF" w14:textId="77777777" w:rsidR="00C926D5" w:rsidRPr="0048196F" w:rsidRDefault="00C926D5" w:rsidP="00C926D5">
            <w:pPr>
              <w:rPr>
                <w:lang w:val="en-US"/>
              </w:rPr>
            </w:pPr>
            <w:r w:rsidRPr="0048196F">
              <w:rPr>
                <w:rFonts w:eastAsia="Times New Roman"/>
                <w:lang w:val="en-US"/>
              </w:rPr>
              <w:t>1</w:t>
            </w:r>
          </w:p>
        </w:tc>
      </w:tr>
      <w:tr w:rsidR="00C926D5" w:rsidRPr="0048196F" w14:paraId="443C855D" w14:textId="77777777" w:rsidTr="00C926D5">
        <w:trPr>
          <w:gridBefore w:val="1"/>
          <w:wBefore w:w="1413" w:type="dxa"/>
          <w:trHeight w:val="340"/>
        </w:trPr>
        <w:tc>
          <w:tcPr>
            <w:tcW w:w="5645" w:type="dxa"/>
            <w:noWrap/>
            <w:hideMark/>
          </w:tcPr>
          <w:p w14:paraId="76A396E2" w14:textId="77777777" w:rsidR="00C926D5" w:rsidRPr="0048196F" w:rsidRDefault="00C926D5" w:rsidP="00C926D5">
            <w:pPr>
              <w:rPr>
                <w:lang w:val="en-US"/>
              </w:rPr>
            </w:pPr>
            <w:r w:rsidRPr="0048196F">
              <w:rPr>
                <w:rFonts w:eastAsia="Times New Roman"/>
                <w:lang w:val="en-US"/>
              </w:rPr>
              <w:t>Chemical and Seed companies</w:t>
            </w:r>
          </w:p>
        </w:tc>
        <w:tc>
          <w:tcPr>
            <w:tcW w:w="1414" w:type="dxa"/>
            <w:noWrap/>
            <w:hideMark/>
          </w:tcPr>
          <w:p w14:paraId="7CE04ED0" w14:textId="77777777" w:rsidR="00C926D5" w:rsidRPr="0048196F" w:rsidRDefault="00C926D5" w:rsidP="00C926D5">
            <w:pPr>
              <w:rPr>
                <w:lang w:val="en-US"/>
              </w:rPr>
            </w:pPr>
            <w:r w:rsidRPr="0048196F">
              <w:rPr>
                <w:rFonts w:eastAsia="Times New Roman"/>
                <w:lang w:val="en-US"/>
              </w:rPr>
              <w:t>1</w:t>
            </w:r>
          </w:p>
        </w:tc>
      </w:tr>
      <w:tr w:rsidR="00C926D5" w:rsidRPr="0048196F" w14:paraId="69E4CDA0" w14:textId="77777777" w:rsidTr="00C926D5">
        <w:trPr>
          <w:trHeight w:val="340"/>
        </w:trPr>
        <w:tc>
          <w:tcPr>
            <w:tcW w:w="1413" w:type="dxa"/>
            <w:vMerge w:val="restart"/>
            <w:hideMark/>
          </w:tcPr>
          <w:p w14:paraId="60D507BE" w14:textId="77777777" w:rsidR="00C926D5" w:rsidRPr="0048196F" w:rsidRDefault="00C926D5" w:rsidP="00C926D5">
            <w:pPr>
              <w:rPr>
                <w:lang w:val="en-US"/>
              </w:rPr>
            </w:pPr>
            <w:r w:rsidRPr="0048196F">
              <w:rPr>
                <w:lang w:val="en-US"/>
              </w:rPr>
              <w:t>Inputs</w:t>
            </w:r>
          </w:p>
        </w:tc>
        <w:tc>
          <w:tcPr>
            <w:tcW w:w="5645" w:type="dxa"/>
            <w:noWrap/>
            <w:hideMark/>
          </w:tcPr>
          <w:p w14:paraId="6796DE63" w14:textId="77777777" w:rsidR="00C926D5" w:rsidRPr="0048196F" w:rsidRDefault="00C926D5" w:rsidP="00C926D5">
            <w:pPr>
              <w:rPr>
                <w:lang w:val="en-US"/>
              </w:rPr>
            </w:pPr>
            <w:r w:rsidRPr="0048196F">
              <w:rPr>
                <w:rFonts w:eastAsia="Times New Roman"/>
                <w:lang w:val="en-US"/>
              </w:rPr>
              <w:t>Inputs</w:t>
            </w:r>
          </w:p>
        </w:tc>
        <w:tc>
          <w:tcPr>
            <w:tcW w:w="1414" w:type="dxa"/>
            <w:noWrap/>
            <w:hideMark/>
          </w:tcPr>
          <w:p w14:paraId="21DE580E" w14:textId="77777777" w:rsidR="00C926D5" w:rsidRPr="0048196F" w:rsidRDefault="00C926D5" w:rsidP="00C926D5">
            <w:pPr>
              <w:rPr>
                <w:lang w:val="en-US"/>
              </w:rPr>
            </w:pPr>
            <w:r w:rsidRPr="0048196F">
              <w:rPr>
                <w:rFonts w:eastAsia="Times New Roman"/>
                <w:lang w:val="en-US"/>
              </w:rPr>
              <w:t>2</w:t>
            </w:r>
          </w:p>
        </w:tc>
      </w:tr>
      <w:tr w:rsidR="00C926D5" w:rsidRPr="0048196F" w14:paraId="1B3483FC" w14:textId="77777777" w:rsidTr="00C926D5">
        <w:trPr>
          <w:trHeight w:val="340"/>
        </w:trPr>
        <w:tc>
          <w:tcPr>
            <w:tcW w:w="1413" w:type="dxa"/>
            <w:vMerge/>
            <w:hideMark/>
          </w:tcPr>
          <w:p w14:paraId="09B16A57" w14:textId="77777777" w:rsidR="00C926D5" w:rsidRPr="0048196F" w:rsidRDefault="00C926D5" w:rsidP="00C926D5">
            <w:pPr>
              <w:rPr>
                <w:lang w:val="en-US"/>
              </w:rPr>
            </w:pPr>
          </w:p>
        </w:tc>
        <w:tc>
          <w:tcPr>
            <w:tcW w:w="5645" w:type="dxa"/>
            <w:noWrap/>
            <w:hideMark/>
          </w:tcPr>
          <w:p w14:paraId="76493EB4" w14:textId="77777777" w:rsidR="00C926D5" w:rsidRPr="0048196F" w:rsidRDefault="00C926D5" w:rsidP="00C926D5">
            <w:pPr>
              <w:rPr>
                <w:lang w:val="en-US"/>
              </w:rPr>
            </w:pPr>
            <w:r w:rsidRPr="0048196F">
              <w:rPr>
                <w:rFonts w:eastAsia="Times New Roman"/>
                <w:lang w:val="en-US"/>
              </w:rPr>
              <w:t>Equipment</w:t>
            </w:r>
          </w:p>
        </w:tc>
        <w:tc>
          <w:tcPr>
            <w:tcW w:w="1414" w:type="dxa"/>
            <w:noWrap/>
            <w:hideMark/>
          </w:tcPr>
          <w:p w14:paraId="72F77AF2" w14:textId="77777777" w:rsidR="00C926D5" w:rsidRPr="0048196F" w:rsidRDefault="00C926D5" w:rsidP="00C926D5">
            <w:pPr>
              <w:rPr>
                <w:lang w:val="en-US"/>
              </w:rPr>
            </w:pPr>
            <w:r w:rsidRPr="0048196F">
              <w:rPr>
                <w:rFonts w:eastAsia="Times New Roman"/>
                <w:lang w:val="en-US"/>
              </w:rPr>
              <w:t>1</w:t>
            </w:r>
          </w:p>
        </w:tc>
      </w:tr>
      <w:tr w:rsidR="00C926D5" w:rsidRPr="0048196F" w14:paraId="60A9A818" w14:textId="77777777" w:rsidTr="00C926D5">
        <w:trPr>
          <w:trHeight w:val="340"/>
        </w:trPr>
        <w:tc>
          <w:tcPr>
            <w:tcW w:w="1413" w:type="dxa"/>
            <w:vMerge/>
            <w:hideMark/>
          </w:tcPr>
          <w:p w14:paraId="48B82DF1" w14:textId="77777777" w:rsidR="00C926D5" w:rsidRPr="0048196F" w:rsidRDefault="00C926D5" w:rsidP="00C926D5">
            <w:pPr>
              <w:rPr>
                <w:lang w:val="en-US"/>
              </w:rPr>
            </w:pPr>
          </w:p>
        </w:tc>
        <w:tc>
          <w:tcPr>
            <w:tcW w:w="5645" w:type="dxa"/>
            <w:noWrap/>
            <w:hideMark/>
          </w:tcPr>
          <w:p w14:paraId="5CC756C2" w14:textId="77777777" w:rsidR="00C926D5" w:rsidRPr="0048196F" w:rsidRDefault="00C926D5" w:rsidP="00C926D5">
            <w:pPr>
              <w:rPr>
                <w:lang w:val="en-US"/>
              </w:rPr>
            </w:pPr>
            <w:r w:rsidRPr="0048196F">
              <w:rPr>
                <w:rFonts w:eastAsia="Times New Roman"/>
                <w:lang w:val="en-US"/>
              </w:rPr>
              <w:t>Farm Suppliers inputs</w:t>
            </w:r>
          </w:p>
        </w:tc>
        <w:tc>
          <w:tcPr>
            <w:tcW w:w="1414" w:type="dxa"/>
            <w:noWrap/>
            <w:hideMark/>
          </w:tcPr>
          <w:p w14:paraId="66583301" w14:textId="77777777" w:rsidR="00C926D5" w:rsidRPr="0048196F" w:rsidRDefault="00C926D5" w:rsidP="00C926D5">
            <w:pPr>
              <w:rPr>
                <w:lang w:val="en-US"/>
              </w:rPr>
            </w:pPr>
            <w:r w:rsidRPr="0048196F">
              <w:rPr>
                <w:rFonts w:eastAsia="Times New Roman"/>
                <w:lang w:val="en-US"/>
              </w:rPr>
              <w:t>3</w:t>
            </w:r>
          </w:p>
        </w:tc>
      </w:tr>
      <w:tr w:rsidR="00C926D5" w:rsidRPr="0048196F" w14:paraId="7E72EF23" w14:textId="77777777" w:rsidTr="00C926D5">
        <w:trPr>
          <w:trHeight w:val="340"/>
        </w:trPr>
        <w:tc>
          <w:tcPr>
            <w:tcW w:w="1413" w:type="dxa"/>
            <w:vMerge/>
            <w:hideMark/>
          </w:tcPr>
          <w:p w14:paraId="67A28EC9" w14:textId="77777777" w:rsidR="00C926D5" w:rsidRPr="0048196F" w:rsidRDefault="00C926D5" w:rsidP="00C926D5">
            <w:pPr>
              <w:rPr>
                <w:lang w:val="en-US"/>
              </w:rPr>
            </w:pPr>
          </w:p>
        </w:tc>
        <w:tc>
          <w:tcPr>
            <w:tcW w:w="5645" w:type="dxa"/>
            <w:noWrap/>
            <w:hideMark/>
          </w:tcPr>
          <w:p w14:paraId="624CAEB4" w14:textId="77777777" w:rsidR="00C926D5" w:rsidRPr="0048196F" w:rsidRDefault="00C926D5" w:rsidP="00C926D5">
            <w:pPr>
              <w:rPr>
                <w:lang w:val="en-US"/>
              </w:rPr>
            </w:pPr>
            <w:r w:rsidRPr="0048196F">
              <w:rPr>
                <w:rFonts w:eastAsia="Times New Roman"/>
                <w:lang w:val="en-US"/>
              </w:rPr>
              <w:t>Software Providers</w:t>
            </w:r>
          </w:p>
        </w:tc>
        <w:tc>
          <w:tcPr>
            <w:tcW w:w="1414" w:type="dxa"/>
            <w:noWrap/>
            <w:hideMark/>
          </w:tcPr>
          <w:p w14:paraId="32D708A2" w14:textId="77777777" w:rsidR="00C926D5" w:rsidRPr="0048196F" w:rsidRDefault="00C926D5" w:rsidP="00C926D5">
            <w:pPr>
              <w:rPr>
                <w:lang w:val="en-US"/>
              </w:rPr>
            </w:pPr>
            <w:r w:rsidRPr="0048196F">
              <w:rPr>
                <w:rFonts w:eastAsia="Times New Roman"/>
                <w:lang w:val="en-US"/>
              </w:rPr>
              <w:t>1</w:t>
            </w:r>
          </w:p>
        </w:tc>
      </w:tr>
      <w:tr w:rsidR="00C926D5" w:rsidRPr="0048196F" w14:paraId="3E75B9C9" w14:textId="77777777" w:rsidTr="00C926D5">
        <w:trPr>
          <w:gridBefore w:val="1"/>
          <w:wBefore w:w="1413" w:type="dxa"/>
          <w:trHeight w:val="340"/>
        </w:trPr>
        <w:tc>
          <w:tcPr>
            <w:tcW w:w="5645" w:type="dxa"/>
            <w:noWrap/>
            <w:hideMark/>
          </w:tcPr>
          <w:p w14:paraId="1A4D0C13" w14:textId="77777777" w:rsidR="00C926D5" w:rsidRPr="0048196F" w:rsidRDefault="00C926D5" w:rsidP="00C926D5">
            <w:pPr>
              <w:rPr>
                <w:lang w:val="en-US"/>
              </w:rPr>
            </w:pPr>
            <w:r w:rsidRPr="0048196F">
              <w:rPr>
                <w:rFonts w:eastAsia="Times New Roman"/>
                <w:lang w:val="en-US"/>
              </w:rPr>
              <w:t>Agriculture, forestry, fisheries</w:t>
            </w:r>
          </w:p>
        </w:tc>
        <w:tc>
          <w:tcPr>
            <w:tcW w:w="1414" w:type="dxa"/>
            <w:noWrap/>
            <w:hideMark/>
          </w:tcPr>
          <w:p w14:paraId="18D50035" w14:textId="77777777" w:rsidR="00C926D5" w:rsidRPr="0048196F" w:rsidRDefault="00C926D5" w:rsidP="00C926D5">
            <w:pPr>
              <w:rPr>
                <w:lang w:val="en-US"/>
              </w:rPr>
            </w:pPr>
            <w:r w:rsidRPr="0048196F">
              <w:rPr>
                <w:rFonts w:eastAsia="Times New Roman"/>
                <w:lang w:val="en-US"/>
              </w:rPr>
              <w:t>1</w:t>
            </w:r>
          </w:p>
        </w:tc>
      </w:tr>
      <w:tr w:rsidR="00C926D5" w:rsidRPr="0048196F" w14:paraId="7C213549" w14:textId="77777777" w:rsidTr="00C926D5">
        <w:trPr>
          <w:trHeight w:val="340"/>
        </w:trPr>
        <w:tc>
          <w:tcPr>
            <w:tcW w:w="1413" w:type="dxa"/>
            <w:vMerge w:val="restart"/>
            <w:hideMark/>
          </w:tcPr>
          <w:p w14:paraId="45652744" w14:textId="77777777" w:rsidR="00C926D5" w:rsidRPr="0048196F" w:rsidRDefault="00C926D5" w:rsidP="00C926D5">
            <w:pPr>
              <w:rPr>
                <w:lang w:val="en-US"/>
              </w:rPr>
            </w:pPr>
          </w:p>
          <w:p w14:paraId="54A02DF9" w14:textId="77777777" w:rsidR="00C926D5" w:rsidRPr="0048196F" w:rsidRDefault="00C926D5" w:rsidP="00C926D5">
            <w:pPr>
              <w:rPr>
                <w:lang w:val="en-US"/>
              </w:rPr>
            </w:pPr>
            <w:r w:rsidRPr="0048196F">
              <w:rPr>
                <w:lang w:val="en-US"/>
              </w:rPr>
              <w:t>Production</w:t>
            </w:r>
          </w:p>
          <w:p w14:paraId="2010943B" w14:textId="77777777" w:rsidR="00C926D5" w:rsidRPr="0048196F" w:rsidRDefault="00C926D5" w:rsidP="00C926D5">
            <w:pPr>
              <w:rPr>
                <w:lang w:val="en-US"/>
              </w:rPr>
            </w:pPr>
          </w:p>
          <w:p w14:paraId="37136F0E" w14:textId="77777777" w:rsidR="00C926D5" w:rsidRPr="0048196F" w:rsidRDefault="00C926D5" w:rsidP="00C926D5">
            <w:pPr>
              <w:rPr>
                <w:lang w:val="en-US"/>
              </w:rPr>
            </w:pPr>
          </w:p>
        </w:tc>
        <w:tc>
          <w:tcPr>
            <w:tcW w:w="5645" w:type="dxa"/>
            <w:noWrap/>
            <w:hideMark/>
          </w:tcPr>
          <w:p w14:paraId="7F983AD5" w14:textId="77777777" w:rsidR="00C926D5" w:rsidRPr="0048196F" w:rsidRDefault="00C926D5" w:rsidP="00C926D5">
            <w:pPr>
              <w:rPr>
                <w:lang w:val="en-US"/>
              </w:rPr>
            </w:pPr>
            <w:r w:rsidRPr="0048196F">
              <w:rPr>
                <w:rFonts w:eastAsia="Times New Roman"/>
                <w:lang w:val="en-US"/>
              </w:rPr>
              <w:t>Agricultural production</w:t>
            </w:r>
          </w:p>
        </w:tc>
        <w:tc>
          <w:tcPr>
            <w:tcW w:w="1414" w:type="dxa"/>
            <w:noWrap/>
            <w:hideMark/>
          </w:tcPr>
          <w:p w14:paraId="0E15F9EA" w14:textId="77777777" w:rsidR="00C926D5" w:rsidRPr="0048196F" w:rsidRDefault="00C926D5" w:rsidP="00C926D5">
            <w:pPr>
              <w:rPr>
                <w:lang w:val="en-US"/>
              </w:rPr>
            </w:pPr>
            <w:r w:rsidRPr="0048196F">
              <w:rPr>
                <w:rFonts w:eastAsia="Times New Roman"/>
                <w:lang w:val="en-US"/>
              </w:rPr>
              <w:t>1</w:t>
            </w:r>
          </w:p>
        </w:tc>
      </w:tr>
      <w:tr w:rsidR="00C926D5" w:rsidRPr="0048196F" w14:paraId="4C72D80D" w14:textId="77777777" w:rsidTr="00C926D5">
        <w:trPr>
          <w:trHeight w:val="340"/>
        </w:trPr>
        <w:tc>
          <w:tcPr>
            <w:tcW w:w="1413" w:type="dxa"/>
            <w:vMerge/>
            <w:hideMark/>
          </w:tcPr>
          <w:p w14:paraId="210622F7" w14:textId="77777777" w:rsidR="00C926D5" w:rsidRPr="0048196F" w:rsidRDefault="00C926D5" w:rsidP="00C926D5">
            <w:pPr>
              <w:rPr>
                <w:lang w:val="en-US"/>
              </w:rPr>
            </w:pPr>
          </w:p>
        </w:tc>
        <w:tc>
          <w:tcPr>
            <w:tcW w:w="5645" w:type="dxa"/>
            <w:noWrap/>
            <w:hideMark/>
          </w:tcPr>
          <w:p w14:paraId="03781183" w14:textId="77777777" w:rsidR="00C926D5" w:rsidRPr="0048196F" w:rsidRDefault="00C926D5" w:rsidP="00C926D5">
            <w:pPr>
              <w:rPr>
                <w:lang w:val="en-US"/>
              </w:rPr>
            </w:pPr>
            <w:r w:rsidRPr="0048196F">
              <w:rPr>
                <w:rFonts w:eastAsia="Times New Roman"/>
                <w:lang w:val="en-US"/>
              </w:rPr>
              <w:t>Production</w:t>
            </w:r>
          </w:p>
        </w:tc>
        <w:tc>
          <w:tcPr>
            <w:tcW w:w="1414" w:type="dxa"/>
            <w:noWrap/>
            <w:hideMark/>
          </w:tcPr>
          <w:p w14:paraId="30446F69" w14:textId="77777777" w:rsidR="00C926D5" w:rsidRPr="0048196F" w:rsidRDefault="00C926D5" w:rsidP="00C926D5">
            <w:pPr>
              <w:rPr>
                <w:lang w:val="en-US"/>
              </w:rPr>
            </w:pPr>
            <w:r w:rsidRPr="0048196F">
              <w:rPr>
                <w:rFonts w:eastAsia="Times New Roman"/>
                <w:lang w:val="en-US"/>
              </w:rPr>
              <w:t>2</w:t>
            </w:r>
          </w:p>
        </w:tc>
      </w:tr>
      <w:tr w:rsidR="00C926D5" w:rsidRPr="0048196F" w14:paraId="2966A6E9" w14:textId="77777777" w:rsidTr="00C926D5">
        <w:trPr>
          <w:trHeight w:val="340"/>
        </w:trPr>
        <w:tc>
          <w:tcPr>
            <w:tcW w:w="1413" w:type="dxa"/>
            <w:vMerge/>
            <w:hideMark/>
          </w:tcPr>
          <w:p w14:paraId="6CD73A72" w14:textId="77777777" w:rsidR="00C926D5" w:rsidRPr="0048196F" w:rsidRDefault="00C926D5" w:rsidP="00C926D5">
            <w:pPr>
              <w:rPr>
                <w:lang w:val="en-US"/>
              </w:rPr>
            </w:pPr>
          </w:p>
        </w:tc>
        <w:tc>
          <w:tcPr>
            <w:tcW w:w="5645" w:type="dxa"/>
            <w:noWrap/>
            <w:hideMark/>
          </w:tcPr>
          <w:p w14:paraId="17EA0B72" w14:textId="77777777" w:rsidR="00C926D5" w:rsidRPr="0048196F" w:rsidRDefault="00C926D5" w:rsidP="00C926D5">
            <w:pPr>
              <w:rPr>
                <w:lang w:val="en-US"/>
              </w:rPr>
            </w:pPr>
            <w:r w:rsidRPr="0048196F">
              <w:rPr>
                <w:rFonts w:eastAsia="Times New Roman"/>
                <w:lang w:val="en-US"/>
              </w:rPr>
              <w:t>Producer</w:t>
            </w:r>
          </w:p>
        </w:tc>
        <w:tc>
          <w:tcPr>
            <w:tcW w:w="1414" w:type="dxa"/>
            <w:noWrap/>
            <w:hideMark/>
          </w:tcPr>
          <w:p w14:paraId="08C5DAC7" w14:textId="77777777" w:rsidR="00C926D5" w:rsidRPr="0048196F" w:rsidRDefault="00C926D5" w:rsidP="00C926D5">
            <w:pPr>
              <w:rPr>
                <w:lang w:val="en-US"/>
              </w:rPr>
            </w:pPr>
            <w:r w:rsidRPr="0048196F">
              <w:rPr>
                <w:rFonts w:eastAsia="Times New Roman"/>
                <w:lang w:val="en-US"/>
              </w:rPr>
              <w:t>1</w:t>
            </w:r>
          </w:p>
        </w:tc>
      </w:tr>
      <w:tr w:rsidR="00C926D5" w:rsidRPr="0048196F" w14:paraId="40E34F82" w14:textId="77777777" w:rsidTr="00C926D5">
        <w:trPr>
          <w:trHeight w:val="340"/>
        </w:trPr>
        <w:tc>
          <w:tcPr>
            <w:tcW w:w="1413" w:type="dxa"/>
            <w:vMerge/>
            <w:hideMark/>
          </w:tcPr>
          <w:p w14:paraId="621E0F56" w14:textId="77777777" w:rsidR="00C926D5" w:rsidRPr="0048196F" w:rsidRDefault="00C926D5" w:rsidP="00C926D5">
            <w:pPr>
              <w:rPr>
                <w:lang w:val="en-US"/>
              </w:rPr>
            </w:pPr>
          </w:p>
        </w:tc>
        <w:tc>
          <w:tcPr>
            <w:tcW w:w="5645" w:type="dxa"/>
            <w:noWrap/>
            <w:hideMark/>
          </w:tcPr>
          <w:p w14:paraId="363F3627" w14:textId="77777777" w:rsidR="00C926D5" w:rsidRPr="0048196F" w:rsidRDefault="00C926D5" w:rsidP="00C926D5">
            <w:pPr>
              <w:rPr>
                <w:lang w:val="en-US"/>
              </w:rPr>
            </w:pPr>
            <w:r w:rsidRPr="0048196F">
              <w:rPr>
                <w:rFonts w:eastAsia="Times New Roman"/>
                <w:lang w:val="en-US"/>
              </w:rPr>
              <w:t>Farmers, land owners, contract growers, growers urban and rural areas</w:t>
            </w:r>
          </w:p>
        </w:tc>
        <w:tc>
          <w:tcPr>
            <w:tcW w:w="1414" w:type="dxa"/>
            <w:noWrap/>
            <w:hideMark/>
          </w:tcPr>
          <w:p w14:paraId="320D3CD4" w14:textId="77777777" w:rsidR="00C926D5" w:rsidRPr="0048196F" w:rsidRDefault="00C926D5" w:rsidP="00C926D5">
            <w:pPr>
              <w:rPr>
                <w:lang w:val="en-US"/>
              </w:rPr>
            </w:pPr>
            <w:r w:rsidRPr="0048196F">
              <w:rPr>
                <w:rFonts w:eastAsia="Times New Roman"/>
                <w:lang w:val="en-US"/>
              </w:rPr>
              <w:t>1</w:t>
            </w:r>
          </w:p>
        </w:tc>
      </w:tr>
      <w:tr w:rsidR="00C926D5" w:rsidRPr="0048196F" w14:paraId="778996E1" w14:textId="77777777" w:rsidTr="00C926D5">
        <w:trPr>
          <w:trHeight w:val="340"/>
        </w:trPr>
        <w:tc>
          <w:tcPr>
            <w:tcW w:w="1413" w:type="dxa"/>
            <w:vMerge/>
            <w:hideMark/>
          </w:tcPr>
          <w:p w14:paraId="6B6DF46F" w14:textId="77777777" w:rsidR="00C926D5" w:rsidRPr="0048196F" w:rsidRDefault="00C926D5" w:rsidP="00C926D5">
            <w:pPr>
              <w:rPr>
                <w:lang w:val="en-US"/>
              </w:rPr>
            </w:pPr>
          </w:p>
        </w:tc>
        <w:tc>
          <w:tcPr>
            <w:tcW w:w="5645" w:type="dxa"/>
            <w:noWrap/>
            <w:hideMark/>
          </w:tcPr>
          <w:p w14:paraId="744727BA" w14:textId="77777777" w:rsidR="00C926D5" w:rsidRPr="0048196F" w:rsidRDefault="00C926D5" w:rsidP="00C926D5">
            <w:pPr>
              <w:rPr>
                <w:lang w:val="en-US"/>
              </w:rPr>
            </w:pPr>
            <w:r w:rsidRPr="0048196F">
              <w:rPr>
                <w:rFonts w:eastAsia="Times New Roman"/>
                <w:lang w:val="en-US"/>
              </w:rPr>
              <w:t>Farmers</w:t>
            </w:r>
          </w:p>
        </w:tc>
        <w:tc>
          <w:tcPr>
            <w:tcW w:w="1414" w:type="dxa"/>
            <w:noWrap/>
            <w:hideMark/>
          </w:tcPr>
          <w:p w14:paraId="68CC0FDE" w14:textId="77777777" w:rsidR="00C926D5" w:rsidRPr="0048196F" w:rsidRDefault="00C926D5" w:rsidP="00C926D5">
            <w:pPr>
              <w:rPr>
                <w:lang w:val="en-US"/>
              </w:rPr>
            </w:pPr>
            <w:r w:rsidRPr="0048196F">
              <w:rPr>
                <w:rFonts w:eastAsia="Times New Roman"/>
                <w:lang w:val="en-US"/>
              </w:rPr>
              <w:t>2</w:t>
            </w:r>
          </w:p>
        </w:tc>
      </w:tr>
      <w:tr w:rsidR="00C926D5" w:rsidRPr="0048196F" w14:paraId="7119A6F7" w14:textId="77777777" w:rsidTr="00C926D5">
        <w:trPr>
          <w:trHeight w:val="340"/>
        </w:trPr>
        <w:tc>
          <w:tcPr>
            <w:tcW w:w="1413" w:type="dxa"/>
            <w:vMerge/>
            <w:hideMark/>
          </w:tcPr>
          <w:p w14:paraId="746E30C5" w14:textId="77777777" w:rsidR="00C926D5" w:rsidRPr="0048196F" w:rsidRDefault="00C926D5" w:rsidP="00C926D5">
            <w:pPr>
              <w:rPr>
                <w:lang w:val="en-US"/>
              </w:rPr>
            </w:pPr>
          </w:p>
        </w:tc>
        <w:tc>
          <w:tcPr>
            <w:tcW w:w="5645" w:type="dxa"/>
            <w:noWrap/>
            <w:hideMark/>
          </w:tcPr>
          <w:p w14:paraId="4251D94C" w14:textId="77777777" w:rsidR="00C926D5" w:rsidRPr="0048196F" w:rsidRDefault="00C926D5" w:rsidP="00C926D5">
            <w:pPr>
              <w:rPr>
                <w:lang w:val="en-US"/>
              </w:rPr>
            </w:pPr>
            <w:r w:rsidRPr="0048196F">
              <w:rPr>
                <w:rFonts w:eastAsia="Times New Roman"/>
                <w:lang w:val="en-US"/>
              </w:rPr>
              <w:t>Logistics</w:t>
            </w:r>
          </w:p>
        </w:tc>
        <w:tc>
          <w:tcPr>
            <w:tcW w:w="1414" w:type="dxa"/>
            <w:noWrap/>
            <w:hideMark/>
          </w:tcPr>
          <w:p w14:paraId="590A0975" w14:textId="77777777" w:rsidR="00C926D5" w:rsidRPr="0048196F" w:rsidRDefault="00C926D5" w:rsidP="00C926D5">
            <w:pPr>
              <w:rPr>
                <w:lang w:val="en-US"/>
              </w:rPr>
            </w:pPr>
            <w:r w:rsidRPr="0048196F">
              <w:rPr>
                <w:rFonts w:eastAsia="Times New Roman"/>
                <w:lang w:val="en-US"/>
              </w:rPr>
              <w:t>1</w:t>
            </w:r>
          </w:p>
        </w:tc>
      </w:tr>
      <w:tr w:rsidR="00C926D5" w:rsidRPr="0048196F" w14:paraId="6CBC98F9" w14:textId="77777777" w:rsidTr="00C926D5">
        <w:trPr>
          <w:trHeight w:val="340"/>
        </w:trPr>
        <w:tc>
          <w:tcPr>
            <w:tcW w:w="1413" w:type="dxa"/>
            <w:vMerge w:val="restart"/>
          </w:tcPr>
          <w:p w14:paraId="00274D4B" w14:textId="77777777" w:rsidR="00C926D5" w:rsidRPr="0048196F" w:rsidRDefault="00C926D5" w:rsidP="00C926D5">
            <w:pPr>
              <w:rPr>
                <w:lang w:val="en-US"/>
              </w:rPr>
            </w:pPr>
            <w:r w:rsidRPr="0048196F">
              <w:rPr>
                <w:lang w:val="en-US"/>
              </w:rPr>
              <w:t>Processing</w:t>
            </w:r>
          </w:p>
        </w:tc>
        <w:tc>
          <w:tcPr>
            <w:tcW w:w="5645" w:type="dxa"/>
            <w:noWrap/>
          </w:tcPr>
          <w:p w14:paraId="7ECCD796" w14:textId="77777777" w:rsidR="00C926D5" w:rsidRPr="0048196F" w:rsidRDefault="00C926D5" w:rsidP="00C926D5">
            <w:pPr>
              <w:rPr>
                <w:lang w:val="en-US"/>
              </w:rPr>
            </w:pPr>
            <w:r w:rsidRPr="0048196F">
              <w:rPr>
                <w:rFonts w:eastAsia="Times New Roman"/>
                <w:lang w:val="en-US"/>
              </w:rPr>
              <w:t>Primary Processors</w:t>
            </w:r>
          </w:p>
        </w:tc>
        <w:tc>
          <w:tcPr>
            <w:tcW w:w="1414" w:type="dxa"/>
            <w:noWrap/>
          </w:tcPr>
          <w:p w14:paraId="13778F2E" w14:textId="77777777" w:rsidR="00C926D5" w:rsidRPr="0048196F" w:rsidRDefault="00C926D5" w:rsidP="00C926D5">
            <w:pPr>
              <w:rPr>
                <w:lang w:val="en-US"/>
              </w:rPr>
            </w:pPr>
            <w:r w:rsidRPr="0048196F">
              <w:rPr>
                <w:rFonts w:eastAsia="Times New Roman"/>
                <w:lang w:val="en-US"/>
              </w:rPr>
              <w:t>1</w:t>
            </w:r>
          </w:p>
        </w:tc>
      </w:tr>
      <w:tr w:rsidR="00C926D5" w:rsidRPr="0048196F" w14:paraId="6069E0B6" w14:textId="77777777" w:rsidTr="00C926D5">
        <w:trPr>
          <w:trHeight w:val="340"/>
        </w:trPr>
        <w:tc>
          <w:tcPr>
            <w:tcW w:w="1413" w:type="dxa"/>
            <w:vMerge/>
            <w:hideMark/>
          </w:tcPr>
          <w:p w14:paraId="1A456A51" w14:textId="77777777" w:rsidR="00C926D5" w:rsidRPr="0048196F" w:rsidRDefault="00C926D5" w:rsidP="00C926D5">
            <w:pPr>
              <w:rPr>
                <w:lang w:val="en-US"/>
              </w:rPr>
            </w:pPr>
          </w:p>
        </w:tc>
        <w:tc>
          <w:tcPr>
            <w:tcW w:w="5645" w:type="dxa"/>
            <w:noWrap/>
            <w:hideMark/>
          </w:tcPr>
          <w:p w14:paraId="740C6197" w14:textId="77777777" w:rsidR="00C926D5" w:rsidRPr="0048196F" w:rsidRDefault="00C926D5" w:rsidP="00C926D5">
            <w:pPr>
              <w:rPr>
                <w:lang w:val="en-US"/>
              </w:rPr>
            </w:pPr>
            <w:r w:rsidRPr="0048196F">
              <w:rPr>
                <w:rFonts w:eastAsia="Times New Roman"/>
                <w:lang w:val="en-US"/>
              </w:rPr>
              <w:t>Fresh Food processing</w:t>
            </w:r>
          </w:p>
        </w:tc>
        <w:tc>
          <w:tcPr>
            <w:tcW w:w="1414" w:type="dxa"/>
            <w:noWrap/>
            <w:hideMark/>
          </w:tcPr>
          <w:p w14:paraId="1A08D897" w14:textId="77777777" w:rsidR="00C926D5" w:rsidRPr="0048196F" w:rsidRDefault="00C926D5" w:rsidP="00C926D5">
            <w:pPr>
              <w:rPr>
                <w:lang w:val="en-US"/>
              </w:rPr>
            </w:pPr>
            <w:r w:rsidRPr="0048196F">
              <w:rPr>
                <w:rFonts w:eastAsia="Times New Roman"/>
                <w:lang w:val="en-US"/>
              </w:rPr>
              <w:t>1</w:t>
            </w:r>
          </w:p>
        </w:tc>
      </w:tr>
      <w:tr w:rsidR="00C926D5" w:rsidRPr="0048196F" w14:paraId="1FEF2776" w14:textId="77777777" w:rsidTr="00C926D5">
        <w:trPr>
          <w:trHeight w:val="340"/>
        </w:trPr>
        <w:tc>
          <w:tcPr>
            <w:tcW w:w="1413" w:type="dxa"/>
            <w:vMerge/>
            <w:hideMark/>
          </w:tcPr>
          <w:p w14:paraId="58DE875F" w14:textId="77777777" w:rsidR="00C926D5" w:rsidRPr="0048196F" w:rsidRDefault="00C926D5" w:rsidP="00C926D5">
            <w:pPr>
              <w:rPr>
                <w:lang w:val="en-US"/>
              </w:rPr>
            </w:pPr>
          </w:p>
        </w:tc>
        <w:tc>
          <w:tcPr>
            <w:tcW w:w="5645" w:type="dxa"/>
            <w:noWrap/>
            <w:hideMark/>
          </w:tcPr>
          <w:p w14:paraId="6BFC3EDF" w14:textId="77777777" w:rsidR="00C926D5" w:rsidRPr="0048196F" w:rsidRDefault="00C926D5" w:rsidP="00C926D5">
            <w:pPr>
              <w:rPr>
                <w:lang w:val="en-US"/>
              </w:rPr>
            </w:pPr>
            <w:r w:rsidRPr="0048196F">
              <w:rPr>
                <w:rFonts w:eastAsia="Times New Roman"/>
                <w:lang w:val="en-US"/>
              </w:rPr>
              <w:t>Manufacturing / Processing</w:t>
            </w:r>
          </w:p>
        </w:tc>
        <w:tc>
          <w:tcPr>
            <w:tcW w:w="1414" w:type="dxa"/>
            <w:noWrap/>
            <w:hideMark/>
          </w:tcPr>
          <w:p w14:paraId="4704D86A" w14:textId="77777777" w:rsidR="00C926D5" w:rsidRPr="0048196F" w:rsidRDefault="00C926D5" w:rsidP="00C926D5">
            <w:pPr>
              <w:rPr>
                <w:lang w:val="en-US"/>
              </w:rPr>
            </w:pPr>
            <w:r w:rsidRPr="0048196F">
              <w:rPr>
                <w:rFonts w:eastAsia="Times New Roman"/>
                <w:lang w:val="en-US"/>
              </w:rPr>
              <w:t>1</w:t>
            </w:r>
          </w:p>
        </w:tc>
      </w:tr>
      <w:tr w:rsidR="00C926D5" w:rsidRPr="0048196F" w14:paraId="0C3D26E5" w14:textId="77777777" w:rsidTr="00C926D5">
        <w:trPr>
          <w:trHeight w:val="340"/>
        </w:trPr>
        <w:tc>
          <w:tcPr>
            <w:tcW w:w="1413" w:type="dxa"/>
            <w:vMerge/>
            <w:hideMark/>
          </w:tcPr>
          <w:p w14:paraId="34C9A240" w14:textId="77777777" w:rsidR="00C926D5" w:rsidRPr="0048196F" w:rsidRDefault="00C926D5" w:rsidP="00C926D5">
            <w:pPr>
              <w:rPr>
                <w:lang w:val="en-US"/>
              </w:rPr>
            </w:pPr>
          </w:p>
        </w:tc>
        <w:tc>
          <w:tcPr>
            <w:tcW w:w="5645" w:type="dxa"/>
            <w:noWrap/>
            <w:hideMark/>
          </w:tcPr>
          <w:p w14:paraId="3662368F" w14:textId="77777777" w:rsidR="00C926D5" w:rsidRPr="0048196F" w:rsidRDefault="00C926D5" w:rsidP="00C926D5">
            <w:pPr>
              <w:rPr>
                <w:lang w:val="en-US"/>
              </w:rPr>
            </w:pPr>
            <w:r w:rsidRPr="0048196F">
              <w:rPr>
                <w:rFonts w:eastAsia="Times New Roman"/>
                <w:lang w:val="en-US"/>
              </w:rPr>
              <w:t>Secondary processors</w:t>
            </w:r>
          </w:p>
        </w:tc>
        <w:tc>
          <w:tcPr>
            <w:tcW w:w="1414" w:type="dxa"/>
            <w:noWrap/>
            <w:hideMark/>
          </w:tcPr>
          <w:p w14:paraId="70D3E676" w14:textId="77777777" w:rsidR="00C926D5" w:rsidRPr="0048196F" w:rsidRDefault="00C926D5" w:rsidP="00C926D5">
            <w:pPr>
              <w:rPr>
                <w:lang w:val="en-US"/>
              </w:rPr>
            </w:pPr>
            <w:r w:rsidRPr="0048196F">
              <w:rPr>
                <w:rFonts w:eastAsia="Times New Roman"/>
                <w:lang w:val="en-US"/>
              </w:rPr>
              <w:t>2</w:t>
            </w:r>
          </w:p>
        </w:tc>
      </w:tr>
      <w:tr w:rsidR="00C926D5" w:rsidRPr="0048196F" w14:paraId="7678B35F" w14:textId="77777777" w:rsidTr="00C926D5">
        <w:trPr>
          <w:trHeight w:val="340"/>
        </w:trPr>
        <w:tc>
          <w:tcPr>
            <w:tcW w:w="1413" w:type="dxa"/>
            <w:vMerge/>
            <w:hideMark/>
          </w:tcPr>
          <w:p w14:paraId="2109D392" w14:textId="77777777" w:rsidR="00C926D5" w:rsidRPr="0048196F" w:rsidRDefault="00C926D5" w:rsidP="00C926D5">
            <w:pPr>
              <w:rPr>
                <w:lang w:val="en-US"/>
              </w:rPr>
            </w:pPr>
          </w:p>
        </w:tc>
        <w:tc>
          <w:tcPr>
            <w:tcW w:w="5645" w:type="dxa"/>
            <w:noWrap/>
            <w:hideMark/>
          </w:tcPr>
          <w:p w14:paraId="11063A3F" w14:textId="77777777" w:rsidR="00C926D5" w:rsidRPr="0048196F" w:rsidRDefault="00C926D5" w:rsidP="00C926D5">
            <w:pPr>
              <w:rPr>
                <w:lang w:val="en-US"/>
              </w:rPr>
            </w:pPr>
            <w:r w:rsidRPr="0048196F">
              <w:rPr>
                <w:rFonts w:eastAsia="Times New Roman"/>
                <w:lang w:val="en-US"/>
              </w:rPr>
              <w:t>Processor</w:t>
            </w:r>
          </w:p>
        </w:tc>
        <w:tc>
          <w:tcPr>
            <w:tcW w:w="1414" w:type="dxa"/>
            <w:noWrap/>
            <w:hideMark/>
          </w:tcPr>
          <w:p w14:paraId="36F52AD3" w14:textId="77777777" w:rsidR="00C926D5" w:rsidRPr="0048196F" w:rsidRDefault="00C926D5" w:rsidP="00C926D5">
            <w:pPr>
              <w:rPr>
                <w:lang w:val="en-US"/>
              </w:rPr>
            </w:pPr>
            <w:r w:rsidRPr="0048196F">
              <w:rPr>
                <w:rFonts w:eastAsia="Times New Roman"/>
                <w:lang w:val="en-US"/>
              </w:rPr>
              <w:t>1</w:t>
            </w:r>
          </w:p>
        </w:tc>
      </w:tr>
      <w:tr w:rsidR="00C926D5" w:rsidRPr="0048196F" w14:paraId="4343BF67" w14:textId="77777777" w:rsidTr="00C926D5">
        <w:trPr>
          <w:trHeight w:val="340"/>
        </w:trPr>
        <w:tc>
          <w:tcPr>
            <w:tcW w:w="1413" w:type="dxa"/>
            <w:vMerge/>
          </w:tcPr>
          <w:p w14:paraId="0F8631BC" w14:textId="77777777" w:rsidR="00C926D5" w:rsidRPr="0048196F" w:rsidRDefault="00C926D5" w:rsidP="00C926D5">
            <w:pPr>
              <w:rPr>
                <w:lang w:val="en-US"/>
              </w:rPr>
            </w:pPr>
          </w:p>
        </w:tc>
        <w:tc>
          <w:tcPr>
            <w:tcW w:w="5645" w:type="dxa"/>
            <w:noWrap/>
          </w:tcPr>
          <w:p w14:paraId="2A2EB444" w14:textId="77777777" w:rsidR="00C926D5" w:rsidRPr="0048196F" w:rsidRDefault="00C926D5" w:rsidP="00C926D5">
            <w:pPr>
              <w:rPr>
                <w:lang w:val="en-US"/>
              </w:rPr>
            </w:pPr>
            <w:r w:rsidRPr="0048196F">
              <w:rPr>
                <w:rFonts w:eastAsia="Times New Roman"/>
                <w:lang w:val="en-US"/>
              </w:rPr>
              <w:t>Food Processing &amp; manufacturing</w:t>
            </w:r>
          </w:p>
        </w:tc>
        <w:tc>
          <w:tcPr>
            <w:tcW w:w="1414" w:type="dxa"/>
            <w:noWrap/>
          </w:tcPr>
          <w:p w14:paraId="5CC66CAB" w14:textId="77777777" w:rsidR="00C926D5" w:rsidRPr="0048196F" w:rsidRDefault="00C926D5" w:rsidP="00C926D5">
            <w:pPr>
              <w:rPr>
                <w:lang w:val="en-US"/>
              </w:rPr>
            </w:pPr>
            <w:r w:rsidRPr="0048196F">
              <w:rPr>
                <w:rFonts w:eastAsia="Times New Roman"/>
                <w:lang w:val="en-US"/>
              </w:rPr>
              <w:t>2</w:t>
            </w:r>
          </w:p>
        </w:tc>
      </w:tr>
      <w:tr w:rsidR="00C926D5" w:rsidRPr="0048196F" w14:paraId="55BBD72D" w14:textId="77777777" w:rsidTr="00C926D5">
        <w:trPr>
          <w:trHeight w:val="340"/>
        </w:trPr>
        <w:tc>
          <w:tcPr>
            <w:tcW w:w="1413" w:type="dxa"/>
            <w:hideMark/>
          </w:tcPr>
          <w:p w14:paraId="19129FBF" w14:textId="77777777" w:rsidR="00C926D5" w:rsidRPr="0048196F" w:rsidRDefault="00C926D5" w:rsidP="00C926D5">
            <w:pPr>
              <w:rPr>
                <w:lang w:val="en-US"/>
              </w:rPr>
            </w:pPr>
            <w:r w:rsidRPr="0048196F">
              <w:rPr>
                <w:lang w:val="en-US"/>
              </w:rPr>
              <w:t>Packaging</w:t>
            </w:r>
          </w:p>
        </w:tc>
        <w:tc>
          <w:tcPr>
            <w:tcW w:w="5645" w:type="dxa"/>
            <w:noWrap/>
            <w:hideMark/>
          </w:tcPr>
          <w:p w14:paraId="7A87273E" w14:textId="77777777" w:rsidR="00C926D5" w:rsidRPr="0048196F" w:rsidRDefault="00C926D5" w:rsidP="00C926D5">
            <w:pPr>
              <w:rPr>
                <w:lang w:val="en-US"/>
              </w:rPr>
            </w:pPr>
            <w:r w:rsidRPr="0048196F">
              <w:rPr>
                <w:rFonts w:eastAsia="Times New Roman"/>
                <w:lang w:val="en-US"/>
              </w:rPr>
              <w:t>Food processors &amp; packagers</w:t>
            </w:r>
          </w:p>
        </w:tc>
        <w:tc>
          <w:tcPr>
            <w:tcW w:w="1414" w:type="dxa"/>
            <w:noWrap/>
            <w:hideMark/>
          </w:tcPr>
          <w:p w14:paraId="2DF972F4" w14:textId="77777777" w:rsidR="00C926D5" w:rsidRPr="0048196F" w:rsidRDefault="00C926D5" w:rsidP="00C926D5">
            <w:pPr>
              <w:rPr>
                <w:lang w:val="en-US"/>
              </w:rPr>
            </w:pPr>
            <w:r w:rsidRPr="0048196F">
              <w:rPr>
                <w:rFonts w:eastAsia="Times New Roman"/>
                <w:lang w:val="en-US"/>
              </w:rPr>
              <w:t>2</w:t>
            </w:r>
          </w:p>
        </w:tc>
      </w:tr>
      <w:tr w:rsidR="00C926D5" w:rsidRPr="0048196F" w14:paraId="74A88D66" w14:textId="77777777" w:rsidTr="00C926D5">
        <w:trPr>
          <w:trHeight w:val="340"/>
        </w:trPr>
        <w:tc>
          <w:tcPr>
            <w:tcW w:w="1413" w:type="dxa"/>
          </w:tcPr>
          <w:p w14:paraId="223ABFB4" w14:textId="77777777" w:rsidR="00C926D5" w:rsidRPr="0048196F" w:rsidRDefault="00C926D5" w:rsidP="00C926D5">
            <w:pPr>
              <w:rPr>
                <w:lang w:val="en-US"/>
              </w:rPr>
            </w:pPr>
            <w:r w:rsidRPr="0048196F">
              <w:rPr>
                <w:lang w:val="en-US"/>
              </w:rPr>
              <w:t>Marketing</w:t>
            </w:r>
          </w:p>
        </w:tc>
        <w:tc>
          <w:tcPr>
            <w:tcW w:w="5645" w:type="dxa"/>
            <w:noWrap/>
          </w:tcPr>
          <w:p w14:paraId="42D91483" w14:textId="77777777" w:rsidR="00C926D5" w:rsidRPr="0048196F" w:rsidRDefault="00C926D5" w:rsidP="00C926D5">
            <w:pPr>
              <w:rPr>
                <w:lang w:val="en-US"/>
              </w:rPr>
            </w:pPr>
            <w:r w:rsidRPr="0048196F">
              <w:rPr>
                <w:rFonts w:eastAsia="Times New Roman"/>
                <w:lang w:val="en-US"/>
              </w:rPr>
              <w:t>Branding &amp; Marketing</w:t>
            </w:r>
          </w:p>
        </w:tc>
        <w:tc>
          <w:tcPr>
            <w:tcW w:w="1414" w:type="dxa"/>
            <w:noWrap/>
          </w:tcPr>
          <w:p w14:paraId="1CF4C14E" w14:textId="77777777" w:rsidR="00C926D5" w:rsidRPr="0048196F" w:rsidRDefault="00C926D5" w:rsidP="00C926D5">
            <w:pPr>
              <w:rPr>
                <w:lang w:val="en-US"/>
              </w:rPr>
            </w:pPr>
            <w:r w:rsidRPr="0048196F">
              <w:rPr>
                <w:lang w:val="en-US"/>
              </w:rPr>
              <w:t>1</w:t>
            </w:r>
          </w:p>
        </w:tc>
      </w:tr>
      <w:tr w:rsidR="00C926D5" w:rsidRPr="0048196F" w14:paraId="61D35DBF" w14:textId="77777777" w:rsidTr="00C926D5">
        <w:trPr>
          <w:trHeight w:val="340"/>
        </w:trPr>
        <w:tc>
          <w:tcPr>
            <w:tcW w:w="1413" w:type="dxa"/>
            <w:vMerge w:val="restart"/>
          </w:tcPr>
          <w:p w14:paraId="01456783" w14:textId="77777777" w:rsidR="00C926D5" w:rsidRPr="0048196F" w:rsidRDefault="00C926D5" w:rsidP="00C926D5">
            <w:pPr>
              <w:rPr>
                <w:lang w:val="en-US"/>
              </w:rPr>
            </w:pPr>
            <w:r w:rsidRPr="0048196F">
              <w:rPr>
                <w:lang w:val="en-US"/>
              </w:rPr>
              <w:t>Logistics</w:t>
            </w:r>
          </w:p>
        </w:tc>
        <w:tc>
          <w:tcPr>
            <w:tcW w:w="5645" w:type="dxa"/>
            <w:noWrap/>
          </w:tcPr>
          <w:p w14:paraId="5EA0BDF7" w14:textId="77777777" w:rsidR="00C926D5" w:rsidRPr="0048196F" w:rsidRDefault="00C926D5" w:rsidP="00C926D5">
            <w:pPr>
              <w:rPr>
                <w:lang w:val="en-US"/>
              </w:rPr>
            </w:pPr>
            <w:r w:rsidRPr="0048196F">
              <w:rPr>
                <w:rFonts w:eastAsia="Times New Roman"/>
                <w:lang w:val="en-US"/>
              </w:rPr>
              <w:t>Food distribution and Wholesale</w:t>
            </w:r>
          </w:p>
        </w:tc>
        <w:tc>
          <w:tcPr>
            <w:tcW w:w="1414" w:type="dxa"/>
            <w:noWrap/>
          </w:tcPr>
          <w:p w14:paraId="57A4A178" w14:textId="77777777" w:rsidR="00C926D5" w:rsidRPr="0048196F" w:rsidRDefault="00C926D5" w:rsidP="00C926D5">
            <w:pPr>
              <w:rPr>
                <w:lang w:val="en-US"/>
              </w:rPr>
            </w:pPr>
            <w:r>
              <w:rPr>
                <w:lang w:val="en-US"/>
              </w:rPr>
              <w:t>1</w:t>
            </w:r>
          </w:p>
        </w:tc>
      </w:tr>
      <w:tr w:rsidR="00C926D5" w:rsidRPr="0048196F" w14:paraId="5A444D09" w14:textId="77777777" w:rsidTr="00C926D5">
        <w:trPr>
          <w:trHeight w:val="340"/>
        </w:trPr>
        <w:tc>
          <w:tcPr>
            <w:tcW w:w="1413" w:type="dxa"/>
            <w:vMerge/>
            <w:hideMark/>
          </w:tcPr>
          <w:p w14:paraId="04C04A79" w14:textId="77777777" w:rsidR="00C926D5" w:rsidRPr="0048196F" w:rsidRDefault="00C926D5" w:rsidP="00C926D5">
            <w:pPr>
              <w:rPr>
                <w:lang w:val="en-US"/>
              </w:rPr>
            </w:pPr>
          </w:p>
        </w:tc>
        <w:tc>
          <w:tcPr>
            <w:tcW w:w="5645" w:type="dxa"/>
            <w:noWrap/>
            <w:hideMark/>
          </w:tcPr>
          <w:p w14:paraId="5FF5AE84" w14:textId="77777777" w:rsidR="00C926D5" w:rsidRPr="0048196F" w:rsidRDefault="00C926D5" w:rsidP="00C926D5">
            <w:pPr>
              <w:rPr>
                <w:lang w:val="en-US"/>
              </w:rPr>
            </w:pPr>
            <w:r w:rsidRPr="0048196F">
              <w:rPr>
                <w:rFonts w:eastAsia="Times New Roman"/>
                <w:lang w:val="en-US"/>
              </w:rPr>
              <w:t>Wholesale</w:t>
            </w:r>
          </w:p>
        </w:tc>
        <w:tc>
          <w:tcPr>
            <w:tcW w:w="1414" w:type="dxa"/>
            <w:noWrap/>
            <w:hideMark/>
          </w:tcPr>
          <w:p w14:paraId="6F34DE62" w14:textId="77777777" w:rsidR="00C926D5" w:rsidRPr="0048196F" w:rsidRDefault="00C926D5" w:rsidP="00C926D5">
            <w:pPr>
              <w:rPr>
                <w:lang w:val="en-US"/>
              </w:rPr>
            </w:pPr>
            <w:r w:rsidRPr="0048196F">
              <w:rPr>
                <w:rFonts w:eastAsia="Times New Roman"/>
                <w:lang w:val="en-US"/>
              </w:rPr>
              <w:t>1</w:t>
            </w:r>
          </w:p>
        </w:tc>
      </w:tr>
      <w:tr w:rsidR="00C926D5" w:rsidRPr="0048196F" w14:paraId="407A701C" w14:textId="77777777" w:rsidTr="00C926D5">
        <w:trPr>
          <w:trHeight w:val="360"/>
        </w:trPr>
        <w:tc>
          <w:tcPr>
            <w:tcW w:w="1413" w:type="dxa"/>
            <w:vMerge/>
            <w:hideMark/>
          </w:tcPr>
          <w:p w14:paraId="094C40CB" w14:textId="77777777" w:rsidR="00C926D5" w:rsidRPr="0048196F" w:rsidRDefault="00C926D5" w:rsidP="00C926D5">
            <w:pPr>
              <w:rPr>
                <w:lang w:val="en-US"/>
              </w:rPr>
            </w:pPr>
          </w:p>
        </w:tc>
        <w:tc>
          <w:tcPr>
            <w:tcW w:w="5645" w:type="dxa"/>
            <w:noWrap/>
            <w:hideMark/>
          </w:tcPr>
          <w:p w14:paraId="4D5E5C26" w14:textId="77777777" w:rsidR="00C926D5" w:rsidRPr="0048196F" w:rsidRDefault="00C926D5" w:rsidP="00C926D5">
            <w:pPr>
              <w:rPr>
                <w:lang w:val="en-US"/>
              </w:rPr>
            </w:pPr>
            <w:r w:rsidRPr="0048196F">
              <w:rPr>
                <w:rFonts w:eastAsia="Times New Roman"/>
                <w:lang w:val="en-US"/>
              </w:rPr>
              <w:t>Distributor</w:t>
            </w:r>
          </w:p>
        </w:tc>
        <w:tc>
          <w:tcPr>
            <w:tcW w:w="1414" w:type="dxa"/>
            <w:noWrap/>
            <w:hideMark/>
          </w:tcPr>
          <w:p w14:paraId="380204AF" w14:textId="77777777" w:rsidR="00C926D5" w:rsidRPr="0048196F" w:rsidRDefault="00C926D5" w:rsidP="00C926D5">
            <w:pPr>
              <w:rPr>
                <w:lang w:val="en-US"/>
              </w:rPr>
            </w:pPr>
            <w:r w:rsidRPr="0048196F">
              <w:rPr>
                <w:rFonts w:eastAsia="Times New Roman"/>
                <w:lang w:val="en-US"/>
              </w:rPr>
              <w:t>4 </w:t>
            </w:r>
          </w:p>
        </w:tc>
      </w:tr>
      <w:tr w:rsidR="00C926D5" w:rsidRPr="0048196F" w14:paraId="15B2DE7B" w14:textId="77777777" w:rsidTr="00C926D5">
        <w:trPr>
          <w:trHeight w:val="340"/>
        </w:trPr>
        <w:tc>
          <w:tcPr>
            <w:tcW w:w="1413" w:type="dxa"/>
            <w:vMerge/>
            <w:hideMark/>
          </w:tcPr>
          <w:p w14:paraId="342BC767" w14:textId="77777777" w:rsidR="00C926D5" w:rsidRPr="0048196F" w:rsidRDefault="00C926D5" w:rsidP="00C926D5">
            <w:pPr>
              <w:rPr>
                <w:lang w:val="en-US"/>
              </w:rPr>
            </w:pPr>
          </w:p>
        </w:tc>
        <w:tc>
          <w:tcPr>
            <w:tcW w:w="5645" w:type="dxa"/>
            <w:noWrap/>
            <w:hideMark/>
          </w:tcPr>
          <w:p w14:paraId="0E8D7D1C" w14:textId="77777777" w:rsidR="00C926D5" w:rsidRPr="0048196F" w:rsidRDefault="00C926D5" w:rsidP="00C926D5">
            <w:pPr>
              <w:rPr>
                <w:lang w:val="en-US"/>
              </w:rPr>
            </w:pPr>
            <w:r w:rsidRPr="0048196F">
              <w:rPr>
                <w:rFonts w:eastAsia="Times New Roman"/>
                <w:lang w:val="en-US"/>
              </w:rPr>
              <w:t>Logistics</w:t>
            </w:r>
          </w:p>
        </w:tc>
        <w:tc>
          <w:tcPr>
            <w:tcW w:w="1414" w:type="dxa"/>
            <w:noWrap/>
            <w:hideMark/>
          </w:tcPr>
          <w:p w14:paraId="6505419C" w14:textId="77777777" w:rsidR="00C926D5" w:rsidRPr="0048196F" w:rsidRDefault="00C926D5" w:rsidP="00C926D5">
            <w:pPr>
              <w:rPr>
                <w:lang w:val="en-US"/>
              </w:rPr>
            </w:pPr>
            <w:r w:rsidRPr="0048196F">
              <w:rPr>
                <w:rFonts w:eastAsia="Times New Roman"/>
                <w:lang w:val="en-US"/>
              </w:rPr>
              <w:t>1</w:t>
            </w:r>
          </w:p>
        </w:tc>
      </w:tr>
      <w:tr w:rsidR="00C926D5" w:rsidRPr="0048196F" w14:paraId="2E5A32F7" w14:textId="77777777" w:rsidTr="00C926D5">
        <w:trPr>
          <w:trHeight w:val="340"/>
        </w:trPr>
        <w:tc>
          <w:tcPr>
            <w:tcW w:w="1413" w:type="dxa"/>
            <w:vMerge/>
            <w:hideMark/>
          </w:tcPr>
          <w:p w14:paraId="0A0DE23D" w14:textId="77777777" w:rsidR="00C926D5" w:rsidRPr="0048196F" w:rsidRDefault="00C926D5" w:rsidP="00C926D5">
            <w:pPr>
              <w:rPr>
                <w:lang w:val="en-US"/>
              </w:rPr>
            </w:pPr>
          </w:p>
        </w:tc>
        <w:tc>
          <w:tcPr>
            <w:tcW w:w="5645" w:type="dxa"/>
            <w:noWrap/>
            <w:hideMark/>
          </w:tcPr>
          <w:p w14:paraId="51ACF18F" w14:textId="77777777" w:rsidR="00C926D5" w:rsidRPr="0048196F" w:rsidRDefault="00C926D5" w:rsidP="00C926D5">
            <w:pPr>
              <w:rPr>
                <w:lang w:val="en-US"/>
              </w:rPr>
            </w:pPr>
            <w:r w:rsidRPr="0048196F">
              <w:rPr>
                <w:rFonts w:eastAsia="Times New Roman"/>
                <w:lang w:val="en-US"/>
              </w:rPr>
              <w:t>Customs</w:t>
            </w:r>
          </w:p>
        </w:tc>
        <w:tc>
          <w:tcPr>
            <w:tcW w:w="1414" w:type="dxa"/>
            <w:noWrap/>
            <w:hideMark/>
          </w:tcPr>
          <w:p w14:paraId="72BBEC03" w14:textId="77777777" w:rsidR="00C926D5" w:rsidRPr="0048196F" w:rsidRDefault="00C926D5" w:rsidP="00C926D5">
            <w:pPr>
              <w:rPr>
                <w:lang w:val="en-US"/>
              </w:rPr>
            </w:pPr>
            <w:r w:rsidRPr="0048196F">
              <w:rPr>
                <w:rFonts w:eastAsia="Times New Roman"/>
                <w:lang w:val="en-US"/>
              </w:rPr>
              <w:t>1</w:t>
            </w:r>
          </w:p>
        </w:tc>
      </w:tr>
      <w:tr w:rsidR="00C926D5" w:rsidRPr="0048196F" w14:paraId="1CA55103" w14:textId="77777777" w:rsidTr="00C926D5">
        <w:trPr>
          <w:trHeight w:val="340"/>
        </w:trPr>
        <w:tc>
          <w:tcPr>
            <w:tcW w:w="1413" w:type="dxa"/>
            <w:vMerge w:val="restart"/>
          </w:tcPr>
          <w:p w14:paraId="5561FB94" w14:textId="77777777" w:rsidR="00C926D5" w:rsidRPr="0048196F" w:rsidRDefault="00C926D5" w:rsidP="00C926D5">
            <w:pPr>
              <w:rPr>
                <w:lang w:val="en-US"/>
              </w:rPr>
            </w:pPr>
            <w:r w:rsidRPr="0048196F">
              <w:rPr>
                <w:lang w:val="en-US"/>
              </w:rPr>
              <w:t>Retail</w:t>
            </w:r>
          </w:p>
        </w:tc>
        <w:tc>
          <w:tcPr>
            <w:tcW w:w="5645" w:type="dxa"/>
            <w:noWrap/>
          </w:tcPr>
          <w:p w14:paraId="2AFD5268" w14:textId="77777777" w:rsidR="00C926D5" w:rsidRPr="0048196F" w:rsidRDefault="00C926D5" w:rsidP="00C926D5">
            <w:pPr>
              <w:rPr>
                <w:lang w:val="en-US"/>
              </w:rPr>
            </w:pPr>
            <w:r w:rsidRPr="0048196F">
              <w:rPr>
                <w:rFonts w:eastAsia="Times New Roman"/>
                <w:lang w:val="en-US"/>
              </w:rPr>
              <w:t>Retailers</w:t>
            </w:r>
          </w:p>
        </w:tc>
        <w:tc>
          <w:tcPr>
            <w:tcW w:w="1414" w:type="dxa"/>
            <w:noWrap/>
          </w:tcPr>
          <w:p w14:paraId="534F1A00" w14:textId="77777777" w:rsidR="00C926D5" w:rsidRPr="0048196F" w:rsidRDefault="00C926D5" w:rsidP="00C926D5">
            <w:pPr>
              <w:rPr>
                <w:lang w:val="en-US"/>
              </w:rPr>
            </w:pPr>
            <w:r w:rsidRPr="0048196F">
              <w:rPr>
                <w:rFonts w:eastAsia="Times New Roman"/>
                <w:lang w:val="en-US"/>
              </w:rPr>
              <w:t>8</w:t>
            </w:r>
          </w:p>
        </w:tc>
      </w:tr>
      <w:tr w:rsidR="00C926D5" w:rsidRPr="0048196F" w14:paraId="5C84C6AF" w14:textId="77777777" w:rsidTr="00C926D5">
        <w:trPr>
          <w:trHeight w:val="340"/>
        </w:trPr>
        <w:tc>
          <w:tcPr>
            <w:tcW w:w="1413" w:type="dxa"/>
            <w:vMerge/>
            <w:hideMark/>
          </w:tcPr>
          <w:p w14:paraId="0D219FDB" w14:textId="77777777" w:rsidR="00C926D5" w:rsidRPr="0048196F" w:rsidRDefault="00C926D5" w:rsidP="00C926D5">
            <w:pPr>
              <w:rPr>
                <w:lang w:val="en-US"/>
              </w:rPr>
            </w:pPr>
          </w:p>
        </w:tc>
        <w:tc>
          <w:tcPr>
            <w:tcW w:w="5645" w:type="dxa"/>
            <w:noWrap/>
            <w:hideMark/>
          </w:tcPr>
          <w:p w14:paraId="5DFE5E23" w14:textId="77777777" w:rsidR="00C926D5" w:rsidRPr="0048196F" w:rsidRDefault="00C926D5" w:rsidP="00C926D5">
            <w:pPr>
              <w:rPr>
                <w:lang w:val="en-US"/>
              </w:rPr>
            </w:pPr>
            <w:r w:rsidRPr="0048196F">
              <w:rPr>
                <w:rFonts w:eastAsia="Times New Roman"/>
                <w:lang w:val="en-US"/>
              </w:rPr>
              <w:t>Catering</w:t>
            </w:r>
          </w:p>
        </w:tc>
        <w:tc>
          <w:tcPr>
            <w:tcW w:w="1414" w:type="dxa"/>
            <w:noWrap/>
            <w:hideMark/>
          </w:tcPr>
          <w:p w14:paraId="026E4CCB" w14:textId="77777777" w:rsidR="00C926D5" w:rsidRPr="0048196F" w:rsidRDefault="00C926D5" w:rsidP="00C926D5">
            <w:pPr>
              <w:rPr>
                <w:lang w:val="en-US"/>
              </w:rPr>
            </w:pPr>
            <w:r w:rsidRPr="0048196F">
              <w:rPr>
                <w:rFonts w:eastAsia="Times New Roman"/>
                <w:lang w:val="en-US"/>
              </w:rPr>
              <w:t>2</w:t>
            </w:r>
          </w:p>
        </w:tc>
      </w:tr>
      <w:tr w:rsidR="00C926D5" w:rsidRPr="0048196F" w14:paraId="2039AAFF" w14:textId="77777777" w:rsidTr="00C926D5">
        <w:trPr>
          <w:trHeight w:val="340"/>
        </w:trPr>
        <w:tc>
          <w:tcPr>
            <w:tcW w:w="1413" w:type="dxa"/>
            <w:vMerge/>
            <w:hideMark/>
          </w:tcPr>
          <w:p w14:paraId="6CC71798" w14:textId="77777777" w:rsidR="00C926D5" w:rsidRPr="0048196F" w:rsidRDefault="00C926D5" w:rsidP="00C926D5">
            <w:pPr>
              <w:rPr>
                <w:lang w:val="en-US"/>
              </w:rPr>
            </w:pPr>
          </w:p>
        </w:tc>
        <w:tc>
          <w:tcPr>
            <w:tcW w:w="5645" w:type="dxa"/>
            <w:noWrap/>
            <w:hideMark/>
          </w:tcPr>
          <w:p w14:paraId="2CE101E7" w14:textId="77777777" w:rsidR="00C926D5" w:rsidRPr="0048196F" w:rsidRDefault="00C926D5" w:rsidP="00C926D5">
            <w:pPr>
              <w:rPr>
                <w:lang w:val="en-US"/>
              </w:rPr>
            </w:pPr>
            <w:r w:rsidRPr="0048196F">
              <w:rPr>
                <w:rFonts w:eastAsia="Times New Roman"/>
                <w:lang w:val="en-US"/>
              </w:rPr>
              <w:t>Food service</w:t>
            </w:r>
          </w:p>
        </w:tc>
        <w:tc>
          <w:tcPr>
            <w:tcW w:w="1414" w:type="dxa"/>
            <w:noWrap/>
            <w:hideMark/>
          </w:tcPr>
          <w:p w14:paraId="4F12D31C" w14:textId="77777777" w:rsidR="00C926D5" w:rsidRPr="0048196F" w:rsidRDefault="00C926D5" w:rsidP="00C926D5">
            <w:pPr>
              <w:rPr>
                <w:lang w:val="en-US"/>
              </w:rPr>
            </w:pPr>
            <w:r w:rsidRPr="0048196F">
              <w:rPr>
                <w:rFonts w:eastAsia="Times New Roman"/>
                <w:lang w:val="en-US"/>
              </w:rPr>
              <w:t>3</w:t>
            </w:r>
          </w:p>
        </w:tc>
      </w:tr>
      <w:tr w:rsidR="00C926D5" w:rsidRPr="0048196F" w14:paraId="0B1BA4AB" w14:textId="77777777" w:rsidTr="00C926D5">
        <w:trPr>
          <w:trHeight w:val="340"/>
        </w:trPr>
        <w:tc>
          <w:tcPr>
            <w:tcW w:w="1413" w:type="dxa"/>
          </w:tcPr>
          <w:p w14:paraId="5F61B999" w14:textId="77777777" w:rsidR="00C926D5" w:rsidRPr="0048196F" w:rsidRDefault="00C926D5" w:rsidP="00C926D5">
            <w:pPr>
              <w:rPr>
                <w:lang w:val="en-US"/>
              </w:rPr>
            </w:pPr>
            <w:r>
              <w:rPr>
                <w:lang w:val="en-US"/>
              </w:rPr>
              <w:t>Consumers</w:t>
            </w:r>
          </w:p>
        </w:tc>
        <w:tc>
          <w:tcPr>
            <w:tcW w:w="5645" w:type="dxa"/>
            <w:noWrap/>
          </w:tcPr>
          <w:p w14:paraId="431A0EEE" w14:textId="77777777" w:rsidR="00C926D5" w:rsidRPr="0048196F" w:rsidRDefault="00C926D5" w:rsidP="00C926D5">
            <w:pPr>
              <w:rPr>
                <w:lang w:val="en-US"/>
              </w:rPr>
            </w:pPr>
            <w:r w:rsidRPr="0048196F">
              <w:rPr>
                <w:rFonts w:eastAsia="Times New Roman"/>
                <w:lang w:val="en-US"/>
              </w:rPr>
              <w:t>Consumers</w:t>
            </w:r>
          </w:p>
        </w:tc>
        <w:tc>
          <w:tcPr>
            <w:tcW w:w="1414" w:type="dxa"/>
            <w:noWrap/>
          </w:tcPr>
          <w:p w14:paraId="59BB8CF6" w14:textId="77777777" w:rsidR="00C926D5" w:rsidRPr="0048196F" w:rsidRDefault="00C926D5" w:rsidP="00C926D5">
            <w:pPr>
              <w:rPr>
                <w:lang w:val="en-US"/>
              </w:rPr>
            </w:pPr>
            <w:r w:rsidRPr="0048196F">
              <w:rPr>
                <w:rFonts w:eastAsia="Times New Roman"/>
                <w:lang w:val="en-US"/>
              </w:rPr>
              <w:t>4</w:t>
            </w:r>
          </w:p>
        </w:tc>
      </w:tr>
      <w:tr w:rsidR="00C926D5" w:rsidRPr="0048196F" w14:paraId="4B95D4F1" w14:textId="77777777" w:rsidTr="00C926D5">
        <w:trPr>
          <w:trHeight w:val="340"/>
        </w:trPr>
        <w:tc>
          <w:tcPr>
            <w:tcW w:w="1413" w:type="dxa"/>
            <w:vMerge w:val="restart"/>
            <w:hideMark/>
          </w:tcPr>
          <w:p w14:paraId="3E88EBCB" w14:textId="77777777" w:rsidR="00C926D5" w:rsidRPr="0048196F" w:rsidRDefault="00C926D5" w:rsidP="00C926D5">
            <w:pPr>
              <w:rPr>
                <w:lang w:val="en-US"/>
              </w:rPr>
            </w:pPr>
          </w:p>
        </w:tc>
        <w:tc>
          <w:tcPr>
            <w:tcW w:w="5645" w:type="dxa"/>
            <w:noWrap/>
            <w:hideMark/>
          </w:tcPr>
          <w:p w14:paraId="25CAA303" w14:textId="77777777" w:rsidR="00C926D5" w:rsidRPr="0048196F" w:rsidRDefault="00C926D5" w:rsidP="00C926D5">
            <w:pPr>
              <w:rPr>
                <w:lang w:val="en-US"/>
              </w:rPr>
            </w:pPr>
            <w:r w:rsidRPr="0048196F">
              <w:rPr>
                <w:rFonts w:eastAsia="Times New Roman"/>
                <w:lang w:val="en-US"/>
              </w:rPr>
              <w:t>Healthcare and lifestyle related service providers</w:t>
            </w:r>
          </w:p>
        </w:tc>
        <w:tc>
          <w:tcPr>
            <w:tcW w:w="1414" w:type="dxa"/>
            <w:noWrap/>
            <w:hideMark/>
          </w:tcPr>
          <w:p w14:paraId="69DC82E1" w14:textId="77777777" w:rsidR="00C926D5" w:rsidRPr="0048196F" w:rsidRDefault="00C926D5" w:rsidP="00C926D5">
            <w:pPr>
              <w:rPr>
                <w:lang w:val="en-US"/>
              </w:rPr>
            </w:pPr>
            <w:r w:rsidRPr="0048196F">
              <w:rPr>
                <w:rFonts w:eastAsia="Times New Roman"/>
                <w:lang w:val="en-US"/>
              </w:rPr>
              <w:t>1</w:t>
            </w:r>
          </w:p>
        </w:tc>
      </w:tr>
      <w:tr w:rsidR="00C926D5" w:rsidRPr="0048196F" w14:paraId="739137A6" w14:textId="77777777" w:rsidTr="00C926D5">
        <w:trPr>
          <w:trHeight w:val="340"/>
        </w:trPr>
        <w:tc>
          <w:tcPr>
            <w:tcW w:w="1413" w:type="dxa"/>
            <w:vMerge/>
            <w:hideMark/>
          </w:tcPr>
          <w:p w14:paraId="4E170E45" w14:textId="77777777" w:rsidR="00C926D5" w:rsidRPr="0048196F" w:rsidRDefault="00C926D5" w:rsidP="00C926D5">
            <w:pPr>
              <w:rPr>
                <w:lang w:val="en-US"/>
              </w:rPr>
            </w:pPr>
          </w:p>
        </w:tc>
        <w:tc>
          <w:tcPr>
            <w:tcW w:w="5645" w:type="dxa"/>
            <w:noWrap/>
            <w:hideMark/>
          </w:tcPr>
          <w:p w14:paraId="658B5C68" w14:textId="77777777" w:rsidR="00C926D5" w:rsidRPr="0048196F" w:rsidRDefault="00C926D5" w:rsidP="00C926D5">
            <w:pPr>
              <w:rPr>
                <w:lang w:val="en-US"/>
              </w:rPr>
            </w:pPr>
            <w:r w:rsidRPr="0048196F">
              <w:rPr>
                <w:rFonts w:eastAsia="Times New Roman"/>
                <w:lang w:val="en-US"/>
              </w:rPr>
              <w:t>Research centers and legal requirements</w:t>
            </w:r>
          </w:p>
        </w:tc>
        <w:tc>
          <w:tcPr>
            <w:tcW w:w="1414" w:type="dxa"/>
            <w:noWrap/>
            <w:hideMark/>
          </w:tcPr>
          <w:p w14:paraId="2E64FED7" w14:textId="77777777" w:rsidR="00C926D5" w:rsidRPr="0048196F" w:rsidRDefault="00C926D5" w:rsidP="00C926D5">
            <w:pPr>
              <w:rPr>
                <w:lang w:val="en-US"/>
              </w:rPr>
            </w:pPr>
            <w:r w:rsidRPr="0048196F">
              <w:rPr>
                <w:rFonts w:eastAsia="Times New Roman"/>
                <w:lang w:val="en-US"/>
              </w:rPr>
              <w:t>1</w:t>
            </w:r>
          </w:p>
        </w:tc>
      </w:tr>
      <w:tr w:rsidR="00C926D5" w:rsidRPr="0048196F" w14:paraId="611B4B1F" w14:textId="77777777" w:rsidTr="00C926D5">
        <w:trPr>
          <w:trHeight w:val="340"/>
        </w:trPr>
        <w:tc>
          <w:tcPr>
            <w:tcW w:w="1413" w:type="dxa"/>
            <w:vMerge/>
            <w:hideMark/>
          </w:tcPr>
          <w:p w14:paraId="2510C854" w14:textId="77777777" w:rsidR="00C926D5" w:rsidRPr="0048196F" w:rsidRDefault="00C926D5" w:rsidP="00C926D5">
            <w:pPr>
              <w:rPr>
                <w:lang w:val="en-US"/>
              </w:rPr>
            </w:pPr>
          </w:p>
        </w:tc>
        <w:tc>
          <w:tcPr>
            <w:tcW w:w="5645" w:type="dxa"/>
            <w:noWrap/>
            <w:hideMark/>
          </w:tcPr>
          <w:p w14:paraId="0FE1FD16" w14:textId="77777777" w:rsidR="00C926D5" w:rsidRPr="0048196F" w:rsidRDefault="00C926D5" w:rsidP="00C926D5">
            <w:pPr>
              <w:rPr>
                <w:lang w:val="en-US"/>
              </w:rPr>
            </w:pPr>
            <w:r w:rsidRPr="0048196F">
              <w:rPr>
                <w:rFonts w:eastAsia="Times New Roman"/>
                <w:lang w:val="en-US"/>
              </w:rPr>
              <w:t>Research and development</w:t>
            </w:r>
          </w:p>
        </w:tc>
        <w:tc>
          <w:tcPr>
            <w:tcW w:w="1414" w:type="dxa"/>
            <w:noWrap/>
            <w:hideMark/>
          </w:tcPr>
          <w:p w14:paraId="6BB6DBCD" w14:textId="77777777" w:rsidR="00C926D5" w:rsidRPr="0048196F" w:rsidRDefault="00C926D5" w:rsidP="00C926D5">
            <w:pPr>
              <w:rPr>
                <w:lang w:val="en-US"/>
              </w:rPr>
            </w:pPr>
            <w:r w:rsidRPr="0048196F">
              <w:rPr>
                <w:rFonts w:eastAsia="Times New Roman"/>
                <w:lang w:val="en-US"/>
              </w:rPr>
              <w:t>1</w:t>
            </w:r>
          </w:p>
        </w:tc>
      </w:tr>
      <w:tr w:rsidR="00C926D5" w:rsidRPr="0048196F" w14:paraId="19C3711E" w14:textId="77777777" w:rsidTr="00C926D5">
        <w:trPr>
          <w:trHeight w:val="340"/>
        </w:trPr>
        <w:tc>
          <w:tcPr>
            <w:tcW w:w="1413" w:type="dxa"/>
            <w:vMerge/>
            <w:hideMark/>
          </w:tcPr>
          <w:p w14:paraId="6F1DC3A5" w14:textId="77777777" w:rsidR="00C926D5" w:rsidRPr="0048196F" w:rsidRDefault="00C926D5" w:rsidP="00C926D5">
            <w:pPr>
              <w:rPr>
                <w:lang w:val="en-US"/>
              </w:rPr>
            </w:pPr>
          </w:p>
        </w:tc>
        <w:tc>
          <w:tcPr>
            <w:tcW w:w="5645" w:type="dxa"/>
            <w:noWrap/>
            <w:hideMark/>
          </w:tcPr>
          <w:p w14:paraId="63E7738C" w14:textId="77777777" w:rsidR="00C926D5" w:rsidRPr="0048196F" w:rsidRDefault="00C926D5" w:rsidP="00C926D5">
            <w:pPr>
              <w:rPr>
                <w:lang w:val="en-US"/>
              </w:rPr>
            </w:pPr>
            <w:r w:rsidRPr="0048196F">
              <w:rPr>
                <w:rFonts w:eastAsia="Times New Roman"/>
                <w:lang w:val="en-US"/>
              </w:rPr>
              <w:t>Government Policy and Regulation</w:t>
            </w:r>
          </w:p>
        </w:tc>
        <w:tc>
          <w:tcPr>
            <w:tcW w:w="1414" w:type="dxa"/>
            <w:noWrap/>
            <w:hideMark/>
          </w:tcPr>
          <w:p w14:paraId="41489D32" w14:textId="77777777" w:rsidR="00C926D5" w:rsidRPr="0048196F" w:rsidRDefault="00C926D5" w:rsidP="00C926D5">
            <w:pPr>
              <w:rPr>
                <w:lang w:val="en-US"/>
              </w:rPr>
            </w:pPr>
            <w:r w:rsidRPr="0048196F">
              <w:rPr>
                <w:lang w:val="en-US"/>
              </w:rPr>
              <w:t>1</w:t>
            </w:r>
          </w:p>
        </w:tc>
      </w:tr>
      <w:tr w:rsidR="00C926D5" w:rsidRPr="0048196F" w14:paraId="0E92C7DA" w14:textId="77777777" w:rsidTr="00C926D5">
        <w:trPr>
          <w:trHeight w:val="320"/>
        </w:trPr>
        <w:tc>
          <w:tcPr>
            <w:tcW w:w="1413" w:type="dxa"/>
            <w:vMerge/>
            <w:hideMark/>
          </w:tcPr>
          <w:p w14:paraId="79D7393A" w14:textId="77777777" w:rsidR="00C926D5" w:rsidRPr="0048196F" w:rsidRDefault="00C926D5" w:rsidP="00C926D5">
            <w:pPr>
              <w:rPr>
                <w:lang w:val="en-US"/>
              </w:rPr>
            </w:pPr>
          </w:p>
        </w:tc>
        <w:tc>
          <w:tcPr>
            <w:tcW w:w="5645" w:type="dxa"/>
            <w:noWrap/>
            <w:hideMark/>
          </w:tcPr>
          <w:p w14:paraId="50BB6227" w14:textId="77777777" w:rsidR="00C926D5" w:rsidRPr="0048196F" w:rsidRDefault="00C926D5" w:rsidP="00C926D5">
            <w:pPr>
              <w:rPr>
                <w:lang w:val="en-US"/>
              </w:rPr>
            </w:pPr>
            <w:r w:rsidRPr="0048196F">
              <w:rPr>
                <w:rFonts w:eastAsia="Times New Roman"/>
                <w:lang w:val="en-US"/>
              </w:rPr>
              <w:t>Education &amp; training</w:t>
            </w:r>
          </w:p>
        </w:tc>
        <w:tc>
          <w:tcPr>
            <w:tcW w:w="1414" w:type="dxa"/>
            <w:noWrap/>
            <w:hideMark/>
          </w:tcPr>
          <w:p w14:paraId="3FB14437" w14:textId="77777777" w:rsidR="00C926D5" w:rsidRPr="0048196F" w:rsidRDefault="00C926D5" w:rsidP="00C926D5">
            <w:pPr>
              <w:rPr>
                <w:lang w:val="en-US"/>
              </w:rPr>
            </w:pPr>
            <w:r w:rsidRPr="0048196F">
              <w:rPr>
                <w:lang w:val="en-US"/>
              </w:rPr>
              <w:t>1</w:t>
            </w:r>
          </w:p>
        </w:tc>
      </w:tr>
    </w:tbl>
    <w:p w14:paraId="45C851EC" w14:textId="77777777" w:rsidR="004443B1" w:rsidRPr="0048196F" w:rsidRDefault="004443B1" w:rsidP="00B24322">
      <w:pPr>
        <w:rPr>
          <w:lang w:val="en-US"/>
        </w:rPr>
      </w:pPr>
    </w:p>
    <w:p w14:paraId="5AC50005" w14:textId="77777777" w:rsidR="00E171A9" w:rsidRPr="0048196F" w:rsidRDefault="00E171A9" w:rsidP="004443B1">
      <w:pPr>
        <w:rPr>
          <w:lang w:val="en-US"/>
        </w:rPr>
      </w:pPr>
    </w:p>
    <w:p w14:paraId="7DE82FE0" w14:textId="6ECA9D75" w:rsidR="00E171A9" w:rsidRPr="00E171A9" w:rsidRDefault="00E171A9" w:rsidP="00E171A9">
      <w:pPr>
        <w:pStyle w:val="Caption"/>
        <w:keepNext/>
        <w:rPr>
          <w:lang w:val="en-US"/>
        </w:rPr>
      </w:pPr>
      <w:bookmarkStart w:id="108" w:name="_Toc14347506"/>
      <w:r w:rsidRPr="00E171A9">
        <w:rPr>
          <w:lang w:val="en-US"/>
        </w:rPr>
        <w:t xml:space="preserve">Table </w:t>
      </w:r>
      <w:r w:rsidR="000D0D31">
        <w:rPr>
          <w:lang w:val="en-US"/>
        </w:rPr>
        <w:fldChar w:fldCharType="begin"/>
      </w:r>
      <w:r w:rsidR="000D0D31">
        <w:rPr>
          <w:lang w:val="en-US"/>
        </w:rPr>
        <w:instrText xml:space="preserve"> SEQ Table \* ARABIC </w:instrText>
      </w:r>
      <w:r w:rsidR="000D0D31">
        <w:rPr>
          <w:lang w:val="en-US"/>
        </w:rPr>
        <w:fldChar w:fldCharType="separate"/>
      </w:r>
      <w:r w:rsidR="009F0429">
        <w:rPr>
          <w:noProof/>
          <w:lang w:val="en-US"/>
        </w:rPr>
        <w:t>17</w:t>
      </w:r>
      <w:r w:rsidR="000D0D31">
        <w:rPr>
          <w:lang w:val="en-US"/>
        </w:rPr>
        <w:fldChar w:fldCharType="end"/>
      </w:r>
      <w:r w:rsidRPr="00E171A9">
        <w:rPr>
          <w:lang w:val="en-US"/>
        </w:rPr>
        <w:t>: Original definitions revised from literature</w:t>
      </w:r>
      <w:bookmarkEnd w:id="108"/>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99"/>
        <w:gridCol w:w="3983"/>
      </w:tblGrid>
      <w:tr w:rsidR="00402B4D" w:rsidRPr="0048196F" w14:paraId="6784FABB" w14:textId="77777777" w:rsidTr="00D73D31">
        <w:trPr>
          <w:trHeight w:val="340"/>
          <w:tblHeader/>
        </w:trPr>
        <w:tc>
          <w:tcPr>
            <w:tcW w:w="5954" w:type="dxa"/>
            <w:tcBorders>
              <w:top w:val="nil"/>
              <w:bottom w:val="single" w:sz="4" w:space="0" w:color="auto"/>
            </w:tcBorders>
            <w:hideMark/>
          </w:tcPr>
          <w:p w14:paraId="5DCA37B6" w14:textId="0F64FFCE" w:rsidR="00402B4D" w:rsidRPr="0048196F" w:rsidRDefault="00D73D31" w:rsidP="00E95BE9">
            <w:pPr>
              <w:rPr>
                <w:b/>
                <w:bCs/>
                <w:lang w:val="en-US"/>
              </w:rPr>
            </w:pPr>
            <w:r>
              <w:rPr>
                <w:b/>
                <w:bCs/>
                <w:lang w:val="en-US"/>
              </w:rPr>
              <w:t>Trend</w:t>
            </w:r>
          </w:p>
        </w:tc>
        <w:tc>
          <w:tcPr>
            <w:tcW w:w="2528" w:type="dxa"/>
            <w:tcBorders>
              <w:top w:val="nil"/>
              <w:bottom w:val="single" w:sz="4" w:space="0" w:color="auto"/>
            </w:tcBorders>
            <w:hideMark/>
          </w:tcPr>
          <w:p w14:paraId="31C82D77" w14:textId="77777777" w:rsidR="00402B4D" w:rsidRPr="0048196F" w:rsidRDefault="00402B4D" w:rsidP="00E95BE9">
            <w:pPr>
              <w:rPr>
                <w:b/>
                <w:bCs/>
                <w:lang w:val="en-US"/>
              </w:rPr>
            </w:pPr>
            <w:r w:rsidRPr="0048196F">
              <w:rPr>
                <w:b/>
                <w:bCs/>
                <w:lang w:val="en-US"/>
              </w:rPr>
              <w:t xml:space="preserve">Description                                            </w:t>
            </w:r>
          </w:p>
        </w:tc>
      </w:tr>
      <w:tr w:rsidR="00D73D31" w:rsidRPr="00CC1C1C" w14:paraId="3326374C" w14:textId="77777777" w:rsidTr="00D73D31">
        <w:trPr>
          <w:trHeight w:val="487"/>
        </w:trPr>
        <w:tc>
          <w:tcPr>
            <w:tcW w:w="5954" w:type="dxa"/>
            <w:tcBorders>
              <w:top w:val="single" w:sz="4" w:space="0" w:color="auto"/>
              <w:bottom w:val="double" w:sz="4" w:space="0" w:color="auto"/>
            </w:tcBorders>
          </w:tcPr>
          <w:p w14:paraId="10F39A94" w14:textId="2EBA5905" w:rsidR="00D73D31" w:rsidRPr="00D73D31" w:rsidRDefault="00D73D31" w:rsidP="00E95BE9">
            <w:pPr>
              <w:rPr>
                <w:b/>
                <w:bCs/>
                <w:lang w:val="en-US"/>
              </w:rPr>
            </w:pPr>
            <w:r>
              <w:rPr>
                <w:b/>
                <w:bCs/>
                <w:lang w:val="en-US"/>
              </w:rPr>
              <w:t>Main</w:t>
            </w:r>
            <w:r w:rsidRPr="00D73D31">
              <w:rPr>
                <w:b/>
                <w:bCs/>
                <w:lang w:val="en-US"/>
              </w:rPr>
              <w:t xml:space="preserve"> trends</w:t>
            </w:r>
          </w:p>
        </w:tc>
        <w:tc>
          <w:tcPr>
            <w:tcW w:w="2528" w:type="dxa"/>
            <w:tcBorders>
              <w:top w:val="single" w:sz="4" w:space="0" w:color="auto"/>
              <w:bottom w:val="double" w:sz="4" w:space="0" w:color="auto"/>
            </w:tcBorders>
          </w:tcPr>
          <w:p w14:paraId="6C7DDA22" w14:textId="77777777" w:rsidR="00D73D31" w:rsidRPr="0048196F" w:rsidRDefault="00D73D31" w:rsidP="00E95BE9">
            <w:pPr>
              <w:rPr>
                <w:lang w:val="en-US"/>
              </w:rPr>
            </w:pPr>
          </w:p>
        </w:tc>
      </w:tr>
      <w:tr w:rsidR="00402B4D" w:rsidRPr="00AB4713" w14:paraId="7DDAAFEE" w14:textId="77777777" w:rsidTr="00D73D31">
        <w:trPr>
          <w:trHeight w:val="1020"/>
        </w:trPr>
        <w:tc>
          <w:tcPr>
            <w:tcW w:w="5954" w:type="dxa"/>
            <w:tcBorders>
              <w:top w:val="double" w:sz="4" w:space="0" w:color="auto"/>
            </w:tcBorders>
            <w:hideMark/>
          </w:tcPr>
          <w:p w14:paraId="7393C33A" w14:textId="77777777" w:rsidR="00402B4D" w:rsidRPr="0048196F" w:rsidRDefault="00402B4D" w:rsidP="00E95BE9">
            <w:pPr>
              <w:rPr>
                <w:lang w:val="en-US"/>
              </w:rPr>
            </w:pPr>
            <w:r w:rsidRPr="0048196F">
              <w:rPr>
                <w:lang w:val="en-US"/>
              </w:rPr>
              <w:t>Agroecology</w:t>
            </w:r>
          </w:p>
        </w:tc>
        <w:tc>
          <w:tcPr>
            <w:tcW w:w="2528" w:type="dxa"/>
            <w:tcBorders>
              <w:top w:val="double" w:sz="4" w:space="0" w:color="auto"/>
            </w:tcBorders>
            <w:hideMark/>
          </w:tcPr>
          <w:p w14:paraId="06B58C79" w14:textId="77777777" w:rsidR="00402B4D" w:rsidRPr="0048196F" w:rsidRDefault="00402B4D" w:rsidP="00E95BE9">
            <w:pPr>
              <w:rPr>
                <w:lang w:val="en-US"/>
              </w:rPr>
            </w:pPr>
            <w:r w:rsidRPr="0048196F">
              <w:rPr>
                <w:lang w:val="en-US"/>
              </w:rPr>
              <w:t>Agroecology is the marriage of agriculture and ecology, this holistic approach addresses the needs for a sustainable and fair food system. </w:t>
            </w:r>
          </w:p>
        </w:tc>
      </w:tr>
      <w:tr w:rsidR="00402B4D" w:rsidRPr="00AB4713" w14:paraId="569DE674" w14:textId="77777777" w:rsidTr="00E171A9">
        <w:trPr>
          <w:trHeight w:val="600"/>
        </w:trPr>
        <w:tc>
          <w:tcPr>
            <w:tcW w:w="5954" w:type="dxa"/>
            <w:hideMark/>
          </w:tcPr>
          <w:p w14:paraId="499C4395" w14:textId="77777777" w:rsidR="00402B4D" w:rsidRPr="0048196F" w:rsidRDefault="00402B4D" w:rsidP="00E95BE9">
            <w:pPr>
              <w:rPr>
                <w:lang w:val="en-US"/>
              </w:rPr>
            </w:pPr>
            <w:r w:rsidRPr="0048196F">
              <w:rPr>
                <w:lang w:val="en-US"/>
              </w:rPr>
              <w:t>Business Model Innovation</w:t>
            </w:r>
          </w:p>
        </w:tc>
        <w:tc>
          <w:tcPr>
            <w:tcW w:w="2528" w:type="dxa"/>
            <w:hideMark/>
          </w:tcPr>
          <w:p w14:paraId="0AD98A5E" w14:textId="0F29CD49" w:rsidR="00402B4D" w:rsidRPr="0048196F" w:rsidRDefault="00402B4D" w:rsidP="00E95BE9">
            <w:pPr>
              <w:rPr>
                <w:lang w:val="en-US"/>
              </w:rPr>
            </w:pPr>
            <w:r w:rsidRPr="0048196F">
              <w:rPr>
                <w:lang w:val="en-US"/>
              </w:rPr>
              <w:t xml:space="preserve">New business models are </w:t>
            </w:r>
            <w:r w:rsidR="00593C1F" w:rsidRPr="0048196F">
              <w:rPr>
                <w:lang w:val="en-US"/>
              </w:rPr>
              <w:t>non-technological</w:t>
            </w:r>
            <w:r w:rsidRPr="0048196F">
              <w:rPr>
                <w:lang w:val="en-US"/>
              </w:rPr>
              <w:t xml:space="preserve"> innovations changing how value is created shared and captured.</w:t>
            </w:r>
          </w:p>
        </w:tc>
      </w:tr>
      <w:tr w:rsidR="00402B4D" w:rsidRPr="00AB4713" w14:paraId="38A637BD" w14:textId="77777777" w:rsidTr="00E171A9">
        <w:trPr>
          <w:trHeight w:val="1020"/>
        </w:trPr>
        <w:tc>
          <w:tcPr>
            <w:tcW w:w="5954" w:type="dxa"/>
            <w:hideMark/>
          </w:tcPr>
          <w:p w14:paraId="029ED3B9" w14:textId="77777777" w:rsidR="00402B4D" w:rsidRPr="0048196F" w:rsidRDefault="00402B4D" w:rsidP="00E95BE9">
            <w:pPr>
              <w:rPr>
                <w:lang w:val="en-US"/>
              </w:rPr>
            </w:pPr>
            <w:r w:rsidRPr="0048196F">
              <w:rPr>
                <w:lang w:val="en-US"/>
              </w:rPr>
              <w:t>Circular Economy</w:t>
            </w:r>
          </w:p>
        </w:tc>
        <w:tc>
          <w:tcPr>
            <w:tcW w:w="2528" w:type="dxa"/>
            <w:hideMark/>
          </w:tcPr>
          <w:p w14:paraId="222D230C" w14:textId="77777777" w:rsidR="00402B4D" w:rsidRPr="0048196F" w:rsidRDefault="00402B4D" w:rsidP="00E95BE9">
            <w:pPr>
              <w:rPr>
                <w:lang w:val="en-US"/>
              </w:rPr>
            </w:pPr>
            <w:r w:rsidRPr="0048196F">
              <w:rPr>
                <w:lang w:val="en-US"/>
              </w:rPr>
              <w:t>The value of resources is retained as long as possible by keeping products and materials within the economy through sharing, reuse, repair and recycling.</w:t>
            </w:r>
          </w:p>
        </w:tc>
      </w:tr>
      <w:tr w:rsidR="00402B4D" w:rsidRPr="00AB4713" w14:paraId="6CAA3CA5" w14:textId="77777777" w:rsidTr="00E171A9">
        <w:trPr>
          <w:trHeight w:val="600"/>
        </w:trPr>
        <w:tc>
          <w:tcPr>
            <w:tcW w:w="5954" w:type="dxa"/>
            <w:hideMark/>
          </w:tcPr>
          <w:p w14:paraId="5BB516DD" w14:textId="77777777" w:rsidR="00402B4D" w:rsidRPr="0048196F" w:rsidRDefault="00402B4D" w:rsidP="00E95BE9">
            <w:pPr>
              <w:rPr>
                <w:lang w:val="en-US"/>
              </w:rPr>
            </w:pPr>
            <w:r w:rsidRPr="0048196F">
              <w:rPr>
                <w:lang w:val="en-US"/>
              </w:rPr>
              <w:t>Consumer Choice</w:t>
            </w:r>
          </w:p>
        </w:tc>
        <w:tc>
          <w:tcPr>
            <w:tcW w:w="2528" w:type="dxa"/>
            <w:hideMark/>
          </w:tcPr>
          <w:p w14:paraId="4D3B07E2" w14:textId="77777777" w:rsidR="00402B4D" w:rsidRPr="0048196F" w:rsidRDefault="00402B4D" w:rsidP="00E95BE9">
            <w:pPr>
              <w:rPr>
                <w:lang w:val="en-US"/>
              </w:rPr>
            </w:pPr>
            <w:r w:rsidRPr="0048196F">
              <w:rPr>
                <w:lang w:val="en-US"/>
              </w:rPr>
              <w:t>Consumers buy what gives them the greatest satisfaction on a variety of dimensions, while keeping within their budget. </w:t>
            </w:r>
          </w:p>
        </w:tc>
      </w:tr>
      <w:tr w:rsidR="00402B4D" w:rsidRPr="00AB4713" w14:paraId="5D6B4104" w14:textId="77777777" w:rsidTr="00E171A9">
        <w:trPr>
          <w:trHeight w:val="900"/>
        </w:trPr>
        <w:tc>
          <w:tcPr>
            <w:tcW w:w="5954" w:type="dxa"/>
            <w:hideMark/>
          </w:tcPr>
          <w:p w14:paraId="59E57416" w14:textId="77777777" w:rsidR="00402B4D" w:rsidRPr="0048196F" w:rsidRDefault="00402B4D" w:rsidP="00E95BE9">
            <w:pPr>
              <w:rPr>
                <w:lang w:val="en-US"/>
              </w:rPr>
            </w:pPr>
            <w:r w:rsidRPr="0048196F">
              <w:rPr>
                <w:lang w:val="en-US"/>
              </w:rPr>
              <w:t>Data Economy</w:t>
            </w:r>
          </w:p>
        </w:tc>
        <w:tc>
          <w:tcPr>
            <w:tcW w:w="2528" w:type="dxa"/>
            <w:hideMark/>
          </w:tcPr>
          <w:p w14:paraId="52A34A6E" w14:textId="77777777" w:rsidR="00402B4D" w:rsidRPr="0048196F" w:rsidRDefault="00402B4D" w:rsidP="00E95BE9">
            <w:pPr>
              <w:rPr>
                <w:lang w:val="en-US"/>
              </w:rPr>
            </w:pPr>
            <w:r w:rsidRPr="0048196F">
              <w:rPr>
                <w:lang w:val="en-US"/>
              </w:rPr>
              <w:t>Data has become a strategic asset that can be sold and exchanged, leading to a network of producers, distributors and consumers of data. </w:t>
            </w:r>
          </w:p>
        </w:tc>
      </w:tr>
      <w:tr w:rsidR="00402B4D" w:rsidRPr="00AB4713" w14:paraId="1C7F038C" w14:textId="77777777" w:rsidTr="00E171A9">
        <w:trPr>
          <w:trHeight w:val="900"/>
        </w:trPr>
        <w:tc>
          <w:tcPr>
            <w:tcW w:w="5954" w:type="dxa"/>
            <w:hideMark/>
          </w:tcPr>
          <w:p w14:paraId="76AA153C" w14:textId="77777777" w:rsidR="00402B4D" w:rsidRPr="0048196F" w:rsidRDefault="00402B4D" w:rsidP="00E95BE9">
            <w:pPr>
              <w:rPr>
                <w:lang w:val="en-US"/>
              </w:rPr>
            </w:pPr>
            <w:r w:rsidRPr="0048196F">
              <w:rPr>
                <w:lang w:val="en-US"/>
              </w:rPr>
              <w:t>Digital Economy</w:t>
            </w:r>
          </w:p>
        </w:tc>
        <w:tc>
          <w:tcPr>
            <w:tcW w:w="2528" w:type="dxa"/>
            <w:hideMark/>
          </w:tcPr>
          <w:p w14:paraId="75FD9661" w14:textId="77777777" w:rsidR="00402B4D" w:rsidRPr="0048196F" w:rsidRDefault="00402B4D" w:rsidP="00E95BE9">
            <w:pPr>
              <w:rPr>
                <w:lang w:val="en-US"/>
              </w:rPr>
            </w:pPr>
            <w:r w:rsidRPr="0048196F">
              <w:rPr>
                <w:lang w:val="en-US"/>
              </w:rPr>
              <w:t>A digital transformation leads to innovation, growth and social prosperity by the interconnectedness of people, organizations and machines. </w:t>
            </w:r>
          </w:p>
        </w:tc>
      </w:tr>
      <w:tr w:rsidR="00402B4D" w:rsidRPr="00AB4713" w14:paraId="5361C827" w14:textId="77777777" w:rsidTr="00E171A9">
        <w:trPr>
          <w:trHeight w:val="900"/>
        </w:trPr>
        <w:tc>
          <w:tcPr>
            <w:tcW w:w="5954" w:type="dxa"/>
            <w:hideMark/>
          </w:tcPr>
          <w:p w14:paraId="4FB7D286" w14:textId="77777777" w:rsidR="00402B4D" w:rsidRPr="0048196F" w:rsidRDefault="00402B4D" w:rsidP="00E95BE9">
            <w:pPr>
              <w:rPr>
                <w:lang w:val="en-US"/>
              </w:rPr>
            </w:pPr>
            <w:r w:rsidRPr="0048196F">
              <w:rPr>
                <w:lang w:val="en-US"/>
              </w:rPr>
              <w:t>On Demand Economy</w:t>
            </w:r>
          </w:p>
        </w:tc>
        <w:tc>
          <w:tcPr>
            <w:tcW w:w="2528" w:type="dxa"/>
            <w:hideMark/>
          </w:tcPr>
          <w:p w14:paraId="5A142F27" w14:textId="77777777" w:rsidR="00402B4D" w:rsidRPr="0048196F" w:rsidRDefault="00402B4D" w:rsidP="00E95BE9">
            <w:pPr>
              <w:rPr>
                <w:lang w:val="en-US"/>
              </w:rPr>
            </w:pPr>
            <w:r w:rsidRPr="0048196F">
              <w:rPr>
                <w:lang w:val="en-US"/>
              </w:rPr>
              <w:t>The marketplace has changed by workplace flexibility and companies fulfilling demand by the immediate provisioning of goods and services. </w:t>
            </w:r>
          </w:p>
        </w:tc>
      </w:tr>
      <w:tr w:rsidR="00402B4D" w:rsidRPr="00AB4713" w14:paraId="5C2ACD27" w14:textId="77777777" w:rsidTr="00E171A9">
        <w:trPr>
          <w:trHeight w:val="900"/>
        </w:trPr>
        <w:tc>
          <w:tcPr>
            <w:tcW w:w="5954" w:type="dxa"/>
            <w:hideMark/>
          </w:tcPr>
          <w:p w14:paraId="694869F7" w14:textId="77777777" w:rsidR="00402B4D" w:rsidRPr="0048196F" w:rsidRDefault="00402B4D" w:rsidP="00E95BE9">
            <w:pPr>
              <w:rPr>
                <w:lang w:val="en-US"/>
              </w:rPr>
            </w:pPr>
            <w:r w:rsidRPr="0048196F">
              <w:rPr>
                <w:lang w:val="en-US"/>
              </w:rPr>
              <w:t>Sharing Economy</w:t>
            </w:r>
          </w:p>
        </w:tc>
        <w:tc>
          <w:tcPr>
            <w:tcW w:w="2528" w:type="dxa"/>
            <w:hideMark/>
          </w:tcPr>
          <w:p w14:paraId="1A1614DB" w14:textId="77777777" w:rsidR="00402B4D" w:rsidRPr="0048196F" w:rsidRDefault="00402B4D" w:rsidP="00E95BE9">
            <w:pPr>
              <w:rPr>
                <w:lang w:val="en-US"/>
              </w:rPr>
            </w:pPr>
            <w:r w:rsidRPr="0048196F">
              <w:rPr>
                <w:lang w:val="en-US"/>
              </w:rPr>
              <w:t>Digital platforms make underutilized assets accessible online. This allows access to, rather than ownership of tangible and intangible assets.</w:t>
            </w:r>
          </w:p>
        </w:tc>
      </w:tr>
      <w:tr w:rsidR="00402B4D" w:rsidRPr="00AB4713" w14:paraId="63E26BED" w14:textId="77777777" w:rsidTr="00E171A9">
        <w:trPr>
          <w:trHeight w:val="900"/>
        </w:trPr>
        <w:tc>
          <w:tcPr>
            <w:tcW w:w="5954" w:type="dxa"/>
            <w:hideMark/>
          </w:tcPr>
          <w:p w14:paraId="710D48D3" w14:textId="77777777" w:rsidR="00402B4D" w:rsidRPr="0048196F" w:rsidRDefault="00402B4D" w:rsidP="00E95BE9">
            <w:pPr>
              <w:rPr>
                <w:lang w:val="en-US"/>
              </w:rPr>
            </w:pPr>
            <w:r w:rsidRPr="0048196F">
              <w:rPr>
                <w:lang w:val="en-US"/>
              </w:rPr>
              <w:t>Social Well Being</w:t>
            </w:r>
          </w:p>
        </w:tc>
        <w:tc>
          <w:tcPr>
            <w:tcW w:w="2528" w:type="dxa"/>
            <w:hideMark/>
          </w:tcPr>
          <w:p w14:paraId="25AFC9EE" w14:textId="77777777" w:rsidR="00402B4D" w:rsidRPr="0048196F" w:rsidRDefault="00402B4D" w:rsidP="00E95BE9">
            <w:pPr>
              <w:rPr>
                <w:lang w:val="en-US"/>
              </w:rPr>
            </w:pPr>
            <w:r w:rsidRPr="0048196F">
              <w:rPr>
                <w:lang w:val="en-US"/>
              </w:rPr>
              <w:t>People are mutually dependent and require relationships and stability. This translates to topics such as animal welfare and social inclusion.</w:t>
            </w:r>
          </w:p>
        </w:tc>
      </w:tr>
      <w:tr w:rsidR="00402B4D" w:rsidRPr="00AB4713" w14:paraId="7E7A429E" w14:textId="77777777" w:rsidTr="00E171A9">
        <w:trPr>
          <w:trHeight w:val="1020"/>
        </w:trPr>
        <w:tc>
          <w:tcPr>
            <w:tcW w:w="5954" w:type="dxa"/>
            <w:hideMark/>
          </w:tcPr>
          <w:p w14:paraId="00535358" w14:textId="77777777" w:rsidR="00402B4D" w:rsidRPr="0048196F" w:rsidRDefault="00402B4D" w:rsidP="00E95BE9">
            <w:pPr>
              <w:rPr>
                <w:lang w:val="en-US"/>
              </w:rPr>
            </w:pPr>
            <w:r w:rsidRPr="0048196F">
              <w:rPr>
                <w:lang w:val="en-US"/>
              </w:rPr>
              <w:t>Sustainable Intensification</w:t>
            </w:r>
          </w:p>
        </w:tc>
        <w:tc>
          <w:tcPr>
            <w:tcW w:w="2528" w:type="dxa"/>
            <w:hideMark/>
          </w:tcPr>
          <w:p w14:paraId="17B10E32" w14:textId="77777777" w:rsidR="00402B4D" w:rsidRPr="0048196F" w:rsidRDefault="00402B4D" w:rsidP="00E95BE9">
            <w:pPr>
              <w:rPr>
                <w:lang w:val="en-US"/>
              </w:rPr>
            </w:pPr>
            <w:r w:rsidRPr="0048196F">
              <w:rPr>
                <w:lang w:val="en-US"/>
              </w:rPr>
              <w:t>Efficiency gains are required while conserving environmental resources and creating ecosystems resilient to climate change and market volatility. </w:t>
            </w:r>
          </w:p>
        </w:tc>
      </w:tr>
      <w:tr w:rsidR="00402B4D" w:rsidRPr="0048196F" w14:paraId="4EFA4CB8" w14:textId="77777777" w:rsidTr="00E171A9">
        <w:trPr>
          <w:trHeight w:val="340"/>
        </w:trPr>
        <w:tc>
          <w:tcPr>
            <w:tcW w:w="5954" w:type="dxa"/>
            <w:hideMark/>
          </w:tcPr>
          <w:p w14:paraId="335AA749" w14:textId="21E44C2F" w:rsidR="00402B4D" w:rsidRPr="0048196F" w:rsidRDefault="00D73D31" w:rsidP="00E95BE9">
            <w:pPr>
              <w:rPr>
                <w:b/>
                <w:bCs/>
                <w:lang w:val="en-US"/>
              </w:rPr>
            </w:pPr>
            <w:r>
              <w:rPr>
                <w:b/>
                <w:bCs/>
                <w:lang w:val="en-US"/>
              </w:rPr>
              <w:t xml:space="preserve">Sub </w:t>
            </w:r>
            <w:r w:rsidR="00402B4D" w:rsidRPr="0048196F">
              <w:rPr>
                <w:b/>
                <w:bCs/>
                <w:lang w:val="en-US"/>
              </w:rPr>
              <w:t>Trends</w:t>
            </w:r>
          </w:p>
        </w:tc>
        <w:tc>
          <w:tcPr>
            <w:tcW w:w="2528" w:type="dxa"/>
            <w:hideMark/>
          </w:tcPr>
          <w:p w14:paraId="37D05930" w14:textId="77777777" w:rsidR="00402B4D" w:rsidRPr="0048196F" w:rsidRDefault="00402B4D" w:rsidP="00E95BE9">
            <w:pPr>
              <w:rPr>
                <w:b/>
                <w:bCs/>
                <w:lang w:val="en-US"/>
              </w:rPr>
            </w:pPr>
          </w:p>
        </w:tc>
      </w:tr>
      <w:tr w:rsidR="00402B4D" w:rsidRPr="00AB4713" w14:paraId="4DFFD010" w14:textId="77777777" w:rsidTr="00E171A9">
        <w:trPr>
          <w:trHeight w:val="900"/>
        </w:trPr>
        <w:tc>
          <w:tcPr>
            <w:tcW w:w="5954" w:type="dxa"/>
            <w:hideMark/>
          </w:tcPr>
          <w:p w14:paraId="735E1737" w14:textId="77777777" w:rsidR="00402B4D" w:rsidRPr="0048196F" w:rsidRDefault="00402B4D" w:rsidP="00E95BE9">
            <w:pPr>
              <w:rPr>
                <w:lang w:val="en-US"/>
              </w:rPr>
            </w:pPr>
            <w:r w:rsidRPr="0048196F">
              <w:rPr>
                <w:lang w:val="en-US"/>
              </w:rPr>
              <w:t>Act Local: General</w:t>
            </w:r>
          </w:p>
        </w:tc>
        <w:tc>
          <w:tcPr>
            <w:tcW w:w="2528" w:type="dxa"/>
            <w:hideMark/>
          </w:tcPr>
          <w:p w14:paraId="7BAD9A27" w14:textId="77777777" w:rsidR="00402B4D" w:rsidRPr="0048196F" w:rsidRDefault="00402B4D" w:rsidP="00E95BE9">
            <w:pPr>
              <w:rPr>
                <w:lang w:val="en-US"/>
              </w:rPr>
            </w:pPr>
            <w:r w:rsidRPr="0048196F">
              <w:rPr>
                <w:lang w:val="en-US"/>
              </w:rPr>
              <w:t>To solve global problems action is needed at the local level. This is part of a new mindset that increasingly re-appreciates the local environment.</w:t>
            </w:r>
          </w:p>
        </w:tc>
      </w:tr>
      <w:tr w:rsidR="00402B4D" w:rsidRPr="00AB4713" w14:paraId="5B81A0C1" w14:textId="77777777" w:rsidTr="00E171A9">
        <w:trPr>
          <w:trHeight w:val="600"/>
        </w:trPr>
        <w:tc>
          <w:tcPr>
            <w:tcW w:w="5954" w:type="dxa"/>
            <w:hideMark/>
          </w:tcPr>
          <w:p w14:paraId="69DDE66D" w14:textId="77777777" w:rsidR="00402B4D" w:rsidRPr="0048196F" w:rsidRDefault="00402B4D" w:rsidP="00E95BE9">
            <w:pPr>
              <w:rPr>
                <w:lang w:val="en-US"/>
              </w:rPr>
            </w:pPr>
            <w:r w:rsidRPr="0048196F">
              <w:rPr>
                <w:lang w:val="en-US"/>
              </w:rPr>
              <w:t>Act Local: Businesses</w:t>
            </w:r>
          </w:p>
        </w:tc>
        <w:tc>
          <w:tcPr>
            <w:tcW w:w="2528" w:type="dxa"/>
            <w:hideMark/>
          </w:tcPr>
          <w:p w14:paraId="00DDE407" w14:textId="77777777" w:rsidR="00402B4D" w:rsidRPr="0048196F" w:rsidRDefault="00402B4D" w:rsidP="00E95BE9">
            <w:pPr>
              <w:rPr>
                <w:lang w:val="en-US"/>
              </w:rPr>
            </w:pPr>
            <w:r w:rsidRPr="0048196F">
              <w:rPr>
                <w:lang w:val="en-US"/>
              </w:rPr>
              <w:t>Within regions stakeholders organize to foster local innovation, attract investment and strengthen communication. </w:t>
            </w:r>
          </w:p>
        </w:tc>
      </w:tr>
      <w:tr w:rsidR="00402B4D" w:rsidRPr="00AB4713" w14:paraId="49DD1662" w14:textId="77777777" w:rsidTr="00E171A9">
        <w:trPr>
          <w:trHeight w:val="600"/>
        </w:trPr>
        <w:tc>
          <w:tcPr>
            <w:tcW w:w="5954" w:type="dxa"/>
            <w:hideMark/>
          </w:tcPr>
          <w:p w14:paraId="1700FF82" w14:textId="77777777" w:rsidR="00402B4D" w:rsidRPr="0048196F" w:rsidRDefault="00402B4D" w:rsidP="00E95BE9">
            <w:pPr>
              <w:rPr>
                <w:lang w:val="en-US"/>
              </w:rPr>
            </w:pPr>
            <w:r w:rsidRPr="0048196F">
              <w:rPr>
                <w:lang w:val="en-US"/>
              </w:rPr>
              <w:t>Act Local: Consumers</w:t>
            </w:r>
          </w:p>
        </w:tc>
        <w:tc>
          <w:tcPr>
            <w:tcW w:w="2528" w:type="dxa"/>
            <w:hideMark/>
          </w:tcPr>
          <w:p w14:paraId="1C56D2AE" w14:textId="77777777" w:rsidR="00402B4D" w:rsidRPr="0048196F" w:rsidRDefault="00402B4D" w:rsidP="00E95BE9">
            <w:pPr>
              <w:rPr>
                <w:lang w:val="en-US"/>
              </w:rPr>
            </w:pPr>
            <w:r w:rsidRPr="0048196F">
              <w:rPr>
                <w:lang w:val="en-US"/>
              </w:rPr>
              <w:t>Consumers are increasingly interested in field to table initiatives and concepts such as the 100 mile diet. </w:t>
            </w:r>
          </w:p>
        </w:tc>
      </w:tr>
      <w:tr w:rsidR="00402B4D" w:rsidRPr="00AB4713" w14:paraId="783FDE72" w14:textId="77777777" w:rsidTr="00E171A9">
        <w:trPr>
          <w:trHeight w:val="600"/>
        </w:trPr>
        <w:tc>
          <w:tcPr>
            <w:tcW w:w="5954" w:type="dxa"/>
            <w:hideMark/>
          </w:tcPr>
          <w:p w14:paraId="41B077C8" w14:textId="77777777" w:rsidR="00402B4D" w:rsidRPr="0048196F" w:rsidRDefault="00402B4D" w:rsidP="00E95BE9">
            <w:pPr>
              <w:rPr>
                <w:lang w:val="en-US"/>
              </w:rPr>
            </w:pPr>
            <w:r w:rsidRPr="0048196F">
              <w:rPr>
                <w:lang w:val="en-US"/>
              </w:rPr>
              <w:t>E-Commerce</w:t>
            </w:r>
          </w:p>
        </w:tc>
        <w:tc>
          <w:tcPr>
            <w:tcW w:w="2528" w:type="dxa"/>
            <w:hideMark/>
          </w:tcPr>
          <w:p w14:paraId="29F006C1" w14:textId="77777777" w:rsidR="00402B4D" w:rsidRPr="0048196F" w:rsidRDefault="00402B4D" w:rsidP="00E95BE9">
            <w:pPr>
              <w:rPr>
                <w:lang w:val="en-US"/>
              </w:rPr>
            </w:pPr>
            <w:r w:rsidRPr="0048196F">
              <w:rPr>
                <w:lang w:val="en-US"/>
              </w:rPr>
              <w:t>Market access for smallholders to disintermediate parties from the supply chain and remove information asymmetry.  </w:t>
            </w:r>
          </w:p>
        </w:tc>
      </w:tr>
      <w:tr w:rsidR="00402B4D" w:rsidRPr="00AB4713" w14:paraId="7594950A" w14:textId="77777777" w:rsidTr="00E171A9">
        <w:trPr>
          <w:trHeight w:val="900"/>
        </w:trPr>
        <w:tc>
          <w:tcPr>
            <w:tcW w:w="5954" w:type="dxa"/>
            <w:hideMark/>
          </w:tcPr>
          <w:p w14:paraId="4545AE6E" w14:textId="77777777" w:rsidR="00402B4D" w:rsidRPr="0048196F" w:rsidRDefault="00402B4D" w:rsidP="00E95BE9">
            <w:pPr>
              <w:rPr>
                <w:lang w:val="en-US"/>
              </w:rPr>
            </w:pPr>
            <w:r w:rsidRPr="0048196F">
              <w:rPr>
                <w:lang w:val="en-US"/>
              </w:rPr>
              <w:t>Bio Economy</w:t>
            </w:r>
          </w:p>
        </w:tc>
        <w:tc>
          <w:tcPr>
            <w:tcW w:w="2528" w:type="dxa"/>
            <w:hideMark/>
          </w:tcPr>
          <w:p w14:paraId="1D4184E9" w14:textId="77777777" w:rsidR="00402B4D" w:rsidRPr="0048196F" w:rsidRDefault="00402B4D" w:rsidP="00E95BE9">
            <w:pPr>
              <w:rPr>
                <w:lang w:val="en-US"/>
              </w:rPr>
            </w:pPr>
            <w:r w:rsidRPr="0048196F">
              <w:rPr>
                <w:lang w:val="en-US"/>
              </w:rPr>
              <w:t>The invention, development, production and use of renewable biomass across all sectors to replace fossil fuels and produce other biobased products.</w:t>
            </w:r>
          </w:p>
        </w:tc>
      </w:tr>
      <w:tr w:rsidR="00402B4D" w:rsidRPr="00AB4713" w14:paraId="186C65FD" w14:textId="77777777" w:rsidTr="00E171A9">
        <w:trPr>
          <w:trHeight w:val="600"/>
        </w:trPr>
        <w:tc>
          <w:tcPr>
            <w:tcW w:w="5954" w:type="dxa"/>
            <w:hideMark/>
          </w:tcPr>
          <w:p w14:paraId="60269BE3" w14:textId="77777777" w:rsidR="00402B4D" w:rsidRPr="0048196F" w:rsidRDefault="00402B4D" w:rsidP="00E95BE9">
            <w:pPr>
              <w:rPr>
                <w:lang w:val="en-US"/>
              </w:rPr>
            </w:pPr>
            <w:r w:rsidRPr="0048196F">
              <w:rPr>
                <w:lang w:val="en-US"/>
              </w:rPr>
              <w:t>Blockchain</w:t>
            </w:r>
          </w:p>
        </w:tc>
        <w:tc>
          <w:tcPr>
            <w:tcW w:w="2528" w:type="dxa"/>
            <w:hideMark/>
          </w:tcPr>
          <w:p w14:paraId="44374C06" w14:textId="77777777" w:rsidR="00402B4D" w:rsidRPr="0048196F" w:rsidRDefault="00402B4D" w:rsidP="00E95BE9">
            <w:pPr>
              <w:rPr>
                <w:lang w:val="en-US"/>
              </w:rPr>
            </w:pPr>
            <w:r w:rsidRPr="0048196F">
              <w:rPr>
                <w:lang w:val="en-US"/>
              </w:rPr>
              <w:t>The permanence of records has the potential to facilitate transparency and increase trust.</w:t>
            </w:r>
          </w:p>
        </w:tc>
      </w:tr>
      <w:tr w:rsidR="00402B4D" w:rsidRPr="00AB4713" w14:paraId="42F39AAA" w14:textId="77777777" w:rsidTr="00E171A9">
        <w:trPr>
          <w:trHeight w:val="900"/>
        </w:trPr>
        <w:tc>
          <w:tcPr>
            <w:tcW w:w="5954" w:type="dxa"/>
            <w:hideMark/>
          </w:tcPr>
          <w:p w14:paraId="11914C4B" w14:textId="77777777" w:rsidR="00402B4D" w:rsidRPr="0048196F" w:rsidRDefault="00402B4D" w:rsidP="00E95BE9">
            <w:pPr>
              <w:rPr>
                <w:lang w:val="en-US"/>
              </w:rPr>
            </w:pPr>
            <w:r w:rsidRPr="0048196F">
              <w:rPr>
                <w:lang w:val="en-US"/>
              </w:rPr>
              <w:t>Certification</w:t>
            </w:r>
          </w:p>
        </w:tc>
        <w:tc>
          <w:tcPr>
            <w:tcW w:w="2528" w:type="dxa"/>
            <w:hideMark/>
          </w:tcPr>
          <w:p w14:paraId="0E288143" w14:textId="77777777" w:rsidR="00402B4D" w:rsidRPr="0048196F" w:rsidRDefault="00402B4D" w:rsidP="00E95BE9">
            <w:pPr>
              <w:rPr>
                <w:lang w:val="en-US"/>
              </w:rPr>
            </w:pPr>
            <w:r w:rsidRPr="0048196F">
              <w:rPr>
                <w:lang w:val="en-US"/>
              </w:rPr>
              <w:t>Certification is a process whereby an independent third party assesses the quality and production against a set of requirements. </w:t>
            </w:r>
          </w:p>
        </w:tc>
      </w:tr>
      <w:tr w:rsidR="00402B4D" w:rsidRPr="00AB4713" w14:paraId="558CE947" w14:textId="77777777" w:rsidTr="00E171A9">
        <w:trPr>
          <w:trHeight w:val="900"/>
        </w:trPr>
        <w:tc>
          <w:tcPr>
            <w:tcW w:w="5954" w:type="dxa"/>
            <w:hideMark/>
          </w:tcPr>
          <w:p w14:paraId="168155DC" w14:textId="77777777" w:rsidR="00402B4D" w:rsidRPr="0048196F" w:rsidRDefault="00402B4D" w:rsidP="00E95BE9">
            <w:pPr>
              <w:rPr>
                <w:lang w:val="en-US"/>
              </w:rPr>
            </w:pPr>
            <w:r w:rsidRPr="0048196F">
              <w:rPr>
                <w:lang w:val="en-US"/>
              </w:rPr>
              <w:t>Co-creation</w:t>
            </w:r>
          </w:p>
        </w:tc>
        <w:tc>
          <w:tcPr>
            <w:tcW w:w="2528" w:type="dxa"/>
            <w:hideMark/>
          </w:tcPr>
          <w:p w14:paraId="7AC79430" w14:textId="77777777" w:rsidR="00402B4D" w:rsidRPr="0048196F" w:rsidRDefault="00402B4D" w:rsidP="00E95BE9">
            <w:pPr>
              <w:rPr>
                <w:lang w:val="en-US"/>
              </w:rPr>
            </w:pPr>
            <w:r w:rsidRPr="0048196F">
              <w:rPr>
                <w:lang w:val="en-US"/>
              </w:rPr>
              <w:t>Actors from different environments such as science and practice, complement each other to develop appropriate solutions. </w:t>
            </w:r>
          </w:p>
        </w:tc>
      </w:tr>
      <w:tr w:rsidR="00402B4D" w:rsidRPr="00AB4713" w14:paraId="045F4A22" w14:textId="77777777" w:rsidTr="00E171A9">
        <w:trPr>
          <w:trHeight w:val="900"/>
        </w:trPr>
        <w:tc>
          <w:tcPr>
            <w:tcW w:w="5954" w:type="dxa"/>
            <w:hideMark/>
          </w:tcPr>
          <w:p w14:paraId="19DE1BBE" w14:textId="77777777" w:rsidR="00402B4D" w:rsidRPr="0048196F" w:rsidRDefault="00402B4D" w:rsidP="00E95BE9">
            <w:pPr>
              <w:rPr>
                <w:lang w:val="en-US"/>
              </w:rPr>
            </w:pPr>
            <w:r w:rsidRPr="0048196F">
              <w:rPr>
                <w:lang w:val="en-US"/>
              </w:rPr>
              <w:t>CrowdSourcing</w:t>
            </w:r>
          </w:p>
        </w:tc>
        <w:tc>
          <w:tcPr>
            <w:tcW w:w="2528" w:type="dxa"/>
            <w:hideMark/>
          </w:tcPr>
          <w:p w14:paraId="78DAFE6B" w14:textId="77777777" w:rsidR="00402B4D" w:rsidRPr="0048196F" w:rsidRDefault="00402B4D" w:rsidP="00E95BE9">
            <w:pPr>
              <w:rPr>
                <w:lang w:val="en-US"/>
              </w:rPr>
            </w:pPr>
            <w:r w:rsidRPr="0048196F">
              <w:rPr>
                <w:lang w:val="en-US"/>
              </w:rPr>
              <w:t>Gathering information or resources from an undefined network of people to harness skills, collective knowledge and wisdom of the crowds. </w:t>
            </w:r>
          </w:p>
        </w:tc>
      </w:tr>
      <w:tr w:rsidR="00402B4D" w:rsidRPr="00AB4713" w14:paraId="07135B7C" w14:textId="77777777" w:rsidTr="00E171A9">
        <w:trPr>
          <w:trHeight w:val="600"/>
        </w:trPr>
        <w:tc>
          <w:tcPr>
            <w:tcW w:w="5954" w:type="dxa"/>
            <w:hideMark/>
          </w:tcPr>
          <w:p w14:paraId="56ABA62F" w14:textId="77777777" w:rsidR="00402B4D" w:rsidRPr="0048196F" w:rsidRDefault="00402B4D" w:rsidP="00E95BE9">
            <w:pPr>
              <w:rPr>
                <w:lang w:val="en-US"/>
              </w:rPr>
            </w:pPr>
            <w:r w:rsidRPr="0048196F">
              <w:rPr>
                <w:lang w:val="en-US"/>
              </w:rPr>
              <w:t>Decision Support Systems</w:t>
            </w:r>
          </w:p>
        </w:tc>
        <w:tc>
          <w:tcPr>
            <w:tcW w:w="2528" w:type="dxa"/>
            <w:hideMark/>
          </w:tcPr>
          <w:p w14:paraId="12133CE2" w14:textId="77777777" w:rsidR="00402B4D" w:rsidRPr="0048196F" w:rsidRDefault="00402B4D" w:rsidP="00E95BE9">
            <w:pPr>
              <w:rPr>
                <w:lang w:val="en-US"/>
              </w:rPr>
            </w:pPr>
            <w:r w:rsidRPr="0048196F">
              <w:rPr>
                <w:lang w:val="en-US"/>
              </w:rPr>
              <w:t>There is a need to make evidence-based decisions to reduce uncertainty and manage risk of short to long term actions.</w:t>
            </w:r>
          </w:p>
        </w:tc>
      </w:tr>
      <w:tr w:rsidR="00402B4D" w:rsidRPr="00AB4713" w14:paraId="4F4CE9D0" w14:textId="77777777" w:rsidTr="00E171A9">
        <w:trPr>
          <w:trHeight w:val="900"/>
        </w:trPr>
        <w:tc>
          <w:tcPr>
            <w:tcW w:w="5954" w:type="dxa"/>
            <w:hideMark/>
          </w:tcPr>
          <w:p w14:paraId="0CA94C10" w14:textId="77777777" w:rsidR="00402B4D" w:rsidRPr="0048196F" w:rsidRDefault="00402B4D" w:rsidP="00E95BE9">
            <w:pPr>
              <w:rPr>
                <w:lang w:val="en-US"/>
              </w:rPr>
            </w:pPr>
            <w:r w:rsidRPr="0048196F">
              <w:rPr>
                <w:lang w:val="en-US"/>
              </w:rPr>
              <w:t>Deplastification</w:t>
            </w:r>
          </w:p>
        </w:tc>
        <w:tc>
          <w:tcPr>
            <w:tcW w:w="2528" w:type="dxa"/>
            <w:hideMark/>
          </w:tcPr>
          <w:p w14:paraId="55D7B523" w14:textId="77777777" w:rsidR="00402B4D" w:rsidRPr="0048196F" w:rsidRDefault="00402B4D" w:rsidP="00E95BE9">
            <w:pPr>
              <w:rPr>
                <w:lang w:val="en-US"/>
              </w:rPr>
            </w:pPr>
            <w:r w:rsidRPr="0048196F">
              <w:rPr>
                <w:lang w:val="en-US"/>
              </w:rPr>
              <w:t>The most of plastic not being biodegradable leads to the necessity of using alternative materials as well as removal and recycling of existing plastic.</w:t>
            </w:r>
          </w:p>
        </w:tc>
      </w:tr>
      <w:tr w:rsidR="00402B4D" w:rsidRPr="00AB4713" w14:paraId="305E6760" w14:textId="77777777" w:rsidTr="00E171A9">
        <w:trPr>
          <w:trHeight w:val="680"/>
        </w:trPr>
        <w:tc>
          <w:tcPr>
            <w:tcW w:w="5954" w:type="dxa"/>
            <w:hideMark/>
          </w:tcPr>
          <w:p w14:paraId="54B2B231" w14:textId="77777777" w:rsidR="00402B4D" w:rsidRPr="0048196F" w:rsidRDefault="00402B4D" w:rsidP="00E95BE9">
            <w:pPr>
              <w:rPr>
                <w:lang w:val="en-US"/>
              </w:rPr>
            </w:pPr>
            <w:r w:rsidRPr="0048196F">
              <w:rPr>
                <w:lang w:val="en-US"/>
              </w:rPr>
              <w:t>Differentiation/Personalization: Consumers</w:t>
            </w:r>
          </w:p>
        </w:tc>
        <w:tc>
          <w:tcPr>
            <w:tcW w:w="2528" w:type="dxa"/>
            <w:hideMark/>
          </w:tcPr>
          <w:p w14:paraId="666AF5A3" w14:textId="77777777" w:rsidR="00402B4D" w:rsidRPr="0048196F" w:rsidRDefault="00402B4D" w:rsidP="00E95BE9">
            <w:pPr>
              <w:rPr>
                <w:lang w:val="en-US"/>
              </w:rPr>
            </w:pPr>
            <w:r w:rsidRPr="0048196F">
              <w:rPr>
                <w:lang w:val="en-US"/>
              </w:rPr>
              <w:t>An increasingly complex suite of differentiated products is demanded by consumers.</w:t>
            </w:r>
          </w:p>
        </w:tc>
      </w:tr>
      <w:tr w:rsidR="00402B4D" w:rsidRPr="00AB4713" w14:paraId="5E7488A1" w14:textId="77777777" w:rsidTr="00E171A9">
        <w:trPr>
          <w:trHeight w:val="900"/>
        </w:trPr>
        <w:tc>
          <w:tcPr>
            <w:tcW w:w="5954" w:type="dxa"/>
            <w:hideMark/>
          </w:tcPr>
          <w:p w14:paraId="30B09CB3" w14:textId="77777777" w:rsidR="00402B4D" w:rsidRPr="0048196F" w:rsidRDefault="00402B4D" w:rsidP="00E95BE9">
            <w:pPr>
              <w:rPr>
                <w:lang w:val="en-US"/>
              </w:rPr>
            </w:pPr>
            <w:r w:rsidRPr="0048196F">
              <w:rPr>
                <w:lang w:val="en-US"/>
              </w:rPr>
              <w:t>Differentiation: Farms</w:t>
            </w:r>
          </w:p>
        </w:tc>
        <w:tc>
          <w:tcPr>
            <w:tcW w:w="2528" w:type="dxa"/>
            <w:hideMark/>
          </w:tcPr>
          <w:p w14:paraId="02785C2B" w14:textId="77777777" w:rsidR="00402B4D" w:rsidRPr="0048196F" w:rsidRDefault="00402B4D" w:rsidP="00E95BE9">
            <w:pPr>
              <w:rPr>
                <w:lang w:val="en-US"/>
              </w:rPr>
            </w:pPr>
            <w:r w:rsidRPr="0048196F">
              <w:rPr>
                <w:lang w:val="en-US"/>
              </w:rPr>
              <w:t>Differentiation used to be more prominent in the processing industries, but has been shifting to the farm level because of new dimensions. </w:t>
            </w:r>
          </w:p>
        </w:tc>
      </w:tr>
      <w:tr w:rsidR="00402B4D" w:rsidRPr="00AB4713" w14:paraId="122DAA7A" w14:textId="77777777" w:rsidTr="00E171A9">
        <w:trPr>
          <w:trHeight w:val="600"/>
        </w:trPr>
        <w:tc>
          <w:tcPr>
            <w:tcW w:w="5954" w:type="dxa"/>
            <w:hideMark/>
          </w:tcPr>
          <w:p w14:paraId="37AA6C5F" w14:textId="77777777" w:rsidR="00402B4D" w:rsidRPr="0048196F" w:rsidRDefault="00402B4D" w:rsidP="00E95BE9">
            <w:pPr>
              <w:rPr>
                <w:lang w:val="en-US"/>
              </w:rPr>
            </w:pPr>
            <w:r w:rsidRPr="0048196F">
              <w:rPr>
                <w:lang w:val="en-US"/>
              </w:rPr>
              <w:t>Energy Efficiency</w:t>
            </w:r>
          </w:p>
        </w:tc>
        <w:tc>
          <w:tcPr>
            <w:tcW w:w="2528" w:type="dxa"/>
            <w:hideMark/>
          </w:tcPr>
          <w:p w14:paraId="200C47DD" w14:textId="77777777" w:rsidR="00402B4D" w:rsidRPr="0048196F" w:rsidRDefault="00402B4D" w:rsidP="00E95BE9">
            <w:pPr>
              <w:rPr>
                <w:lang w:val="en-US"/>
              </w:rPr>
            </w:pPr>
            <w:r w:rsidRPr="0048196F">
              <w:rPr>
                <w:lang w:val="en-US"/>
              </w:rPr>
              <w:t>There are numerous opportunities for energy savings in the current energy-intensive food chain system</w:t>
            </w:r>
          </w:p>
        </w:tc>
      </w:tr>
      <w:tr w:rsidR="00402B4D" w:rsidRPr="00AB4713" w14:paraId="07CFF885" w14:textId="77777777" w:rsidTr="00E171A9">
        <w:trPr>
          <w:trHeight w:val="680"/>
        </w:trPr>
        <w:tc>
          <w:tcPr>
            <w:tcW w:w="5954" w:type="dxa"/>
            <w:hideMark/>
          </w:tcPr>
          <w:p w14:paraId="7CF1BED7" w14:textId="77777777" w:rsidR="00402B4D" w:rsidRPr="0048196F" w:rsidRDefault="00402B4D" w:rsidP="00E95BE9">
            <w:pPr>
              <w:rPr>
                <w:lang w:val="en-US"/>
              </w:rPr>
            </w:pPr>
            <w:r w:rsidRPr="0048196F">
              <w:rPr>
                <w:lang w:val="en-US"/>
              </w:rPr>
              <w:t>Energy Efficiency: Understanding</w:t>
            </w:r>
          </w:p>
        </w:tc>
        <w:tc>
          <w:tcPr>
            <w:tcW w:w="2528" w:type="dxa"/>
            <w:hideMark/>
          </w:tcPr>
          <w:p w14:paraId="61334AF8" w14:textId="77777777" w:rsidR="00402B4D" w:rsidRPr="0048196F" w:rsidRDefault="00402B4D" w:rsidP="00E95BE9">
            <w:pPr>
              <w:rPr>
                <w:lang w:val="en-US"/>
              </w:rPr>
            </w:pPr>
            <w:r w:rsidRPr="0048196F">
              <w:rPr>
                <w:lang w:val="en-US"/>
              </w:rPr>
              <w:t>A greater understanding of energy usage through measurement and monitoring is required. </w:t>
            </w:r>
          </w:p>
        </w:tc>
      </w:tr>
      <w:tr w:rsidR="00402B4D" w:rsidRPr="00AB4713" w14:paraId="52CA238E" w14:textId="77777777" w:rsidTr="00E171A9">
        <w:trPr>
          <w:trHeight w:val="900"/>
        </w:trPr>
        <w:tc>
          <w:tcPr>
            <w:tcW w:w="5954" w:type="dxa"/>
            <w:hideMark/>
          </w:tcPr>
          <w:p w14:paraId="507DB36C" w14:textId="77777777" w:rsidR="00402B4D" w:rsidRPr="0048196F" w:rsidRDefault="00402B4D" w:rsidP="00E95BE9">
            <w:pPr>
              <w:rPr>
                <w:lang w:val="en-US"/>
              </w:rPr>
            </w:pPr>
            <w:r w:rsidRPr="0048196F">
              <w:rPr>
                <w:lang w:val="en-US"/>
              </w:rPr>
              <w:t>Innovation Hubs</w:t>
            </w:r>
          </w:p>
        </w:tc>
        <w:tc>
          <w:tcPr>
            <w:tcW w:w="2528" w:type="dxa"/>
            <w:hideMark/>
          </w:tcPr>
          <w:p w14:paraId="01591D6A" w14:textId="77777777" w:rsidR="00402B4D" w:rsidRPr="0048196F" w:rsidRDefault="00402B4D" w:rsidP="00E95BE9">
            <w:pPr>
              <w:rPr>
                <w:lang w:val="en-US"/>
              </w:rPr>
            </w:pPr>
            <w:r w:rsidRPr="0048196F">
              <w:rPr>
                <w:lang w:val="en-US"/>
              </w:rPr>
              <w:t>These hubs allow the connection of actors, access to knowledge, expertise and technology, as well as facilitating testing and experimentation.  </w:t>
            </w:r>
          </w:p>
        </w:tc>
      </w:tr>
      <w:tr w:rsidR="00402B4D" w:rsidRPr="00AB4713" w14:paraId="00EF9F1C" w14:textId="77777777" w:rsidTr="00E171A9">
        <w:trPr>
          <w:trHeight w:val="900"/>
        </w:trPr>
        <w:tc>
          <w:tcPr>
            <w:tcW w:w="5954" w:type="dxa"/>
            <w:hideMark/>
          </w:tcPr>
          <w:p w14:paraId="2FC2D355" w14:textId="77777777" w:rsidR="00402B4D" w:rsidRPr="0048196F" w:rsidRDefault="00402B4D" w:rsidP="00E95BE9">
            <w:pPr>
              <w:rPr>
                <w:lang w:val="en-US"/>
              </w:rPr>
            </w:pPr>
            <w:r w:rsidRPr="0048196F">
              <w:rPr>
                <w:lang w:val="en-US"/>
              </w:rPr>
              <w:t>Market responsiveness</w:t>
            </w:r>
          </w:p>
        </w:tc>
        <w:tc>
          <w:tcPr>
            <w:tcW w:w="2528" w:type="dxa"/>
            <w:hideMark/>
          </w:tcPr>
          <w:p w14:paraId="60323387" w14:textId="77777777" w:rsidR="00402B4D" w:rsidRPr="0048196F" w:rsidRDefault="00402B4D" w:rsidP="00E95BE9">
            <w:pPr>
              <w:rPr>
                <w:lang w:val="en-US"/>
              </w:rPr>
            </w:pPr>
            <w:r w:rsidRPr="0048196F">
              <w:rPr>
                <w:lang w:val="en-US"/>
              </w:rPr>
              <w:t>Because of volatility due to consumer demands and uncertainty of supply, companies must consider a trade off between efficiency and reactivity. </w:t>
            </w:r>
          </w:p>
        </w:tc>
      </w:tr>
      <w:tr w:rsidR="00402B4D" w:rsidRPr="00AB4713" w14:paraId="2DBB5B3B" w14:textId="77777777" w:rsidTr="00E171A9">
        <w:trPr>
          <w:trHeight w:val="680"/>
        </w:trPr>
        <w:tc>
          <w:tcPr>
            <w:tcW w:w="5954" w:type="dxa"/>
            <w:hideMark/>
          </w:tcPr>
          <w:p w14:paraId="03B79937" w14:textId="77777777" w:rsidR="00402B4D" w:rsidRPr="0048196F" w:rsidRDefault="00402B4D" w:rsidP="00E95BE9">
            <w:pPr>
              <w:rPr>
                <w:lang w:val="en-US"/>
              </w:rPr>
            </w:pPr>
            <w:r w:rsidRPr="0048196F">
              <w:rPr>
                <w:lang w:val="en-US"/>
              </w:rPr>
              <w:t>Marketing Innovation</w:t>
            </w:r>
          </w:p>
        </w:tc>
        <w:tc>
          <w:tcPr>
            <w:tcW w:w="2528" w:type="dxa"/>
            <w:hideMark/>
          </w:tcPr>
          <w:p w14:paraId="357D949F" w14:textId="77777777" w:rsidR="00402B4D" w:rsidRPr="0048196F" w:rsidRDefault="00402B4D" w:rsidP="00E95BE9">
            <w:pPr>
              <w:rPr>
                <w:lang w:val="en-US"/>
              </w:rPr>
            </w:pPr>
            <w:r w:rsidRPr="0048196F">
              <w:rPr>
                <w:lang w:val="en-US"/>
              </w:rPr>
              <w:t>Developments have led to new forms of marketing and different characteristics to promote. </w:t>
            </w:r>
          </w:p>
        </w:tc>
      </w:tr>
      <w:tr w:rsidR="00402B4D" w:rsidRPr="0048196F" w14:paraId="274A7B2A" w14:textId="77777777" w:rsidTr="00E171A9">
        <w:trPr>
          <w:trHeight w:val="900"/>
        </w:trPr>
        <w:tc>
          <w:tcPr>
            <w:tcW w:w="5954" w:type="dxa"/>
            <w:hideMark/>
          </w:tcPr>
          <w:p w14:paraId="07A7BB42" w14:textId="77777777" w:rsidR="00402B4D" w:rsidRPr="0048196F" w:rsidRDefault="00402B4D" w:rsidP="00E95BE9">
            <w:pPr>
              <w:rPr>
                <w:lang w:val="en-US"/>
              </w:rPr>
            </w:pPr>
            <w:r w:rsidRPr="0048196F">
              <w:rPr>
                <w:lang w:val="en-US"/>
              </w:rPr>
              <w:t>Multi Stakeholder Processes</w:t>
            </w:r>
          </w:p>
        </w:tc>
        <w:tc>
          <w:tcPr>
            <w:tcW w:w="2528" w:type="dxa"/>
            <w:hideMark/>
          </w:tcPr>
          <w:p w14:paraId="48C777C4" w14:textId="77777777" w:rsidR="00402B4D" w:rsidRPr="0048196F" w:rsidRDefault="00402B4D" w:rsidP="00E95BE9">
            <w:pPr>
              <w:rPr>
                <w:lang w:val="en-US"/>
              </w:rPr>
            </w:pPr>
            <w:r w:rsidRPr="0048196F">
              <w:rPr>
                <w:lang w:val="en-US"/>
              </w:rPr>
              <w:t>Such a process is fundamentally about participatory decision making and information sharing. Dialogue is facilitated but also partnerships are formed.</w:t>
            </w:r>
          </w:p>
        </w:tc>
      </w:tr>
      <w:tr w:rsidR="00402B4D" w:rsidRPr="00AB4713" w14:paraId="27ACDB14" w14:textId="77777777" w:rsidTr="00E171A9">
        <w:trPr>
          <w:trHeight w:val="900"/>
        </w:trPr>
        <w:tc>
          <w:tcPr>
            <w:tcW w:w="5954" w:type="dxa"/>
            <w:hideMark/>
          </w:tcPr>
          <w:p w14:paraId="6F63AF61" w14:textId="77777777" w:rsidR="00402B4D" w:rsidRPr="0048196F" w:rsidRDefault="00402B4D" w:rsidP="00E95BE9">
            <w:pPr>
              <w:rPr>
                <w:lang w:val="en-US"/>
              </w:rPr>
            </w:pPr>
            <w:r w:rsidRPr="0048196F">
              <w:rPr>
                <w:lang w:val="en-US"/>
              </w:rPr>
              <w:t>Precision Agriculture</w:t>
            </w:r>
          </w:p>
        </w:tc>
        <w:tc>
          <w:tcPr>
            <w:tcW w:w="2528" w:type="dxa"/>
            <w:hideMark/>
          </w:tcPr>
          <w:p w14:paraId="5E4C141F" w14:textId="77777777" w:rsidR="00402B4D" w:rsidRPr="0048196F" w:rsidRDefault="00402B4D" w:rsidP="00E95BE9">
            <w:pPr>
              <w:rPr>
                <w:lang w:val="en-US"/>
              </w:rPr>
            </w:pPr>
            <w:r w:rsidRPr="0048196F">
              <w:rPr>
                <w:lang w:val="en-US"/>
              </w:rPr>
              <w:t>Digital techniques to monitor provide the opportunity to perform deep analysis on farming and optimize yields by adding exactness to inputs and timing.</w:t>
            </w:r>
          </w:p>
        </w:tc>
      </w:tr>
      <w:tr w:rsidR="00402B4D" w:rsidRPr="00AB4713" w14:paraId="3ACB9BFE" w14:textId="77777777" w:rsidTr="00E171A9">
        <w:trPr>
          <w:trHeight w:val="900"/>
        </w:trPr>
        <w:tc>
          <w:tcPr>
            <w:tcW w:w="5954" w:type="dxa"/>
            <w:hideMark/>
          </w:tcPr>
          <w:p w14:paraId="2D5D64BC" w14:textId="77777777" w:rsidR="00402B4D" w:rsidRPr="0048196F" w:rsidRDefault="00402B4D" w:rsidP="00E95BE9">
            <w:pPr>
              <w:rPr>
                <w:lang w:val="en-US"/>
              </w:rPr>
            </w:pPr>
            <w:r w:rsidRPr="0048196F">
              <w:rPr>
                <w:lang w:val="en-US"/>
              </w:rPr>
              <w:t>Predictive Analytics</w:t>
            </w:r>
          </w:p>
        </w:tc>
        <w:tc>
          <w:tcPr>
            <w:tcW w:w="2528" w:type="dxa"/>
            <w:hideMark/>
          </w:tcPr>
          <w:p w14:paraId="72EE4B4C" w14:textId="77777777" w:rsidR="00402B4D" w:rsidRPr="0048196F" w:rsidRDefault="00402B4D" w:rsidP="00E95BE9">
            <w:pPr>
              <w:rPr>
                <w:lang w:val="en-US"/>
              </w:rPr>
            </w:pPr>
            <w:r w:rsidRPr="0048196F">
              <w:rPr>
                <w:lang w:val="en-US"/>
              </w:rPr>
              <w:t>The practice of extracting information from data, in order to identify trends and patterns to predict future outcomes of processes and behaviour. </w:t>
            </w:r>
          </w:p>
        </w:tc>
      </w:tr>
      <w:tr w:rsidR="00402B4D" w:rsidRPr="00AB4713" w14:paraId="58A96736" w14:textId="77777777" w:rsidTr="00E171A9">
        <w:trPr>
          <w:trHeight w:val="600"/>
        </w:trPr>
        <w:tc>
          <w:tcPr>
            <w:tcW w:w="5954" w:type="dxa"/>
            <w:hideMark/>
          </w:tcPr>
          <w:p w14:paraId="302C4301" w14:textId="77777777" w:rsidR="00402B4D" w:rsidRPr="0048196F" w:rsidRDefault="00402B4D" w:rsidP="00E95BE9">
            <w:pPr>
              <w:rPr>
                <w:lang w:val="en-US"/>
              </w:rPr>
            </w:pPr>
            <w:r w:rsidRPr="0048196F">
              <w:rPr>
                <w:lang w:val="en-US"/>
              </w:rPr>
              <w:t>Social Inclusion</w:t>
            </w:r>
          </w:p>
        </w:tc>
        <w:tc>
          <w:tcPr>
            <w:tcW w:w="2528" w:type="dxa"/>
            <w:hideMark/>
          </w:tcPr>
          <w:p w14:paraId="2D134E23" w14:textId="77777777" w:rsidR="00402B4D" w:rsidRPr="0048196F" w:rsidRDefault="00402B4D" w:rsidP="00E95BE9">
            <w:pPr>
              <w:rPr>
                <w:lang w:val="en-US"/>
              </w:rPr>
            </w:pPr>
            <w:r w:rsidRPr="0048196F">
              <w:rPr>
                <w:lang w:val="en-US"/>
              </w:rPr>
              <w:t>Reducing the remoteness of rural areas facilitates fuller and more active participation in society and opportunities.  </w:t>
            </w:r>
          </w:p>
        </w:tc>
      </w:tr>
      <w:tr w:rsidR="00402B4D" w:rsidRPr="00AB4713" w14:paraId="73AEA093" w14:textId="77777777" w:rsidTr="00E171A9">
        <w:trPr>
          <w:trHeight w:val="960"/>
        </w:trPr>
        <w:tc>
          <w:tcPr>
            <w:tcW w:w="5954" w:type="dxa"/>
            <w:hideMark/>
          </w:tcPr>
          <w:p w14:paraId="75E95BEE" w14:textId="77777777" w:rsidR="00402B4D" w:rsidRPr="0048196F" w:rsidRDefault="00402B4D" w:rsidP="00E95BE9">
            <w:pPr>
              <w:rPr>
                <w:lang w:val="en-US"/>
              </w:rPr>
            </w:pPr>
            <w:r w:rsidRPr="0048196F">
              <w:rPr>
                <w:lang w:val="en-US"/>
              </w:rPr>
              <w:t>Traceability</w:t>
            </w:r>
          </w:p>
        </w:tc>
        <w:tc>
          <w:tcPr>
            <w:tcW w:w="2528" w:type="dxa"/>
            <w:hideMark/>
          </w:tcPr>
          <w:p w14:paraId="1478A716" w14:textId="77777777" w:rsidR="00402B4D" w:rsidRPr="0048196F" w:rsidRDefault="00402B4D" w:rsidP="00E95BE9">
            <w:pPr>
              <w:rPr>
                <w:lang w:val="en-US"/>
              </w:rPr>
            </w:pPr>
            <w:r w:rsidRPr="0048196F">
              <w:rPr>
                <w:lang w:val="en-US"/>
              </w:rPr>
              <w:t>The ability to follow the movement of a resource through various stages. This allows faster and precise identification of a product under review. </w:t>
            </w:r>
          </w:p>
        </w:tc>
      </w:tr>
      <w:tr w:rsidR="00402B4D" w:rsidRPr="00AB4713" w14:paraId="7B58B4EB" w14:textId="77777777" w:rsidTr="00E171A9">
        <w:trPr>
          <w:trHeight w:val="600"/>
        </w:trPr>
        <w:tc>
          <w:tcPr>
            <w:tcW w:w="5954" w:type="dxa"/>
            <w:hideMark/>
          </w:tcPr>
          <w:p w14:paraId="0D532057" w14:textId="77777777" w:rsidR="00402B4D" w:rsidRPr="0048196F" w:rsidRDefault="00402B4D" w:rsidP="00E95BE9">
            <w:pPr>
              <w:rPr>
                <w:lang w:val="en-US"/>
              </w:rPr>
            </w:pPr>
            <w:r w:rsidRPr="0048196F">
              <w:rPr>
                <w:lang w:val="en-US"/>
              </w:rPr>
              <w:t>User-Centered Design</w:t>
            </w:r>
          </w:p>
        </w:tc>
        <w:tc>
          <w:tcPr>
            <w:tcW w:w="2528" w:type="dxa"/>
            <w:hideMark/>
          </w:tcPr>
          <w:p w14:paraId="490C63AD" w14:textId="77777777" w:rsidR="00402B4D" w:rsidRPr="0048196F" w:rsidRDefault="00402B4D" w:rsidP="00E95BE9">
            <w:pPr>
              <w:rPr>
                <w:lang w:val="en-US"/>
              </w:rPr>
            </w:pPr>
            <w:r w:rsidRPr="0048196F">
              <w:rPr>
                <w:lang w:val="en-US"/>
              </w:rPr>
              <w:t>There exists a gap between the applications created by business developers and the real need of farmers.</w:t>
            </w:r>
          </w:p>
        </w:tc>
      </w:tr>
      <w:tr w:rsidR="00402B4D" w:rsidRPr="00AB4713" w14:paraId="294CA830" w14:textId="77777777" w:rsidTr="00E171A9">
        <w:trPr>
          <w:trHeight w:val="600"/>
        </w:trPr>
        <w:tc>
          <w:tcPr>
            <w:tcW w:w="5954" w:type="dxa"/>
            <w:hideMark/>
          </w:tcPr>
          <w:p w14:paraId="152189BE" w14:textId="77777777" w:rsidR="00402B4D" w:rsidRPr="0048196F" w:rsidRDefault="00402B4D" w:rsidP="00E95BE9">
            <w:pPr>
              <w:rPr>
                <w:lang w:val="en-US"/>
              </w:rPr>
            </w:pPr>
            <w:r w:rsidRPr="0048196F">
              <w:rPr>
                <w:lang w:val="en-US"/>
              </w:rPr>
              <w:t>Vocation &amp; Skills</w:t>
            </w:r>
          </w:p>
        </w:tc>
        <w:tc>
          <w:tcPr>
            <w:tcW w:w="2528" w:type="dxa"/>
            <w:hideMark/>
          </w:tcPr>
          <w:p w14:paraId="42AE06EE" w14:textId="77777777" w:rsidR="00402B4D" w:rsidRPr="0048196F" w:rsidRDefault="00402B4D" w:rsidP="00E95BE9">
            <w:pPr>
              <w:rPr>
                <w:lang w:val="en-US"/>
              </w:rPr>
            </w:pPr>
            <w:r w:rsidRPr="0048196F">
              <w:rPr>
                <w:lang w:val="en-US"/>
              </w:rPr>
              <w:t>Along the value chain new skills are required to foster the innovation brought along by technological changes. </w:t>
            </w:r>
          </w:p>
        </w:tc>
      </w:tr>
      <w:bookmarkEnd w:id="20"/>
      <w:bookmarkEnd w:id="21"/>
      <w:bookmarkEnd w:id="22"/>
      <w:bookmarkEnd w:id="23"/>
      <w:bookmarkEnd w:id="24"/>
      <w:bookmarkEnd w:id="25"/>
      <w:bookmarkEnd w:id="26"/>
      <w:bookmarkEnd w:id="27"/>
      <w:bookmarkEnd w:id="28"/>
      <w:bookmarkEnd w:id="29"/>
      <w:bookmarkEnd w:id="30"/>
      <w:bookmarkEnd w:id="31"/>
      <w:bookmarkEnd w:id="32"/>
    </w:tbl>
    <w:p w14:paraId="504C06FF" w14:textId="77777777" w:rsidR="00F31655" w:rsidRPr="0048196F" w:rsidRDefault="00F31655" w:rsidP="00B24322">
      <w:pPr>
        <w:rPr>
          <w:lang w:val="en-US"/>
        </w:rPr>
      </w:pPr>
    </w:p>
    <w:sectPr w:rsidR="00F31655" w:rsidRPr="0048196F" w:rsidSect="00752F60">
      <w:pgSz w:w="11907" w:h="16840" w:code="9"/>
      <w:pgMar w:top="1418" w:right="1440" w:bottom="1418" w:left="1985"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F9981" w14:textId="77777777" w:rsidR="00AB00BD" w:rsidRDefault="00AB00BD">
      <w:r>
        <w:separator/>
      </w:r>
    </w:p>
  </w:endnote>
  <w:endnote w:type="continuationSeparator" w:id="0">
    <w:p w14:paraId="7DEB7E0E" w14:textId="77777777" w:rsidR="00AB00BD" w:rsidRDefault="00AB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rial,Bold">
    <w:altName w:val="Arial"/>
    <w:charset w:val="00"/>
    <w:family w:val="swiss"/>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tserrat">
    <w:altName w:val="Courier New"/>
    <w:charset w:val="00"/>
    <w:family w:val="modern"/>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
    <w:altName w:val="Cambria"/>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8F1BB" w14:textId="77777777" w:rsidR="00AB00BD" w:rsidRDefault="00AB00BD" w:rsidP="00D65E5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84ECF" w14:textId="77777777" w:rsidR="00AB00BD" w:rsidRDefault="00AB00BD" w:rsidP="00644478">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xi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525A1" w14:textId="1E9EC5A4" w:rsidR="00AB00BD" w:rsidRDefault="00AB00BD" w:rsidP="009B7181">
    <w:pPr>
      <w:pStyle w:val="Footer"/>
      <w:framePr w:wrap="none" w:vAnchor="text" w:hAnchor="margin" w:xAlign="center" w:y="1"/>
      <w:rPr>
        <w:rStyle w:val="PageNumber"/>
      </w:rPr>
    </w:pPr>
  </w:p>
  <w:p w14:paraId="035E1C9A" w14:textId="4ACDF729" w:rsidR="00AB00BD" w:rsidRDefault="00AB00BD" w:rsidP="000F29C5">
    <w:pPr>
      <w:pStyle w:val="Footer"/>
      <w:tabs>
        <w:tab w:val="clear" w:pos="4320"/>
        <w:tab w:val="clear" w:pos="8640"/>
        <w:tab w:val="left" w:pos="4800"/>
      </w:tabs>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97223714"/>
      <w:docPartObj>
        <w:docPartGallery w:val="Page Numbers (Bottom of Page)"/>
        <w:docPartUnique/>
      </w:docPartObj>
    </w:sdtPr>
    <w:sdtContent>
      <w:p w14:paraId="4105BAFF" w14:textId="4FFCF87A" w:rsidR="00AB00BD" w:rsidRDefault="00AB00BD" w:rsidP="00AB00B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53460">
          <w:rPr>
            <w:rStyle w:val="PageNumber"/>
            <w:noProof/>
          </w:rPr>
          <w:t>x</w:t>
        </w:r>
        <w:r>
          <w:rPr>
            <w:rStyle w:val="PageNumber"/>
          </w:rPr>
          <w:fldChar w:fldCharType="end"/>
        </w:r>
      </w:p>
    </w:sdtContent>
  </w:sdt>
  <w:p w14:paraId="70F75B3C" w14:textId="331C1177" w:rsidR="00AB00BD" w:rsidRDefault="00AB00BD" w:rsidP="000F29C5">
    <w:pPr>
      <w:pStyle w:val="Footer"/>
      <w:ind w:right="360" w:firstLine="360"/>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8698391"/>
      <w:docPartObj>
        <w:docPartGallery w:val="Page Numbers (Bottom of Page)"/>
        <w:docPartUnique/>
      </w:docPartObj>
    </w:sdtPr>
    <w:sdtContent>
      <w:p w14:paraId="7C843142" w14:textId="2E38FC27" w:rsidR="00AB00BD" w:rsidRDefault="00AB00BD" w:rsidP="006342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53460">
          <w:rPr>
            <w:rStyle w:val="PageNumber"/>
            <w:noProof/>
          </w:rPr>
          <w:t>xi</w:t>
        </w:r>
        <w:r>
          <w:rPr>
            <w:rStyle w:val="PageNumber"/>
          </w:rPr>
          <w:fldChar w:fldCharType="end"/>
        </w:r>
      </w:p>
    </w:sdtContent>
  </w:sdt>
  <w:p w14:paraId="6AFE2C80" w14:textId="685F6D7A" w:rsidR="00AB00BD" w:rsidRDefault="00AB00BD" w:rsidP="007D642D">
    <w:pPr>
      <w:pStyle w:val="Footer"/>
      <w:ind w:right="360" w:firstLine="360"/>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4FB48" w14:textId="77777777" w:rsidR="00AB00BD" w:rsidRDefault="00AB00BD" w:rsidP="000F29C5">
    <w:pPr>
      <w:pStyle w:val="Footer"/>
      <w:ind w:right="360" w:firstLine="360"/>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D5DBE" w14:textId="7C49C06F" w:rsidR="00AB00BD" w:rsidRDefault="00AB00BD" w:rsidP="009B7181">
    <w:pPr>
      <w:pStyle w:val="Footer"/>
      <w:framePr w:wrap="none" w:vAnchor="text" w:hAnchor="margin" w:xAlign="center" w:y="1"/>
      <w:rPr>
        <w:rStyle w:val="PageNumber"/>
      </w:rPr>
    </w:pPr>
  </w:p>
  <w:p w14:paraId="17323916" w14:textId="77777777" w:rsidR="00AB00BD" w:rsidRDefault="00AB00BD" w:rsidP="007D642D">
    <w:pPr>
      <w:pStyle w:val="Footer"/>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71C56" w14:textId="77777777" w:rsidR="00AB00BD" w:rsidRDefault="00AB00BD">
      <w:r>
        <w:separator/>
      </w:r>
    </w:p>
  </w:footnote>
  <w:footnote w:type="continuationSeparator" w:id="0">
    <w:p w14:paraId="383E4116" w14:textId="77777777" w:rsidR="00AB00BD" w:rsidRDefault="00AB00BD">
      <w:r>
        <w:continuationSeparator/>
      </w:r>
    </w:p>
  </w:footnote>
  <w:footnote w:id="1">
    <w:p w14:paraId="250B57F5" w14:textId="19F87104" w:rsidR="00AB00BD" w:rsidRPr="00F45271" w:rsidRDefault="00AB00BD">
      <w:pPr>
        <w:pStyle w:val="FootnoteText"/>
        <w:rPr>
          <w:lang w:val="en-US"/>
        </w:rPr>
      </w:pPr>
      <w:r>
        <w:rPr>
          <w:rStyle w:val="FootnoteReference"/>
        </w:rPr>
        <w:footnoteRef/>
      </w:r>
      <w:r w:rsidRPr="00F45271">
        <w:rPr>
          <w:lang w:val="en-US"/>
        </w:rPr>
        <w:t xml:space="preserve"> Dr. Alexandra Marques, Senior Researcher at INESCTEC.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4D514" w14:textId="77777777" w:rsidR="00AB00BD" w:rsidRDefault="00AB00BD" w:rsidP="00B47AA6">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92A1F" w14:textId="77777777" w:rsidR="00AB00BD" w:rsidRDefault="00AB00BD" w:rsidP="00B47AA6">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EAA49" w14:textId="77777777" w:rsidR="00AB00BD" w:rsidRDefault="00AB00BD" w:rsidP="00FB4060">
    <w:pPr>
      <w:pStyle w:val="Header"/>
      <w:jc w:val="right"/>
      <w:rPr>
        <w:lang w:val="pt-PT"/>
      </w:rPr>
    </w:pPr>
  </w:p>
  <w:p w14:paraId="73D7ADB3" w14:textId="77777777" w:rsidR="00AB00BD" w:rsidRDefault="00AB00BD">
    <w:pPr>
      <w:pStyle w:val="Header"/>
      <w:rPr>
        <w:lang w:val="pt-PT"/>
      </w:rPr>
    </w:pPr>
  </w:p>
  <w:p w14:paraId="342F9D8B" w14:textId="77777777" w:rsidR="00AB00BD" w:rsidRPr="00C00D36" w:rsidRDefault="00AB00BD" w:rsidP="00C00D36">
    <w:pPr>
      <w:pStyle w:val="Header"/>
      <w:jc w:val="right"/>
      <w:rPr>
        <w:lang w:val="pt-PT"/>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63DE5" w14:textId="77777777" w:rsidR="00AB00BD" w:rsidRDefault="00AB00BD" w:rsidP="00FB4060">
    <w:pPr>
      <w:pStyle w:val="Header"/>
      <w:jc w:val="right"/>
      <w:rPr>
        <w:lang w:val="pt-PT"/>
      </w:rPr>
    </w:pPr>
  </w:p>
  <w:p w14:paraId="1CC15C0D" w14:textId="77777777" w:rsidR="00AB00BD" w:rsidRDefault="00AB00BD">
    <w:pPr>
      <w:pStyle w:val="Header"/>
      <w:rPr>
        <w:lang w:val="pt-PT"/>
      </w:rPr>
    </w:pPr>
  </w:p>
  <w:p w14:paraId="40F51ABE" w14:textId="77777777" w:rsidR="00AB00BD" w:rsidRPr="00C00D36" w:rsidRDefault="00AB00BD" w:rsidP="00C00D36">
    <w:pPr>
      <w:pStyle w:val="Header"/>
      <w:jc w:val="right"/>
      <w:rPr>
        <w:lang w:val="pt-PT"/>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56988443"/>
      <w:docPartObj>
        <w:docPartGallery w:val="Page Numbers (Top of Page)"/>
        <w:docPartUnique/>
      </w:docPartObj>
    </w:sdtPr>
    <w:sdtContent>
      <w:p w14:paraId="0AC6BD5B" w14:textId="49247779" w:rsidR="00AB00BD" w:rsidRDefault="00AB00BD" w:rsidP="00AB00BD">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A53460">
          <w:rPr>
            <w:rStyle w:val="PageNumber"/>
            <w:noProof/>
          </w:rPr>
          <w:t>72</w:t>
        </w:r>
        <w:r>
          <w:rPr>
            <w:rStyle w:val="PageNumber"/>
          </w:rPr>
          <w:fldChar w:fldCharType="end"/>
        </w:r>
      </w:p>
    </w:sdtContent>
  </w:sdt>
  <w:p w14:paraId="4A9BA792" w14:textId="77777777" w:rsidR="00AB00BD" w:rsidRDefault="00AB00BD" w:rsidP="00B47AA6">
    <w:pPr>
      <w:pStyle w:val="Header"/>
      <w:ind w:right="360" w:firstLine="36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2828434"/>
      <w:docPartObj>
        <w:docPartGallery w:val="Page Numbers (Top of Page)"/>
        <w:docPartUnique/>
      </w:docPartObj>
    </w:sdtPr>
    <w:sdtContent>
      <w:p w14:paraId="32E42720" w14:textId="084DB12E" w:rsidR="00AB00BD" w:rsidRDefault="00AB00BD" w:rsidP="00B92A9F">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A53460">
          <w:rPr>
            <w:rStyle w:val="PageNumber"/>
            <w:noProof/>
          </w:rPr>
          <w:t>71</w:t>
        </w:r>
        <w:r>
          <w:rPr>
            <w:rStyle w:val="PageNumber"/>
          </w:rPr>
          <w:fldChar w:fldCharType="end"/>
        </w:r>
      </w:p>
    </w:sdtContent>
  </w:sdt>
  <w:p w14:paraId="75BDBEEE" w14:textId="77777777" w:rsidR="00AB00BD" w:rsidRDefault="00AB00BD" w:rsidP="00B47AA6">
    <w:pPr>
      <w:pStyle w:val="Header"/>
      <w:ind w:right="360" w:firstLine="36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2920676"/>
      <w:docPartObj>
        <w:docPartGallery w:val="Page Numbers (Top of Page)"/>
        <w:docPartUnique/>
      </w:docPartObj>
    </w:sdtPr>
    <w:sdtContent>
      <w:p w14:paraId="1F2AF51C" w14:textId="4EAFFFFB" w:rsidR="00AB00BD" w:rsidRDefault="00AB00BD" w:rsidP="00AB00B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53460">
          <w:rPr>
            <w:rStyle w:val="PageNumber"/>
            <w:noProof/>
          </w:rPr>
          <w:t>1</w:t>
        </w:r>
        <w:r>
          <w:rPr>
            <w:rStyle w:val="PageNumber"/>
          </w:rPr>
          <w:fldChar w:fldCharType="end"/>
        </w:r>
      </w:p>
    </w:sdtContent>
  </w:sdt>
  <w:p w14:paraId="1D7AB705" w14:textId="77777777" w:rsidR="00AB00BD" w:rsidRDefault="00AB00BD" w:rsidP="00D934B7">
    <w:pPr>
      <w:pStyle w:val="Header"/>
      <w:ind w:right="360"/>
      <w:rPr>
        <w:lang w:val="pt-PT"/>
      </w:rPr>
    </w:pPr>
  </w:p>
  <w:p w14:paraId="07CC0FB7" w14:textId="77777777" w:rsidR="00AB00BD" w:rsidRPr="00C00D36" w:rsidRDefault="00AB00BD" w:rsidP="00C00D36">
    <w:pPr>
      <w:pStyle w:val="Header"/>
      <w:jc w:val="right"/>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13330"/>
    <w:multiLevelType w:val="multilevel"/>
    <w:tmpl w:val="E68AF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E0549"/>
    <w:multiLevelType w:val="hybridMultilevel"/>
    <w:tmpl w:val="27D45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1568AE"/>
    <w:multiLevelType w:val="hybridMultilevel"/>
    <w:tmpl w:val="E99A70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22707C"/>
    <w:multiLevelType w:val="hybridMultilevel"/>
    <w:tmpl w:val="2DB267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F70672"/>
    <w:multiLevelType w:val="hybridMultilevel"/>
    <w:tmpl w:val="8556C3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18D0CCC"/>
    <w:multiLevelType w:val="hybridMultilevel"/>
    <w:tmpl w:val="37DEB4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7359E7"/>
    <w:multiLevelType w:val="hybridMultilevel"/>
    <w:tmpl w:val="39DE440E"/>
    <w:lvl w:ilvl="0" w:tplc="081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E56B4"/>
    <w:multiLevelType w:val="hybridMultilevel"/>
    <w:tmpl w:val="E8AC9F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4C2726"/>
    <w:multiLevelType w:val="hybridMultilevel"/>
    <w:tmpl w:val="B89E2DFE"/>
    <w:lvl w:ilvl="0" w:tplc="ECECB22E">
      <w:start w:val="1"/>
      <w:numFmt w:val="bullet"/>
      <w:pStyle w:val="Bulletpoints"/>
      <w:lvlText w:val=""/>
      <w:lvlJc w:val="left"/>
      <w:pPr>
        <w:ind w:left="2160" w:hanging="360"/>
      </w:pPr>
      <w:rPr>
        <w:rFonts w:ascii="Symbol" w:hAnsi="Symbol" w:hint="default"/>
        <w:color w:val="80BC4B"/>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5E65F34"/>
    <w:multiLevelType w:val="multilevel"/>
    <w:tmpl w:val="6C68287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63C2F71"/>
    <w:multiLevelType w:val="hybridMultilevel"/>
    <w:tmpl w:val="65BC74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8A3313"/>
    <w:multiLevelType w:val="multilevel"/>
    <w:tmpl w:val="E1F87AAE"/>
    <w:lvl w:ilvl="0">
      <w:start w:val="1"/>
      <w:numFmt w:val="decimal"/>
      <w:suff w:val="nothing"/>
      <w:lvlText w:val="1.%1 - "/>
      <w:lvlJc w:val="left"/>
      <w:pPr>
        <w:ind w:left="502" w:hanging="360"/>
      </w:pPr>
      <w:rPr>
        <w:rFonts w:hint="default"/>
        <w:b/>
        <w:i w:val="0"/>
        <w:sz w:val="28"/>
      </w:rPr>
    </w:lvl>
    <w:lvl w:ilvl="1">
      <w:start w:val="1"/>
      <w:numFmt w:val="decimal"/>
      <w:lvlText w:val="%1.%2."/>
      <w:lvlJc w:val="left"/>
      <w:pPr>
        <w:tabs>
          <w:tab w:val="num" w:pos="1146"/>
        </w:tabs>
        <w:ind w:left="858" w:hanging="432"/>
      </w:pPr>
      <w:rPr>
        <w:rFonts w:ascii="Trebuchet MS" w:hAnsi="Trebuchet MS" w:hint="default"/>
        <w:b w:val="0"/>
        <w:i w:val="0"/>
        <w:color w:val="auto"/>
        <w:sz w:val="24"/>
        <w:u w:val="none"/>
      </w:rPr>
    </w:lvl>
    <w:lvl w:ilvl="2">
      <w:start w:val="1"/>
      <w:numFmt w:val="decimal"/>
      <w:lvlText w:val="%1.%2.%3."/>
      <w:lvlJc w:val="left"/>
      <w:pPr>
        <w:tabs>
          <w:tab w:val="num" w:pos="1582"/>
        </w:tabs>
        <w:ind w:left="1366" w:hanging="504"/>
      </w:pPr>
      <w:rPr>
        <w:rFonts w:hint="default"/>
      </w:rPr>
    </w:lvl>
    <w:lvl w:ilvl="3">
      <w:start w:val="1"/>
      <w:numFmt w:val="decimal"/>
      <w:lvlText w:val="%1.%2.%3.%4."/>
      <w:lvlJc w:val="left"/>
      <w:pPr>
        <w:tabs>
          <w:tab w:val="num" w:pos="2302"/>
        </w:tabs>
        <w:ind w:left="1870" w:hanging="648"/>
      </w:pPr>
      <w:rPr>
        <w:rFonts w:hint="default"/>
      </w:rPr>
    </w:lvl>
    <w:lvl w:ilvl="4">
      <w:start w:val="1"/>
      <w:numFmt w:val="decimal"/>
      <w:lvlText w:val="%1.%2.%3.%4.%5."/>
      <w:lvlJc w:val="left"/>
      <w:pPr>
        <w:tabs>
          <w:tab w:val="num" w:pos="3022"/>
        </w:tabs>
        <w:ind w:left="2374" w:hanging="792"/>
      </w:pPr>
      <w:rPr>
        <w:rFonts w:hint="default"/>
      </w:rPr>
    </w:lvl>
    <w:lvl w:ilvl="5">
      <w:start w:val="1"/>
      <w:numFmt w:val="decimal"/>
      <w:lvlText w:val="%1.%2.%3.%4.%5.%6."/>
      <w:lvlJc w:val="left"/>
      <w:pPr>
        <w:tabs>
          <w:tab w:val="num" w:pos="3382"/>
        </w:tabs>
        <w:ind w:left="2878" w:hanging="936"/>
      </w:pPr>
      <w:rPr>
        <w:rFonts w:hint="default"/>
      </w:rPr>
    </w:lvl>
    <w:lvl w:ilvl="6">
      <w:start w:val="1"/>
      <w:numFmt w:val="decimal"/>
      <w:lvlText w:val="%1.%2.%3.%4.%5.%6.%7."/>
      <w:lvlJc w:val="left"/>
      <w:pPr>
        <w:tabs>
          <w:tab w:val="num" w:pos="4102"/>
        </w:tabs>
        <w:ind w:left="3382" w:hanging="1080"/>
      </w:pPr>
      <w:rPr>
        <w:rFonts w:hint="default"/>
      </w:rPr>
    </w:lvl>
    <w:lvl w:ilvl="7">
      <w:start w:val="1"/>
      <w:numFmt w:val="decimal"/>
      <w:lvlText w:val="%1.%2.%3.%4.%5.%6.%7.%8."/>
      <w:lvlJc w:val="left"/>
      <w:pPr>
        <w:tabs>
          <w:tab w:val="num" w:pos="4822"/>
        </w:tabs>
        <w:ind w:left="3886" w:hanging="1224"/>
      </w:pPr>
      <w:rPr>
        <w:rFonts w:hint="default"/>
      </w:rPr>
    </w:lvl>
    <w:lvl w:ilvl="8">
      <w:start w:val="1"/>
      <w:numFmt w:val="decimal"/>
      <w:lvlText w:val="%1.%2.%3.%4.%5.%6.%7.%8.%9."/>
      <w:lvlJc w:val="left"/>
      <w:pPr>
        <w:tabs>
          <w:tab w:val="num" w:pos="5182"/>
        </w:tabs>
        <w:ind w:left="4462" w:hanging="1440"/>
      </w:pPr>
      <w:rPr>
        <w:rFonts w:hint="default"/>
      </w:rPr>
    </w:lvl>
  </w:abstractNum>
  <w:abstractNum w:abstractNumId="12" w15:restartNumberingAfterBreak="0">
    <w:nsid w:val="19923C5D"/>
    <w:multiLevelType w:val="hybridMultilevel"/>
    <w:tmpl w:val="21AE69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9B5647"/>
    <w:multiLevelType w:val="hybridMultilevel"/>
    <w:tmpl w:val="6B32FB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083448"/>
    <w:multiLevelType w:val="hybridMultilevel"/>
    <w:tmpl w:val="37DEB4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DF4E11"/>
    <w:multiLevelType w:val="multilevel"/>
    <w:tmpl w:val="E06E7500"/>
    <w:lvl w:ilvl="0">
      <w:start w:val="1"/>
      <w:numFmt w:val="decimal"/>
      <w:suff w:val="space"/>
      <w:lvlText w:val="Capítulo %1"/>
      <w:lvlJc w:val="left"/>
      <w:pPr>
        <w:ind w:left="0" w:firstLine="0"/>
      </w:pPr>
      <w:rPr>
        <w:rFonts w:ascii="Trebuchet MS" w:hAnsi="Trebuchet MS" w:hint="default"/>
        <w:b/>
        <w:i w:val="0"/>
        <w:color w:val="auto"/>
        <w:sz w:val="44"/>
        <w:szCs w:val="44"/>
        <w:u w:val="no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9391D3B"/>
    <w:multiLevelType w:val="hybridMultilevel"/>
    <w:tmpl w:val="37DEB4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AB63BE"/>
    <w:multiLevelType w:val="hybridMultilevel"/>
    <w:tmpl w:val="8556C3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D65DF1"/>
    <w:multiLevelType w:val="hybridMultilevel"/>
    <w:tmpl w:val="E85223B0"/>
    <w:lvl w:ilvl="0" w:tplc="E1CAC10E">
      <w:start w:val="1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117001"/>
    <w:multiLevelType w:val="hybridMultilevel"/>
    <w:tmpl w:val="6BC4B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3F41DC"/>
    <w:multiLevelType w:val="hybridMultilevel"/>
    <w:tmpl w:val="E99A70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A754D83"/>
    <w:multiLevelType w:val="hybridMultilevel"/>
    <w:tmpl w:val="AD90D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B31187D"/>
    <w:multiLevelType w:val="hybridMultilevel"/>
    <w:tmpl w:val="EE18BAC0"/>
    <w:lvl w:ilvl="0" w:tplc="B9DEED36">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3B76DB"/>
    <w:multiLevelType w:val="hybridMultilevel"/>
    <w:tmpl w:val="E33881E6"/>
    <w:lvl w:ilvl="0" w:tplc="6F020B54">
      <w:start w:val="13"/>
      <w:numFmt w:val="bullet"/>
      <w:lvlText w:val=""/>
      <w:lvlJc w:val="left"/>
      <w:pPr>
        <w:ind w:left="720" w:hanging="360"/>
      </w:pPr>
      <w:rPr>
        <w:rFonts w:ascii="Symbol" w:eastAsia="MS Mincho"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9378FA"/>
    <w:multiLevelType w:val="hybridMultilevel"/>
    <w:tmpl w:val="169E1B84"/>
    <w:lvl w:ilvl="0" w:tplc="57B418A6">
      <w:start w:val="2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0D43E1B"/>
    <w:multiLevelType w:val="hybridMultilevel"/>
    <w:tmpl w:val="F4C483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5341710"/>
    <w:multiLevelType w:val="hybridMultilevel"/>
    <w:tmpl w:val="E99A70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0B38A1"/>
    <w:multiLevelType w:val="hybridMultilevel"/>
    <w:tmpl w:val="8556C3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838602C"/>
    <w:multiLevelType w:val="hybridMultilevel"/>
    <w:tmpl w:val="52E8EB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C41966"/>
    <w:multiLevelType w:val="hybridMultilevel"/>
    <w:tmpl w:val="26F28872"/>
    <w:lvl w:ilvl="0" w:tplc="0816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03B23AA"/>
    <w:multiLevelType w:val="hybridMultilevel"/>
    <w:tmpl w:val="65BC74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C14C9A"/>
    <w:multiLevelType w:val="multilevel"/>
    <w:tmpl w:val="D7101106"/>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15:restartNumberingAfterBreak="0">
    <w:nsid w:val="56F1274C"/>
    <w:multiLevelType w:val="hybridMultilevel"/>
    <w:tmpl w:val="6B2631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1B53375"/>
    <w:multiLevelType w:val="hybridMultilevel"/>
    <w:tmpl w:val="BF3AA466"/>
    <w:lvl w:ilvl="0" w:tplc="2F46F744">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452FB9"/>
    <w:multiLevelType w:val="hybridMultilevel"/>
    <w:tmpl w:val="E99A70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542BBF"/>
    <w:multiLevelType w:val="hybridMultilevel"/>
    <w:tmpl w:val="D60290A4"/>
    <w:lvl w:ilvl="0" w:tplc="E1DAFBBA">
      <w:numFmt w:val="bullet"/>
      <w:lvlText w:val=""/>
      <w:lvlJc w:val="left"/>
      <w:pPr>
        <w:ind w:left="720" w:hanging="360"/>
      </w:pPr>
      <w:rPr>
        <w:rFonts w:ascii="Symbol" w:eastAsia="MS Mincho"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E84635"/>
    <w:multiLevelType w:val="hybridMultilevel"/>
    <w:tmpl w:val="37DEB4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99018C"/>
    <w:multiLevelType w:val="hybridMultilevel"/>
    <w:tmpl w:val="5092610C"/>
    <w:lvl w:ilvl="0" w:tplc="7D405D14">
      <w:start w:val="13"/>
      <w:numFmt w:val="bullet"/>
      <w:lvlText w:val=""/>
      <w:lvlJc w:val="left"/>
      <w:pPr>
        <w:ind w:left="720" w:hanging="360"/>
      </w:pPr>
      <w:rPr>
        <w:rFonts w:ascii="Symbol" w:eastAsia="MS Mincho"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C3293B"/>
    <w:multiLevelType w:val="singleLevel"/>
    <w:tmpl w:val="700E2900"/>
    <w:lvl w:ilvl="0">
      <w:start w:val="1"/>
      <w:numFmt w:val="decimal"/>
      <w:lvlText w:val="[%1]"/>
      <w:lvlJc w:val="left"/>
      <w:pPr>
        <w:tabs>
          <w:tab w:val="num" w:pos="0"/>
        </w:tabs>
        <w:ind w:left="0" w:firstLine="0"/>
      </w:pPr>
      <w:rPr>
        <w:rFonts w:hint="default"/>
      </w:rPr>
    </w:lvl>
  </w:abstractNum>
  <w:abstractNum w:abstractNumId="39" w15:restartNumberingAfterBreak="0">
    <w:nsid w:val="71BF0A4C"/>
    <w:multiLevelType w:val="hybridMultilevel"/>
    <w:tmpl w:val="33548814"/>
    <w:lvl w:ilvl="0" w:tplc="BDD402C2">
      <w:numFmt w:val="bullet"/>
      <w:lvlText w:val=""/>
      <w:lvlJc w:val="left"/>
      <w:pPr>
        <w:ind w:left="720" w:hanging="360"/>
      </w:pPr>
      <w:rPr>
        <w:rFonts w:ascii="Symbol" w:eastAsia="MS Mincho"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F24BA6"/>
    <w:multiLevelType w:val="multilevel"/>
    <w:tmpl w:val="5972FFBE"/>
    <w:lvl w:ilvl="0">
      <w:start w:val="2"/>
      <w:numFmt w:val="decimal"/>
      <w:pStyle w:val="subseccao"/>
      <w:suff w:val="nothing"/>
      <w:lvlText w:val="1.%1 - "/>
      <w:lvlJc w:val="left"/>
      <w:pPr>
        <w:ind w:left="360" w:hanging="360"/>
      </w:pPr>
      <w:rPr>
        <w:rFonts w:hint="default"/>
        <w:b w:val="0"/>
        <w:i w:val="0"/>
        <w:sz w:val="28"/>
      </w:rPr>
    </w:lvl>
    <w:lvl w:ilvl="1">
      <w:start w:val="1"/>
      <w:numFmt w:val="decimal"/>
      <w:pStyle w:val="subseccao"/>
      <w:lvlText w:val="1.%1.%2 -"/>
      <w:lvlJc w:val="left"/>
      <w:pPr>
        <w:tabs>
          <w:tab w:val="num" w:pos="1004"/>
        </w:tabs>
        <w:ind w:left="716" w:hanging="432"/>
      </w:pPr>
      <w:rPr>
        <w:rFonts w:ascii="Trebuchet MS" w:hAnsi="Trebuchet MS" w:hint="default"/>
        <w:b w:val="0"/>
        <w:i w:val="0"/>
        <w:color w:val="auto"/>
        <w:sz w:val="24"/>
        <w:u w:val="no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753420C2"/>
    <w:multiLevelType w:val="hybridMultilevel"/>
    <w:tmpl w:val="E99A70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9365454"/>
    <w:multiLevelType w:val="hybridMultilevel"/>
    <w:tmpl w:val="A5C28584"/>
    <w:lvl w:ilvl="0" w:tplc="0816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C004E91"/>
    <w:multiLevelType w:val="hybridMultilevel"/>
    <w:tmpl w:val="A13AC6BE"/>
    <w:lvl w:ilvl="0" w:tplc="2F46F744">
      <w:numFmt w:val="bullet"/>
      <w:lvlText w:val="-"/>
      <w:lvlJc w:val="left"/>
      <w:pPr>
        <w:ind w:left="720" w:hanging="360"/>
      </w:pPr>
      <w:rPr>
        <w:rFonts w:ascii="Trebuchet MS" w:eastAsia="Times New Roman"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31"/>
  </w:num>
  <w:num w:numId="3">
    <w:abstractNumId w:val="40"/>
  </w:num>
  <w:num w:numId="4">
    <w:abstractNumId w:val="38"/>
  </w:num>
  <w:num w:numId="5">
    <w:abstractNumId w:val="15"/>
  </w:num>
  <w:num w:numId="6">
    <w:abstractNumId w:val="8"/>
  </w:num>
  <w:num w:numId="7">
    <w:abstractNumId w:val="1"/>
  </w:num>
  <w:num w:numId="8">
    <w:abstractNumId w:val="32"/>
  </w:num>
  <w:num w:numId="9">
    <w:abstractNumId w:val="25"/>
  </w:num>
  <w:num w:numId="10">
    <w:abstractNumId w:val="3"/>
  </w:num>
  <w:num w:numId="11">
    <w:abstractNumId w:val="6"/>
  </w:num>
  <w:num w:numId="12">
    <w:abstractNumId w:val="29"/>
  </w:num>
  <w:num w:numId="13">
    <w:abstractNumId w:val="42"/>
  </w:num>
  <w:num w:numId="14">
    <w:abstractNumId w:val="43"/>
  </w:num>
  <w:num w:numId="15">
    <w:abstractNumId w:val="14"/>
  </w:num>
  <w:num w:numId="16">
    <w:abstractNumId w:val="20"/>
  </w:num>
  <w:num w:numId="17">
    <w:abstractNumId w:val="26"/>
  </w:num>
  <w:num w:numId="18">
    <w:abstractNumId w:val="41"/>
  </w:num>
  <w:num w:numId="19">
    <w:abstractNumId w:val="2"/>
  </w:num>
  <w:num w:numId="20">
    <w:abstractNumId w:val="34"/>
  </w:num>
  <w:num w:numId="21">
    <w:abstractNumId w:val="5"/>
  </w:num>
  <w:num w:numId="22">
    <w:abstractNumId w:val="16"/>
  </w:num>
  <w:num w:numId="23">
    <w:abstractNumId w:val="36"/>
  </w:num>
  <w:num w:numId="24">
    <w:abstractNumId w:val="35"/>
  </w:num>
  <w:num w:numId="25">
    <w:abstractNumId w:val="39"/>
  </w:num>
  <w:num w:numId="26">
    <w:abstractNumId w:val="21"/>
  </w:num>
  <w:num w:numId="27">
    <w:abstractNumId w:val="10"/>
  </w:num>
  <w:num w:numId="28">
    <w:abstractNumId w:val="30"/>
  </w:num>
  <w:num w:numId="29">
    <w:abstractNumId w:val="7"/>
  </w:num>
  <w:num w:numId="30">
    <w:abstractNumId w:val="13"/>
  </w:num>
  <w:num w:numId="31">
    <w:abstractNumId w:val="22"/>
  </w:num>
  <w:num w:numId="32">
    <w:abstractNumId w:val="18"/>
  </w:num>
  <w:num w:numId="33">
    <w:abstractNumId w:val="24"/>
  </w:num>
  <w:num w:numId="34">
    <w:abstractNumId w:val="19"/>
  </w:num>
  <w:num w:numId="35">
    <w:abstractNumId w:val="33"/>
  </w:num>
  <w:num w:numId="36">
    <w:abstractNumId w:val="0"/>
  </w:num>
  <w:num w:numId="37">
    <w:abstractNumId w:val="12"/>
  </w:num>
  <w:num w:numId="38">
    <w:abstractNumId w:val="28"/>
  </w:num>
  <w:num w:numId="39">
    <w:abstractNumId w:val="9"/>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27"/>
  </w:num>
  <w:num w:numId="43">
    <w:abstractNumId w:val="4"/>
  </w:num>
  <w:num w:numId="44">
    <w:abstractNumId w:val="37"/>
  </w:num>
  <w:num w:numId="45">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276"/>
    <w:rsid w:val="00012E7D"/>
    <w:rsid w:val="000171F9"/>
    <w:rsid w:val="00020E09"/>
    <w:rsid w:val="00031172"/>
    <w:rsid w:val="00041675"/>
    <w:rsid w:val="00041733"/>
    <w:rsid w:val="00042A1E"/>
    <w:rsid w:val="00044C48"/>
    <w:rsid w:val="000534BF"/>
    <w:rsid w:val="000551F3"/>
    <w:rsid w:val="0006084B"/>
    <w:rsid w:val="00060DC0"/>
    <w:rsid w:val="00060E5A"/>
    <w:rsid w:val="000611AF"/>
    <w:rsid w:val="000645CB"/>
    <w:rsid w:val="000664B4"/>
    <w:rsid w:val="0007055B"/>
    <w:rsid w:val="00077CD2"/>
    <w:rsid w:val="000804A5"/>
    <w:rsid w:val="00082A4F"/>
    <w:rsid w:val="0008336E"/>
    <w:rsid w:val="00085DAA"/>
    <w:rsid w:val="00086C1E"/>
    <w:rsid w:val="0009607E"/>
    <w:rsid w:val="00096339"/>
    <w:rsid w:val="000A7095"/>
    <w:rsid w:val="000A79FA"/>
    <w:rsid w:val="000B2262"/>
    <w:rsid w:val="000B2A80"/>
    <w:rsid w:val="000B2C34"/>
    <w:rsid w:val="000B470F"/>
    <w:rsid w:val="000B6103"/>
    <w:rsid w:val="000C0ECF"/>
    <w:rsid w:val="000C425D"/>
    <w:rsid w:val="000C7F6A"/>
    <w:rsid w:val="000D053F"/>
    <w:rsid w:val="000D0D31"/>
    <w:rsid w:val="000D0FDE"/>
    <w:rsid w:val="000D29B3"/>
    <w:rsid w:val="000E083E"/>
    <w:rsid w:val="000E118C"/>
    <w:rsid w:val="000E38B1"/>
    <w:rsid w:val="000E6051"/>
    <w:rsid w:val="000F29C5"/>
    <w:rsid w:val="000F55A1"/>
    <w:rsid w:val="000F6CD1"/>
    <w:rsid w:val="001053EF"/>
    <w:rsid w:val="00110B33"/>
    <w:rsid w:val="00110D6B"/>
    <w:rsid w:val="001151FE"/>
    <w:rsid w:val="001178E0"/>
    <w:rsid w:val="00120295"/>
    <w:rsid w:val="0013292E"/>
    <w:rsid w:val="0013356E"/>
    <w:rsid w:val="00142323"/>
    <w:rsid w:val="00143587"/>
    <w:rsid w:val="00147172"/>
    <w:rsid w:val="00172561"/>
    <w:rsid w:val="00174147"/>
    <w:rsid w:val="001745A8"/>
    <w:rsid w:val="00175CA8"/>
    <w:rsid w:val="001768D9"/>
    <w:rsid w:val="00177732"/>
    <w:rsid w:val="001812F6"/>
    <w:rsid w:val="00183000"/>
    <w:rsid w:val="00184746"/>
    <w:rsid w:val="00187E31"/>
    <w:rsid w:val="0019245E"/>
    <w:rsid w:val="00197224"/>
    <w:rsid w:val="00197342"/>
    <w:rsid w:val="001B2538"/>
    <w:rsid w:val="001C31A9"/>
    <w:rsid w:val="001C75B4"/>
    <w:rsid w:val="001D069A"/>
    <w:rsid w:val="001E2341"/>
    <w:rsid w:val="001E7232"/>
    <w:rsid w:val="001F00BF"/>
    <w:rsid w:val="00201501"/>
    <w:rsid w:val="002027ED"/>
    <w:rsid w:val="00205B8A"/>
    <w:rsid w:val="0021586F"/>
    <w:rsid w:val="00216E14"/>
    <w:rsid w:val="002345C4"/>
    <w:rsid w:val="002351E2"/>
    <w:rsid w:val="002352E9"/>
    <w:rsid w:val="002375CC"/>
    <w:rsid w:val="00240A19"/>
    <w:rsid w:val="002469F8"/>
    <w:rsid w:val="00250216"/>
    <w:rsid w:val="0025526A"/>
    <w:rsid w:val="002574C4"/>
    <w:rsid w:val="00263BE6"/>
    <w:rsid w:val="0026698C"/>
    <w:rsid w:val="0028214E"/>
    <w:rsid w:val="002950D2"/>
    <w:rsid w:val="0029681F"/>
    <w:rsid w:val="00297B3A"/>
    <w:rsid w:val="002A1C00"/>
    <w:rsid w:val="002A2001"/>
    <w:rsid w:val="002B1651"/>
    <w:rsid w:val="002B7A0E"/>
    <w:rsid w:val="002C2A1A"/>
    <w:rsid w:val="002C3E75"/>
    <w:rsid w:val="002D10A3"/>
    <w:rsid w:val="002D1351"/>
    <w:rsid w:val="002D31DE"/>
    <w:rsid w:val="002D7589"/>
    <w:rsid w:val="002E31FF"/>
    <w:rsid w:val="002E439F"/>
    <w:rsid w:val="002E6179"/>
    <w:rsid w:val="002F4CF1"/>
    <w:rsid w:val="002F5C65"/>
    <w:rsid w:val="00300A75"/>
    <w:rsid w:val="0030628F"/>
    <w:rsid w:val="00307D9F"/>
    <w:rsid w:val="003108A5"/>
    <w:rsid w:val="003216A3"/>
    <w:rsid w:val="00337D96"/>
    <w:rsid w:val="0034151B"/>
    <w:rsid w:val="0034349E"/>
    <w:rsid w:val="0035164D"/>
    <w:rsid w:val="00353563"/>
    <w:rsid w:val="00354A22"/>
    <w:rsid w:val="00355932"/>
    <w:rsid w:val="00363724"/>
    <w:rsid w:val="003655FF"/>
    <w:rsid w:val="00370BE4"/>
    <w:rsid w:val="00392798"/>
    <w:rsid w:val="00392E16"/>
    <w:rsid w:val="00394141"/>
    <w:rsid w:val="003951A3"/>
    <w:rsid w:val="00397781"/>
    <w:rsid w:val="003A0778"/>
    <w:rsid w:val="003B05ED"/>
    <w:rsid w:val="003B0607"/>
    <w:rsid w:val="003D1E34"/>
    <w:rsid w:val="003D386E"/>
    <w:rsid w:val="003D5448"/>
    <w:rsid w:val="003D7554"/>
    <w:rsid w:val="003E4942"/>
    <w:rsid w:val="003F0EA8"/>
    <w:rsid w:val="004001DE"/>
    <w:rsid w:val="00400D6C"/>
    <w:rsid w:val="00402B4D"/>
    <w:rsid w:val="0040569E"/>
    <w:rsid w:val="004115DE"/>
    <w:rsid w:val="004127A5"/>
    <w:rsid w:val="004352FD"/>
    <w:rsid w:val="004411C4"/>
    <w:rsid w:val="00441B11"/>
    <w:rsid w:val="00441BE9"/>
    <w:rsid w:val="004443B1"/>
    <w:rsid w:val="00452028"/>
    <w:rsid w:val="00474DAD"/>
    <w:rsid w:val="0047522C"/>
    <w:rsid w:val="004763C9"/>
    <w:rsid w:val="00476D79"/>
    <w:rsid w:val="0048196F"/>
    <w:rsid w:val="0049342F"/>
    <w:rsid w:val="00493872"/>
    <w:rsid w:val="004938C0"/>
    <w:rsid w:val="00495DF4"/>
    <w:rsid w:val="00495F39"/>
    <w:rsid w:val="004A0196"/>
    <w:rsid w:val="004A1B20"/>
    <w:rsid w:val="004B1674"/>
    <w:rsid w:val="004B2806"/>
    <w:rsid w:val="004B323D"/>
    <w:rsid w:val="004B68CD"/>
    <w:rsid w:val="004C3DC7"/>
    <w:rsid w:val="004D5955"/>
    <w:rsid w:val="004E7AE4"/>
    <w:rsid w:val="004F0150"/>
    <w:rsid w:val="004F5A18"/>
    <w:rsid w:val="005036F7"/>
    <w:rsid w:val="00504E6B"/>
    <w:rsid w:val="00506328"/>
    <w:rsid w:val="00514648"/>
    <w:rsid w:val="00520216"/>
    <w:rsid w:val="00521B6E"/>
    <w:rsid w:val="005220A4"/>
    <w:rsid w:val="00522194"/>
    <w:rsid w:val="00522533"/>
    <w:rsid w:val="005317A2"/>
    <w:rsid w:val="0053467F"/>
    <w:rsid w:val="00537DC0"/>
    <w:rsid w:val="00544E0D"/>
    <w:rsid w:val="00546109"/>
    <w:rsid w:val="00547E3D"/>
    <w:rsid w:val="005522A4"/>
    <w:rsid w:val="0055575D"/>
    <w:rsid w:val="00563F94"/>
    <w:rsid w:val="00570CC7"/>
    <w:rsid w:val="00570CFD"/>
    <w:rsid w:val="00576C80"/>
    <w:rsid w:val="005779A5"/>
    <w:rsid w:val="00591646"/>
    <w:rsid w:val="00593C1F"/>
    <w:rsid w:val="005956EE"/>
    <w:rsid w:val="00595C6B"/>
    <w:rsid w:val="005A049E"/>
    <w:rsid w:val="005A1B55"/>
    <w:rsid w:val="005A3F96"/>
    <w:rsid w:val="005A4EA2"/>
    <w:rsid w:val="005B3F64"/>
    <w:rsid w:val="005C3E35"/>
    <w:rsid w:val="005C3FB6"/>
    <w:rsid w:val="005E400E"/>
    <w:rsid w:val="005E4B3B"/>
    <w:rsid w:val="005E5E5C"/>
    <w:rsid w:val="005E5F10"/>
    <w:rsid w:val="005F0055"/>
    <w:rsid w:val="005F3716"/>
    <w:rsid w:val="005F7156"/>
    <w:rsid w:val="005F76EC"/>
    <w:rsid w:val="0060097B"/>
    <w:rsid w:val="00601764"/>
    <w:rsid w:val="00607E07"/>
    <w:rsid w:val="00612276"/>
    <w:rsid w:val="00615919"/>
    <w:rsid w:val="00620E72"/>
    <w:rsid w:val="00622B35"/>
    <w:rsid w:val="00624E6E"/>
    <w:rsid w:val="00624FAC"/>
    <w:rsid w:val="006305ED"/>
    <w:rsid w:val="00630B2F"/>
    <w:rsid w:val="00634236"/>
    <w:rsid w:val="00641118"/>
    <w:rsid w:val="00642512"/>
    <w:rsid w:val="00644478"/>
    <w:rsid w:val="00645359"/>
    <w:rsid w:val="0065151A"/>
    <w:rsid w:val="006527F7"/>
    <w:rsid w:val="00652A3B"/>
    <w:rsid w:val="00665EDE"/>
    <w:rsid w:val="0066642C"/>
    <w:rsid w:val="00671329"/>
    <w:rsid w:val="0067755B"/>
    <w:rsid w:val="00681375"/>
    <w:rsid w:val="00687DE8"/>
    <w:rsid w:val="0069537F"/>
    <w:rsid w:val="00695986"/>
    <w:rsid w:val="006A1127"/>
    <w:rsid w:val="006B2980"/>
    <w:rsid w:val="006C1236"/>
    <w:rsid w:val="006D0730"/>
    <w:rsid w:val="006D0F03"/>
    <w:rsid w:val="006E153C"/>
    <w:rsid w:val="006F40BC"/>
    <w:rsid w:val="006F5528"/>
    <w:rsid w:val="00703640"/>
    <w:rsid w:val="00703704"/>
    <w:rsid w:val="00710F9D"/>
    <w:rsid w:val="00714BB1"/>
    <w:rsid w:val="00715EE0"/>
    <w:rsid w:val="007202CC"/>
    <w:rsid w:val="00726834"/>
    <w:rsid w:val="00745A20"/>
    <w:rsid w:val="0075030C"/>
    <w:rsid w:val="00752F60"/>
    <w:rsid w:val="0075404A"/>
    <w:rsid w:val="00756E80"/>
    <w:rsid w:val="00764DAF"/>
    <w:rsid w:val="007663CA"/>
    <w:rsid w:val="0076644B"/>
    <w:rsid w:val="00785D47"/>
    <w:rsid w:val="00786B04"/>
    <w:rsid w:val="00790656"/>
    <w:rsid w:val="00790843"/>
    <w:rsid w:val="00793BAA"/>
    <w:rsid w:val="00794FAF"/>
    <w:rsid w:val="007954E9"/>
    <w:rsid w:val="0079670E"/>
    <w:rsid w:val="007A4FD0"/>
    <w:rsid w:val="007A7279"/>
    <w:rsid w:val="007B16E6"/>
    <w:rsid w:val="007B7AB9"/>
    <w:rsid w:val="007B7FCE"/>
    <w:rsid w:val="007C2D51"/>
    <w:rsid w:val="007C3E5E"/>
    <w:rsid w:val="007D342B"/>
    <w:rsid w:val="007D557D"/>
    <w:rsid w:val="007D642D"/>
    <w:rsid w:val="007E18B6"/>
    <w:rsid w:val="007F3CE1"/>
    <w:rsid w:val="00802230"/>
    <w:rsid w:val="0080377C"/>
    <w:rsid w:val="00823506"/>
    <w:rsid w:val="00825F38"/>
    <w:rsid w:val="008360DD"/>
    <w:rsid w:val="00840E6A"/>
    <w:rsid w:val="008619A7"/>
    <w:rsid w:val="00867C49"/>
    <w:rsid w:val="00875330"/>
    <w:rsid w:val="008907E1"/>
    <w:rsid w:val="008940DC"/>
    <w:rsid w:val="00894F7D"/>
    <w:rsid w:val="00896AD4"/>
    <w:rsid w:val="00896DCC"/>
    <w:rsid w:val="008B4F14"/>
    <w:rsid w:val="008B79B8"/>
    <w:rsid w:val="008C0512"/>
    <w:rsid w:val="008C2B59"/>
    <w:rsid w:val="008D2B6D"/>
    <w:rsid w:val="008D2D1D"/>
    <w:rsid w:val="008D5A28"/>
    <w:rsid w:val="008E2C26"/>
    <w:rsid w:val="008F0066"/>
    <w:rsid w:val="008F069E"/>
    <w:rsid w:val="008F1BCB"/>
    <w:rsid w:val="008F34B4"/>
    <w:rsid w:val="00903541"/>
    <w:rsid w:val="00903D71"/>
    <w:rsid w:val="0091145D"/>
    <w:rsid w:val="00912597"/>
    <w:rsid w:val="009265A3"/>
    <w:rsid w:val="00926E42"/>
    <w:rsid w:val="009318A6"/>
    <w:rsid w:val="00943048"/>
    <w:rsid w:val="009439BB"/>
    <w:rsid w:val="00946B54"/>
    <w:rsid w:val="009520EF"/>
    <w:rsid w:val="00952410"/>
    <w:rsid w:val="00960E5A"/>
    <w:rsid w:val="009613AA"/>
    <w:rsid w:val="00965560"/>
    <w:rsid w:val="00970F4B"/>
    <w:rsid w:val="00971A8E"/>
    <w:rsid w:val="00972596"/>
    <w:rsid w:val="00972680"/>
    <w:rsid w:val="00985C3F"/>
    <w:rsid w:val="009A68AA"/>
    <w:rsid w:val="009A75B7"/>
    <w:rsid w:val="009B51C4"/>
    <w:rsid w:val="009B7181"/>
    <w:rsid w:val="009C3F96"/>
    <w:rsid w:val="009D23CE"/>
    <w:rsid w:val="009D3602"/>
    <w:rsid w:val="009D4E45"/>
    <w:rsid w:val="009D600A"/>
    <w:rsid w:val="009E087D"/>
    <w:rsid w:val="009E2193"/>
    <w:rsid w:val="009E330F"/>
    <w:rsid w:val="009E43AA"/>
    <w:rsid w:val="009E4997"/>
    <w:rsid w:val="009E6287"/>
    <w:rsid w:val="009F0429"/>
    <w:rsid w:val="009F41A8"/>
    <w:rsid w:val="00A00356"/>
    <w:rsid w:val="00A01E71"/>
    <w:rsid w:val="00A049C1"/>
    <w:rsid w:val="00A05EE1"/>
    <w:rsid w:val="00A0656D"/>
    <w:rsid w:val="00A11540"/>
    <w:rsid w:val="00A138D4"/>
    <w:rsid w:val="00A17775"/>
    <w:rsid w:val="00A178AA"/>
    <w:rsid w:val="00A27760"/>
    <w:rsid w:val="00A32F4C"/>
    <w:rsid w:val="00A4176F"/>
    <w:rsid w:val="00A4656E"/>
    <w:rsid w:val="00A53460"/>
    <w:rsid w:val="00A550E1"/>
    <w:rsid w:val="00A6059E"/>
    <w:rsid w:val="00A60A50"/>
    <w:rsid w:val="00A6610F"/>
    <w:rsid w:val="00A847F7"/>
    <w:rsid w:val="00A86B5E"/>
    <w:rsid w:val="00A91168"/>
    <w:rsid w:val="00AA4664"/>
    <w:rsid w:val="00AA5234"/>
    <w:rsid w:val="00AA635C"/>
    <w:rsid w:val="00AB00BD"/>
    <w:rsid w:val="00AB0FBA"/>
    <w:rsid w:val="00AB127F"/>
    <w:rsid w:val="00AB4713"/>
    <w:rsid w:val="00AB4CAE"/>
    <w:rsid w:val="00AB5686"/>
    <w:rsid w:val="00AB646D"/>
    <w:rsid w:val="00AB7245"/>
    <w:rsid w:val="00AC36C2"/>
    <w:rsid w:val="00AC4C7C"/>
    <w:rsid w:val="00AC52AC"/>
    <w:rsid w:val="00AD1558"/>
    <w:rsid w:val="00AD1564"/>
    <w:rsid w:val="00AF62C1"/>
    <w:rsid w:val="00B0151D"/>
    <w:rsid w:val="00B045A3"/>
    <w:rsid w:val="00B05E37"/>
    <w:rsid w:val="00B20C72"/>
    <w:rsid w:val="00B24322"/>
    <w:rsid w:val="00B26488"/>
    <w:rsid w:val="00B31276"/>
    <w:rsid w:val="00B32239"/>
    <w:rsid w:val="00B43E00"/>
    <w:rsid w:val="00B47AA6"/>
    <w:rsid w:val="00B505C2"/>
    <w:rsid w:val="00B53654"/>
    <w:rsid w:val="00B53A92"/>
    <w:rsid w:val="00B57A06"/>
    <w:rsid w:val="00B7051D"/>
    <w:rsid w:val="00B72999"/>
    <w:rsid w:val="00B84C3F"/>
    <w:rsid w:val="00B92A9F"/>
    <w:rsid w:val="00B92DDE"/>
    <w:rsid w:val="00B95BF8"/>
    <w:rsid w:val="00B96EE4"/>
    <w:rsid w:val="00B9746B"/>
    <w:rsid w:val="00BA0C88"/>
    <w:rsid w:val="00BA2755"/>
    <w:rsid w:val="00BA38B0"/>
    <w:rsid w:val="00BA38F1"/>
    <w:rsid w:val="00BA5D59"/>
    <w:rsid w:val="00BB01B4"/>
    <w:rsid w:val="00BB1E3B"/>
    <w:rsid w:val="00BB64E5"/>
    <w:rsid w:val="00BC2978"/>
    <w:rsid w:val="00BC7D2E"/>
    <w:rsid w:val="00BD19A8"/>
    <w:rsid w:val="00BE6F6C"/>
    <w:rsid w:val="00BF39BE"/>
    <w:rsid w:val="00BF50F6"/>
    <w:rsid w:val="00BF5CCD"/>
    <w:rsid w:val="00BF68C0"/>
    <w:rsid w:val="00C00D36"/>
    <w:rsid w:val="00C013F5"/>
    <w:rsid w:val="00C10CE6"/>
    <w:rsid w:val="00C13B37"/>
    <w:rsid w:val="00C141BC"/>
    <w:rsid w:val="00C16D11"/>
    <w:rsid w:val="00C25EBB"/>
    <w:rsid w:val="00C3672B"/>
    <w:rsid w:val="00C41715"/>
    <w:rsid w:val="00C424D1"/>
    <w:rsid w:val="00C464DC"/>
    <w:rsid w:val="00C51AF3"/>
    <w:rsid w:val="00C53FAE"/>
    <w:rsid w:val="00C6357B"/>
    <w:rsid w:val="00C67189"/>
    <w:rsid w:val="00C71512"/>
    <w:rsid w:val="00C716F8"/>
    <w:rsid w:val="00C7338F"/>
    <w:rsid w:val="00C83AF0"/>
    <w:rsid w:val="00C86C47"/>
    <w:rsid w:val="00C876E3"/>
    <w:rsid w:val="00C926D5"/>
    <w:rsid w:val="00C96B43"/>
    <w:rsid w:val="00CA4BAC"/>
    <w:rsid w:val="00CA5D03"/>
    <w:rsid w:val="00CB1B10"/>
    <w:rsid w:val="00CB4969"/>
    <w:rsid w:val="00CC0D96"/>
    <w:rsid w:val="00CC0FA5"/>
    <w:rsid w:val="00CC1C1C"/>
    <w:rsid w:val="00CC51FB"/>
    <w:rsid w:val="00CC63A9"/>
    <w:rsid w:val="00CD0E1F"/>
    <w:rsid w:val="00CD5258"/>
    <w:rsid w:val="00CE0E4B"/>
    <w:rsid w:val="00CE51C8"/>
    <w:rsid w:val="00CF1080"/>
    <w:rsid w:val="00CF1102"/>
    <w:rsid w:val="00CF3A66"/>
    <w:rsid w:val="00CF5518"/>
    <w:rsid w:val="00D0619D"/>
    <w:rsid w:val="00D13AD0"/>
    <w:rsid w:val="00D142EA"/>
    <w:rsid w:val="00D15EB9"/>
    <w:rsid w:val="00D25C11"/>
    <w:rsid w:val="00D302D3"/>
    <w:rsid w:val="00D33015"/>
    <w:rsid w:val="00D352C5"/>
    <w:rsid w:val="00D40EA5"/>
    <w:rsid w:val="00D418C6"/>
    <w:rsid w:val="00D47625"/>
    <w:rsid w:val="00D65E5C"/>
    <w:rsid w:val="00D73D31"/>
    <w:rsid w:val="00D75620"/>
    <w:rsid w:val="00D80B00"/>
    <w:rsid w:val="00D80F5D"/>
    <w:rsid w:val="00D8323D"/>
    <w:rsid w:val="00D934B7"/>
    <w:rsid w:val="00D9358E"/>
    <w:rsid w:val="00DA0DB9"/>
    <w:rsid w:val="00DA2004"/>
    <w:rsid w:val="00DA3BA4"/>
    <w:rsid w:val="00DA577E"/>
    <w:rsid w:val="00DB0D13"/>
    <w:rsid w:val="00DB207B"/>
    <w:rsid w:val="00DB20E8"/>
    <w:rsid w:val="00DC7C29"/>
    <w:rsid w:val="00DE46F1"/>
    <w:rsid w:val="00DE48CE"/>
    <w:rsid w:val="00DE74AE"/>
    <w:rsid w:val="00DF385F"/>
    <w:rsid w:val="00DF52B4"/>
    <w:rsid w:val="00E02281"/>
    <w:rsid w:val="00E0655D"/>
    <w:rsid w:val="00E16DE9"/>
    <w:rsid w:val="00E171A9"/>
    <w:rsid w:val="00E17FE3"/>
    <w:rsid w:val="00E21B62"/>
    <w:rsid w:val="00E22604"/>
    <w:rsid w:val="00E25695"/>
    <w:rsid w:val="00E33312"/>
    <w:rsid w:val="00E341B0"/>
    <w:rsid w:val="00E371BB"/>
    <w:rsid w:val="00E41CC0"/>
    <w:rsid w:val="00E4482A"/>
    <w:rsid w:val="00E44C32"/>
    <w:rsid w:val="00E503ED"/>
    <w:rsid w:val="00E53A97"/>
    <w:rsid w:val="00E54EB3"/>
    <w:rsid w:val="00E56541"/>
    <w:rsid w:val="00E57159"/>
    <w:rsid w:val="00E5718D"/>
    <w:rsid w:val="00E665B7"/>
    <w:rsid w:val="00E871A6"/>
    <w:rsid w:val="00E871B5"/>
    <w:rsid w:val="00E95BE9"/>
    <w:rsid w:val="00EA2B61"/>
    <w:rsid w:val="00EA7198"/>
    <w:rsid w:val="00EA7452"/>
    <w:rsid w:val="00EB0591"/>
    <w:rsid w:val="00EB09DC"/>
    <w:rsid w:val="00EB3102"/>
    <w:rsid w:val="00EB442D"/>
    <w:rsid w:val="00EB4B83"/>
    <w:rsid w:val="00EB741E"/>
    <w:rsid w:val="00EB75CD"/>
    <w:rsid w:val="00EC124B"/>
    <w:rsid w:val="00EC2FBC"/>
    <w:rsid w:val="00EC3F49"/>
    <w:rsid w:val="00ED673B"/>
    <w:rsid w:val="00EE022A"/>
    <w:rsid w:val="00EE0B69"/>
    <w:rsid w:val="00EE2E72"/>
    <w:rsid w:val="00EE652E"/>
    <w:rsid w:val="00EE6D9C"/>
    <w:rsid w:val="00EE77DA"/>
    <w:rsid w:val="00EF133C"/>
    <w:rsid w:val="00EF1FDB"/>
    <w:rsid w:val="00EF5B0D"/>
    <w:rsid w:val="00EF5DF0"/>
    <w:rsid w:val="00F2367F"/>
    <w:rsid w:val="00F25B88"/>
    <w:rsid w:val="00F263BA"/>
    <w:rsid w:val="00F26435"/>
    <w:rsid w:val="00F31655"/>
    <w:rsid w:val="00F35372"/>
    <w:rsid w:val="00F362DE"/>
    <w:rsid w:val="00F448A9"/>
    <w:rsid w:val="00F45271"/>
    <w:rsid w:val="00F46B5C"/>
    <w:rsid w:val="00F472C6"/>
    <w:rsid w:val="00F52683"/>
    <w:rsid w:val="00F52927"/>
    <w:rsid w:val="00F740B4"/>
    <w:rsid w:val="00F81747"/>
    <w:rsid w:val="00F84B72"/>
    <w:rsid w:val="00F90FDD"/>
    <w:rsid w:val="00F9102E"/>
    <w:rsid w:val="00F93D2A"/>
    <w:rsid w:val="00F95CFB"/>
    <w:rsid w:val="00FA0CB1"/>
    <w:rsid w:val="00FA0FB0"/>
    <w:rsid w:val="00FA24E7"/>
    <w:rsid w:val="00FA27CD"/>
    <w:rsid w:val="00FB4060"/>
    <w:rsid w:val="00FB6FAA"/>
    <w:rsid w:val="00FB7592"/>
    <w:rsid w:val="00FC048D"/>
    <w:rsid w:val="00FC08A2"/>
    <w:rsid w:val="00FC547A"/>
    <w:rsid w:val="00FC774C"/>
    <w:rsid w:val="00FC78CF"/>
    <w:rsid w:val="00FC7D20"/>
    <w:rsid w:val="00FD26A4"/>
    <w:rsid w:val="00FD31C2"/>
    <w:rsid w:val="00FE194C"/>
    <w:rsid w:val="00FE225E"/>
    <w:rsid w:val="00FE44B9"/>
    <w:rsid w:val="00FF0A64"/>
    <w:rsid w:val="00FF165A"/>
    <w:rsid w:val="00FF3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B7B3F5"/>
  <w15:docId w15:val="{9079E3C1-458F-864F-A330-A54648F8D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5A3"/>
    <w:pPr>
      <w:spacing w:before="120" w:after="120"/>
    </w:pPr>
    <w:rPr>
      <w:sz w:val="24"/>
      <w:szCs w:val="24"/>
      <w:lang w:val="nl-NL" w:eastAsia="nl-NL"/>
    </w:rPr>
  </w:style>
  <w:style w:type="paragraph" w:styleId="Heading1">
    <w:name w:val="heading 1"/>
    <w:aliases w:val="Capitulo"/>
    <w:basedOn w:val="Normal"/>
    <w:next w:val="Normal"/>
    <w:link w:val="Heading1Char"/>
    <w:uiPriority w:val="9"/>
    <w:qFormat/>
    <w:rsid w:val="002A2001"/>
    <w:pPr>
      <w:keepNext/>
      <w:numPr>
        <w:numId w:val="39"/>
      </w:numPr>
      <w:tabs>
        <w:tab w:val="left" w:pos="1613"/>
      </w:tabs>
      <w:spacing w:before="2160" w:after="600"/>
      <w:outlineLvl w:val="0"/>
    </w:pPr>
    <w:rPr>
      <w:b/>
      <w:kern w:val="28"/>
      <w:sz w:val="44"/>
    </w:rPr>
  </w:style>
  <w:style w:type="paragraph" w:styleId="Heading2">
    <w:name w:val="heading 2"/>
    <w:basedOn w:val="Normal"/>
    <w:next w:val="Normal"/>
    <w:link w:val="Heading2Char"/>
    <w:uiPriority w:val="9"/>
    <w:qFormat/>
    <w:rsid w:val="00B31276"/>
    <w:pPr>
      <w:numPr>
        <w:ilvl w:val="1"/>
        <w:numId w:val="39"/>
      </w:numPr>
      <w:autoSpaceDE w:val="0"/>
      <w:autoSpaceDN w:val="0"/>
      <w:adjustRightInd w:val="0"/>
      <w:spacing w:after="840"/>
      <w:outlineLvl w:val="1"/>
    </w:pPr>
    <w:rPr>
      <w:rFonts w:cs="Arial,Bold"/>
      <w:b/>
      <w:bCs/>
      <w:color w:val="000000"/>
      <w:sz w:val="32"/>
      <w:szCs w:val="32"/>
      <w:lang w:val="pt-PT"/>
    </w:rPr>
  </w:style>
  <w:style w:type="paragraph" w:styleId="Heading3">
    <w:name w:val="heading 3"/>
    <w:basedOn w:val="Normal"/>
    <w:next w:val="Normal"/>
    <w:link w:val="Heading3Char"/>
    <w:uiPriority w:val="9"/>
    <w:qFormat/>
    <w:rsid w:val="004C3DC7"/>
    <w:pPr>
      <w:keepNext/>
      <w:numPr>
        <w:ilvl w:val="2"/>
        <w:numId w:val="39"/>
      </w:numPr>
      <w:outlineLvl w:val="2"/>
    </w:pPr>
    <w:rPr>
      <w:b/>
    </w:rPr>
  </w:style>
  <w:style w:type="paragraph" w:styleId="Heading4">
    <w:name w:val="heading 4"/>
    <w:basedOn w:val="Normal"/>
    <w:next w:val="Normal"/>
    <w:link w:val="Heading4Char"/>
    <w:uiPriority w:val="9"/>
    <w:qFormat/>
    <w:rsid w:val="00E0655D"/>
    <w:pPr>
      <w:keepNext/>
      <w:numPr>
        <w:ilvl w:val="3"/>
        <w:numId w:val="39"/>
      </w:numPr>
      <w:outlineLvl w:val="3"/>
    </w:pPr>
    <w:rPr>
      <w:b/>
      <w:bCs/>
      <w:lang w:val="en-US"/>
    </w:rPr>
  </w:style>
  <w:style w:type="paragraph" w:styleId="Heading5">
    <w:name w:val="heading 5"/>
    <w:basedOn w:val="Normal"/>
    <w:next w:val="Normal"/>
    <w:link w:val="Heading5Char"/>
    <w:uiPriority w:val="9"/>
    <w:qFormat/>
    <w:rsid w:val="004127A5"/>
    <w:pPr>
      <w:numPr>
        <w:ilvl w:val="4"/>
        <w:numId w:val="39"/>
      </w:numPr>
      <w:outlineLvl w:val="4"/>
    </w:pPr>
    <w:rPr>
      <w:iCs/>
    </w:rPr>
  </w:style>
  <w:style w:type="paragraph" w:styleId="Heading6">
    <w:name w:val="heading 6"/>
    <w:basedOn w:val="Normal"/>
    <w:next w:val="Normal"/>
    <w:link w:val="Heading6Char"/>
    <w:uiPriority w:val="9"/>
    <w:qFormat/>
    <w:rsid w:val="004127A5"/>
    <w:pPr>
      <w:numPr>
        <w:ilvl w:val="5"/>
        <w:numId w:val="39"/>
      </w:numPr>
      <w:outlineLvl w:val="5"/>
    </w:pPr>
  </w:style>
  <w:style w:type="paragraph" w:styleId="Heading7">
    <w:name w:val="heading 7"/>
    <w:basedOn w:val="Normal"/>
    <w:next w:val="Normal"/>
    <w:qFormat/>
    <w:rsid w:val="004127A5"/>
    <w:pPr>
      <w:numPr>
        <w:ilvl w:val="6"/>
        <w:numId w:val="39"/>
      </w:numPr>
      <w:outlineLvl w:val="6"/>
    </w:pPr>
  </w:style>
  <w:style w:type="paragraph" w:styleId="Heading8">
    <w:name w:val="heading 8"/>
    <w:basedOn w:val="Normal"/>
    <w:next w:val="Normal"/>
    <w:qFormat/>
    <w:rsid w:val="004127A5"/>
    <w:pPr>
      <w:numPr>
        <w:ilvl w:val="7"/>
        <w:numId w:val="39"/>
      </w:numPr>
      <w:outlineLvl w:val="7"/>
    </w:pPr>
    <w:rPr>
      <w:i/>
    </w:rPr>
  </w:style>
  <w:style w:type="paragraph" w:styleId="Heading9">
    <w:name w:val="heading 9"/>
    <w:basedOn w:val="Normal"/>
    <w:next w:val="Normal"/>
    <w:qFormat/>
    <w:rsid w:val="004127A5"/>
    <w:pPr>
      <w:numPr>
        <w:ilvl w:val="8"/>
        <w:numId w:val="3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4127A5"/>
    <w:rPr>
      <w:vertAlign w:val="superscript"/>
    </w:rPr>
  </w:style>
  <w:style w:type="paragraph" w:styleId="TOC5">
    <w:name w:val="toc 5"/>
    <w:basedOn w:val="Normal"/>
    <w:next w:val="Normal"/>
    <w:semiHidden/>
    <w:rsid w:val="00EA2B61"/>
    <w:pPr>
      <w:tabs>
        <w:tab w:val="right" w:leader="dot" w:pos="8640"/>
      </w:tabs>
      <w:ind w:left="1613" w:right="360" w:hanging="648"/>
    </w:pPr>
  </w:style>
  <w:style w:type="paragraph" w:styleId="Header">
    <w:name w:val="header"/>
    <w:basedOn w:val="Normal"/>
    <w:link w:val="HeaderChar"/>
    <w:uiPriority w:val="99"/>
    <w:rsid w:val="004127A5"/>
    <w:pPr>
      <w:tabs>
        <w:tab w:val="center" w:pos="4320"/>
        <w:tab w:val="right" w:pos="8640"/>
      </w:tabs>
    </w:pPr>
  </w:style>
  <w:style w:type="paragraph" w:customStyle="1" w:styleId="TableHeading">
    <w:name w:val="Table Heading"/>
    <w:basedOn w:val="Normal"/>
    <w:next w:val="Normal"/>
    <w:link w:val="TableHeadingChar"/>
    <w:rsid w:val="00041675"/>
    <w:pPr>
      <w:autoSpaceDE w:val="0"/>
      <w:autoSpaceDN w:val="0"/>
      <w:adjustRightInd w:val="0"/>
      <w:jc w:val="center"/>
    </w:pPr>
    <w:rPr>
      <w:rFonts w:cs="Arial,Bold"/>
      <w:bCs/>
      <w:color w:val="000000"/>
      <w:lang w:val="pt-PT"/>
    </w:rPr>
  </w:style>
  <w:style w:type="paragraph" w:customStyle="1" w:styleId="FigureHeading">
    <w:name w:val="Figure Heading"/>
    <w:basedOn w:val="FootnoteText"/>
    <w:next w:val="Normal"/>
    <w:rsid w:val="00EE2E72"/>
    <w:pPr>
      <w:spacing w:before="120"/>
      <w:jc w:val="both"/>
    </w:pPr>
    <w:rPr>
      <w:lang w:val="pt-PT"/>
    </w:rPr>
  </w:style>
  <w:style w:type="paragraph" w:customStyle="1" w:styleId="PlateHeading">
    <w:name w:val="Plate Heading"/>
    <w:basedOn w:val="Normal"/>
    <w:next w:val="Normal"/>
    <w:rsid w:val="004127A5"/>
    <w:rPr>
      <w:b/>
    </w:rPr>
  </w:style>
  <w:style w:type="paragraph" w:styleId="Footer">
    <w:name w:val="footer"/>
    <w:basedOn w:val="Normal"/>
    <w:link w:val="FooterChar"/>
    <w:uiPriority w:val="99"/>
    <w:rsid w:val="004127A5"/>
    <w:pPr>
      <w:tabs>
        <w:tab w:val="center" w:pos="4320"/>
        <w:tab w:val="right" w:pos="8640"/>
      </w:tabs>
    </w:pPr>
  </w:style>
  <w:style w:type="character" w:styleId="PageNumber">
    <w:name w:val="page number"/>
    <w:basedOn w:val="DefaultParagraphFont"/>
    <w:uiPriority w:val="99"/>
    <w:rsid w:val="00C00D36"/>
    <w:rPr>
      <w:rFonts w:ascii="Trebuchet MS" w:hAnsi="Trebuchet MS"/>
      <w:sz w:val="18"/>
    </w:rPr>
  </w:style>
  <w:style w:type="paragraph" w:styleId="TOC1">
    <w:name w:val="toc 1"/>
    <w:basedOn w:val="Normal"/>
    <w:next w:val="Normal"/>
    <w:uiPriority w:val="39"/>
    <w:rsid w:val="007D557D"/>
    <w:pPr>
      <w:tabs>
        <w:tab w:val="right" w:leader="dot" w:pos="8640"/>
      </w:tabs>
      <w:spacing w:before="240"/>
    </w:pPr>
    <w:rPr>
      <w:b/>
      <w:noProof/>
      <w:sz w:val="22"/>
    </w:rPr>
  </w:style>
  <w:style w:type="paragraph" w:styleId="TOC2">
    <w:name w:val="toc 2"/>
    <w:basedOn w:val="Normal"/>
    <w:next w:val="Normal"/>
    <w:uiPriority w:val="39"/>
    <w:rsid w:val="007A4FD0"/>
    <w:pPr>
      <w:tabs>
        <w:tab w:val="right" w:leader="dot" w:pos="8640"/>
      </w:tabs>
      <w:ind w:left="539" w:right="357" w:hanging="539"/>
    </w:pPr>
  </w:style>
  <w:style w:type="paragraph" w:styleId="TOC3">
    <w:name w:val="toc 3"/>
    <w:basedOn w:val="Normal"/>
    <w:next w:val="Normal"/>
    <w:uiPriority w:val="39"/>
    <w:rsid w:val="007A4FD0"/>
    <w:pPr>
      <w:tabs>
        <w:tab w:val="right" w:leader="dot" w:pos="8640"/>
      </w:tabs>
      <w:ind w:left="720" w:right="357" w:hanging="476"/>
    </w:pPr>
  </w:style>
  <w:style w:type="paragraph" w:styleId="TOC4">
    <w:name w:val="toc 4"/>
    <w:basedOn w:val="Normal"/>
    <w:next w:val="Normal"/>
    <w:semiHidden/>
    <w:rsid w:val="00EA2B61"/>
    <w:pPr>
      <w:tabs>
        <w:tab w:val="right" w:leader="dot" w:pos="8640"/>
      </w:tabs>
      <w:ind w:left="1080" w:right="360" w:hanging="515"/>
    </w:pPr>
  </w:style>
  <w:style w:type="paragraph" w:styleId="TOC6">
    <w:name w:val="toc 6"/>
    <w:basedOn w:val="Normal"/>
    <w:next w:val="Normal"/>
    <w:autoRedefine/>
    <w:semiHidden/>
    <w:rsid w:val="00EA2B61"/>
    <w:pPr>
      <w:ind w:left="1200"/>
    </w:pPr>
  </w:style>
  <w:style w:type="paragraph" w:styleId="TOC7">
    <w:name w:val="toc 7"/>
    <w:basedOn w:val="Normal"/>
    <w:next w:val="Normal"/>
    <w:autoRedefine/>
    <w:semiHidden/>
    <w:rsid w:val="00EA2B61"/>
    <w:pPr>
      <w:ind w:left="1440"/>
    </w:pPr>
  </w:style>
  <w:style w:type="paragraph" w:styleId="TOC8">
    <w:name w:val="toc 8"/>
    <w:basedOn w:val="Normal"/>
    <w:next w:val="Normal"/>
    <w:autoRedefine/>
    <w:semiHidden/>
    <w:rsid w:val="00EA2B61"/>
    <w:pPr>
      <w:ind w:left="1680"/>
    </w:pPr>
  </w:style>
  <w:style w:type="paragraph" w:styleId="TOC9">
    <w:name w:val="toc 9"/>
    <w:basedOn w:val="Normal"/>
    <w:next w:val="Normal"/>
    <w:autoRedefine/>
    <w:semiHidden/>
    <w:rsid w:val="00EA2B61"/>
    <w:pPr>
      <w:ind w:left="1920"/>
    </w:pPr>
  </w:style>
  <w:style w:type="paragraph" w:styleId="FootnoteText">
    <w:name w:val="footnote text"/>
    <w:basedOn w:val="Normal"/>
    <w:link w:val="FootnoteTextChar"/>
    <w:uiPriority w:val="99"/>
    <w:rsid w:val="005779A5"/>
    <w:pPr>
      <w:spacing w:before="100" w:beforeAutospacing="1" w:after="100" w:afterAutospacing="1"/>
    </w:pPr>
    <w:rPr>
      <w:sz w:val="18"/>
      <w:szCs w:val="18"/>
    </w:rPr>
  </w:style>
  <w:style w:type="paragraph" w:styleId="TableofFigures">
    <w:name w:val="table of figures"/>
    <w:basedOn w:val="Normal"/>
    <w:next w:val="Normal"/>
    <w:uiPriority w:val="99"/>
    <w:rsid w:val="00EA2B61"/>
    <w:pPr>
      <w:spacing w:after="240"/>
      <w:ind w:left="475" w:right="360" w:hanging="475"/>
    </w:pPr>
  </w:style>
  <w:style w:type="paragraph" w:customStyle="1" w:styleId="Quotation">
    <w:name w:val="Quotation"/>
    <w:basedOn w:val="Normal"/>
    <w:next w:val="Normal"/>
    <w:rsid w:val="004127A5"/>
    <w:pPr>
      <w:spacing w:after="240"/>
      <w:ind w:left="1440" w:right="1440"/>
    </w:pPr>
  </w:style>
  <w:style w:type="paragraph" w:styleId="Caption">
    <w:name w:val="caption"/>
    <w:basedOn w:val="Normal"/>
    <w:next w:val="Normal"/>
    <w:uiPriority w:val="35"/>
    <w:qFormat/>
    <w:rsid w:val="003216A3"/>
    <w:rPr>
      <w:b/>
    </w:rPr>
  </w:style>
  <w:style w:type="paragraph" w:customStyle="1" w:styleId="frontmatterheadingstyle">
    <w:name w:val="frontmatterheading style"/>
    <w:basedOn w:val="Normal"/>
    <w:rsid w:val="00012E7D"/>
    <w:pPr>
      <w:spacing w:before="2160" w:after="1200"/>
    </w:pPr>
    <w:rPr>
      <w:b/>
      <w:sz w:val="40"/>
    </w:rPr>
  </w:style>
  <w:style w:type="character" w:styleId="Hyperlink">
    <w:name w:val="Hyperlink"/>
    <w:basedOn w:val="DefaultParagraphFont"/>
    <w:uiPriority w:val="99"/>
    <w:rsid w:val="004127A5"/>
    <w:rPr>
      <w:color w:val="0000FF"/>
      <w:u w:val="single"/>
    </w:rPr>
  </w:style>
  <w:style w:type="paragraph" w:styleId="NormalWeb">
    <w:name w:val="Normal (Web)"/>
    <w:basedOn w:val="Normal"/>
    <w:uiPriority w:val="99"/>
    <w:rsid w:val="00FC78CF"/>
    <w:pPr>
      <w:spacing w:before="100" w:beforeAutospacing="1" w:after="100" w:afterAutospacing="1"/>
    </w:pPr>
    <w:rPr>
      <w:rFonts w:eastAsia="Batang"/>
      <w:lang w:val="fr-FR" w:eastAsia="fr-FR"/>
    </w:rPr>
  </w:style>
  <w:style w:type="paragraph" w:styleId="DocumentMap">
    <w:name w:val="Document Map"/>
    <w:basedOn w:val="Normal"/>
    <w:semiHidden/>
    <w:rsid w:val="004127A5"/>
    <w:pPr>
      <w:shd w:val="clear" w:color="auto" w:fill="000080"/>
    </w:pPr>
    <w:rPr>
      <w:rFonts w:ascii="Tahoma" w:hAnsi="Tahoma" w:cs="Tahoma"/>
    </w:rPr>
  </w:style>
  <w:style w:type="character" w:styleId="EndnoteReference">
    <w:name w:val="endnote reference"/>
    <w:basedOn w:val="DefaultParagraphFont"/>
    <w:semiHidden/>
    <w:rsid w:val="004127A5"/>
    <w:rPr>
      <w:vertAlign w:val="superscript"/>
    </w:rPr>
  </w:style>
  <w:style w:type="paragraph" w:styleId="EndnoteText">
    <w:name w:val="endnote text"/>
    <w:basedOn w:val="Normal"/>
    <w:semiHidden/>
    <w:rsid w:val="004127A5"/>
  </w:style>
  <w:style w:type="paragraph" w:customStyle="1" w:styleId="Paragraph">
    <w:name w:val="Paragraph"/>
    <w:basedOn w:val="Normal"/>
    <w:rsid w:val="004127A5"/>
    <w:pPr>
      <w:ind w:firstLine="720"/>
    </w:pPr>
  </w:style>
  <w:style w:type="paragraph" w:customStyle="1" w:styleId="ReferenceList">
    <w:name w:val="ReferenceList"/>
    <w:basedOn w:val="frontmatterheadingstyle"/>
    <w:rsid w:val="00EA2B61"/>
  </w:style>
  <w:style w:type="paragraph" w:customStyle="1" w:styleId="Titulo">
    <w:name w:val="Titulo"/>
    <w:basedOn w:val="Header"/>
    <w:rsid w:val="00143587"/>
    <w:pPr>
      <w:spacing w:before="1200" w:after="840"/>
    </w:pPr>
    <w:rPr>
      <w:b/>
      <w:sz w:val="36"/>
      <w:szCs w:val="36"/>
      <w:lang w:val="pt-PT"/>
    </w:rPr>
  </w:style>
  <w:style w:type="character" w:customStyle="1" w:styleId="a1">
    <w:name w:val="a1"/>
    <w:basedOn w:val="DefaultParagraphFont"/>
    <w:rsid w:val="00641118"/>
    <w:rPr>
      <w:color w:val="008000"/>
    </w:rPr>
  </w:style>
  <w:style w:type="paragraph" w:customStyle="1" w:styleId="StyleHeading1">
    <w:name w:val="Style Heading 1"/>
    <w:aliases w:val="Capitulo + Before:  108 pt"/>
    <w:basedOn w:val="Heading1"/>
    <w:rsid w:val="00FE44B9"/>
    <w:rPr>
      <w:bCs/>
      <w:caps/>
    </w:rPr>
  </w:style>
  <w:style w:type="paragraph" w:customStyle="1" w:styleId="seccao">
    <w:name w:val="seccao"/>
    <w:basedOn w:val="Heading3"/>
    <w:rsid w:val="00563F94"/>
    <w:pPr>
      <w:spacing w:before="400" w:after="200"/>
    </w:pPr>
    <w:rPr>
      <w:b w:val="0"/>
      <w:i/>
      <w:sz w:val="28"/>
    </w:rPr>
  </w:style>
  <w:style w:type="table" w:styleId="TableGrid">
    <w:name w:val="Table Grid"/>
    <w:basedOn w:val="TableNormal"/>
    <w:uiPriority w:val="39"/>
    <w:rsid w:val="00FF324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840E6A"/>
    <w:pPr>
      <w:numPr>
        <w:numId w:val="2"/>
      </w:numPr>
    </w:pPr>
  </w:style>
  <w:style w:type="paragraph" w:customStyle="1" w:styleId="StyleTableHeadingBold">
    <w:name w:val="Style Table Heading + Bold"/>
    <w:basedOn w:val="TableHeading"/>
    <w:link w:val="StyleTableHeadingBoldChar"/>
    <w:rsid w:val="005E4B3B"/>
    <w:rPr>
      <w:b/>
    </w:rPr>
  </w:style>
  <w:style w:type="character" w:customStyle="1" w:styleId="TableHeadingChar">
    <w:name w:val="Table Heading Char"/>
    <w:basedOn w:val="DefaultParagraphFont"/>
    <w:link w:val="TableHeading"/>
    <w:rsid w:val="005E4B3B"/>
    <w:rPr>
      <w:rFonts w:ascii="Trebuchet MS" w:hAnsi="Trebuchet MS" w:cs="Arial,Bold"/>
      <w:bCs/>
      <w:color w:val="000000"/>
      <w:lang w:val="pt-PT" w:eastAsia="en-US" w:bidi="ar-SA"/>
    </w:rPr>
  </w:style>
  <w:style w:type="character" w:customStyle="1" w:styleId="StyleTableHeadingBoldChar">
    <w:name w:val="Style Table Heading + Bold Char"/>
    <w:basedOn w:val="TableHeadingChar"/>
    <w:link w:val="StyleTableHeadingBold"/>
    <w:rsid w:val="005E4B3B"/>
    <w:rPr>
      <w:rFonts w:ascii="Trebuchet MS" w:hAnsi="Trebuchet MS" w:cs="Arial,Bold"/>
      <w:b/>
      <w:bCs/>
      <w:color w:val="000000"/>
      <w:lang w:val="pt-PT" w:eastAsia="en-US" w:bidi="ar-SA"/>
    </w:rPr>
  </w:style>
  <w:style w:type="paragraph" w:customStyle="1" w:styleId="subseccao">
    <w:name w:val="subseccao"/>
    <w:basedOn w:val="Normal"/>
    <w:rsid w:val="0065151A"/>
    <w:pPr>
      <w:numPr>
        <w:ilvl w:val="1"/>
        <w:numId w:val="3"/>
      </w:numPr>
      <w:autoSpaceDE w:val="0"/>
      <w:autoSpaceDN w:val="0"/>
      <w:adjustRightInd w:val="0"/>
      <w:spacing w:line="300" w:lineRule="exact"/>
      <w:jc w:val="both"/>
    </w:pPr>
    <w:rPr>
      <w:lang w:val="pt-PT"/>
    </w:rPr>
  </w:style>
  <w:style w:type="paragraph" w:customStyle="1" w:styleId="Estilo16ptNegritoCentradoAntes24ptoDepois66pto">
    <w:name w:val="Estilo 16 pt Negrito Centrado Antes:  24 pto Depois:  66 pto"/>
    <w:basedOn w:val="Normal"/>
    <w:rsid w:val="00143587"/>
    <w:pPr>
      <w:spacing w:before="480" w:after="1440"/>
      <w:jc w:val="center"/>
    </w:pPr>
    <w:rPr>
      <w:b/>
      <w:bCs/>
      <w:sz w:val="32"/>
    </w:rPr>
  </w:style>
  <w:style w:type="paragraph" w:customStyle="1" w:styleId="Estilo14ptCentradoDepois30pto">
    <w:name w:val="Estilo 14 pt Centrado Depois:  30 pto"/>
    <w:basedOn w:val="Normal"/>
    <w:rsid w:val="00143587"/>
    <w:pPr>
      <w:spacing w:after="840"/>
      <w:jc w:val="center"/>
    </w:pPr>
    <w:rPr>
      <w:sz w:val="28"/>
    </w:rPr>
  </w:style>
  <w:style w:type="paragraph" w:customStyle="1" w:styleId="Seccao0">
    <w:name w:val="Seccao"/>
    <w:basedOn w:val="Normal"/>
    <w:rsid w:val="00E871A6"/>
    <w:pPr>
      <w:autoSpaceDE w:val="0"/>
      <w:autoSpaceDN w:val="0"/>
      <w:adjustRightInd w:val="0"/>
      <w:spacing w:line="300" w:lineRule="exact"/>
    </w:pPr>
    <w:rPr>
      <w:rFonts w:eastAsia="MS Mincho" w:cs="Arial,Bold"/>
      <w:b/>
      <w:bCs/>
      <w:color w:val="000000"/>
      <w:sz w:val="28"/>
      <w:szCs w:val="28"/>
      <w:lang w:val="pt-PT" w:eastAsia="ja-JP"/>
    </w:rPr>
  </w:style>
  <w:style w:type="paragraph" w:styleId="BalloonText">
    <w:name w:val="Balloon Text"/>
    <w:basedOn w:val="Normal"/>
    <w:link w:val="BalloonTextChar"/>
    <w:uiPriority w:val="99"/>
    <w:rsid w:val="000C7F6A"/>
    <w:rPr>
      <w:rFonts w:ascii="Tahoma" w:hAnsi="Tahoma" w:cs="Tahoma"/>
      <w:sz w:val="16"/>
      <w:szCs w:val="16"/>
    </w:rPr>
  </w:style>
  <w:style w:type="character" w:customStyle="1" w:styleId="BalloonTextChar">
    <w:name w:val="Balloon Text Char"/>
    <w:basedOn w:val="DefaultParagraphFont"/>
    <w:link w:val="BalloonText"/>
    <w:uiPriority w:val="99"/>
    <w:rsid w:val="000C7F6A"/>
    <w:rPr>
      <w:rFonts w:ascii="Tahoma" w:hAnsi="Tahoma" w:cs="Tahoma"/>
      <w:sz w:val="16"/>
      <w:szCs w:val="16"/>
      <w:lang w:val="en-CA" w:eastAsia="en-US"/>
    </w:rPr>
  </w:style>
  <w:style w:type="character" w:styleId="Strong">
    <w:name w:val="Strong"/>
    <w:basedOn w:val="DefaultParagraphFont"/>
    <w:uiPriority w:val="22"/>
    <w:qFormat/>
    <w:rsid w:val="00B31276"/>
    <w:rPr>
      <w:b/>
      <w:bCs/>
    </w:rPr>
  </w:style>
  <w:style w:type="paragraph" w:styleId="Subtitle">
    <w:name w:val="Subtitle"/>
    <w:basedOn w:val="Normal"/>
    <w:next w:val="Normal"/>
    <w:link w:val="SubtitleChar"/>
    <w:qFormat/>
    <w:rsid w:val="00B3127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B31276"/>
    <w:rPr>
      <w:rFonts w:asciiTheme="minorHAnsi" w:eastAsiaTheme="minorEastAsia" w:hAnsiTheme="minorHAnsi" w:cstheme="minorBidi"/>
      <w:color w:val="5A5A5A" w:themeColor="text1" w:themeTint="A5"/>
      <w:spacing w:val="15"/>
      <w:sz w:val="22"/>
      <w:szCs w:val="22"/>
      <w:lang w:val="en-CA" w:eastAsia="en-US"/>
    </w:rPr>
  </w:style>
  <w:style w:type="paragraph" w:styleId="Quote">
    <w:name w:val="Quote"/>
    <w:basedOn w:val="Normal"/>
    <w:next w:val="Normal"/>
    <w:link w:val="QuoteChar"/>
    <w:uiPriority w:val="29"/>
    <w:qFormat/>
    <w:rsid w:val="00B3127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31276"/>
    <w:rPr>
      <w:rFonts w:ascii="Trebuchet MS" w:hAnsi="Trebuchet MS"/>
      <w:i/>
      <w:iCs/>
      <w:color w:val="404040" w:themeColor="text1" w:themeTint="BF"/>
      <w:lang w:val="en-CA" w:eastAsia="en-US"/>
    </w:rPr>
  </w:style>
  <w:style w:type="character" w:styleId="SubtleEmphasis">
    <w:name w:val="Subtle Emphasis"/>
    <w:basedOn w:val="DefaultParagraphFont"/>
    <w:uiPriority w:val="19"/>
    <w:qFormat/>
    <w:rsid w:val="00B31276"/>
    <w:rPr>
      <w:i/>
      <w:iCs/>
      <w:color w:val="404040" w:themeColor="text1" w:themeTint="BF"/>
    </w:rPr>
  </w:style>
  <w:style w:type="paragraph" w:styleId="NoSpacing">
    <w:name w:val="No Spacing"/>
    <w:uiPriority w:val="1"/>
    <w:qFormat/>
    <w:rsid w:val="00B31276"/>
    <w:rPr>
      <w:rFonts w:ascii="Trebuchet MS" w:hAnsi="Trebuchet MS"/>
      <w:lang w:val="en-CA" w:eastAsia="en-US"/>
    </w:rPr>
  </w:style>
  <w:style w:type="paragraph" w:styleId="ListParagraph">
    <w:name w:val="List Paragraph"/>
    <w:basedOn w:val="Normal"/>
    <w:link w:val="ListParagraphChar"/>
    <w:uiPriority w:val="34"/>
    <w:qFormat/>
    <w:rsid w:val="00B31276"/>
    <w:pPr>
      <w:ind w:left="720"/>
      <w:contextualSpacing/>
    </w:pPr>
  </w:style>
  <w:style w:type="character" w:customStyle="1" w:styleId="ListParagraphChar">
    <w:name w:val="List Paragraph Char"/>
    <w:link w:val="ListParagraph"/>
    <w:uiPriority w:val="34"/>
    <w:rsid w:val="00B31276"/>
    <w:rPr>
      <w:sz w:val="24"/>
      <w:szCs w:val="24"/>
      <w:lang w:val="nl-NL" w:eastAsia="nl-NL"/>
    </w:rPr>
  </w:style>
  <w:style w:type="character" w:styleId="CommentReference">
    <w:name w:val="annotation reference"/>
    <w:basedOn w:val="DefaultParagraphFont"/>
    <w:uiPriority w:val="99"/>
    <w:semiHidden/>
    <w:unhideWhenUsed/>
    <w:rsid w:val="00B31276"/>
    <w:rPr>
      <w:sz w:val="16"/>
      <w:szCs w:val="16"/>
    </w:rPr>
  </w:style>
  <w:style w:type="paragraph" w:styleId="CommentText">
    <w:name w:val="annotation text"/>
    <w:basedOn w:val="Normal"/>
    <w:link w:val="CommentTextChar"/>
    <w:uiPriority w:val="99"/>
    <w:semiHidden/>
    <w:unhideWhenUsed/>
    <w:rsid w:val="00B31276"/>
  </w:style>
  <w:style w:type="character" w:customStyle="1" w:styleId="CommentTextChar">
    <w:name w:val="Comment Text Char"/>
    <w:basedOn w:val="DefaultParagraphFont"/>
    <w:link w:val="CommentText"/>
    <w:uiPriority w:val="99"/>
    <w:semiHidden/>
    <w:rsid w:val="00B31276"/>
    <w:rPr>
      <w:lang w:val="nl-NL" w:eastAsia="nl-NL"/>
    </w:rPr>
  </w:style>
  <w:style w:type="character" w:customStyle="1" w:styleId="Heading1Char">
    <w:name w:val="Heading 1 Char"/>
    <w:aliases w:val="Capitulo Char"/>
    <w:basedOn w:val="DefaultParagraphFont"/>
    <w:link w:val="Heading1"/>
    <w:uiPriority w:val="9"/>
    <w:rsid w:val="00B31276"/>
    <w:rPr>
      <w:rFonts w:ascii="Trebuchet MS" w:hAnsi="Trebuchet MS"/>
      <w:b/>
      <w:kern w:val="28"/>
      <w:sz w:val="44"/>
      <w:lang w:val="en-CA" w:eastAsia="en-US"/>
    </w:rPr>
  </w:style>
  <w:style w:type="character" w:customStyle="1" w:styleId="Heading2Char">
    <w:name w:val="Heading 2 Char"/>
    <w:basedOn w:val="DefaultParagraphFont"/>
    <w:link w:val="Heading2"/>
    <w:uiPriority w:val="9"/>
    <w:rsid w:val="00B31276"/>
    <w:rPr>
      <w:rFonts w:ascii="Trebuchet MS" w:hAnsi="Trebuchet MS" w:cs="Arial,Bold"/>
      <w:b/>
      <w:bCs/>
      <w:color w:val="000000"/>
      <w:sz w:val="32"/>
      <w:szCs w:val="32"/>
      <w:lang w:val="pt-PT" w:eastAsia="en-US"/>
    </w:rPr>
  </w:style>
  <w:style w:type="character" w:customStyle="1" w:styleId="Heading3Char">
    <w:name w:val="Heading 3 Char"/>
    <w:basedOn w:val="DefaultParagraphFont"/>
    <w:link w:val="Heading3"/>
    <w:uiPriority w:val="9"/>
    <w:rsid w:val="004C3DC7"/>
    <w:rPr>
      <w:b/>
      <w:sz w:val="24"/>
      <w:szCs w:val="24"/>
      <w:lang w:val="nl-NL" w:eastAsia="nl-NL"/>
    </w:rPr>
  </w:style>
  <w:style w:type="character" w:customStyle="1" w:styleId="Heading4Char">
    <w:name w:val="Heading 4 Char"/>
    <w:basedOn w:val="DefaultParagraphFont"/>
    <w:link w:val="Heading4"/>
    <w:uiPriority w:val="9"/>
    <w:rsid w:val="00E0655D"/>
    <w:rPr>
      <w:b/>
      <w:bCs/>
      <w:sz w:val="24"/>
      <w:szCs w:val="24"/>
      <w:lang w:val="en-US" w:eastAsia="nl-NL"/>
    </w:rPr>
  </w:style>
  <w:style w:type="character" w:customStyle="1" w:styleId="Heading5Char">
    <w:name w:val="Heading 5 Char"/>
    <w:basedOn w:val="DefaultParagraphFont"/>
    <w:link w:val="Heading5"/>
    <w:uiPriority w:val="9"/>
    <w:rsid w:val="00B31276"/>
    <w:rPr>
      <w:rFonts w:ascii="Trebuchet MS" w:hAnsi="Trebuchet MS"/>
      <w:iCs/>
      <w:lang w:val="en-CA" w:eastAsia="en-US"/>
    </w:rPr>
  </w:style>
  <w:style w:type="character" w:customStyle="1" w:styleId="Heading6Char">
    <w:name w:val="Heading 6 Char"/>
    <w:basedOn w:val="DefaultParagraphFont"/>
    <w:link w:val="Heading6"/>
    <w:uiPriority w:val="9"/>
    <w:rsid w:val="00B31276"/>
    <w:rPr>
      <w:rFonts w:ascii="Trebuchet MS" w:hAnsi="Trebuchet MS"/>
      <w:lang w:val="en-CA" w:eastAsia="en-US"/>
    </w:rPr>
  </w:style>
  <w:style w:type="character" w:customStyle="1" w:styleId="FootnoteTextChar">
    <w:name w:val="Footnote Text Char"/>
    <w:basedOn w:val="DefaultParagraphFont"/>
    <w:link w:val="FootnoteText"/>
    <w:uiPriority w:val="99"/>
    <w:rsid w:val="00B31276"/>
    <w:rPr>
      <w:rFonts w:ascii="Trebuchet MS" w:hAnsi="Trebuchet MS"/>
      <w:sz w:val="18"/>
      <w:szCs w:val="18"/>
      <w:lang w:val="en-CA" w:eastAsia="en-US"/>
    </w:rPr>
  </w:style>
  <w:style w:type="character" w:customStyle="1" w:styleId="FooterChar">
    <w:name w:val="Footer Char"/>
    <w:basedOn w:val="DefaultParagraphFont"/>
    <w:link w:val="Footer"/>
    <w:uiPriority w:val="99"/>
    <w:rsid w:val="00B31276"/>
    <w:rPr>
      <w:rFonts w:ascii="Trebuchet MS" w:hAnsi="Trebuchet MS"/>
      <w:lang w:val="en-CA" w:eastAsia="en-US"/>
    </w:rPr>
  </w:style>
  <w:style w:type="paragraph" w:styleId="CommentSubject">
    <w:name w:val="annotation subject"/>
    <w:basedOn w:val="CommentText"/>
    <w:next w:val="CommentText"/>
    <w:link w:val="CommentSubjectChar"/>
    <w:uiPriority w:val="99"/>
    <w:semiHidden/>
    <w:unhideWhenUsed/>
    <w:rsid w:val="00B31276"/>
    <w:rPr>
      <w:b/>
      <w:bCs/>
    </w:rPr>
  </w:style>
  <w:style w:type="character" w:customStyle="1" w:styleId="CommentSubjectChar">
    <w:name w:val="Comment Subject Char"/>
    <w:basedOn w:val="CommentTextChar"/>
    <w:link w:val="CommentSubject"/>
    <w:uiPriority w:val="99"/>
    <w:semiHidden/>
    <w:rsid w:val="00B31276"/>
    <w:rPr>
      <w:b/>
      <w:bCs/>
      <w:lang w:val="nl-NL" w:eastAsia="nl-NL"/>
    </w:rPr>
  </w:style>
  <w:style w:type="character" w:styleId="Emphasis">
    <w:name w:val="Emphasis"/>
    <w:basedOn w:val="DefaultParagraphFont"/>
    <w:uiPriority w:val="20"/>
    <w:qFormat/>
    <w:rsid w:val="00B31276"/>
    <w:rPr>
      <w:i/>
      <w:iCs/>
    </w:rPr>
  </w:style>
  <w:style w:type="character" w:styleId="FollowedHyperlink">
    <w:name w:val="FollowedHyperlink"/>
    <w:basedOn w:val="DefaultParagraphFont"/>
    <w:uiPriority w:val="99"/>
    <w:semiHidden/>
    <w:unhideWhenUsed/>
    <w:rsid w:val="00B31276"/>
    <w:rPr>
      <w:color w:val="800080" w:themeColor="followedHyperlink"/>
      <w:u w:val="single"/>
    </w:rPr>
  </w:style>
  <w:style w:type="paragraph" w:customStyle="1" w:styleId="first">
    <w:name w:val="first"/>
    <w:basedOn w:val="Normal"/>
    <w:rsid w:val="00B31276"/>
    <w:pPr>
      <w:spacing w:before="100" w:beforeAutospacing="1" w:after="100" w:afterAutospacing="1"/>
    </w:pPr>
  </w:style>
  <w:style w:type="paragraph" w:customStyle="1" w:styleId="Bulletpoints">
    <w:name w:val="Bullet points"/>
    <w:basedOn w:val="ListParagraph"/>
    <w:link w:val="BulletpointsCar"/>
    <w:qFormat/>
    <w:rsid w:val="00B31276"/>
    <w:pPr>
      <w:numPr>
        <w:numId w:val="6"/>
      </w:numPr>
      <w:spacing w:after="200" w:line="276" w:lineRule="auto"/>
      <w:jc w:val="both"/>
    </w:pPr>
    <w:rPr>
      <w:rFonts w:ascii="Montserrat" w:eastAsia="Calibri" w:hAnsi="Montserrat"/>
      <w:color w:val="4F4F57"/>
      <w:sz w:val="20"/>
      <w:szCs w:val="22"/>
      <w:lang w:val="en-GB" w:eastAsia="es-ES"/>
    </w:rPr>
  </w:style>
  <w:style w:type="character" w:customStyle="1" w:styleId="BulletpointsCar">
    <w:name w:val="Bullet points Car"/>
    <w:link w:val="Bulletpoints"/>
    <w:rsid w:val="00B31276"/>
    <w:rPr>
      <w:rFonts w:ascii="Montserrat" w:eastAsia="Calibri" w:hAnsi="Montserrat"/>
      <w:color w:val="4F4F57"/>
      <w:szCs w:val="22"/>
      <w:lang w:eastAsia="es-ES"/>
    </w:rPr>
  </w:style>
  <w:style w:type="paragraph" w:customStyle="1" w:styleId="Paragraph1">
    <w:name w:val="Paragraph 1"/>
    <w:basedOn w:val="Heading3"/>
    <w:link w:val="Paragraph1Car"/>
    <w:qFormat/>
    <w:rsid w:val="00B31276"/>
    <w:pPr>
      <w:numPr>
        <w:ilvl w:val="0"/>
        <w:numId w:val="0"/>
      </w:numPr>
      <w:tabs>
        <w:tab w:val="left" w:pos="1011"/>
      </w:tabs>
      <w:spacing w:before="240" w:after="60"/>
      <w:jc w:val="both"/>
    </w:pPr>
    <w:rPr>
      <w:rFonts w:ascii="Montserrat" w:hAnsi="Montserrat" w:cs="Arial"/>
      <w:bCs/>
      <w:i/>
      <w:color w:val="4F4F57"/>
      <w:lang w:val="en-GB" w:eastAsia="es-ES"/>
    </w:rPr>
  </w:style>
  <w:style w:type="character" w:customStyle="1" w:styleId="Paragraph1Car">
    <w:name w:val="Paragraph 1 Car"/>
    <w:link w:val="Paragraph1"/>
    <w:rsid w:val="00B31276"/>
    <w:rPr>
      <w:rFonts w:ascii="Montserrat" w:hAnsi="Montserrat" w:cs="Arial"/>
      <w:bCs/>
      <w:color w:val="4F4F57"/>
      <w:lang w:eastAsia="es-ES"/>
    </w:rPr>
  </w:style>
  <w:style w:type="paragraph" w:styleId="Revision">
    <w:name w:val="Revision"/>
    <w:hidden/>
    <w:uiPriority w:val="99"/>
    <w:semiHidden/>
    <w:rsid w:val="00B31276"/>
    <w:rPr>
      <w:sz w:val="24"/>
      <w:szCs w:val="24"/>
      <w:lang w:val="nl-NL" w:eastAsia="nl-NL"/>
    </w:rPr>
  </w:style>
  <w:style w:type="character" w:customStyle="1" w:styleId="UnresolvedMention">
    <w:name w:val="Unresolved Mention"/>
    <w:basedOn w:val="DefaultParagraphFont"/>
    <w:uiPriority w:val="99"/>
    <w:semiHidden/>
    <w:unhideWhenUsed/>
    <w:rsid w:val="00B31276"/>
    <w:rPr>
      <w:color w:val="605E5C"/>
      <w:shd w:val="clear" w:color="auto" w:fill="E1DFDD"/>
    </w:rPr>
  </w:style>
  <w:style w:type="character" w:customStyle="1" w:styleId="HeaderChar">
    <w:name w:val="Header Char"/>
    <w:basedOn w:val="DefaultParagraphFont"/>
    <w:link w:val="Header"/>
    <w:uiPriority w:val="99"/>
    <w:rsid w:val="00B31276"/>
    <w:rPr>
      <w:rFonts w:ascii="Trebuchet MS" w:hAnsi="Trebuchet MS"/>
      <w:lang w:val="en-CA" w:eastAsia="en-US"/>
    </w:rPr>
  </w:style>
  <w:style w:type="table" w:styleId="TableGridLight">
    <w:name w:val="Grid Table Light"/>
    <w:basedOn w:val="TableNormal"/>
    <w:uiPriority w:val="40"/>
    <w:rsid w:val="00B31276"/>
    <w:rPr>
      <w:rFonts w:asciiTheme="minorHAnsi" w:eastAsiaTheme="minorHAnsi" w:hAnsiTheme="minorHAnsi" w:cstheme="minorBidi"/>
      <w:sz w:val="24"/>
      <w:szCs w:val="24"/>
      <w:lang w:val="nl-NL"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qFormat/>
    <w:rsid w:val="009655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65560"/>
    <w:rPr>
      <w:rFonts w:asciiTheme="majorHAnsi" w:eastAsiaTheme="majorEastAsia" w:hAnsiTheme="majorHAnsi" w:cstheme="majorBidi"/>
      <w:spacing w:val="-10"/>
      <w:kern w:val="28"/>
      <w:sz w:val="56"/>
      <w:szCs w:val="56"/>
      <w:lang w:val="nl-NL" w:eastAsia="nl-NL"/>
    </w:rPr>
  </w:style>
  <w:style w:type="paragraph" w:styleId="HTMLPreformatted">
    <w:name w:val="HTML Preformatted"/>
    <w:basedOn w:val="Normal"/>
    <w:link w:val="HTMLPreformattedChar"/>
    <w:uiPriority w:val="99"/>
    <w:semiHidden/>
    <w:unhideWhenUsed/>
    <w:rsid w:val="00AB7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B7245"/>
    <w:rPr>
      <w:rFonts w:ascii="Courier New" w:hAnsi="Courier New" w:cs="Courier New"/>
      <w:lang w:val="nl-NL" w:eastAsia="nl-NL"/>
    </w:rPr>
  </w:style>
  <w:style w:type="character" w:styleId="HTMLCode">
    <w:name w:val="HTML Code"/>
    <w:basedOn w:val="DefaultParagraphFont"/>
    <w:uiPriority w:val="99"/>
    <w:semiHidden/>
    <w:unhideWhenUsed/>
    <w:rsid w:val="00AB7245"/>
    <w:rPr>
      <w:rFonts w:ascii="Courier New" w:eastAsia="Times New Roman" w:hAnsi="Courier New" w:cs="Courier New"/>
      <w:sz w:val="20"/>
      <w:szCs w:val="20"/>
    </w:rPr>
  </w:style>
  <w:style w:type="character" w:customStyle="1" w:styleId="k">
    <w:name w:val="k"/>
    <w:basedOn w:val="DefaultParagraphFont"/>
    <w:rsid w:val="00AB7245"/>
  </w:style>
  <w:style w:type="character" w:customStyle="1" w:styleId="nb">
    <w:name w:val="nb"/>
    <w:basedOn w:val="DefaultParagraphFont"/>
    <w:rsid w:val="00AB7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7453">
      <w:bodyDiv w:val="1"/>
      <w:marLeft w:val="0"/>
      <w:marRight w:val="0"/>
      <w:marTop w:val="0"/>
      <w:marBottom w:val="0"/>
      <w:divBdr>
        <w:top w:val="none" w:sz="0" w:space="0" w:color="auto"/>
        <w:left w:val="none" w:sz="0" w:space="0" w:color="auto"/>
        <w:bottom w:val="none" w:sz="0" w:space="0" w:color="auto"/>
        <w:right w:val="none" w:sz="0" w:space="0" w:color="auto"/>
      </w:divBdr>
    </w:div>
    <w:div w:id="51084463">
      <w:bodyDiv w:val="1"/>
      <w:marLeft w:val="0"/>
      <w:marRight w:val="0"/>
      <w:marTop w:val="0"/>
      <w:marBottom w:val="0"/>
      <w:divBdr>
        <w:top w:val="none" w:sz="0" w:space="0" w:color="auto"/>
        <w:left w:val="none" w:sz="0" w:space="0" w:color="auto"/>
        <w:bottom w:val="none" w:sz="0" w:space="0" w:color="auto"/>
        <w:right w:val="none" w:sz="0" w:space="0" w:color="auto"/>
      </w:divBdr>
    </w:div>
    <w:div w:id="55666996">
      <w:bodyDiv w:val="1"/>
      <w:marLeft w:val="0"/>
      <w:marRight w:val="0"/>
      <w:marTop w:val="0"/>
      <w:marBottom w:val="0"/>
      <w:divBdr>
        <w:top w:val="none" w:sz="0" w:space="0" w:color="auto"/>
        <w:left w:val="none" w:sz="0" w:space="0" w:color="auto"/>
        <w:bottom w:val="none" w:sz="0" w:space="0" w:color="auto"/>
        <w:right w:val="none" w:sz="0" w:space="0" w:color="auto"/>
      </w:divBdr>
    </w:div>
    <w:div w:id="61031820">
      <w:bodyDiv w:val="1"/>
      <w:marLeft w:val="0"/>
      <w:marRight w:val="0"/>
      <w:marTop w:val="0"/>
      <w:marBottom w:val="0"/>
      <w:divBdr>
        <w:top w:val="none" w:sz="0" w:space="0" w:color="auto"/>
        <w:left w:val="none" w:sz="0" w:space="0" w:color="auto"/>
        <w:bottom w:val="none" w:sz="0" w:space="0" w:color="auto"/>
        <w:right w:val="none" w:sz="0" w:space="0" w:color="auto"/>
      </w:divBdr>
    </w:div>
    <w:div w:id="77136830">
      <w:bodyDiv w:val="1"/>
      <w:marLeft w:val="0"/>
      <w:marRight w:val="0"/>
      <w:marTop w:val="0"/>
      <w:marBottom w:val="0"/>
      <w:divBdr>
        <w:top w:val="none" w:sz="0" w:space="0" w:color="auto"/>
        <w:left w:val="none" w:sz="0" w:space="0" w:color="auto"/>
        <w:bottom w:val="none" w:sz="0" w:space="0" w:color="auto"/>
        <w:right w:val="none" w:sz="0" w:space="0" w:color="auto"/>
      </w:divBdr>
    </w:div>
    <w:div w:id="83646878">
      <w:bodyDiv w:val="1"/>
      <w:marLeft w:val="0"/>
      <w:marRight w:val="0"/>
      <w:marTop w:val="0"/>
      <w:marBottom w:val="0"/>
      <w:divBdr>
        <w:top w:val="none" w:sz="0" w:space="0" w:color="auto"/>
        <w:left w:val="none" w:sz="0" w:space="0" w:color="auto"/>
        <w:bottom w:val="none" w:sz="0" w:space="0" w:color="auto"/>
        <w:right w:val="none" w:sz="0" w:space="0" w:color="auto"/>
      </w:divBdr>
    </w:div>
    <w:div w:id="100221477">
      <w:bodyDiv w:val="1"/>
      <w:marLeft w:val="0"/>
      <w:marRight w:val="0"/>
      <w:marTop w:val="0"/>
      <w:marBottom w:val="0"/>
      <w:divBdr>
        <w:top w:val="none" w:sz="0" w:space="0" w:color="auto"/>
        <w:left w:val="none" w:sz="0" w:space="0" w:color="auto"/>
        <w:bottom w:val="none" w:sz="0" w:space="0" w:color="auto"/>
        <w:right w:val="none" w:sz="0" w:space="0" w:color="auto"/>
      </w:divBdr>
    </w:div>
    <w:div w:id="108164023">
      <w:bodyDiv w:val="1"/>
      <w:marLeft w:val="0"/>
      <w:marRight w:val="0"/>
      <w:marTop w:val="0"/>
      <w:marBottom w:val="0"/>
      <w:divBdr>
        <w:top w:val="none" w:sz="0" w:space="0" w:color="auto"/>
        <w:left w:val="none" w:sz="0" w:space="0" w:color="auto"/>
        <w:bottom w:val="none" w:sz="0" w:space="0" w:color="auto"/>
        <w:right w:val="none" w:sz="0" w:space="0" w:color="auto"/>
      </w:divBdr>
    </w:div>
    <w:div w:id="128135708">
      <w:bodyDiv w:val="1"/>
      <w:marLeft w:val="0"/>
      <w:marRight w:val="0"/>
      <w:marTop w:val="0"/>
      <w:marBottom w:val="0"/>
      <w:divBdr>
        <w:top w:val="none" w:sz="0" w:space="0" w:color="auto"/>
        <w:left w:val="none" w:sz="0" w:space="0" w:color="auto"/>
        <w:bottom w:val="none" w:sz="0" w:space="0" w:color="auto"/>
        <w:right w:val="none" w:sz="0" w:space="0" w:color="auto"/>
      </w:divBdr>
    </w:div>
    <w:div w:id="151913504">
      <w:bodyDiv w:val="1"/>
      <w:marLeft w:val="0"/>
      <w:marRight w:val="0"/>
      <w:marTop w:val="0"/>
      <w:marBottom w:val="0"/>
      <w:divBdr>
        <w:top w:val="none" w:sz="0" w:space="0" w:color="auto"/>
        <w:left w:val="none" w:sz="0" w:space="0" w:color="auto"/>
        <w:bottom w:val="none" w:sz="0" w:space="0" w:color="auto"/>
        <w:right w:val="none" w:sz="0" w:space="0" w:color="auto"/>
      </w:divBdr>
    </w:div>
    <w:div w:id="152914851">
      <w:bodyDiv w:val="1"/>
      <w:marLeft w:val="0"/>
      <w:marRight w:val="0"/>
      <w:marTop w:val="0"/>
      <w:marBottom w:val="0"/>
      <w:divBdr>
        <w:top w:val="none" w:sz="0" w:space="0" w:color="auto"/>
        <w:left w:val="none" w:sz="0" w:space="0" w:color="auto"/>
        <w:bottom w:val="none" w:sz="0" w:space="0" w:color="auto"/>
        <w:right w:val="none" w:sz="0" w:space="0" w:color="auto"/>
      </w:divBdr>
    </w:div>
    <w:div w:id="155610595">
      <w:bodyDiv w:val="1"/>
      <w:marLeft w:val="0"/>
      <w:marRight w:val="0"/>
      <w:marTop w:val="0"/>
      <w:marBottom w:val="0"/>
      <w:divBdr>
        <w:top w:val="none" w:sz="0" w:space="0" w:color="auto"/>
        <w:left w:val="none" w:sz="0" w:space="0" w:color="auto"/>
        <w:bottom w:val="none" w:sz="0" w:space="0" w:color="auto"/>
        <w:right w:val="none" w:sz="0" w:space="0" w:color="auto"/>
      </w:divBdr>
    </w:div>
    <w:div w:id="177353975">
      <w:bodyDiv w:val="1"/>
      <w:marLeft w:val="0"/>
      <w:marRight w:val="0"/>
      <w:marTop w:val="0"/>
      <w:marBottom w:val="0"/>
      <w:divBdr>
        <w:top w:val="none" w:sz="0" w:space="0" w:color="auto"/>
        <w:left w:val="none" w:sz="0" w:space="0" w:color="auto"/>
        <w:bottom w:val="none" w:sz="0" w:space="0" w:color="auto"/>
        <w:right w:val="none" w:sz="0" w:space="0" w:color="auto"/>
      </w:divBdr>
    </w:div>
    <w:div w:id="179008174">
      <w:bodyDiv w:val="1"/>
      <w:marLeft w:val="0"/>
      <w:marRight w:val="0"/>
      <w:marTop w:val="0"/>
      <w:marBottom w:val="0"/>
      <w:divBdr>
        <w:top w:val="none" w:sz="0" w:space="0" w:color="auto"/>
        <w:left w:val="none" w:sz="0" w:space="0" w:color="auto"/>
        <w:bottom w:val="none" w:sz="0" w:space="0" w:color="auto"/>
        <w:right w:val="none" w:sz="0" w:space="0" w:color="auto"/>
      </w:divBdr>
    </w:div>
    <w:div w:id="212815627">
      <w:bodyDiv w:val="1"/>
      <w:marLeft w:val="0"/>
      <w:marRight w:val="0"/>
      <w:marTop w:val="0"/>
      <w:marBottom w:val="0"/>
      <w:divBdr>
        <w:top w:val="none" w:sz="0" w:space="0" w:color="auto"/>
        <w:left w:val="none" w:sz="0" w:space="0" w:color="auto"/>
        <w:bottom w:val="none" w:sz="0" w:space="0" w:color="auto"/>
        <w:right w:val="none" w:sz="0" w:space="0" w:color="auto"/>
      </w:divBdr>
    </w:div>
    <w:div w:id="230432204">
      <w:bodyDiv w:val="1"/>
      <w:marLeft w:val="0"/>
      <w:marRight w:val="0"/>
      <w:marTop w:val="0"/>
      <w:marBottom w:val="0"/>
      <w:divBdr>
        <w:top w:val="none" w:sz="0" w:space="0" w:color="auto"/>
        <w:left w:val="none" w:sz="0" w:space="0" w:color="auto"/>
        <w:bottom w:val="none" w:sz="0" w:space="0" w:color="auto"/>
        <w:right w:val="none" w:sz="0" w:space="0" w:color="auto"/>
      </w:divBdr>
    </w:div>
    <w:div w:id="247007362">
      <w:bodyDiv w:val="1"/>
      <w:marLeft w:val="0"/>
      <w:marRight w:val="0"/>
      <w:marTop w:val="0"/>
      <w:marBottom w:val="0"/>
      <w:divBdr>
        <w:top w:val="none" w:sz="0" w:space="0" w:color="auto"/>
        <w:left w:val="none" w:sz="0" w:space="0" w:color="auto"/>
        <w:bottom w:val="none" w:sz="0" w:space="0" w:color="auto"/>
        <w:right w:val="none" w:sz="0" w:space="0" w:color="auto"/>
      </w:divBdr>
    </w:div>
    <w:div w:id="254169759">
      <w:bodyDiv w:val="1"/>
      <w:marLeft w:val="0"/>
      <w:marRight w:val="0"/>
      <w:marTop w:val="0"/>
      <w:marBottom w:val="0"/>
      <w:divBdr>
        <w:top w:val="none" w:sz="0" w:space="0" w:color="auto"/>
        <w:left w:val="none" w:sz="0" w:space="0" w:color="auto"/>
        <w:bottom w:val="none" w:sz="0" w:space="0" w:color="auto"/>
        <w:right w:val="none" w:sz="0" w:space="0" w:color="auto"/>
      </w:divBdr>
    </w:div>
    <w:div w:id="254483858">
      <w:bodyDiv w:val="1"/>
      <w:marLeft w:val="0"/>
      <w:marRight w:val="0"/>
      <w:marTop w:val="0"/>
      <w:marBottom w:val="0"/>
      <w:divBdr>
        <w:top w:val="none" w:sz="0" w:space="0" w:color="auto"/>
        <w:left w:val="none" w:sz="0" w:space="0" w:color="auto"/>
        <w:bottom w:val="none" w:sz="0" w:space="0" w:color="auto"/>
        <w:right w:val="none" w:sz="0" w:space="0" w:color="auto"/>
      </w:divBdr>
    </w:div>
    <w:div w:id="266814537">
      <w:bodyDiv w:val="1"/>
      <w:marLeft w:val="0"/>
      <w:marRight w:val="0"/>
      <w:marTop w:val="0"/>
      <w:marBottom w:val="0"/>
      <w:divBdr>
        <w:top w:val="none" w:sz="0" w:space="0" w:color="auto"/>
        <w:left w:val="none" w:sz="0" w:space="0" w:color="auto"/>
        <w:bottom w:val="none" w:sz="0" w:space="0" w:color="auto"/>
        <w:right w:val="none" w:sz="0" w:space="0" w:color="auto"/>
      </w:divBdr>
    </w:div>
    <w:div w:id="272321629">
      <w:bodyDiv w:val="1"/>
      <w:marLeft w:val="0"/>
      <w:marRight w:val="0"/>
      <w:marTop w:val="0"/>
      <w:marBottom w:val="0"/>
      <w:divBdr>
        <w:top w:val="none" w:sz="0" w:space="0" w:color="auto"/>
        <w:left w:val="none" w:sz="0" w:space="0" w:color="auto"/>
        <w:bottom w:val="none" w:sz="0" w:space="0" w:color="auto"/>
        <w:right w:val="none" w:sz="0" w:space="0" w:color="auto"/>
      </w:divBdr>
    </w:div>
    <w:div w:id="275335744">
      <w:bodyDiv w:val="1"/>
      <w:marLeft w:val="0"/>
      <w:marRight w:val="0"/>
      <w:marTop w:val="0"/>
      <w:marBottom w:val="0"/>
      <w:divBdr>
        <w:top w:val="none" w:sz="0" w:space="0" w:color="auto"/>
        <w:left w:val="none" w:sz="0" w:space="0" w:color="auto"/>
        <w:bottom w:val="none" w:sz="0" w:space="0" w:color="auto"/>
        <w:right w:val="none" w:sz="0" w:space="0" w:color="auto"/>
      </w:divBdr>
    </w:div>
    <w:div w:id="276496547">
      <w:bodyDiv w:val="1"/>
      <w:marLeft w:val="0"/>
      <w:marRight w:val="0"/>
      <w:marTop w:val="0"/>
      <w:marBottom w:val="0"/>
      <w:divBdr>
        <w:top w:val="none" w:sz="0" w:space="0" w:color="auto"/>
        <w:left w:val="none" w:sz="0" w:space="0" w:color="auto"/>
        <w:bottom w:val="none" w:sz="0" w:space="0" w:color="auto"/>
        <w:right w:val="none" w:sz="0" w:space="0" w:color="auto"/>
      </w:divBdr>
    </w:div>
    <w:div w:id="284427167">
      <w:bodyDiv w:val="1"/>
      <w:marLeft w:val="0"/>
      <w:marRight w:val="0"/>
      <w:marTop w:val="0"/>
      <w:marBottom w:val="0"/>
      <w:divBdr>
        <w:top w:val="none" w:sz="0" w:space="0" w:color="auto"/>
        <w:left w:val="none" w:sz="0" w:space="0" w:color="auto"/>
        <w:bottom w:val="none" w:sz="0" w:space="0" w:color="auto"/>
        <w:right w:val="none" w:sz="0" w:space="0" w:color="auto"/>
      </w:divBdr>
    </w:div>
    <w:div w:id="316539226">
      <w:bodyDiv w:val="1"/>
      <w:marLeft w:val="0"/>
      <w:marRight w:val="0"/>
      <w:marTop w:val="0"/>
      <w:marBottom w:val="0"/>
      <w:divBdr>
        <w:top w:val="none" w:sz="0" w:space="0" w:color="auto"/>
        <w:left w:val="none" w:sz="0" w:space="0" w:color="auto"/>
        <w:bottom w:val="none" w:sz="0" w:space="0" w:color="auto"/>
        <w:right w:val="none" w:sz="0" w:space="0" w:color="auto"/>
      </w:divBdr>
    </w:div>
    <w:div w:id="337276379">
      <w:bodyDiv w:val="1"/>
      <w:marLeft w:val="0"/>
      <w:marRight w:val="0"/>
      <w:marTop w:val="0"/>
      <w:marBottom w:val="0"/>
      <w:divBdr>
        <w:top w:val="none" w:sz="0" w:space="0" w:color="auto"/>
        <w:left w:val="none" w:sz="0" w:space="0" w:color="auto"/>
        <w:bottom w:val="none" w:sz="0" w:space="0" w:color="auto"/>
        <w:right w:val="none" w:sz="0" w:space="0" w:color="auto"/>
      </w:divBdr>
    </w:div>
    <w:div w:id="337542199">
      <w:bodyDiv w:val="1"/>
      <w:marLeft w:val="0"/>
      <w:marRight w:val="0"/>
      <w:marTop w:val="0"/>
      <w:marBottom w:val="0"/>
      <w:divBdr>
        <w:top w:val="none" w:sz="0" w:space="0" w:color="auto"/>
        <w:left w:val="none" w:sz="0" w:space="0" w:color="auto"/>
        <w:bottom w:val="none" w:sz="0" w:space="0" w:color="auto"/>
        <w:right w:val="none" w:sz="0" w:space="0" w:color="auto"/>
      </w:divBdr>
    </w:div>
    <w:div w:id="347565107">
      <w:bodyDiv w:val="1"/>
      <w:marLeft w:val="0"/>
      <w:marRight w:val="0"/>
      <w:marTop w:val="0"/>
      <w:marBottom w:val="0"/>
      <w:divBdr>
        <w:top w:val="none" w:sz="0" w:space="0" w:color="auto"/>
        <w:left w:val="none" w:sz="0" w:space="0" w:color="auto"/>
        <w:bottom w:val="none" w:sz="0" w:space="0" w:color="auto"/>
        <w:right w:val="none" w:sz="0" w:space="0" w:color="auto"/>
      </w:divBdr>
    </w:div>
    <w:div w:id="355928189">
      <w:bodyDiv w:val="1"/>
      <w:marLeft w:val="0"/>
      <w:marRight w:val="0"/>
      <w:marTop w:val="0"/>
      <w:marBottom w:val="0"/>
      <w:divBdr>
        <w:top w:val="none" w:sz="0" w:space="0" w:color="auto"/>
        <w:left w:val="none" w:sz="0" w:space="0" w:color="auto"/>
        <w:bottom w:val="none" w:sz="0" w:space="0" w:color="auto"/>
        <w:right w:val="none" w:sz="0" w:space="0" w:color="auto"/>
      </w:divBdr>
    </w:div>
    <w:div w:id="396444640">
      <w:bodyDiv w:val="1"/>
      <w:marLeft w:val="0"/>
      <w:marRight w:val="0"/>
      <w:marTop w:val="0"/>
      <w:marBottom w:val="0"/>
      <w:divBdr>
        <w:top w:val="none" w:sz="0" w:space="0" w:color="auto"/>
        <w:left w:val="none" w:sz="0" w:space="0" w:color="auto"/>
        <w:bottom w:val="none" w:sz="0" w:space="0" w:color="auto"/>
        <w:right w:val="none" w:sz="0" w:space="0" w:color="auto"/>
      </w:divBdr>
    </w:div>
    <w:div w:id="400643948">
      <w:bodyDiv w:val="1"/>
      <w:marLeft w:val="0"/>
      <w:marRight w:val="0"/>
      <w:marTop w:val="0"/>
      <w:marBottom w:val="0"/>
      <w:divBdr>
        <w:top w:val="none" w:sz="0" w:space="0" w:color="auto"/>
        <w:left w:val="none" w:sz="0" w:space="0" w:color="auto"/>
        <w:bottom w:val="none" w:sz="0" w:space="0" w:color="auto"/>
        <w:right w:val="none" w:sz="0" w:space="0" w:color="auto"/>
      </w:divBdr>
    </w:div>
    <w:div w:id="402526789">
      <w:bodyDiv w:val="1"/>
      <w:marLeft w:val="0"/>
      <w:marRight w:val="0"/>
      <w:marTop w:val="0"/>
      <w:marBottom w:val="0"/>
      <w:divBdr>
        <w:top w:val="none" w:sz="0" w:space="0" w:color="auto"/>
        <w:left w:val="none" w:sz="0" w:space="0" w:color="auto"/>
        <w:bottom w:val="none" w:sz="0" w:space="0" w:color="auto"/>
        <w:right w:val="none" w:sz="0" w:space="0" w:color="auto"/>
      </w:divBdr>
    </w:div>
    <w:div w:id="414011056">
      <w:bodyDiv w:val="1"/>
      <w:marLeft w:val="0"/>
      <w:marRight w:val="0"/>
      <w:marTop w:val="0"/>
      <w:marBottom w:val="0"/>
      <w:divBdr>
        <w:top w:val="none" w:sz="0" w:space="0" w:color="auto"/>
        <w:left w:val="none" w:sz="0" w:space="0" w:color="auto"/>
        <w:bottom w:val="none" w:sz="0" w:space="0" w:color="auto"/>
        <w:right w:val="none" w:sz="0" w:space="0" w:color="auto"/>
      </w:divBdr>
    </w:div>
    <w:div w:id="424690621">
      <w:bodyDiv w:val="1"/>
      <w:marLeft w:val="0"/>
      <w:marRight w:val="0"/>
      <w:marTop w:val="0"/>
      <w:marBottom w:val="0"/>
      <w:divBdr>
        <w:top w:val="none" w:sz="0" w:space="0" w:color="auto"/>
        <w:left w:val="none" w:sz="0" w:space="0" w:color="auto"/>
        <w:bottom w:val="none" w:sz="0" w:space="0" w:color="auto"/>
        <w:right w:val="none" w:sz="0" w:space="0" w:color="auto"/>
      </w:divBdr>
    </w:div>
    <w:div w:id="426273755">
      <w:bodyDiv w:val="1"/>
      <w:marLeft w:val="0"/>
      <w:marRight w:val="0"/>
      <w:marTop w:val="0"/>
      <w:marBottom w:val="0"/>
      <w:divBdr>
        <w:top w:val="none" w:sz="0" w:space="0" w:color="auto"/>
        <w:left w:val="none" w:sz="0" w:space="0" w:color="auto"/>
        <w:bottom w:val="none" w:sz="0" w:space="0" w:color="auto"/>
        <w:right w:val="none" w:sz="0" w:space="0" w:color="auto"/>
      </w:divBdr>
    </w:div>
    <w:div w:id="439376951">
      <w:bodyDiv w:val="1"/>
      <w:marLeft w:val="0"/>
      <w:marRight w:val="0"/>
      <w:marTop w:val="0"/>
      <w:marBottom w:val="0"/>
      <w:divBdr>
        <w:top w:val="none" w:sz="0" w:space="0" w:color="auto"/>
        <w:left w:val="none" w:sz="0" w:space="0" w:color="auto"/>
        <w:bottom w:val="none" w:sz="0" w:space="0" w:color="auto"/>
        <w:right w:val="none" w:sz="0" w:space="0" w:color="auto"/>
      </w:divBdr>
    </w:div>
    <w:div w:id="447896406">
      <w:bodyDiv w:val="1"/>
      <w:marLeft w:val="0"/>
      <w:marRight w:val="0"/>
      <w:marTop w:val="0"/>
      <w:marBottom w:val="0"/>
      <w:divBdr>
        <w:top w:val="none" w:sz="0" w:space="0" w:color="auto"/>
        <w:left w:val="none" w:sz="0" w:space="0" w:color="auto"/>
        <w:bottom w:val="none" w:sz="0" w:space="0" w:color="auto"/>
        <w:right w:val="none" w:sz="0" w:space="0" w:color="auto"/>
      </w:divBdr>
    </w:div>
    <w:div w:id="456490011">
      <w:bodyDiv w:val="1"/>
      <w:marLeft w:val="0"/>
      <w:marRight w:val="0"/>
      <w:marTop w:val="0"/>
      <w:marBottom w:val="0"/>
      <w:divBdr>
        <w:top w:val="none" w:sz="0" w:space="0" w:color="auto"/>
        <w:left w:val="none" w:sz="0" w:space="0" w:color="auto"/>
        <w:bottom w:val="none" w:sz="0" w:space="0" w:color="auto"/>
        <w:right w:val="none" w:sz="0" w:space="0" w:color="auto"/>
      </w:divBdr>
    </w:div>
    <w:div w:id="473448098">
      <w:bodyDiv w:val="1"/>
      <w:marLeft w:val="0"/>
      <w:marRight w:val="0"/>
      <w:marTop w:val="0"/>
      <w:marBottom w:val="0"/>
      <w:divBdr>
        <w:top w:val="none" w:sz="0" w:space="0" w:color="auto"/>
        <w:left w:val="none" w:sz="0" w:space="0" w:color="auto"/>
        <w:bottom w:val="none" w:sz="0" w:space="0" w:color="auto"/>
        <w:right w:val="none" w:sz="0" w:space="0" w:color="auto"/>
      </w:divBdr>
    </w:div>
    <w:div w:id="525146005">
      <w:bodyDiv w:val="1"/>
      <w:marLeft w:val="0"/>
      <w:marRight w:val="0"/>
      <w:marTop w:val="0"/>
      <w:marBottom w:val="0"/>
      <w:divBdr>
        <w:top w:val="none" w:sz="0" w:space="0" w:color="auto"/>
        <w:left w:val="none" w:sz="0" w:space="0" w:color="auto"/>
        <w:bottom w:val="none" w:sz="0" w:space="0" w:color="auto"/>
        <w:right w:val="none" w:sz="0" w:space="0" w:color="auto"/>
      </w:divBdr>
    </w:div>
    <w:div w:id="553466430">
      <w:bodyDiv w:val="1"/>
      <w:marLeft w:val="0"/>
      <w:marRight w:val="0"/>
      <w:marTop w:val="0"/>
      <w:marBottom w:val="0"/>
      <w:divBdr>
        <w:top w:val="none" w:sz="0" w:space="0" w:color="auto"/>
        <w:left w:val="none" w:sz="0" w:space="0" w:color="auto"/>
        <w:bottom w:val="none" w:sz="0" w:space="0" w:color="auto"/>
        <w:right w:val="none" w:sz="0" w:space="0" w:color="auto"/>
      </w:divBdr>
    </w:div>
    <w:div w:id="575744984">
      <w:bodyDiv w:val="1"/>
      <w:marLeft w:val="0"/>
      <w:marRight w:val="0"/>
      <w:marTop w:val="0"/>
      <w:marBottom w:val="0"/>
      <w:divBdr>
        <w:top w:val="none" w:sz="0" w:space="0" w:color="auto"/>
        <w:left w:val="none" w:sz="0" w:space="0" w:color="auto"/>
        <w:bottom w:val="none" w:sz="0" w:space="0" w:color="auto"/>
        <w:right w:val="none" w:sz="0" w:space="0" w:color="auto"/>
      </w:divBdr>
    </w:div>
    <w:div w:id="583686712">
      <w:bodyDiv w:val="1"/>
      <w:marLeft w:val="0"/>
      <w:marRight w:val="0"/>
      <w:marTop w:val="0"/>
      <w:marBottom w:val="0"/>
      <w:divBdr>
        <w:top w:val="none" w:sz="0" w:space="0" w:color="auto"/>
        <w:left w:val="none" w:sz="0" w:space="0" w:color="auto"/>
        <w:bottom w:val="none" w:sz="0" w:space="0" w:color="auto"/>
        <w:right w:val="none" w:sz="0" w:space="0" w:color="auto"/>
      </w:divBdr>
    </w:div>
    <w:div w:id="588467158">
      <w:bodyDiv w:val="1"/>
      <w:marLeft w:val="0"/>
      <w:marRight w:val="0"/>
      <w:marTop w:val="0"/>
      <w:marBottom w:val="0"/>
      <w:divBdr>
        <w:top w:val="none" w:sz="0" w:space="0" w:color="auto"/>
        <w:left w:val="none" w:sz="0" w:space="0" w:color="auto"/>
        <w:bottom w:val="none" w:sz="0" w:space="0" w:color="auto"/>
        <w:right w:val="none" w:sz="0" w:space="0" w:color="auto"/>
      </w:divBdr>
    </w:div>
    <w:div w:id="596867636">
      <w:bodyDiv w:val="1"/>
      <w:marLeft w:val="0"/>
      <w:marRight w:val="0"/>
      <w:marTop w:val="0"/>
      <w:marBottom w:val="0"/>
      <w:divBdr>
        <w:top w:val="none" w:sz="0" w:space="0" w:color="auto"/>
        <w:left w:val="none" w:sz="0" w:space="0" w:color="auto"/>
        <w:bottom w:val="none" w:sz="0" w:space="0" w:color="auto"/>
        <w:right w:val="none" w:sz="0" w:space="0" w:color="auto"/>
      </w:divBdr>
    </w:div>
    <w:div w:id="605237371">
      <w:bodyDiv w:val="1"/>
      <w:marLeft w:val="0"/>
      <w:marRight w:val="0"/>
      <w:marTop w:val="0"/>
      <w:marBottom w:val="0"/>
      <w:divBdr>
        <w:top w:val="none" w:sz="0" w:space="0" w:color="auto"/>
        <w:left w:val="none" w:sz="0" w:space="0" w:color="auto"/>
        <w:bottom w:val="none" w:sz="0" w:space="0" w:color="auto"/>
        <w:right w:val="none" w:sz="0" w:space="0" w:color="auto"/>
      </w:divBdr>
    </w:div>
    <w:div w:id="605580760">
      <w:bodyDiv w:val="1"/>
      <w:marLeft w:val="0"/>
      <w:marRight w:val="0"/>
      <w:marTop w:val="0"/>
      <w:marBottom w:val="0"/>
      <w:divBdr>
        <w:top w:val="none" w:sz="0" w:space="0" w:color="auto"/>
        <w:left w:val="none" w:sz="0" w:space="0" w:color="auto"/>
        <w:bottom w:val="none" w:sz="0" w:space="0" w:color="auto"/>
        <w:right w:val="none" w:sz="0" w:space="0" w:color="auto"/>
      </w:divBdr>
    </w:div>
    <w:div w:id="638075046">
      <w:bodyDiv w:val="1"/>
      <w:marLeft w:val="0"/>
      <w:marRight w:val="0"/>
      <w:marTop w:val="0"/>
      <w:marBottom w:val="0"/>
      <w:divBdr>
        <w:top w:val="none" w:sz="0" w:space="0" w:color="auto"/>
        <w:left w:val="none" w:sz="0" w:space="0" w:color="auto"/>
        <w:bottom w:val="none" w:sz="0" w:space="0" w:color="auto"/>
        <w:right w:val="none" w:sz="0" w:space="0" w:color="auto"/>
      </w:divBdr>
    </w:div>
    <w:div w:id="642857142">
      <w:bodyDiv w:val="1"/>
      <w:marLeft w:val="0"/>
      <w:marRight w:val="0"/>
      <w:marTop w:val="0"/>
      <w:marBottom w:val="0"/>
      <w:divBdr>
        <w:top w:val="none" w:sz="0" w:space="0" w:color="auto"/>
        <w:left w:val="none" w:sz="0" w:space="0" w:color="auto"/>
        <w:bottom w:val="none" w:sz="0" w:space="0" w:color="auto"/>
        <w:right w:val="none" w:sz="0" w:space="0" w:color="auto"/>
      </w:divBdr>
    </w:div>
    <w:div w:id="650526587">
      <w:bodyDiv w:val="1"/>
      <w:marLeft w:val="0"/>
      <w:marRight w:val="0"/>
      <w:marTop w:val="0"/>
      <w:marBottom w:val="0"/>
      <w:divBdr>
        <w:top w:val="none" w:sz="0" w:space="0" w:color="auto"/>
        <w:left w:val="none" w:sz="0" w:space="0" w:color="auto"/>
        <w:bottom w:val="none" w:sz="0" w:space="0" w:color="auto"/>
        <w:right w:val="none" w:sz="0" w:space="0" w:color="auto"/>
      </w:divBdr>
    </w:div>
    <w:div w:id="660236593">
      <w:bodyDiv w:val="1"/>
      <w:marLeft w:val="0"/>
      <w:marRight w:val="0"/>
      <w:marTop w:val="0"/>
      <w:marBottom w:val="0"/>
      <w:divBdr>
        <w:top w:val="none" w:sz="0" w:space="0" w:color="auto"/>
        <w:left w:val="none" w:sz="0" w:space="0" w:color="auto"/>
        <w:bottom w:val="none" w:sz="0" w:space="0" w:color="auto"/>
        <w:right w:val="none" w:sz="0" w:space="0" w:color="auto"/>
      </w:divBdr>
    </w:div>
    <w:div w:id="676887080">
      <w:bodyDiv w:val="1"/>
      <w:marLeft w:val="0"/>
      <w:marRight w:val="0"/>
      <w:marTop w:val="0"/>
      <w:marBottom w:val="0"/>
      <w:divBdr>
        <w:top w:val="none" w:sz="0" w:space="0" w:color="auto"/>
        <w:left w:val="none" w:sz="0" w:space="0" w:color="auto"/>
        <w:bottom w:val="none" w:sz="0" w:space="0" w:color="auto"/>
        <w:right w:val="none" w:sz="0" w:space="0" w:color="auto"/>
      </w:divBdr>
    </w:div>
    <w:div w:id="681249548">
      <w:bodyDiv w:val="1"/>
      <w:marLeft w:val="0"/>
      <w:marRight w:val="0"/>
      <w:marTop w:val="0"/>
      <w:marBottom w:val="0"/>
      <w:divBdr>
        <w:top w:val="none" w:sz="0" w:space="0" w:color="auto"/>
        <w:left w:val="none" w:sz="0" w:space="0" w:color="auto"/>
        <w:bottom w:val="none" w:sz="0" w:space="0" w:color="auto"/>
        <w:right w:val="none" w:sz="0" w:space="0" w:color="auto"/>
      </w:divBdr>
    </w:div>
    <w:div w:id="686325517">
      <w:bodyDiv w:val="1"/>
      <w:marLeft w:val="0"/>
      <w:marRight w:val="0"/>
      <w:marTop w:val="0"/>
      <w:marBottom w:val="0"/>
      <w:divBdr>
        <w:top w:val="none" w:sz="0" w:space="0" w:color="auto"/>
        <w:left w:val="none" w:sz="0" w:space="0" w:color="auto"/>
        <w:bottom w:val="none" w:sz="0" w:space="0" w:color="auto"/>
        <w:right w:val="none" w:sz="0" w:space="0" w:color="auto"/>
      </w:divBdr>
    </w:div>
    <w:div w:id="700008441">
      <w:bodyDiv w:val="1"/>
      <w:marLeft w:val="0"/>
      <w:marRight w:val="0"/>
      <w:marTop w:val="0"/>
      <w:marBottom w:val="0"/>
      <w:divBdr>
        <w:top w:val="none" w:sz="0" w:space="0" w:color="auto"/>
        <w:left w:val="none" w:sz="0" w:space="0" w:color="auto"/>
        <w:bottom w:val="none" w:sz="0" w:space="0" w:color="auto"/>
        <w:right w:val="none" w:sz="0" w:space="0" w:color="auto"/>
      </w:divBdr>
    </w:div>
    <w:div w:id="704066179">
      <w:bodyDiv w:val="1"/>
      <w:marLeft w:val="0"/>
      <w:marRight w:val="0"/>
      <w:marTop w:val="0"/>
      <w:marBottom w:val="0"/>
      <w:divBdr>
        <w:top w:val="none" w:sz="0" w:space="0" w:color="auto"/>
        <w:left w:val="none" w:sz="0" w:space="0" w:color="auto"/>
        <w:bottom w:val="none" w:sz="0" w:space="0" w:color="auto"/>
        <w:right w:val="none" w:sz="0" w:space="0" w:color="auto"/>
      </w:divBdr>
    </w:div>
    <w:div w:id="722757433">
      <w:bodyDiv w:val="1"/>
      <w:marLeft w:val="0"/>
      <w:marRight w:val="0"/>
      <w:marTop w:val="0"/>
      <w:marBottom w:val="0"/>
      <w:divBdr>
        <w:top w:val="none" w:sz="0" w:space="0" w:color="auto"/>
        <w:left w:val="none" w:sz="0" w:space="0" w:color="auto"/>
        <w:bottom w:val="none" w:sz="0" w:space="0" w:color="auto"/>
        <w:right w:val="none" w:sz="0" w:space="0" w:color="auto"/>
      </w:divBdr>
    </w:div>
    <w:div w:id="725033216">
      <w:bodyDiv w:val="1"/>
      <w:marLeft w:val="0"/>
      <w:marRight w:val="0"/>
      <w:marTop w:val="0"/>
      <w:marBottom w:val="0"/>
      <w:divBdr>
        <w:top w:val="none" w:sz="0" w:space="0" w:color="auto"/>
        <w:left w:val="none" w:sz="0" w:space="0" w:color="auto"/>
        <w:bottom w:val="none" w:sz="0" w:space="0" w:color="auto"/>
        <w:right w:val="none" w:sz="0" w:space="0" w:color="auto"/>
      </w:divBdr>
    </w:div>
    <w:div w:id="741100253">
      <w:bodyDiv w:val="1"/>
      <w:marLeft w:val="0"/>
      <w:marRight w:val="0"/>
      <w:marTop w:val="0"/>
      <w:marBottom w:val="0"/>
      <w:divBdr>
        <w:top w:val="none" w:sz="0" w:space="0" w:color="auto"/>
        <w:left w:val="none" w:sz="0" w:space="0" w:color="auto"/>
        <w:bottom w:val="none" w:sz="0" w:space="0" w:color="auto"/>
        <w:right w:val="none" w:sz="0" w:space="0" w:color="auto"/>
      </w:divBdr>
    </w:div>
    <w:div w:id="762190906">
      <w:bodyDiv w:val="1"/>
      <w:marLeft w:val="0"/>
      <w:marRight w:val="0"/>
      <w:marTop w:val="0"/>
      <w:marBottom w:val="0"/>
      <w:divBdr>
        <w:top w:val="none" w:sz="0" w:space="0" w:color="auto"/>
        <w:left w:val="none" w:sz="0" w:space="0" w:color="auto"/>
        <w:bottom w:val="none" w:sz="0" w:space="0" w:color="auto"/>
        <w:right w:val="none" w:sz="0" w:space="0" w:color="auto"/>
      </w:divBdr>
    </w:div>
    <w:div w:id="779377644">
      <w:bodyDiv w:val="1"/>
      <w:marLeft w:val="0"/>
      <w:marRight w:val="0"/>
      <w:marTop w:val="0"/>
      <w:marBottom w:val="0"/>
      <w:divBdr>
        <w:top w:val="none" w:sz="0" w:space="0" w:color="auto"/>
        <w:left w:val="none" w:sz="0" w:space="0" w:color="auto"/>
        <w:bottom w:val="none" w:sz="0" w:space="0" w:color="auto"/>
        <w:right w:val="none" w:sz="0" w:space="0" w:color="auto"/>
      </w:divBdr>
    </w:div>
    <w:div w:id="789251660">
      <w:bodyDiv w:val="1"/>
      <w:marLeft w:val="0"/>
      <w:marRight w:val="0"/>
      <w:marTop w:val="0"/>
      <w:marBottom w:val="0"/>
      <w:divBdr>
        <w:top w:val="none" w:sz="0" w:space="0" w:color="auto"/>
        <w:left w:val="none" w:sz="0" w:space="0" w:color="auto"/>
        <w:bottom w:val="none" w:sz="0" w:space="0" w:color="auto"/>
        <w:right w:val="none" w:sz="0" w:space="0" w:color="auto"/>
      </w:divBdr>
    </w:div>
    <w:div w:id="806628887">
      <w:bodyDiv w:val="1"/>
      <w:marLeft w:val="0"/>
      <w:marRight w:val="0"/>
      <w:marTop w:val="0"/>
      <w:marBottom w:val="0"/>
      <w:divBdr>
        <w:top w:val="none" w:sz="0" w:space="0" w:color="auto"/>
        <w:left w:val="none" w:sz="0" w:space="0" w:color="auto"/>
        <w:bottom w:val="none" w:sz="0" w:space="0" w:color="auto"/>
        <w:right w:val="none" w:sz="0" w:space="0" w:color="auto"/>
      </w:divBdr>
    </w:div>
    <w:div w:id="821580624">
      <w:bodyDiv w:val="1"/>
      <w:marLeft w:val="0"/>
      <w:marRight w:val="0"/>
      <w:marTop w:val="0"/>
      <w:marBottom w:val="0"/>
      <w:divBdr>
        <w:top w:val="none" w:sz="0" w:space="0" w:color="auto"/>
        <w:left w:val="none" w:sz="0" w:space="0" w:color="auto"/>
        <w:bottom w:val="none" w:sz="0" w:space="0" w:color="auto"/>
        <w:right w:val="none" w:sz="0" w:space="0" w:color="auto"/>
      </w:divBdr>
    </w:div>
    <w:div w:id="872498845">
      <w:bodyDiv w:val="1"/>
      <w:marLeft w:val="0"/>
      <w:marRight w:val="0"/>
      <w:marTop w:val="0"/>
      <w:marBottom w:val="0"/>
      <w:divBdr>
        <w:top w:val="none" w:sz="0" w:space="0" w:color="auto"/>
        <w:left w:val="none" w:sz="0" w:space="0" w:color="auto"/>
        <w:bottom w:val="none" w:sz="0" w:space="0" w:color="auto"/>
        <w:right w:val="none" w:sz="0" w:space="0" w:color="auto"/>
      </w:divBdr>
    </w:div>
    <w:div w:id="876502676">
      <w:bodyDiv w:val="1"/>
      <w:marLeft w:val="0"/>
      <w:marRight w:val="0"/>
      <w:marTop w:val="0"/>
      <w:marBottom w:val="0"/>
      <w:divBdr>
        <w:top w:val="none" w:sz="0" w:space="0" w:color="auto"/>
        <w:left w:val="none" w:sz="0" w:space="0" w:color="auto"/>
        <w:bottom w:val="none" w:sz="0" w:space="0" w:color="auto"/>
        <w:right w:val="none" w:sz="0" w:space="0" w:color="auto"/>
      </w:divBdr>
    </w:div>
    <w:div w:id="877938792">
      <w:bodyDiv w:val="1"/>
      <w:marLeft w:val="0"/>
      <w:marRight w:val="0"/>
      <w:marTop w:val="0"/>
      <w:marBottom w:val="0"/>
      <w:divBdr>
        <w:top w:val="none" w:sz="0" w:space="0" w:color="auto"/>
        <w:left w:val="none" w:sz="0" w:space="0" w:color="auto"/>
        <w:bottom w:val="none" w:sz="0" w:space="0" w:color="auto"/>
        <w:right w:val="none" w:sz="0" w:space="0" w:color="auto"/>
      </w:divBdr>
    </w:div>
    <w:div w:id="882713579">
      <w:bodyDiv w:val="1"/>
      <w:marLeft w:val="0"/>
      <w:marRight w:val="0"/>
      <w:marTop w:val="0"/>
      <w:marBottom w:val="0"/>
      <w:divBdr>
        <w:top w:val="none" w:sz="0" w:space="0" w:color="auto"/>
        <w:left w:val="none" w:sz="0" w:space="0" w:color="auto"/>
        <w:bottom w:val="none" w:sz="0" w:space="0" w:color="auto"/>
        <w:right w:val="none" w:sz="0" w:space="0" w:color="auto"/>
      </w:divBdr>
    </w:div>
    <w:div w:id="884755233">
      <w:bodyDiv w:val="1"/>
      <w:marLeft w:val="0"/>
      <w:marRight w:val="0"/>
      <w:marTop w:val="0"/>
      <w:marBottom w:val="0"/>
      <w:divBdr>
        <w:top w:val="none" w:sz="0" w:space="0" w:color="auto"/>
        <w:left w:val="none" w:sz="0" w:space="0" w:color="auto"/>
        <w:bottom w:val="none" w:sz="0" w:space="0" w:color="auto"/>
        <w:right w:val="none" w:sz="0" w:space="0" w:color="auto"/>
      </w:divBdr>
    </w:div>
    <w:div w:id="885528232">
      <w:bodyDiv w:val="1"/>
      <w:marLeft w:val="0"/>
      <w:marRight w:val="0"/>
      <w:marTop w:val="0"/>
      <w:marBottom w:val="0"/>
      <w:divBdr>
        <w:top w:val="none" w:sz="0" w:space="0" w:color="auto"/>
        <w:left w:val="none" w:sz="0" w:space="0" w:color="auto"/>
        <w:bottom w:val="none" w:sz="0" w:space="0" w:color="auto"/>
        <w:right w:val="none" w:sz="0" w:space="0" w:color="auto"/>
      </w:divBdr>
    </w:div>
    <w:div w:id="910896206">
      <w:bodyDiv w:val="1"/>
      <w:marLeft w:val="0"/>
      <w:marRight w:val="0"/>
      <w:marTop w:val="0"/>
      <w:marBottom w:val="0"/>
      <w:divBdr>
        <w:top w:val="none" w:sz="0" w:space="0" w:color="auto"/>
        <w:left w:val="none" w:sz="0" w:space="0" w:color="auto"/>
        <w:bottom w:val="none" w:sz="0" w:space="0" w:color="auto"/>
        <w:right w:val="none" w:sz="0" w:space="0" w:color="auto"/>
      </w:divBdr>
    </w:div>
    <w:div w:id="913009792">
      <w:bodyDiv w:val="1"/>
      <w:marLeft w:val="0"/>
      <w:marRight w:val="0"/>
      <w:marTop w:val="0"/>
      <w:marBottom w:val="0"/>
      <w:divBdr>
        <w:top w:val="none" w:sz="0" w:space="0" w:color="auto"/>
        <w:left w:val="none" w:sz="0" w:space="0" w:color="auto"/>
        <w:bottom w:val="none" w:sz="0" w:space="0" w:color="auto"/>
        <w:right w:val="none" w:sz="0" w:space="0" w:color="auto"/>
      </w:divBdr>
    </w:div>
    <w:div w:id="919364319">
      <w:bodyDiv w:val="1"/>
      <w:marLeft w:val="0"/>
      <w:marRight w:val="0"/>
      <w:marTop w:val="0"/>
      <w:marBottom w:val="0"/>
      <w:divBdr>
        <w:top w:val="none" w:sz="0" w:space="0" w:color="auto"/>
        <w:left w:val="none" w:sz="0" w:space="0" w:color="auto"/>
        <w:bottom w:val="none" w:sz="0" w:space="0" w:color="auto"/>
        <w:right w:val="none" w:sz="0" w:space="0" w:color="auto"/>
      </w:divBdr>
    </w:div>
    <w:div w:id="921833813">
      <w:bodyDiv w:val="1"/>
      <w:marLeft w:val="0"/>
      <w:marRight w:val="0"/>
      <w:marTop w:val="0"/>
      <w:marBottom w:val="0"/>
      <w:divBdr>
        <w:top w:val="none" w:sz="0" w:space="0" w:color="auto"/>
        <w:left w:val="none" w:sz="0" w:space="0" w:color="auto"/>
        <w:bottom w:val="none" w:sz="0" w:space="0" w:color="auto"/>
        <w:right w:val="none" w:sz="0" w:space="0" w:color="auto"/>
      </w:divBdr>
    </w:div>
    <w:div w:id="940449832">
      <w:bodyDiv w:val="1"/>
      <w:marLeft w:val="0"/>
      <w:marRight w:val="0"/>
      <w:marTop w:val="0"/>
      <w:marBottom w:val="0"/>
      <w:divBdr>
        <w:top w:val="none" w:sz="0" w:space="0" w:color="auto"/>
        <w:left w:val="none" w:sz="0" w:space="0" w:color="auto"/>
        <w:bottom w:val="none" w:sz="0" w:space="0" w:color="auto"/>
        <w:right w:val="none" w:sz="0" w:space="0" w:color="auto"/>
      </w:divBdr>
    </w:div>
    <w:div w:id="960263282">
      <w:bodyDiv w:val="1"/>
      <w:marLeft w:val="0"/>
      <w:marRight w:val="0"/>
      <w:marTop w:val="0"/>
      <w:marBottom w:val="0"/>
      <w:divBdr>
        <w:top w:val="none" w:sz="0" w:space="0" w:color="auto"/>
        <w:left w:val="none" w:sz="0" w:space="0" w:color="auto"/>
        <w:bottom w:val="none" w:sz="0" w:space="0" w:color="auto"/>
        <w:right w:val="none" w:sz="0" w:space="0" w:color="auto"/>
      </w:divBdr>
    </w:div>
    <w:div w:id="992759505">
      <w:bodyDiv w:val="1"/>
      <w:marLeft w:val="0"/>
      <w:marRight w:val="0"/>
      <w:marTop w:val="0"/>
      <w:marBottom w:val="0"/>
      <w:divBdr>
        <w:top w:val="none" w:sz="0" w:space="0" w:color="auto"/>
        <w:left w:val="none" w:sz="0" w:space="0" w:color="auto"/>
        <w:bottom w:val="none" w:sz="0" w:space="0" w:color="auto"/>
        <w:right w:val="none" w:sz="0" w:space="0" w:color="auto"/>
      </w:divBdr>
    </w:div>
    <w:div w:id="1002781672">
      <w:bodyDiv w:val="1"/>
      <w:marLeft w:val="0"/>
      <w:marRight w:val="0"/>
      <w:marTop w:val="0"/>
      <w:marBottom w:val="0"/>
      <w:divBdr>
        <w:top w:val="none" w:sz="0" w:space="0" w:color="auto"/>
        <w:left w:val="none" w:sz="0" w:space="0" w:color="auto"/>
        <w:bottom w:val="none" w:sz="0" w:space="0" w:color="auto"/>
        <w:right w:val="none" w:sz="0" w:space="0" w:color="auto"/>
      </w:divBdr>
    </w:div>
    <w:div w:id="1028792474">
      <w:bodyDiv w:val="1"/>
      <w:marLeft w:val="0"/>
      <w:marRight w:val="0"/>
      <w:marTop w:val="0"/>
      <w:marBottom w:val="0"/>
      <w:divBdr>
        <w:top w:val="none" w:sz="0" w:space="0" w:color="auto"/>
        <w:left w:val="none" w:sz="0" w:space="0" w:color="auto"/>
        <w:bottom w:val="none" w:sz="0" w:space="0" w:color="auto"/>
        <w:right w:val="none" w:sz="0" w:space="0" w:color="auto"/>
      </w:divBdr>
    </w:div>
    <w:div w:id="1038433857">
      <w:bodyDiv w:val="1"/>
      <w:marLeft w:val="0"/>
      <w:marRight w:val="0"/>
      <w:marTop w:val="0"/>
      <w:marBottom w:val="0"/>
      <w:divBdr>
        <w:top w:val="none" w:sz="0" w:space="0" w:color="auto"/>
        <w:left w:val="none" w:sz="0" w:space="0" w:color="auto"/>
        <w:bottom w:val="none" w:sz="0" w:space="0" w:color="auto"/>
        <w:right w:val="none" w:sz="0" w:space="0" w:color="auto"/>
      </w:divBdr>
    </w:div>
    <w:div w:id="1071078596">
      <w:bodyDiv w:val="1"/>
      <w:marLeft w:val="0"/>
      <w:marRight w:val="0"/>
      <w:marTop w:val="0"/>
      <w:marBottom w:val="0"/>
      <w:divBdr>
        <w:top w:val="none" w:sz="0" w:space="0" w:color="auto"/>
        <w:left w:val="none" w:sz="0" w:space="0" w:color="auto"/>
        <w:bottom w:val="none" w:sz="0" w:space="0" w:color="auto"/>
        <w:right w:val="none" w:sz="0" w:space="0" w:color="auto"/>
      </w:divBdr>
    </w:div>
    <w:div w:id="1105996579">
      <w:bodyDiv w:val="1"/>
      <w:marLeft w:val="0"/>
      <w:marRight w:val="0"/>
      <w:marTop w:val="0"/>
      <w:marBottom w:val="0"/>
      <w:divBdr>
        <w:top w:val="none" w:sz="0" w:space="0" w:color="auto"/>
        <w:left w:val="none" w:sz="0" w:space="0" w:color="auto"/>
        <w:bottom w:val="none" w:sz="0" w:space="0" w:color="auto"/>
        <w:right w:val="none" w:sz="0" w:space="0" w:color="auto"/>
      </w:divBdr>
    </w:div>
    <w:div w:id="1110734653">
      <w:bodyDiv w:val="1"/>
      <w:marLeft w:val="0"/>
      <w:marRight w:val="0"/>
      <w:marTop w:val="0"/>
      <w:marBottom w:val="0"/>
      <w:divBdr>
        <w:top w:val="none" w:sz="0" w:space="0" w:color="auto"/>
        <w:left w:val="none" w:sz="0" w:space="0" w:color="auto"/>
        <w:bottom w:val="none" w:sz="0" w:space="0" w:color="auto"/>
        <w:right w:val="none" w:sz="0" w:space="0" w:color="auto"/>
      </w:divBdr>
    </w:div>
    <w:div w:id="1120879818">
      <w:bodyDiv w:val="1"/>
      <w:marLeft w:val="0"/>
      <w:marRight w:val="0"/>
      <w:marTop w:val="0"/>
      <w:marBottom w:val="0"/>
      <w:divBdr>
        <w:top w:val="none" w:sz="0" w:space="0" w:color="auto"/>
        <w:left w:val="none" w:sz="0" w:space="0" w:color="auto"/>
        <w:bottom w:val="none" w:sz="0" w:space="0" w:color="auto"/>
        <w:right w:val="none" w:sz="0" w:space="0" w:color="auto"/>
      </w:divBdr>
    </w:div>
    <w:div w:id="1128013225">
      <w:bodyDiv w:val="1"/>
      <w:marLeft w:val="0"/>
      <w:marRight w:val="0"/>
      <w:marTop w:val="0"/>
      <w:marBottom w:val="0"/>
      <w:divBdr>
        <w:top w:val="none" w:sz="0" w:space="0" w:color="auto"/>
        <w:left w:val="none" w:sz="0" w:space="0" w:color="auto"/>
        <w:bottom w:val="none" w:sz="0" w:space="0" w:color="auto"/>
        <w:right w:val="none" w:sz="0" w:space="0" w:color="auto"/>
      </w:divBdr>
    </w:div>
    <w:div w:id="1133987415">
      <w:bodyDiv w:val="1"/>
      <w:marLeft w:val="0"/>
      <w:marRight w:val="0"/>
      <w:marTop w:val="0"/>
      <w:marBottom w:val="0"/>
      <w:divBdr>
        <w:top w:val="none" w:sz="0" w:space="0" w:color="auto"/>
        <w:left w:val="none" w:sz="0" w:space="0" w:color="auto"/>
        <w:bottom w:val="none" w:sz="0" w:space="0" w:color="auto"/>
        <w:right w:val="none" w:sz="0" w:space="0" w:color="auto"/>
      </w:divBdr>
    </w:div>
    <w:div w:id="1138231904">
      <w:bodyDiv w:val="1"/>
      <w:marLeft w:val="0"/>
      <w:marRight w:val="0"/>
      <w:marTop w:val="0"/>
      <w:marBottom w:val="0"/>
      <w:divBdr>
        <w:top w:val="none" w:sz="0" w:space="0" w:color="auto"/>
        <w:left w:val="none" w:sz="0" w:space="0" w:color="auto"/>
        <w:bottom w:val="none" w:sz="0" w:space="0" w:color="auto"/>
        <w:right w:val="none" w:sz="0" w:space="0" w:color="auto"/>
      </w:divBdr>
    </w:div>
    <w:div w:id="1199977346">
      <w:bodyDiv w:val="1"/>
      <w:marLeft w:val="0"/>
      <w:marRight w:val="0"/>
      <w:marTop w:val="0"/>
      <w:marBottom w:val="0"/>
      <w:divBdr>
        <w:top w:val="none" w:sz="0" w:space="0" w:color="auto"/>
        <w:left w:val="none" w:sz="0" w:space="0" w:color="auto"/>
        <w:bottom w:val="none" w:sz="0" w:space="0" w:color="auto"/>
        <w:right w:val="none" w:sz="0" w:space="0" w:color="auto"/>
      </w:divBdr>
    </w:div>
    <w:div w:id="1216820737">
      <w:bodyDiv w:val="1"/>
      <w:marLeft w:val="0"/>
      <w:marRight w:val="0"/>
      <w:marTop w:val="0"/>
      <w:marBottom w:val="0"/>
      <w:divBdr>
        <w:top w:val="none" w:sz="0" w:space="0" w:color="auto"/>
        <w:left w:val="none" w:sz="0" w:space="0" w:color="auto"/>
        <w:bottom w:val="none" w:sz="0" w:space="0" w:color="auto"/>
        <w:right w:val="none" w:sz="0" w:space="0" w:color="auto"/>
      </w:divBdr>
    </w:div>
    <w:div w:id="1218588282">
      <w:bodyDiv w:val="1"/>
      <w:marLeft w:val="0"/>
      <w:marRight w:val="0"/>
      <w:marTop w:val="0"/>
      <w:marBottom w:val="0"/>
      <w:divBdr>
        <w:top w:val="none" w:sz="0" w:space="0" w:color="auto"/>
        <w:left w:val="none" w:sz="0" w:space="0" w:color="auto"/>
        <w:bottom w:val="none" w:sz="0" w:space="0" w:color="auto"/>
        <w:right w:val="none" w:sz="0" w:space="0" w:color="auto"/>
      </w:divBdr>
    </w:div>
    <w:div w:id="1219245487">
      <w:bodyDiv w:val="1"/>
      <w:marLeft w:val="0"/>
      <w:marRight w:val="0"/>
      <w:marTop w:val="0"/>
      <w:marBottom w:val="0"/>
      <w:divBdr>
        <w:top w:val="none" w:sz="0" w:space="0" w:color="auto"/>
        <w:left w:val="none" w:sz="0" w:space="0" w:color="auto"/>
        <w:bottom w:val="none" w:sz="0" w:space="0" w:color="auto"/>
        <w:right w:val="none" w:sz="0" w:space="0" w:color="auto"/>
      </w:divBdr>
    </w:div>
    <w:div w:id="1239483640">
      <w:bodyDiv w:val="1"/>
      <w:marLeft w:val="0"/>
      <w:marRight w:val="0"/>
      <w:marTop w:val="0"/>
      <w:marBottom w:val="0"/>
      <w:divBdr>
        <w:top w:val="none" w:sz="0" w:space="0" w:color="auto"/>
        <w:left w:val="none" w:sz="0" w:space="0" w:color="auto"/>
        <w:bottom w:val="none" w:sz="0" w:space="0" w:color="auto"/>
        <w:right w:val="none" w:sz="0" w:space="0" w:color="auto"/>
      </w:divBdr>
    </w:div>
    <w:div w:id="1247036023">
      <w:bodyDiv w:val="1"/>
      <w:marLeft w:val="0"/>
      <w:marRight w:val="0"/>
      <w:marTop w:val="0"/>
      <w:marBottom w:val="0"/>
      <w:divBdr>
        <w:top w:val="none" w:sz="0" w:space="0" w:color="auto"/>
        <w:left w:val="none" w:sz="0" w:space="0" w:color="auto"/>
        <w:bottom w:val="none" w:sz="0" w:space="0" w:color="auto"/>
        <w:right w:val="none" w:sz="0" w:space="0" w:color="auto"/>
      </w:divBdr>
    </w:div>
    <w:div w:id="1289622551">
      <w:bodyDiv w:val="1"/>
      <w:marLeft w:val="0"/>
      <w:marRight w:val="0"/>
      <w:marTop w:val="0"/>
      <w:marBottom w:val="0"/>
      <w:divBdr>
        <w:top w:val="none" w:sz="0" w:space="0" w:color="auto"/>
        <w:left w:val="none" w:sz="0" w:space="0" w:color="auto"/>
        <w:bottom w:val="none" w:sz="0" w:space="0" w:color="auto"/>
        <w:right w:val="none" w:sz="0" w:space="0" w:color="auto"/>
      </w:divBdr>
    </w:div>
    <w:div w:id="1290748521">
      <w:bodyDiv w:val="1"/>
      <w:marLeft w:val="0"/>
      <w:marRight w:val="0"/>
      <w:marTop w:val="0"/>
      <w:marBottom w:val="0"/>
      <w:divBdr>
        <w:top w:val="none" w:sz="0" w:space="0" w:color="auto"/>
        <w:left w:val="none" w:sz="0" w:space="0" w:color="auto"/>
        <w:bottom w:val="none" w:sz="0" w:space="0" w:color="auto"/>
        <w:right w:val="none" w:sz="0" w:space="0" w:color="auto"/>
      </w:divBdr>
    </w:div>
    <w:div w:id="1295914203">
      <w:bodyDiv w:val="1"/>
      <w:marLeft w:val="0"/>
      <w:marRight w:val="0"/>
      <w:marTop w:val="0"/>
      <w:marBottom w:val="0"/>
      <w:divBdr>
        <w:top w:val="none" w:sz="0" w:space="0" w:color="auto"/>
        <w:left w:val="none" w:sz="0" w:space="0" w:color="auto"/>
        <w:bottom w:val="none" w:sz="0" w:space="0" w:color="auto"/>
        <w:right w:val="none" w:sz="0" w:space="0" w:color="auto"/>
      </w:divBdr>
    </w:div>
    <w:div w:id="1311979081">
      <w:bodyDiv w:val="1"/>
      <w:marLeft w:val="0"/>
      <w:marRight w:val="0"/>
      <w:marTop w:val="0"/>
      <w:marBottom w:val="0"/>
      <w:divBdr>
        <w:top w:val="none" w:sz="0" w:space="0" w:color="auto"/>
        <w:left w:val="none" w:sz="0" w:space="0" w:color="auto"/>
        <w:bottom w:val="none" w:sz="0" w:space="0" w:color="auto"/>
        <w:right w:val="none" w:sz="0" w:space="0" w:color="auto"/>
      </w:divBdr>
      <w:divsChild>
        <w:div w:id="1724330817">
          <w:marLeft w:val="0"/>
          <w:marRight w:val="0"/>
          <w:marTop w:val="0"/>
          <w:marBottom w:val="0"/>
          <w:divBdr>
            <w:top w:val="none" w:sz="0" w:space="0" w:color="auto"/>
            <w:left w:val="none" w:sz="0" w:space="0" w:color="auto"/>
            <w:bottom w:val="none" w:sz="0" w:space="0" w:color="auto"/>
            <w:right w:val="none" w:sz="0" w:space="0" w:color="auto"/>
          </w:divBdr>
          <w:divsChild>
            <w:div w:id="1797989631">
              <w:marLeft w:val="0"/>
              <w:marRight w:val="0"/>
              <w:marTop w:val="0"/>
              <w:marBottom w:val="0"/>
              <w:divBdr>
                <w:top w:val="none" w:sz="0" w:space="0" w:color="auto"/>
                <w:left w:val="none" w:sz="0" w:space="0" w:color="auto"/>
                <w:bottom w:val="none" w:sz="0" w:space="0" w:color="auto"/>
                <w:right w:val="none" w:sz="0" w:space="0" w:color="auto"/>
              </w:divBdr>
              <w:divsChild>
                <w:div w:id="121092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11941">
      <w:bodyDiv w:val="1"/>
      <w:marLeft w:val="0"/>
      <w:marRight w:val="0"/>
      <w:marTop w:val="0"/>
      <w:marBottom w:val="0"/>
      <w:divBdr>
        <w:top w:val="none" w:sz="0" w:space="0" w:color="auto"/>
        <w:left w:val="none" w:sz="0" w:space="0" w:color="auto"/>
        <w:bottom w:val="none" w:sz="0" w:space="0" w:color="auto"/>
        <w:right w:val="none" w:sz="0" w:space="0" w:color="auto"/>
      </w:divBdr>
    </w:div>
    <w:div w:id="1315258781">
      <w:bodyDiv w:val="1"/>
      <w:marLeft w:val="0"/>
      <w:marRight w:val="0"/>
      <w:marTop w:val="0"/>
      <w:marBottom w:val="0"/>
      <w:divBdr>
        <w:top w:val="none" w:sz="0" w:space="0" w:color="auto"/>
        <w:left w:val="none" w:sz="0" w:space="0" w:color="auto"/>
        <w:bottom w:val="none" w:sz="0" w:space="0" w:color="auto"/>
        <w:right w:val="none" w:sz="0" w:space="0" w:color="auto"/>
      </w:divBdr>
    </w:div>
    <w:div w:id="1326939341">
      <w:bodyDiv w:val="1"/>
      <w:marLeft w:val="0"/>
      <w:marRight w:val="0"/>
      <w:marTop w:val="0"/>
      <w:marBottom w:val="0"/>
      <w:divBdr>
        <w:top w:val="none" w:sz="0" w:space="0" w:color="auto"/>
        <w:left w:val="none" w:sz="0" w:space="0" w:color="auto"/>
        <w:bottom w:val="none" w:sz="0" w:space="0" w:color="auto"/>
        <w:right w:val="none" w:sz="0" w:space="0" w:color="auto"/>
      </w:divBdr>
    </w:div>
    <w:div w:id="1327444317">
      <w:bodyDiv w:val="1"/>
      <w:marLeft w:val="0"/>
      <w:marRight w:val="0"/>
      <w:marTop w:val="0"/>
      <w:marBottom w:val="0"/>
      <w:divBdr>
        <w:top w:val="none" w:sz="0" w:space="0" w:color="auto"/>
        <w:left w:val="none" w:sz="0" w:space="0" w:color="auto"/>
        <w:bottom w:val="none" w:sz="0" w:space="0" w:color="auto"/>
        <w:right w:val="none" w:sz="0" w:space="0" w:color="auto"/>
      </w:divBdr>
    </w:div>
    <w:div w:id="1341737861">
      <w:bodyDiv w:val="1"/>
      <w:marLeft w:val="0"/>
      <w:marRight w:val="0"/>
      <w:marTop w:val="0"/>
      <w:marBottom w:val="0"/>
      <w:divBdr>
        <w:top w:val="none" w:sz="0" w:space="0" w:color="auto"/>
        <w:left w:val="none" w:sz="0" w:space="0" w:color="auto"/>
        <w:bottom w:val="none" w:sz="0" w:space="0" w:color="auto"/>
        <w:right w:val="none" w:sz="0" w:space="0" w:color="auto"/>
      </w:divBdr>
    </w:div>
    <w:div w:id="1353146619">
      <w:bodyDiv w:val="1"/>
      <w:marLeft w:val="0"/>
      <w:marRight w:val="0"/>
      <w:marTop w:val="0"/>
      <w:marBottom w:val="0"/>
      <w:divBdr>
        <w:top w:val="none" w:sz="0" w:space="0" w:color="auto"/>
        <w:left w:val="none" w:sz="0" w:space="0" w:color="auto"/>
        <w:bottom w:val="none" w:sz="0" w:space="0" w:color="auto"/>
        <w:right w:val="none" w:sz="0" w:space="0" w:color="auto"/>
      </w:divBdr>
    </w:div>
    <w:div w:id="1362128549">
      <w:bodyDiv w:val="1"/>
      <w:marLeft w:val="0"/>
      <w:marRight w:val="0"/>
      <w:marTop w:val="0"/>
      <w:marBottom w:val="0"/>
      <w:divBdr>
        <w:top w:val="none" w:sz="0" w:space="0" w:color="auto"/>
        <w:left w:val="none" w:sz="0" w:space="0" w:color="auto"/>
        <w:bottom w:val="none" w:sz="0" w:space="0" w:color="auto"/>
        <w:right w:val="none" w:sz="0" w:space="0" w:color="auto"/>
      </w:divBdr>
    </w:div>
    <w:div w:id="1371373070">
      <w:bodyDiv w:val="1"/>
      <w:marLeft w:val="0"/>
      <w:marRight w:val="0"/>
      <w:marTop w:val="0"/>
      <w:marBottom w:val="0"/>
      <w:divBdr>
        <w:top w:val="none" w:sz="0" w:space="0" w:color="auto"/>
        <w:left w:val="none" w:sz="0" w:space="0" w:color="auto"/>
        <w:bottom w:val="none" w:sz="0" w:space="0" w:color="auto"/>
        <w:right w:val="none" w:sz="0" w:space="0" w:color="auto"/>
      </w:divBdr>
    </w:div>
    <w:div w:id="1410075191">
      <w:bodyDiv w:val="1"/>
      <w:marLeft w:val="0"/>
      <w:marRight w:val="0"/>
      <w:marTop w:val="0"/>
      <w:marBottom w:val="0"/>
      <w:divBdr>
        <w:top w:val="none" w:sz="0" w:space="0" w:color="auto"/>
        <w:left w:val="none" w:sz="0" w:space="0" w:color="auto"/>
        <w:bottom w:val="none" w:sz="0" w:space="0" w:color="auto"/>
        <w:right w:val="none" w:sz="0" w:space="0" w:color="auto"/>
      </w:divBdr>
    </w:div>
    <w:div w:id="1452360614">
      <w:bodyDiv w:val="1"/>
      <w:marLeft w:val="0"/>
      <w:marRight w:val="0"/>
      <w:marTop w:val="0"/>
      <w:marBottom w:val="0"/>
      <w:divBdr>
        <w:top w:val="none" w:sz="0" w:space="0" w:color="auto"/>
        <w:left w:val="none" w:sz="0" w:space="0" w:color="auto"/>
        <w:bottom w:val="none" w:sz="0" w:space="0" w:color="auto"/>
        <w:right w:val="none" w:sz="0" w:space="0" w:color="auto"/>
      </w:divBdr>
    </w:div>
    <w:div w:id="1452743905">
      <w:bodyDiv w:val="1"/>
      <w:marLeft w:val="0"/>
      <w:marRight w:val="0"/>
      <w:marTop w:val="0"/>
      <w:marBottom w:val="0"/>
      <w:divBdr>
        <w:top w:val="none" w:sz="0" w:space="0" w:color="auto"/>
        <w:left w:val="none" w:sz="0" w:space="0" w:color="auto"/>
        <w:bottom w:val="none" w:sz="0" w:space="0" w:color="auto"/>
        <w:right w:val="none" w:sz="0" w:space="0" w:color="auto"/>
      </w:divBdr>
    </w:div>
    <w:div w:id="1469130782">
      <w:bodyDiv w:val="1"/>
      <w:marLeft w:val="0"/>
      <w:marRight w:val="0"/>
      <w:marTop w:val="0"/>
      <w:marBottom w:val="0"/>
      <w:divBdr>
        <w:top w:val="none" w:sz="0" w:space="0" w:color="auto"/>
        <w:left w:val="none" w:sz="0" w:space="0" w:color="auto"/>
        <w:bottom w:val="none" w:sz="0" w:space="0" w:color="auto"/>
        <w:right w:val="none" w:sz="0" w:space="0" w:color="auto"/>
      </w:divBdr>
    </w:div>
    <w:div w:id="1491560946">
      <w:bodyDiv w:val="1"/>
      <w:marLeft w:val="0"/>
      <w:marRight w:val="0"/>
      <w:marTop w:val="0"/>
      <w:marBottom w:val="0"/>
      <w:divBdr>
        <w:top w:val="none" w:sz="0" w:space="0" w:color="auto"/>
        <w:left w:val="none" w:sz="0" w:space="0" w:color="auto"/>
        <w:bottom w:val="none" w:sz="0" w:space="0" w:color="auto"/>
        <w:right w:val="none" w:sz="0" w:space="0" w:color="auto"/>
      </w:divBdr>
    </w:div>
    <w:div w:id="1491945403">
      <w:bodyDiv w:val="1"/>
      <w:marLeft w:val="0"/>
      <w:marRight w:val="0"/>
      <w:marTop w:val="0"/>
      <w:marBottom w:val="0"/>
      <w:divBdr>
        <w:top w:val="none" w:sz="0" w:space="0" w:color="auto"/>
        <w:left w:val="none" w:sz="0" w:space="0" w:color="auto"/>
        <w:bottom w:val="none" w:sz="0" w:space="0" w:color="auto"/>
        <w:right w:val="none" w:sz="0" w:space="0" w:color="auto"/>
      </w:divBdr>
    </w:div>
    <w:div w:id="1501847016">
      <w:bodyDiv w:val="1"/>
      <w:marLeft w:val="0"/>
      <w:marRight w:val="0"/>
      <w:marTop w:val="0"/>
      <w:marBottom w:val="0"/>
      <w:divBdr>
        <w:top w:val="none" w:sz="0" w:space="0" w:color="auto"/>
        <w:left w:val="none" w:sz="0" w:space="0" w:color="auto"/>
        <w:bottom w:val="none" w:sz="0" w:space="0" w:color="auto"/>
        <w:right w:val="none" w:sz="0" w:space="0" w:color="auto"/>
      </w:divBdr>
    </w:div>
    <w:div w:id="1520193057">
      <w:bodyDiv w:val="1"/>
      <w:marLeft w:val="0"/>
      <w:marRight w:val="0"/>
      <w:marTop w:val="0"/>
      <w:marBottom w:val="0"/>
      <w:divBdr>
        <w:top w:val="none" w:sz="0" w:space="0" w:color="auto"/>
        <w:left w:val="none" w:sz="0" w:space="0" w:color="auto"/>
        <w:bottom w:val="none" w:sz="0" w:space="0" w:color="auto"/>
        <w:right w:val="none" w:sz="0" w:space="0" w:color="auto"/>
      </w:divBdr>
    </w:div>
    <w:div w:id="1531915903">
      <w:bodyDiv w:val="1"/>
      <w:marLeft w:val="0"/>
      <w:marRight w:val="0"/>
      <w:marTop w:val="0"/>
      <w:marBottom w:val="0"/>
      <w:divBdr>
        <w:top w:val="none" w:sz="0" w:space="0" w:color="auto"/>
        <w:left w:val="none" w:sz="0" w:space="0" w:color="auto"/>
        <w:bottom w:val="none" w:sz="0" w:space="0" w:color="auto"/>
        <w:right w:val="none" w:sz="0" w:space="0" w:color="auto"/>
      </w:divBdr>
    </w:div>
    <w:div w:id="1541283609">
      <w:bodyDiv w:val="1"/>
      <w:marLeft w:val="0"/>
      <w:marRight w:val="0"/>
      <w:marTop w:val="0"/>
      <w:marBottom w:val="0"/>
      <w:divBdr>
        <w:top w:val="none" w:sz="0" w:space="0" w:color="auto"/>
        <w:left w:val="none" w:sz="0" w:space="0" w:color="auto"/>
        <w:bottom w:val="none" w:sz="0" w:space="0" w:color="auto"/>
        <w:right w:val="none" w:sz="0" w:space="0" w:color="auto"/>
      </w:divBdr>
    </w:div>
    <w:div w:id="1584610207">
      <w:bodyDiv w:val="1"/>
      <w:marLeft w:val="0"/>
      <w:marRight w:val="0"/>
      <w:marTop w:val="0"/>
      <w:marBottom w:val="0"/>
      <w:divBdr>
        <w:top w:val="none" w:sz="0" w:space="0" w:color="auto"/>
        <w:left w:val="none" w:sz="0" w:space="0" w:color="auto"/>
        <w:bottom w:val="none" w:sz="0" w:space="0" w:color="auto"/>
        <w:right w:val="none" w:sz="0" w:space="0" w:color="auto"/>
      </w:divBdr>
    </w:div>
    <w:div w:id="1589266878">
      <w:bodyDiv w:val="1"/>
      <w:marLeft w:val="0"/>
      <w:marRight w:val="0"/>
      <w:marTop w:val="0"/>
      <w:marBottom w:val="0"/>
      <w:divBdr>
        <w:top w:val="none" w:sz="0" w:space="0" w:color="auto"/>
        <w:left w:val="none" w:sz="0" w:space="0" w:color="auto"/>
        <w:bottom w:val="none" w:sz="0" w:space="0" w:color="auto"/>
        <w:right w:val="none" w:sz="0" w:space="0" w:color="auto"/>
      </w:divBdr>
    </w:div>
    <w:div w:id="1598246524">
      <w:bodyDiv w:val="1"/>
      <w:marLeft w:val="0"/>
      <w:marRight w:val="0"/>
      <w:marTop w:val="0"/>
      <w:marBottom w:val="0"/>
      <w:divBdr>
        <w:top w:val="none" w:sz="0" w:space="0" w:color="auto"/>
        <w:left w:val="none" w:sz="0" w:space="0" w:color="auto"/>
        <w:bottom w:val="none" w:sz="0" w:space="0" w:color="auto"/>
        <w:right w:val="none" w:sz="0" w:space="0" w:color="auto"/>
      </w:divBdr>
    </w:div>
    <w:div w:id="1610888631">
      <w:bodyDiv w:val="1"/>
      <w:marLeft w:val="0"/>
      <w:marRight w:val="0"/>
      <w:marTop w:val="0"/>
      <w:marBottom w:val="0"/>
      <w:divBdr>
        <w:top w:val="none" w:sz="0" w:space="0" w:color="auto"/>
        <w:left w:val="none" w:sz="0" w:space="0" w:color="auto"/>
        <w:bottom w:val="none" w:sz="0" w:space="0" w:color="auto"/>
        <w:right w:val="none" w:sz="0" w:space="0" w:color="auto"/>
      </w:divBdr>
    </w:div>
    <w:div w:id="1612080920">
      <w:bodyDiv w:val="1"/>
      <w:marLeft w:val="0"/>
      <w:marRight w:val="0"/>
      <w:marTop w:val="0"/>
      <w:marBottom w:val="0"/>
      <w:divBdr>
        <w:top w:val="none" w:sz="0" w:space="0" w:color="auto"/>
        <w:left w:val="none" w:sz="0" w:space="0" w:color="auto"/>
        <w:bottom w:val="none" w:sz="0" w:space="0" w:color="auto"/>
        <w:right w:val="none" w:sz="0" w:space="0" w:color="auto"/>
      </w:divBdr>
    </w:div>
    <w:div w:id="1622807855">
      <w:bodyDiv w:val="1"/>
      <w:marLeft w:val="0"/>
      <w:marRight w:val="0"/>
      <w:marTop w:val="0"/>
      <w:marBottom w:val="0"/>
      <w:divBdr>
        <w:top w:val="none" w:sz="0" w:space="0" w:color="auto"/>
        <w:left w:val="none" w:sz="0" w:space="0" w:color="auto"/>
        <w:bottom w:val="none" w:sz="0" w:space="0" w:color="auto"/>
        <w:right w:val="none" w:sz="0" w:space="0" w:color="auto"/>
      </w:divBdr>
    </w:div>
    <w:div w:id="1644892474">
      <w:bodyDiv w:val="1"/>
      <w:marLeft w:val="0"/>
      <w:marRight w:val="0"/>
      <w:marTop w:val="0"/>
      <w:marBottom w:val="0"/>
      <w:divBdr>
        <w:top w:val="none" w:sz="0" w:space="0" w:color="auto"/>
        <w:left w:val="none" w:sz="0" w:space="0" w:color="auto"/>
        <w:bottom w:val="none" w:sz="0" w:space="0" w:color="auto"/>
        <w:right w:val="none" w:sz="0" w:space="0" w:color="auto"/>
      </w:divBdr>
    </w:div>
    <w:div w:id="1649166946">
      <w:bodyDiv w:val="1"/>
      <w:marLeft w:val="0"/>
      <w:marRight w:val="0"/>
      <w:marTop w:val="0"/>
      <w:marBottom w:val="0"/>
      <w:divBdr>
        <w:top w:val="none" w:sz="0" w:space="0" w:color="auto"/>
        <w:left w:val="none" w:sz="0" w:space="0" w:color="auto"/>
        <w:bottom w:val="none" w:sz="0" w:space="0" w:color="auto"/>
        <w:right w:val="none" w:sz="0" w:space="0" w:color="auto"/>
      </w:divBdr>
    </w:div>
    <w:div w:id="1650284062">
      <w:bodyDiv w:val="1"/>
      <w:marLeft w:val="0"/>
      <w:marRight w:val="0"/>
      <w:marTop w:val="0"/>
      <w:marBottom w:val="0"/>
      <w:divBdr>
        <w:top w:val="none" w:sz="0" w:space="0" w:color="auto"/>
        <w:left w:val="none" w:sz="0" w:space="0" w:color="auto"/>
        <w:bottom w:val="none" w:sz="0" w:space="0" w:color="auto"/>
        <w:right w:val="none" w:sz="0" w:space="0" w:color="auto"/>
      </w:divBdr>
    </w:div>
    <w:div w:id="1669824448">
      <w:bodyDiv w:val="1"/>
      <w:marLeft w:val="0"/>
      <w:marRight w:val="0"/>
      <w:marTop w:val="0"/>
      <w:marBottom w:val="0"/>
      <w:divBdr>
        <w:top w:val="none" w:sz="0" w:space="0" w:color="auto"/>
        <w:left w:val="none" w:sz="0" w:space="0" w:color="auto"/>
        <w:bottom w:val="none" w:sz="0" w:space="0" w:color="auto"/>
        <w:right w:val="none" w:sz="0" w:space="0" w:color="auto"/>
      </w:divBdr>
    </w:div>
    <w:div w:id="1688023848">
      <w:bodyDiv w:val="1"/>
      <w:marLeft w:val="0"/>
      <w:marRight w:val="0"/>
      <w:marTop w:val="0"/>
      <w:marBottom w:val="0"/>
      <w:divBdr>
        <w:top w:val="none" w:sz="0" w:space="0" w:color="auto"/>
        <w:left w:val="none" w:sz="0" w:space="0" w:color="auto"/>
        <w:bottom w:val="none" w:sz="0" w:space="0" w:color="auto"/>
        <w:right w:val="none" w:sz="0" w:space="0" w:color="auto"/>
      </w:divBdr>
    </w:div>
    <w:div w:id="1773164976">
      <w:bodyDiv w:val="1"/>
      <w:marLeft w:val="0"/>
      <w:marRight w:val="0"/>
      <w:marTop w:val="0"/>
      <w:marBottom w:val="0"/>
      <w:divBdr>
        <w:top w:val="none" w:sz="0" w:space="0" w:color="auto"/>
        <w:left w:val="none" w:sz="0" w:space="0" w:color="auto"/>
        <w:bottom w:val="none" w:sz="0" w:space="0" w:color="auto"/>
        <w:right w:val="none" w:sz="0" w:space="0" w:color="auto"/>
      </w:divBdr>
    </w:div>
    <w:div w:id="1800607944">
      <w:bodyDiv w:val="1"/>
      <w:marLeft w:val="0"/>
      <w:marRight w:val="0"/>
      <w:marTop w:val="0"/>
      <w:marBottom w:val="0"/>
      <w:divBdr>
        <w:top w:val="none" w:sz="0" w:space="0" w:color="auto"/>
        <w:left w:val="none" w:sz="0" w:space="0" w:color="auto"/>
        <w:bottom w:val="none" w:sz="0" w:space="0" w:color="auto"/>
        <w:right w:val="none" w:sz="0" w:space="0" w:color="auto"/>
      </w:divBdr>
    </w:div>
    <w:div w:id="1830049011">
      <w:bodyDiv w:val="1"/>
      <w:marLeft w:val="0"/>
      <w:marRight w:val="0"/>
      <w:marTop w:val="0"/>
      <w:marBottom w:val="0"/>
      <w:divBdr>
        <w:top w:val="none" w:sz="0" w:space="0" w:color="auto"/>
        <w:left w:val="none" w:sz="0" w:space="0" w:color="auto"/>
        <w:bottom w:val="none" w:sz="0" w:space="0" w:color="auto"/>
        <w:right w:val="none" w:sz="0" w:space="0" w:color="auto"/>
      </w:divBdr>
    </w:div>
    <w:div w:id="1836797316">
      <w:bodyDiv w:val="1"/>
      <w:marLeft w:val="0"/>
      <w:marRight w:val="0"/>
      <w:marTop w:val="0"/>
      <w:marBottom w:val="0"/>
      <w:divBdr>
        <w:top w:val="none" w:sz="0" w:space="0" w:color="auto"/>
        <w:left w:val="none" w:sz="0" w:space="0" w:color="auto"/>
        <w:bottom w:val="none" w:sz="0" w:space="0" w:color="auto"/>
        <w:right w:val="none" w:sz="0" w:space="0" w:color="auto"/>
      </w:divBdr>
    </w:div>
    <w:div w:id="1853951880">
      <w:bodyDiv w:val="1"/>
      <w:marLeft w:val="0"/>
      <w:marRight w:val="0"/>
      <w:marTop w:val="0"/>
      <w:marBottom w:val="0"/>
      <w:divBdr>
        <w:top w:val="none" w:sz="0" w:space="0" w:color="auto"/>
        <w:left w:val="none" w:sz="0" w:space="0" w:color="auto"/>
        <w:bottom w:val="none" w:sz="0" w:space="0" w:color="auto"/>
        <w:right w:val="none" w:sz="0" w:space="0" w:color="auto"/>
      </w:divBdr>
    </w:div>
    <w:div w:id="1865245356">
      <w:bodyDiv w:val="1"/>
      <w:marLeft w:val="0"/>
      <w:marRight w:val="0"/>
      <w:marTop w:val="0"/>
      <w:marBottom w:val="0"/>
      <w:divBdr>
        <w:top w:val="none" w:sz="0" w:space="0" w:color="auto"/>
        <w:left w:val="none" w:sz="0" w:space="0" w:color="auto"/>
        <w:bottom w:val="none" w:sz="0" w:space="0" w:color="auto"/>
        <w:right w:val="none" w:sz="0" w:space="0" w:color="auto"/>
      </w:divBdr>
    </w:div>
    <w:div w:id="1870601224">
      <w:bodyDiv w:val="1"/>
      <w:marLeft w:val="0"/>
      <w:marRight w:val="0"/>
      <w:marTop w:val="0"/>
      <w:marBottom w:val="0"/>
      <w:divBdr>
        <w:top w:val="none" w:sz="0" w:space="0" w:color="auto"/>
        <w:left w:val="none" w:sz="0" w:space="0" w:color="auto"/>
        <w:bottom w:val="none" w:sz="0" w:space="0" w:color="auto"/>
        <w:right w:val="none" w:sz="0" w:space="0" w:color="auto"/>
      </w:divBdr>
    </w:div>
    <w:div w:id="1896548955">
      <w:bodyDiv w:val="1"/>
      <w:marLeft w:val="0"/>
      <w:marRight w:val="0"/>
      <w:marTop w:val="0"/>
      <w:marBottom w:val="0"/>
      <w:divBdr>
        <w:top w:val="none" w:sz="0" w:space="0" w:color="auto"/>
        <w:left w:val="none" w:sz="0" w:space="0" w:color="auto"/>
        <w:bottom w:val="none" w:sz="0" w:space="0" w:color="auto"/>
        <w:right w:val="none" w:sz="0" w:space="0" w:color="auto"/>
      </w:divBdr>
    </w:div>
    <w:div w:id="1907300243">
      <w:bodyDiv w:val="1"/>
      <w:marLeft w:val="0"/>
      <w:marRight w:val="0"/>
      <w:marTop w:val="0"/>
      <w:marBottom w:val="0"/>
      <w:divBdr>
        <w:top w:val="none" w:sz="0" w:space="0" w:color="auto"/>
        <w:left w:val="none" w:sz="0" w:space="0" w:color="auto"/>
        <w:bottom w:val="none" w:sz="0" w:space="0" w:color="auto"/>
        <w:right w:val="none" w:sz="0" w:space="0" w:color="auto"/>
      </w:divBdr>
    </w:div>
    <w:div w:id="1942250900">
      <w:bodyDiv w:val="1"/>
      <w:marLeft w:val="0"/>
      <w:marRight w:val="0"/>
      <w:marTop w:val="0"/>
      <w:marBottom w:val="0"/>
      <w:divBdr>
        <w:top w:val="none" w:sz="0" w:space="0" w:color="auto"/>
        <w:left w:val="none" w:sz="0" w:space="0" w:color="auto"/>
        <w:bottom w:val="none" w:sz="0" w:space="0" w:color="auto"/>
        <w:right w:val="none" w:sz="0" w:space="0" w:color="auto"/>
      </w:divBdr>
    </w:div>
    <w:div w:id="2005469661">
      <w:bodyDiv w:val="1"/>
      <w:marLeft w:val="0"/>
      <w:marRight w:val="0"/>
      <w:marTop w:val="0"/>
      <w:marBottom w:val="0"/>
      <w:divBdr>
        <w:top w:val="none" w:sz="0" w:space="0" w:color="auto"/>
        <w:left w:val="none" w:sz="0" w:space="0" w:color="auto"/>
        <w:bottom w:val="none" w:sz="0" w:space="0" w:color="auto"/>
        <w:right w:val="none" w:sz="0" w:space="0" w:color="auto"/>
      </w:divBdr>
    </w:div>
    <w:div w:id="2010675391">
      <w:bodyDiv w:val="1"/>
      <w:marLeft w:val="0"/>
      <w:marRight w:val="0"/>
      <w:marTop w:val="0"/>
      <w:marBottom w:val="0"/>
      <w:divBdr>
        <w:top w:val="none" w:sz="0" w:space="0" w:color="auto"/>
        <w:left w:val="none" w:sz="0" w:space="0" w:color="auto"/>
        <w:bottom w:val="none" w:sz="0" w:space="0" w:color="auto"/>
        <w:right w:val="none" w:sz="0" w:space="0" w:color="auto"/>
      </w:divBdr>
    </w:div>
    <w:div w:id="2010984354">
      <w:bodyDiv w:val="1"/>
      <w:marLeft w:val="0"/>
      <w:marRight w:val="0"/>
      <w:marTop w:val="0"/>
      <w:marBottom w:val="0"/>
      <w:divBdr>
        <w:top w:val="none" w:sz="0" w:space="0" w:color="auto"/>
        <w:left w:val="none" w:sz="0" w:space="0" w:color="auto"/>
        <w:bottom w:val="none" w:sz="0" w:space="0" w:color="auto"/>
        <w:right w:val="none" w:sz="0" w:space="0" w:color="auto"/>
      </w:divBdr>
    </w:div>
    <w:div w:id="2017689059">
      <w:bodyDiv w:val="1"/>
      <w:marLeft w:val="0"/>
      <w:marRight w:val="0"/>
      <w:marTop w:val="0"/>
      <w:marBottom w:val="0"/>
      <w:divBdr>
        <w:top w:val="none" w:sz="0" w:space="0" w:color="auto"/>
        <w:left w:val="none" w:sz="0" w:space="0" w:color="auto"/>
        <w:bottom w:val="none" w:sz="0" w:space="0" w:color="auto"/>
        <w:right w:val="none" w:sz="0" w:space="0" w:color="auto"/>
      </w:divBdr>
    </w:div>
    <w:div w:id="2108845479">
      <w:bodyDiv w:val="1"/>
      <w:marLeft w:val="0"/>
      <w:marRight w:val="0"/>
      <w:marTop w:val="0"/>
      <w:marBottom w:val="0"/>
      <w:divBdr>
        <w:top w:val="none" w:sz="0" w:space="0" w:color="auto"/>
        <w:left w:val="none" w:sz="0" w:space="0" w:color="auto"/>
        <w:bottom w:val="none" w:sz="0" w:space="0" w:color="auto"/>
        <w:right w:val="none" w:sz="0" w:space="0" w:color="auto"/>
      </w:divBdr>
    </w:div>
    <w:div w:id="2117282781">
      <w:bodyDiv w:val="1"/>
      <w:marLeft w:val="0"/>
      <w:marRight w:val="0"/>
      <w:marTop w:val="0"/>
      <w:marBottom w:val="0"/>
      <w:divBdr>
        <w:top w:val="none" w:sz="0" w:space="0" w:color="auto"/>
        <w:left w:val="none" w:sz="0" w:space="0" w:color="auto"/>
        <w:bottom w:val="none" w:sz="0" w:space="0" w:color="auto"/>
        <w:right w:val="none" w:sz="0" w:space="0" w:color="auto"/>
      </w:divBdr>
    </w:div>
    <w:div w:id="2128697117">
      <w:bodyDiv w:val="1"/>
      <w:marLeft w:val="0"/>
      <w:marRight w:val="0"/>
      <w:marTop w:val="0"/>
      <w:marBottom w:val="0"/>
      <w:divBdr>
        <w:top w:val="none" w:sz="0" w:space="0" w:color="auto"/>
        <w:left w:val="none" w:sz="0" w:space="0" w:color="auto"/>
        <w:bottom w:val="none" w:sz="0" w:space="0" w:color="auto"/>
        <w:right w:val="none" w:sz="0" w:space="0" w:color="auto"/>
      </w:divBdr>
      <w:divsChild>
        <w:div w:id="1560550215">
          <w:marLeft w:val="0"/>
          <w:marRight w:val="0"/>
          <w:marTop w:val="0"/>
          <w:marBottom w:val="0"/>
          <w:divBdr>
            <w:top w:val="none" w:sz="0" w:space="0" w:color="auto"/>
            <w:left w:val="none" w:sz="0" w:space="0" w:color="auto"/>
            <w:bottom w:val="none" w:sz="0" w:space="0" w:color="auto"/>
            <w:right w:val="none" w:sz="0" w:space="0" w:color="auto"/>
          </w:divBdr>
          <w:divsChild>
            <w:div w:id="839008793">
              <w:marLeft w:val="0"/>
              <w:marRight w:val="0"/>
              <w:marTop w:val="0"/>
              <w:marBottom w:val="0"/>
              <w:divBdr>
                <w:top w:val="none" w:sz="0" w:space="0" w:color="auto"/>
                <w:left w:val="none" w:sz="0" w:space="0" w:color="auto"/>
                <w:bottom w:val="none" w:sz="0" w:space="0" w:color="auto"/>
                <w:right w:val="none" w:sz="0" w:space="0" w:color="auto"/>
              </w:divBdr>
              <w:divsChild>
                <w:div w:id="64397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687125">
      <w:bodyDiv w:val="1"/>
      <w:marLeft w:val="0"/>
      <w:marRight w:val="0"/>
      <w:marTop w:val="0"/>
      <w:marBottom w:val="0"/>
      <w:divBdr>
        <w:top w:val="none" w:sz="0" w:space="0" w:color="auto"/>
        <w:left w:val="none" w:sz="0" w:space="0" w:color="auto"/>
        <w:bottom w:val="none" w:sz="0" w:space="0" w:color="auto"/>
        <w:right w:val="none" w:sz="0" w:space="0" w:color="auto"/>
      </w:divBdr>
    </w:div>
    <w:div w:id="214388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file:////Users/joep/Library/Mobile%20Documents/com~apple~CloudDocs/MIETE/Y2/Thesis2019/Officials/Officials2/MIETE.DIssertation_June2019_JoepvanderWal(Revised).docx" TargetMode="External"/><Relationship Id="rId26" Type="http://schemas.openxmlformats.org/officeDocument/2006/relationships/hyperlink" Target="https://ametic.es/es" TargetMode="External"/><Relationship Id="rId39" Type="http://schemas.openxmlformats.org/officeDocument/2006/relationships/footer" Target="footer6.xml"/><Relationship Id="rId21" Type="http://schemas.openxmlformats.org/officeDocument/2006/relationships/header" Target="header4.xml"/><Relationship Id="rId34" Type="http://schemas.openxmlformats.org/officeDocument/2006/relationships/image" Target="media/image6.jpeg"/><Relationship Id="rId42" Type="http://schemas.openxmlformats.org/officeDocument/2006/relationships/image" Target="media/image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joep/Library/Mobile%20Documents/com~apple~CloudDocs/MIETE/Y2/Thesis2019/Officials/Officials2/MIETE.DIssertation_June2019_JoepvanderWal(Revised).docx" TargetMode="External"/><Relationship Id="rId29" Type="http://schemas.openxmlformats.org/officeDocument/2006/relationships/hyperlink" Target="https://grnet.gr/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jpeg"/><Relationship Id="rId32" Type="http://schemas.openxmlformats.org/officeDocument/2006/relationships/image" Target="media/image4.png"/><Relationship Id="rId37" Type="http://schemas.openxmlformats.org/officeDocument/2006/relationships/header" Target="header5.xml"/><Relationship Id="rId40" Type="http://schemas.openxmlformats.org/officeDocument/2006/relationships/footer" Target="footer7.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Users/joep/Library/Mobile%20Documents/com~apple~CloudDocs/MIETE/Y2/Thesis2019/Officials/Officials2/MIETE.DIssertation_June2019_JoepvanderWal(Revised).docx" TargetMode="External"/><Relationship Id="rId23" Type="http://schemas.openxmlformats.org/officeDocument/2006/relationships/image" Target="media/image2.png"/><Relationship Id="rId28" Type="http://schemas.openxmlformats.org/officeDocument/2006/relationships/hyperlink" Target="http://inovisa.pt/" TargetMode="External"/><Relationship Id="rId36" Type="http://schemas.openxmlformats.org/officeDocument/2006/relationships/image" Target="media/image7.jpeg"/><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yperlink" Target="https://www.isa.ulisboa.pt/en" TargetMode="External"/><Relationship Id="rId44"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projectdiva.org/" TargetMode="External"/><Relationship Id="rId27" Type="http://schemas.openxmlformats.org/officeDocument/2006/relationships/hyperlink" Target="http://www.agrisudouest.com/" TargetMode="External"/><Relationship Id="rId30" Type="http://schemas.openxmlformats.org/officeDocument/2006/relationships/hyperlink" Target="https://www.inesctec.pt/en" TargetMode="External"/><Relationship Id="rId35" Type="http://schemas.openxmlformats.org/officeDocument/2006/relationships/hyperlink" Target="https://www.projectdiva.eu/challenges-list/" TargetMode="External"/><Relationship Id="rId43" Type="http://schemas.openxmlformats.org/officeDocument/2006/relationships/image" Target="media/image9.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file:////Users/joep/Library/Mobile%20Documents/com~apple~CloudDocs/MIETE/Y2/Thesis2019/Officials/Officials2/MIETE.DIssertation_June2019_JoepvanderWal(Revised).docx" TargetMode="External"/><Relationship Id="rId25" Type="http://schemas.openxmlformats.org/officeDocument/2006/relationships/chart" Target="charts/chart1.xml"/><Relationship Id="rId33" Type="http://schemas.openxmlformats.org/officeDocument/2006/relationships/image" Target="media/image5.tiff"/><Relationship Id="rId38" Type="http://schemas.openxmlformats.org/officeDocument/2006/relationships/header" Target="header6.xml"/><Relationship Id="rId46"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header" Target="header7.xml"/></Relationships>
</file>

<file path=word/charts/_rels/chart1.xml.rels><?xml version="1.0" encoding="UTF-8" standalone="yes"?>
<Relationships xmlns="http://schemas.openxmlformats.org/package/2006/relationships"><Relationship Id="rId3" Type="http://schemas.openxmlformats.org/officeDocument/2006/relationships/oleObject" Target="file:///\\Users\joep\Library\Mobile%20Documents\com~apple~CloudDocs\MIETE\Y2\Thesis2019\Working%20Files\Literature\Document%20Collection\DocumentCollectio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baseline="0">
                <a:latin typeface="Times New Roman" panose="02020603050405020304" pitchFamily="18" charset="0"/>
              </a:rPr>
              <a:t>Number of publications per category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bar"/>
        <c:grouping val="clustered"/>
        <c:varyColors val="0"/>
        <c:ser>
          <c:idx val="0"/>
          <c:order val="0"/>
          <c:spPr>
            <a:solidFill>
              <a:schemeClr val="bg1">
                <a:lumMod val="95000"/>
              </a:schemeClr>
            </a:solidFill>
            <a:ln w="12700">
              <a:solidFill>
                <a:schemeClr val="tx1"/>
              </a:solidFill>
            </a:ln>
            <a:effectLst/>
          </c:spPr>
          <c:invertIfNegative val="0"/>
          <c:cat>
            <c:strRef>
              <c:f>SubsetMegatrendsDrivers!$A$29:$A$32</c:f>
              <c:strCache>
                <c:ptCount val="4"/>
                <c:pt idx="0">
                  <c:v>Academic Journal</c:v>
                </c:pt>
                <c:pt idx="1">
                  <c:v>Consultancy</c:v>
                </c:pt>
                <c:pt idx="2">
                  <c:v>International Organizations</c:v>
                </c:pt>
                <c:pt idx="3">
                  <c:v>Other</c:v>
                </c:pt>
              </c:strCache>
            </c:strRef>
          </c:cat>
          <c:val>
            <c:numRef>
              <c:f>SubsetMegatrendsDrivers!$B$29:$B$32</c:f>
              <c:numCache>
                <c:formatCode>General</c:formatCode>
                <c:ptCount val="4"/>
                <c:pt idx="0">
                  <c:v>10</c:v>
                </c:pt>
                <c:pt idx="1">
                  <c:v>4</c:v>
                </c:pt>
                <c:pt idx="2">
                  <c:v>6</c:v>
                </c:pt>
                <c:pt idx="3">
                  <c:v>3</c:v>
                </c:pt>
              </c:numCache>
            </c:numRef>
          </c:val>
          <c:extLst>
            <c:ext xmlns:c16="http://schemas.microsoft.com/office/drawing/2014/chart" uri="{C3380CC4-5D6E-409C-BE32-E72D297353CC}">
              <c16:uniqueId val="{00000000-EDF4-7743-80AD-DD55AFEB61A5}"/>
            </c:ext>
          </c:extLst>
        </c:ser>
        <c:dLbls>
          <c:showLegendKey val="0"/>
          <c:showVal val="0"/>
          <c:showCatName val="0"/>
          <c:showSerName val="0"/>
          <c:showPercent val="0"/>
          <c:showBubbleSize val="0"/>
        </c:dLbls>
        <c:gapWidth val="182"/>
        <c:axId val="1501330447"/>
        <c:axId val="1501332127"/>
      </c:barChart>
      <c:catAx>
        <c:axId val="15013304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pt-PT"/>
          </a:p>
        </c:txPr>
        <c:crossAx val="1501332127"/>
        <c:crosses val="autoZero"/>
        <c:auto val="1"/>
        <c:lblAlgn val="ctr"/>
        <c:lblOffset val="100"/>
        <c:noMultiLvlLbl val="0"/>
      </c:catAx>
      <c:valAx>
        <c:axId val="15013321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5013304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D21D5-0583-424B-97B5-3EAE03831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71182</Words>
  <Characters>384384</Characters>
  <Application>Microsoft Office Word</Application>
  <DocSecurity>0</DocSecurity>
  <Lines>3203</Lines>
  <Paragraphs>909</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Padrão de formatação</vt:lpstr>
      <vt:lpstr>Padrão de formatação</vt:lpstr>
      <vt:lpstr>Padrão de formatação</vt:lpstr>
    </vt:vector>
  </TitlesOfParts>
  <Company>DEEC, FEUP</Company>
  <LinksUpToDate>false</LinksUpToDate>
  <CharactersWithSpaces>454657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de formatação</dc:title>
  <dc:subject/>
  <dc:creator>Joep Wal</dc:creator>
  <cp:keywords/>
  <dc:description/>
  <cp:lastModifiedBy>Windows User</cp:lastModifiedBy>
  <cp:revision>2</cp:revision>
  <cp:lastPrinted>2019-06-11T15:04:00Z</cp:lastPrinted>
  <dcterms:created xsi:type="dcterms:W3CDTF">2019-07-18T11:47:00Z</dcterms:created>
  <dcterms:modified xsi:type="dcterms:W3CDTF">2019-07-18T11:47:00Z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d69df0bb-b0d7-33a6-8036-04cc92f1f371</vt:lpwstr>
  </property>
  <property fmtid="{D5CDD505-2E9C-101B-9397-08002B2CF9AE}" pid="24" name="Mendeley Citation Style_1">
    <vt:lpwstr>http://www.zotero.org/styles/apa</vt:lpwstr>
  </property>
</Properties>
</file>